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2369F848" w14:textId="1318958C" w:rsidR="00724131" w:rsidRDefault="007A1DD4">
      <w:pPr>
        <w:pStyle w:val="BodyText"/>
      </w:pPr>
      <w:r>
        <w:rPr>
          <w:noProof/>
        </w:rPr>
        <w:drawing>
          <wp:anchor distT="0" distB="0" distL="114300" distR="114300" simplePos="0" relativeHeight="503258016" behindDoc="1" locked="0" layoutInCell="1" allowOverlap="1" wp14:anchorId="075331AC" wp14:editId="1DEAE000">
            <wp:simplePos x="0" y="0"/>
            <wp:positionH relativeFrom="page">
              <wp:posOffset>0</wp:posOffset>
            </wp:positionH>
            <wp:positionV relativeFrom="page">
              <wp:posOffset>0</wp:posOffset>
            </wp:positionV>
            <wp:extent cx="7559040" cy="10692384"/>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24 DELWP InquiryReport 022.jpg"/>
                    <pic:cNvPicPr/>
                  </pic:nvPicPr>
                  <pic:blipFill>
                    <a:blip r:embed="rId8" cstate="email">
                      <a:extLst>
                        <a:ext uri="{28A0092B-C50C-407E-A947-70E740481C1C}">
                          <a14:useLocalDpi xmlns:a14="http://schemas.microsoft.com/office/drawing/2010/main"/>
                        </a:ext>
                      </a:extLst>
                    </a:blip>
                    <a:stretch>
                      <a:fillRect/>
                    </a:stretch>
                  </pic:blipFill>
                  <pic:spPr>
                    <a:xfrm>
                      <a:off x="0" y="0"/>
                      <a:ext cx="7559040" cy="10692384"/>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3366AF2F" w14:textId="77777777" w:rsidR="00724131" w:rsidRDefault="00724131">
      <w:pPr>
        <w:pStyle w:val="BodyText"/>
      </w:pPr>
    </w:p>
    <w:p w14:paraId="055B6D6D" w14:textId="77777777" w:rsidR="00724131" w:rsidRDefault="00724131">
      <w:pPr>
        <w:pStyle w:val="BodyText"/>
      </w:pPr>
    </w:p>
    <w:p w14:paraId="1F81AFCA" w14:textId="77777777" w:rsidR="00724131" w:rsidRDefault="00724131">
      <w:pPr>
        <w:pStyle w:val="BodyText"/>
      </w:pPr>
    </w:p>
    <w:p w14:paraId="4D418CE8" w14:textId="77777777" w:rsidR="00724131" w:rsidRDefault="00724131">
      <w:pPr>
        <w:pStyle w:val="BodyText"/>
      </w:pPr>
    </w:p>
    <w:p w14:paraId="66C786C8" w14:textId="77777777" w:rsidR="00724131" w:rsidRDefault="00724131">
      <w:pPr>
        <w:pStyle w:val="BodyText"/>
      </w:pPr>
    </w:p>
    <w:p w14:paraId="0F8A9315" w14:textId="77777777" w:rsidR="00724131" w:rsidRDefault="00724131">
      <w:pPr>
        <w:pStyle w:val="BodyText"/>
      </w:pPr>
    </w:p>
    <w:p w14:paraId="523939BC" w14:textId="77777777" w:rsidR="00724131" w:rsidRDefault="00724131">
      <w:pPr>
        <w:pStyle w:val="BodyText"/>
      </w:pPr>
    </w:p>
    <w:p w14:paraId="7868C878" w14:textId="77777777" w:rsidR="00724131" w:rsidRDefault="00724131">
      <w:pPr>
        <w:pStyle w:val="BodyText"/>
      </w:pPr>
    </w:p>
    <w:p w14:paraId="66DFA85D" w14:textId="77777777" w:rsidR="00724131" w:rsidRDefault="00724131">
      <w:pPr>
        <w:pStyle w:val="BodyText"/>
      </w:pPr>
    </w:p>
    <w:p w14:paraId="2D4AF2E5" w14:textId="0EB6CDB3" w:rsidR="00724131" w:rsidRDefault="00724131">
      <w:pPr>
        <w:pStyle w:val="BodyText"/>
        <w:spacing w:before="2"/>
        <w:rPr>
          <w:sz w:val="12"/>
        </w:rPr>
      </w:pPr>
    </w:p>
    <w:p w14:paraId="2F54FF61" w14:textId="77777777" w:rsidR="00724131" w:rsidRDefault="00724131">
      <w:pPr>
        <w:rPr>
          <w:sz w:val="12"/>
        </w:rPr>
        <w:sectPr w:rsidR="00724131">
          <w:type w:val="continuous"/>
          <w:pgSz w:w="11910" w:h="16840"/>
          <w:pgMar w:top="360" w:right="0" w:bottom="0" w:left="0" w:header="720" w:footer="720" w:gutter="0"/>
          <w:cols w:space="720"/>
        </w:sectPr>
      </w:pPr>
    </w:p>
    <w:p w14:paraId="6AD5EAF3" w14:textId="77777777" w:rsidR="00724131" w:rsidRDefault="00054426">
      <w:pPr>
        <w:spacing w:before="61"/>
        <w:ind w:right="117"/>
        <w:jc w:val="right"/>
        <w:rPr>
          <w:sz w:val="15"/>
        </w:rPr>
      </w:pPr>
      <w:r>
        <w:lastRenderedPageBreak/>
        <w:pict w14:anchorId="0798886B">
          <v:group id="_x0000_s1055" style="position:absolute;left:0;text-align:left;margin-left:0;margin-top:0;width:598.8pt;height:841.9pt;z-index:-59824;mso-position-horizontal-relative:page;mso-position-vertical-relative:page" coordsize="11976,16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7" type="#_x0000_t75" style="position:absolute;width:11904;height:16838">
              <v:imagedata r:id="rId9" o:title=""/>
            </v:shape>
            <v:line id="_x0000_s1056" style="position:absolute" from="10700,917" to="11906,917" strokecolor="white" strokeweight="7pt"/>
            <w10:wrap anchorx="page" anchory="page"/>
          </v:group>
        </w:pict>
      </w:r>
      <w:r w:rsidR="00823349">
        <w:rPr>
          <w:color w:val="FFFFFF"/>
          <w:sz w:val="15"/>
        </w:rPr>
        <w:t>321</w:t>
      </w:r>
    </w:p>
    <w:p w14:paraId="2BA36DC1" w14:textId="77777777" w:rsidR="00724131" w:rsidRDefault="00724131">
      <w:pPr>
        <w:pStyle w:val="BodyText"/>
      </w:pPr>
    </w:p>
    <w:p w14:paraId="37B65A28" w14:textId="77777777" w:rsidR="00724131" w:rsidRDefault="00724131">
      <w:pPr>
        <w:pStyle w:val="BodyText"/>
      </w:pPr>
    </w:p>
    <w:p w14:paraId="69AD9096" w14:textId="77777777" w:rsidR="00724131" w:rsidRDefault="00724131">
      <w:pPr>
        <w:pStyle w:val="BodyText"/>
      </w:pPr>
    </w:p>
    <w:p w14:paraId="4290C573" w14:textId="77777777" w:rsidR="00724131" w:rsidRDefault="00724131">
      <w:pPr>
        <w:pStyle w:val="BodyText"/>
      </w:pPr>
    </w:p>
    <w:p w14:paraId="46F3A963" w14:textId="77777777" w:rsidR="00724131" w:rsidRDefault="00724131">
      <w:pPr>
        <w:pStyle w:val="BodyText"/>
        <w:spacing w:before="5"/>
        <w:rPr>
          <w:sz w:val="17"/>
        </w:rPr>
      </w:pPr>
    </w:p>
    <w:p w14:paraId="0CB6284A" w14:textId="77777777" w:rsidR="00724131" w:rsidRDefault="00823349">
      <w:pPr>
        <w:pStyle w:val="BodyText"/>
        <w:ind w:left="134" w:right="1246"/>
      </w:pPr>
      <w:r>
        <w:rPr>
          <w:color w:val="FFFFFF"/>
        </w:rPr>
        <w:t>PART D</w:t>
      </w:r>
    </w:p>
    <w:p w14:paraId="433452E2" w14:textId="77777777" w:rsidR="00724131" w:rsidRDefault="00823349">
      <w:pPr>
        <w:pStyle w:val="Heading1"/>
        <w:spacing w:before="102" w:line="440" w:lineRule="exact"/>
      </w:pPr>
      <w:r>
        <w:rPr>
          <w:color w:val="FFFFFF"/>
          <w:spacing w:val="-13"/>
        </w:rPr>
        <w:t xml:space="preserve">WHAT </w:t>
      </w:r>
      <w:r>
        <w:rPr>
          <w:color w:val="FFFFFF"/>
          <w:spacing w:val="-8"/>
        </w:rPr>
        <w:t xml:space="preserve">INSTITUTIONAL </w:t>
      </w:r>
      <w:r>
        <w:rPr>
          <w:color w:val="FFFFFF"/>
          <w:spacing w:val="-6"/>
        </w:rPr>
        <w:t xml:space="preserve">ARRANGEMENTS </w:t>
      </w:r>
      <w:r>
        <w:rPr>
          <w:color w:val="FFFFFF"/>
          <w:spacing w:val="-3"/>
        </w:rPr>
        <w:t xml:space="preserve">AND </w:t>
      </w:r>
      <w:r>
        <w:rPr>
          <w:color w:val="FFFFFF"/>
          <w:spacing w:val="-11"/>
        </w:rPr>
        <w:t xml:space="preserve">CAPABILITIES </w:t>
      </w:r>
      <w:r>
        <w:rPr>
          <w:color w:val="FFFFFF"/>
          <w:spacing w:val="-4"/>
        </w:rPr>
        <w:t xml:space="preserve">ARE </w:t>
      </w:r>
      <w:r>
        <w:rPr>
          <w:color w:val="FFFFFF"/>
          <w:spacing w:val="-9"/>
        </w:rPr>
        <w:t xml:space="preserve">NEEDED </w:t>
      </w:r>
      <w:r>
        <w:rPr>
          <w:color w:val="FFFFFF"/>
          <w:spacing w:val="-10"/>
        </w:rPr>
        <w:t xml:space="preserve">TO </w:t>
      </w:r>
      <w:r>
        <w:rPr>
          <w:color w:val="FFFFFF"/>
          <w:spacing w:val="-8"/>
        </w:rPr>
        <w:t xml:space="preserve">SUPPORT </w:t>
      </w:r>
      <w:r>
        <w:rPr>
          <w:color w:val="FFFFFF"/>
          <w:spacing w:val="-5"/>
        </w:rPr>
        <w:t xml:space="preserve">THE </w:t>
      </w:r>
      <w:r>
        <w:rPr>
          <w:color w:val="FFFFFF"/>
          <w:spacing w:val="-20"/>
        </w:rPr>
        <w:t>EPA?</w:t>
      </w:r>
    </w:p>
    <w:p w14:paraId="495C8430" w14:textId="77777777" w:rsidR="00724131" w:rsidRDefault="00724131">
      <w:pPr>
        <w:spacing w:line="440" w:lineRule="exact"/>
        <w:sectPr w:rsidR="00724131">
          <w:pgSz w:w="11910" w:h="16840"/>
          <w:pgMar w:top="740" w:right="1300" w:bottom="280" w:left="1680" w:header="720" w:footer="720" w:gutter="0"/>
          <w:cols w:space="720"/>
        </w:sectPr>
      </w:pPr>
    </w:p>
    <w:p w14:paraId="7D480857" w14:textId="77777777" w:rsidR="00724131" w:rsidRDefault="00823349">
      <w:pPr>
        <w:pStyle w:val="BodyText"/>
        <w:ind w:right="-39"/>
      </w:pPr>
      <w:r>
        <w:rPr>
          <w:noProof/>
        </w:rPr>
        <w:lastRenderedPageBreak/>
        <w:drawing>
          <wp:inline distT="0" distB="0" distL="0" distR="0" wp14:anchorId="01B62C12" wp14:editId="56A01293">
            <wp:extent cx="7559310" cy="10692384"/>
            <wp:effectExtent l="0" t="0" r="0" b="0"/>
            <wp:docPr id="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jpeg"/>
                    <pic:cNvPicPr/>
                  </pic:nvPicPr>
                  <pic:blipFill>
                    <a:blip r:embed="rId10" cstate="email">
                      <a:extLst>
                        <a:ext uri="{28A0092B-C50C-407E-A947-70E740481C1C}">
                          <a14:useLocalDpi xmlns:a14="http://schemas.microsoft.com/office/drawing/2010/main"/>
                        </a:ext>
                      </a:extLst>
                    </a:blip>
                    <a:stretch>
                      <a:fillRect/>
                    </a:stretch>
                  </pic:blipFill>
                  <pic:spPr>
                    <a:xfrm>
                      <a:off x="0" y="0"/>
                      <a:ext cx="7559310" cy="10692384"/>
                    </a:xfrm>
                    <a:prstGeom prst="rect">
                      <a:avLst/>
                    </a:prstGeom>
                  </pic:spPr>
                </pic:pic>
              </a:graphicData>
            </a:graphic>
          </wp:inline>
        </w:drawing>
      </w:r>
    </w:p>
    <w:p w14:paraId="4F74E8D1" w14:textId="77777777" w:rsidR="00724131" w:rsidRDefault="00724131">
      <w:pPr>
        <w:sectPr w:rsidR="00724131">
          <w:pgSz w:w="11910" w:h="16840"/>
          <w:pgMar w:top="0" w:right="0" w:bottom="0" w:left="0" w:header="720" w:footer="720" w:gutter="0"/>
          <w:cols w:space="720"/>
        </w:sectPr>
      </w:pPr>
    </w:p>
    <w:p w14:paraId="53147377" w14:textId="77777777" w:rsidR="00724131" w:rsidRDefault="00054426">
      <w:pPr>
        <w:spacing w:before="61"/>
        <w:ind w:right="115"/>
        <w:jc w:val="right"/>
        <w:rPr>
          <w:sz w:val="15"/>
        </w:rPr>
      </w:pPr>
      <w:r>
        <w:lastRenderedPageBreak/>
        <w:pict w14:anchorId="6068667E">
          <v:group id="_x0000_s1052" style="position:absolute;left:0;text-align:left;margin-left:.05pt;margin-top:0;width:598.7pt;height:841.9pt;z-index:-59800;mso-position-horizontal-relative:page;mso-position-vertical-relative:page" coordorigin="2" coordsize="11974,16838">
            <v:shape id="_x0000_s1054" type="#_x0000_t75" style="position:absolute;left:2;width:11904;height:16838">
              <v:imagedata r:id="rId11" o:title=""/>
            </v:shape>
            <v:line id="_x0000_s1053" style="position:absolute" from="10700,917" to="11906,917" strokecolor="#0095a7" strokeweight="7pt"/>
            <w10:wrap anchorx="page" anchory="page"/>
          </v:group>
        </w:pict>
      </w:r>
      <w:r w:rsidR="00823349">
        <w:rPr>
          <w:color w:val="58595B"/>
          <w:sz w:val="15"/>
        </w:rPr>
        <w:t>323</w:t>
      </w:r>
    </w:p>
    <w:p w14:paraId="529E7864" w14:textId="77777777" w:rsidR="00724131" w:rsidRDefault="00724131">
      <w:pPr>
        <w:pStyle w:val="BodyText"/>
      </w:pPr>
    </w:p>
    <w:p w14:paraId="247D7E34" w14:textId="77777777" w:rsidR="00724131" w:rsidRDefault="00724131">
      <w:pPr>
        <w:pStyle w:val="BodyText"/>
      </w:pPr>
    </w:p>
    <w:p w14:paraId="7D5F5D9D" w14:textId="77777777" w:rsidR="00724131" w:rsidRDefault="00724131">
      <w:pPr>
        <w:pStyle w:val="BodyText"/>
      </w:pPr>
    </w:p>
    <w:p w14:paraId="4E97503D" w14:textId="77777777" w:rsidR="00724131" w:rsidRDefault="00724131">
      <w:pPr>
        <w:pStyle w:val="BodyText"/>
      </w:pPr>
    </w:p>
    <w:p w14:paraId="1DEE05E9" w14:textId="77777777" w:rsidR="00724131" w:rsidRDefault="00724131">
      <w:pPr>
        <w:pStyle w:val="BodyText"/>
        <w:spacing w:before="5"/>
        <w:rPr>
          <w:sz w:val="17"/>
        </w:rPr>
      </w:pPr>
    </w:p>
    <w:p w14:paraId="4F6575A3" w14:textId="77777777" w:rsidR="00724131" w:rsidRDefault="00823349">
      <w:pPr>
        <w:pStyle w:val="Heading4"/>
        <w:spacing w:before="0"/>
        <w:ind w:left="134" w:right="1246"/>
      </w:pPr>
      <w:r>
        <w:rPr>
          <w:color w:val="0095A7"/>
        </w:rPr>
        <w:t>CHAPTER 19</w:t>
      </w:r>
    </w:p>
    <w:p w14:paraId="025EDEB0" w14:textId="77777777" w:rsidR="00724131" w:rsidRDefault="00823349">
      <w:pPr>
        <w:spacing w:before="102" w:line="440" w:lineRule="exact"/>
        <w:ind w:left="134" w:right="1246"/>
        <w:rPr>
          <w:sz w:val="40"/>
        </w:rPr>
      </w:pPr>
      <w:r>
        <w:rPr>
          <w:color w:val="58595B"/>
          <w:spacing w:val="-12"/>
          <w:sz w:val="40"/>
        </w:rPr>
        <w:t xml:space="preserve">ESTABLISHING </w:t>
      </w:r>
      <w:r>
        <w:rPr>
          <w:color w:val="58595B"/>
          <w:spacing w:val="-11"/>
          <w:sz w:val="40"/>
        </w:rPr>
        <w:t xml:space="preserve">EFFECTIVE </w:t>
      </w:r>
      <w:r>
        <w:rPr>
          <w:color w:val="58595B"/>
          <w:spacing w:val="-8"/>
          <w:sz w:val="40"/>
        </w:rPr>
        <w:t xml:space="preserve">GOVERNANCE </w:t>
      </w:r>
      <w:r>
        <w:rPr>
          <w:color w:val="58595B"/>
          <w:spacing w:val="-6"/>
          <w:sz w:val="40"/>
        </w:rPr>
        <w:t>ARRANGEMENTS</w:t>
      </w:r>
    </w:p>
    <w:p w14:paraId="0C91ABB4" w14:textId="77777777" w:rsidR="00724131" w:rsidRDefault="00724131">
      <w:pPr>
        <w:spacing w:line="440" w:lineRule="exact"/>
        <w:rPr>
          <w:sz w:val="40"/>
        </w:rPr>
        <w:sectPr w:rsidR="00724131">
          <w:pgSz w:w="11910" w:h="16840"/>
          <w:pgMar w:top="740" w:right="1300" w:bottom="280" w:left="1680" w:header="720" w:footer="720" w:gutter="0"/>
          <w:cols w:space="720"/>
        </w:sectPr>
      </w:pPr>
    </w:p>
    <w:p w14:paraId="4B74E0D9" w14:textId="77777777" w:rsidR="00724131" w:rsidRDefault="00724131">
      <w:pPr>
        <w:pStyle w:val="BodyText"/>
      </w:pPr>
    </w:p>
    <w:p w14:paraId="5DE2C81A" w14:textId="77777777" w:rsidR="00724131" w:rsidRDefault="00724131">
      <w:pPr>
        <w:pStyle w:val="BodyText"/>
      </w:pPr>
    </w:p>
    <w:p w14:paraId="602371D9" w14:textId="77777777" w:rsidR="00724131" w:rsidRDefault="00724131">
      <w:pPr>
        <w:pStyle w:val="BodyText"/>
      </w:pPr>
    </w:p>
    <w:p w14:paraId="4AD37AF5" w14:textId="77777777" w:rsidR="00724131" w:rsidRDefault="00724131">
      <w:pPr>
        <w:pStyle w:val="BodyText"/>
      </w:pPr>
    </w:p>
    <w:p w14:paraId="2E20DCC6" w14:textId="77777777" w:rsidR="00724131" w:rsidRDefault="00823349">
      <w:pPr>
        <w:spacing w:before="187"/>
        <w:ind w:left="1417" w:right="228"/>
        <w:rPr>
          <w:sz w:val="28"/>
        </w:rPr>
      </w:pPr>
      <w:r>
        <w:rPr>
          <w:color w:val="0095A7"/>
          <w:sz w:val="28"/>
        </w:rPr>
        <w:t>ESTABLISHING EFFECTIVE GOVERNANCE ARRANGEMENTS</w:t>
      </w:r>
    </w:p>
    <w:p w14:paraId="3DC2749E" w14:textId="77777777" w:rsidR="00724131" w:rsidRDefault="00054426">
      <w:pPr>
        <w:pStyle w:val="BodyText"/>
        <w:spacing w:before="4"/>
        <w:rPr>
          <w:sz w:val="17"/>
        </w:rPr>
      </w:pPr>
      <w:r>
        <w:pict w14:anchorId="2030D53B">
          <v:shapetype id="_x0000_t202" coordsize="21600,21600" o:spt="202" path="m0,0l0,21600,21600,21600,21600,0xe">
            <v:stroke joinstyle="miter"/>
            <v:path gradientshapeok="t" o:connecttype="rect"/>
          </v:shapetype>
          <v:shape id="_x0000_s1051" type="#_x0000_t202" style="position:absolute;margin-left:70.85pt;margin-top:11.2pt;width:432.7pt;height:235.35pt;z-index:1144;mso-wrap-distance-left:0;mso-wrap-distance-right:0;mso-position-horizontal-relative:page" fillcolor="#eff6f0" stroked="f">
            <v:textbox inset="0,0,0,0">
              <w:txbxContent>
                <w:p w14:paraId="38B58F99" w14:textId="77777777" w:rsidR="00724131" w:rsidRDefault="00823349">
                  <w:pPr>
                    <w:spacing w:before="136"/>
                    <w:ind w:left="178" w:right="232"/>
                    <w:rPr>
                      <w:b/>
                      <w:sz w:val="20"/>
                    </w:rPr>
                  </w:pPr>
                  <w:r>
                    <w:rPr>
                      <w:b/>
                      <w:color w:val="0095A7"/>
                      <w:sz w:val="20"/>
                    </w:rPr>
                    <w:t>KEY MESSAGES</w:t>
                  </w:r>
                </w:p>
                <w:p w14:paraId="2852A033" w14:textId="77777777" w:rsidR="00724131" w:rsidRDefault="00823349">
                  <w:pPr>
                    <w:pStyle w:val="BodyText"/>
                    <w:spacing w:before="153"/>
                    <w:ind w:left="178" w:right="232"/>
                  </w:pPr>
                  <w:r>
                    <w:rPr>
                      <w:color w:val="58595B"/>
                    </w:rPr>
                    <w:t>Good governance is fundamental for an organisation to perform effectively.</w:t>
                  </w:r>
                </w:p>
                <w:p w14:paraId="04D8802D" w14:textId="77777777" w:rsidR="00724131" w:rsidRDefault="00724131">
                  <w:pPr>
                    <w:pStyle w:val="BodyText"/>
                    <w:spacing w:before="3"/>
                    <w:rPr>
                      <w:sz w:val="18"/>
                    </w:rPr>
                  </w:pPr>
                </w:p>
                <w:p w14:paraId="00B9E1F1" w14:textId="77777777" w:rsidR="00724131" w:rsidRDefault="00823349">
                  <w:pPr>
                    <w:pStyle w:val="BodyText"/>
                    <w:spacing w:line="280" w:lineRule="auto"/>
                    <w:ind w:left="178" w:right="232"/>
                  </w:pPr>
                  <w:r>
                    <w:rPr>
                      <w:color w:val="58595B"/>
                    </w:rPr>
                    <w:t>For a regulator, governance arrangements need to ensure independence, integrity of regulatory decisions and transparency, to support public confidence and accountability.</w:t>
                  </w:r>
                </w:p>
                <w:p w14:paraId="761D98BD" w14:textId="77777777" w:rsidR="00724131" w:rsidRDefault="00823349">
                  <w:pPr>
                    <w:pStyle w:val="BodyText"/>
                    <w:spacing w:before="172" w:line="280" w:lineRule="auto"/>
                    <w:ind w:left="178" w:right="774"/>
                  </w:pPr>
                  <w:r>
                    <w:rPr>
                      <w:color w:val="58595B"/>
                    </w:rPr>
                    <w:t xml:space="preserve">Current governance arrangements under the </w:t>
                  </w:r>
                  <w:r>
                    <w:rPr>
                      <w:i/>
                      <w:color w:val="58595B"/>
                    </w:rPr>
                    <w:t xml:space="preserve">Environment Protection Act 1970 </w:t>
                  </w:r>
                  <w:r>
                    <w:rPr>
                      <w:color w:val="58595B"/>
                    </w:rPr>
                    <w:t>are inadequate. In particular, the EPA’s decision making structure does not meet principles of contemporary governance.</w:t>
                  </w:r>
                </w:p>
                <w:p w14:paraId="687981B8" w14:textId="77777777" w:rsidR="00724131" w:rsidRDefault="00823349">
                  <w:pPr>
                    <w:pStyle w:val="BodyText"/>
                    <w:spacing w:before="172" w:line="280" w:lineRule="auto"/>
                    <w:ind w:left="178" w:right="371"/>
                  </w:pPr>
                  <w:r>
                    <w:rPr>
                      <w:color w:val="58595B"/>
                    </w:rPr>
                    <w:t xml:space="preserve">The </w:t>
                  </w:r>
                  <w:r>
                    <w:rPr>
                      <w:color w:val="58595B"/>
                      <w:spacing w:val="-4"/>
                    </w:rPr>
                    <w:t xml:space="preserve">EPA </w:t>
                  </w:r>
                  <w:r>
                    <w:rPr>
                      <w:color w:val="58595B"/>
                    </w:rPr>
                    <w:t>needs a governing board that provides it with influence and strategic direction. The Board’s responsibilities must be clearly distinguished from those of the Chief Executive Officer, particularly relating to regulatory decision</w:t>
                  </w:r>
                  <w:r>
                    <w:rPr>
                      <w:color w:val="58595B"/>
                      <w:spacing w:val="22"/>
                    </w:rPr>
                    <w:t xml:space="preserve"> </w:t>
                  </w:r>
                  <w:r>
                    <w:rPr>
                      <w:color w:val="58595B"/>
                    </w:rPr>
                    <w:t>making.</w:t>
                  </w:r>
                </w:p>
                <w:p w14:paraId="18726D5A" w14:textId="77777777" w:rsidR="00724131" w:rsidRDefault="00823349">
                  <w:pPr>
                    <w:pStyle w:val="BodyText"/>
                    <w:spacing w:before="172" w:line="280" w:lineRule="auto"/>
                    <w:ind w:left="178" w:right="232"/>
                  </w:pPr>
                  <w:r>
                    <w:rPr>
                      <w:color w:val="58595B"/>
                      <w:spacing w:val="-3"/>
                    </w:rPr>
                    <w:t xml:space="preserve">The </w:t>
                  </w:r>
                  <w:r>
                    <w:rPr>
                      <w:color w:val="58595B"/>
                      <w:spacing w:val="-4"/>
                    </w:rPr>
                    <w:t xml:space="preserve">governance structure should </w:t>
                  </w:r>
                  <w:r>
                    <w:rPr>
                      <w:color w:val="58595B"/>
                      <w:spacing w:val="-3"/>
                    </w:rPr>
                    <w:t xml:space="preserve">also reflect the </w:t>
                  </w:r>
                  <w:r>
                    <w:rPr>
                      <w:color w:val="58595B"/>
                      <w:spacing w:val="-7"/>
                    </w:rPr>
                    <w:t xml:space="preserve">EPA </w:t>
                  </w:r>
                  <w:r>
                    <w:rPr>
                      <w:color w:val="58595B"/>
                      <w:spacing w:val="-3"/>
                    </w:rPr>
                    <w:t xml:space="preserve">as </w:t>
                  </w:r>
                  <w:r>
                    <w:rPr>
                      <w:color w:val="58595B"/>
                      <w:spacing w:val="-4"/>
                    </w:rPr>
                    <w:t xml:space="preserve">specialist, </w:t>
                  </w:r>
                  <w:r>
                    <w:rPr>
                      <w:color w:val="58595B"/>
                      <w:spacing w:val="-3"/>
                    </w:rPr>
                    <w:t xml:space="preserve">science-based </w:t>
                  </w:r>
                  <w:r>
                    <w:rPr>
                      <w:color w:val="58595B"/>
                      <w:spacing w:val="-5"/>
                    </w:rPr>
                    <w:t xml:space="preserve">regulator, </w:t>
                  </w:r>
                  <w:r>
                    <w:rPr>
                      <w:color w:val="58595B"/>
                      <w:spacing w:val="-3"/>
                    </w:rPr>
                    <w:t xml:space="preserve">and its </w:t>
                  </w:r>
                  <w:r>
                    <w:rPr>
                      <w:color w:val="58595B"/>
                      <w:spacing w:val="-6"/>
                    </w:rPr>
                    <w:t xml:space="preserve">key </w:t>
                  </w:r>
                  <w:r>
                    <w:rPr>
                      <w:color w:val="58595B"/>
                      <w:spacing w:val="-3"/>
                    </w:rPr>
                    <w:t xml:space="preserve">role </w:t>
                  </w:r>
                  <w:r>
                    <w:rPr>
                      <w:color w:val="58595B"/>
                      <w:spacing w:val="-4"/>
                    </w:rPr>
                    <w:t xml:space="preserve">alongside </w:t>
                  </w:r>
                  <w:r>
                    <w:rPr>
                      <w:color w:val="58595B"/>
                      <w:spacing w:val="-3"/>
                    </w:rPr>
                    <w:t xml:space="preserve">the Department of Health and </w:t>
                  </w:r>
                  <w:r>
                    <w:rPr>
                      <w:color w:val="58595B"/>
                      <w:spacing w:val="-4"/>
                    </w:rPr>
                    <w:t xml:space="preserve">Human </w:t>
                  </w:r>
                  <w:r>
                    <w:rPr>
                      <w:color w:val="58595B"/>
                      <w:spacing w:val="-2"/>
                    </w:rPr>
                    <w:t xml:space="preserve">Services </w:t>
                  </w:r>
                  <w:r>
                    <w:rPr>
                      <w:color w:val="58595B"/>
                    </w:rPr>
                    <w:t xml:space="preserve">in </w:t>
                  </w:r>
                  <w:r>
                    <w:rPr>
                      <w:color w:val="58595B"/>
                      <w:spacing w:val="-4"/>
                    </w:rPr>
                    <w:t>protecting human health.</w:t>
                  </w:r>
                </w:p>
                <w:p w14:paraId="78D9D2AF" w14:textId="77777777" w:rsidR="00724131" w:rsidRDefault="00823349">
                  <w:pPr>
                    <w:pStyle w:val="BodyText"/>
                    <w:spacing w:before="172"/>
                    <w:ind w:left="178" w:right="232"/>
                  </w:pPr>
                  <w:r>
                    <w:rPr>
                      <w:color w:val="58595B"/>
                    </w:rPr>
                    <w:t>The EPA also needs to be formally established as an independent statutory authority.</w:t>
                  </w:r>
                </w:p>
              </w:txbxContent>
            </v:textbox>
            <w10:wrap type="topAndBottom" anchorx="page"/>
          </v:shape>
        </w:pict>
      </w:r>
    </w:p>
    <w:p w14:paraId="68009F52" w14:textId="77777777" w:rsidR="00724131" w:rsidRDefault="00724131">
      <w:pPr>
        <w:pStyle w:val="BodyText"/>
        <w:spacing w:before="7"/>
        <w:rPr>
          <w:sz w:val="28"/>
        </w:rPr>
      </w:pPr>
    </w:p>
    <w:p w14:paraId="7AED0964" w14:textId="77777777" w:rsidR="00724131" w:rsidRDefault="00823349">
      <w:pPr>
        <w:pStyle w:val="ListParagraph"/>
        <w:numPr>
          <w:ilvl w:val="1"/>
          <w:numId w:val="33"/>
        </w:numPr>
        <w:tabs>
          <w:tab w:val="left" w:pos="1977"/>
        </w:tabs>
        <w:spacing w:before="69"/>
        <w:ind w:hanging="559"/>
        <w:jc w:val="left"/>
        <w:rPr>
          <w:sz w:val="24"/>
        </w:rPr>
      </w:pPr>
      <w:r>
        <w:rPr>
          <w:color w:val="0095A7"/>
          <w:sz w:val="24"/>
        </w:rPr>
        <w:t>Introduction</w:t>
      </w:r>
    </w:p>
    <w:p w14:paraId="728E4426" w14:textId="77777777" w:rsidR="00724131" w:rsidRDefault="00823349">
      <w:pPr>
        <w:spacing w:before="145" w:line="280" w:lineRule="auto"/>
        <w:ind w:left="1984" w:right="789"/>
        <w:rPr>
          <w:sz w:val="11"/>
        </w:rPr>
      </w:pPr>
      <w:r>
        <w:rPr>
          <w:i/>
          <w:color w:val="231F20"/>
          <w:sz w:val="20"/>
        </w:rPr>
        <w:t>Strong governance strengthens the legitimacy and integrity of the regulator, supporting the high level policy objectives of the regulatory scheme and will lead to better outcomes.</w:t>
      </w:r>
      <w:r>
        <w:rPr>
          <w:color w:val="231F20"/>
          <w:position w:val="7"/>
          <w:sz w:val="11"/>
        </w:rPr>
        <w:t>1</w:t>
      </w:r>
    </w:p>
    <w:p w14:paraId="56D96BB3" w14:textId="77777777" w:rsidR="00724131" w:rsidRDefault="00823349">
      <w:pPr>
        <w:pStyle w:val="BodyText"/>
        <w:spacing w:before="172" w:line="280" w:lineRule="auto"/>
        <w:ind w:left="1417" w:right="228"/>
      </w:pPr>
      <w:r>
        <w:rPr>
          <w:color w:val="58595B"/>
        </w:rPr>
        <w:t>Our terms of reference asked us to inquire into, report on, and present recommendations and options about the EPA’s current governance structure. Specifically, we examined whether the EPA can effectively and efficiently discharge its powers, perform its duties and implement its required functions under current governance arrangements.</w:t>
      </w:r>
    </w:p>
    <w:p w14:paraId="6E05A2A4" w14:textId="77777777" w:rsidR="00724131" w:rsidRDefault="00823349">
      <w:pPr>
        <w:pStyle w:val="BodyText"/>
        <w:spacing w:before="172" w:line="280" w:lineRule="auto"/>
        <w:ind w:left="1417" w:right="228"/>
      </w:pPr>
      <w:r>
        <w:rPr>
          <w:color w:val="58595B"/>
        </w:rPr>
        <w:t>One of the most consistent messages we received during our consultations with stakeholders – including discussions with the EPA Chairman and Environment Protection Board – was the need to fundamentally reform the EPA’s current governance structure. The formal arrangements provided under the EP Act have clear shortcomings.</w:t>
      </w:r>
    </w:p>
    <w:p w14:paraId="693D6E01" w14:textId="77777777" w:rsidR="00724131" w:rsidRDefault="00823349">
      <w:pPr>
        <w:pStyle w:val="BodyText"/>
        <w:spacing w:before="172" w:line="280" w:lineRule="auto"/>
        <w:ind w:left="1417" w:right="132"/>
      </w:pPr>
      <w:r>
        <w:rPr>
          <w:color w:val="58595B"/>
          <w:spacing w:val="-3"/>
        </w:rPr>
        <w:t xml:space="preserve">We </w:t>
      </w:r>
      <w:r>
        <w:rPr>
          <w:color w:val="58595B"/>
        </w:rPr>
        <w:t xml:space="preserve">consider establishing a modern, fit-for-purpose governance structure for the </w:t>
      </w:r>
      <w:r>
        <w:rPr>
          <w:color w:val="58595B"/>
          <w:spacing w:val="-5"/>
        </w:rPr>
        <w:t xml:space="preserve">EPA </w:t>
      </w:r>
      <w:r>
        <w:rPr>
          <w:color w:val="58595B"/>
        </w:rPr>
        <w:t xml:space="preserve">to be a </w:t>
      </w:r>
      <w:r>
        <w:rPr>
          <w:color w:val="58595B"/>
          <w:spacing w:val="-5"/>
        </w:rPr>
        <w:t xml:space="preserve">key </w:t>
      </w:r>
      <w:r>
        <w:rPr>
          <w:color w:val="58595B"/>
        </w:rPr>
        <w:t xml:space="preserve">priority for action. As outlined in chapter 5, we propose the </w:t>
      </w:r>
      <w:r>
        <w:rPr>
          <w:color w:val="58595B"/>
          <w:spacing w:val="-3"/>
        </w:rPr>
        <w:t xml:space="preserve">Government </w:t>
      </w:r>
      <w:r>
        <w:rPr>
          <w:color w:val="58595B"/>
          <w:spacing w:val="-2"/>
        </w:rPr>
        <w:t xml:space="preserve">implement </w:t>
      </w:r>
      <w:r>
        <w:rPr>
          <w:color w:val="58595B"/>
        </w:rPr>
        <w:t xml:space="preserve">the </w:t>
      </w:r>
      <w:r>
        <w:rPr>
          <w:color w:val="58595B"/>
          <w:spacing w:val="-2"/>
        </w:rPr>
        <w:t xml:space="preserve">new </w:t>
      </w:r>
      <w:r>
        <w:rPr>
          <w:color w:val="58595B"/>
        </w:rPr>
        <w:t>governance</w:t>
      </w:r>
      <w:r>
        <w:rPr>
          <w:color w:val="58595B"/>
          <w:spacing w:val="-11"/>
        </w:rPr>
        <w:t xml:space="preserve"> </w:t>
      </w:r>
      <w:r>
        <w:rPr>
          <w:color w:val="58595B"/>
        </w:rPr>
        <w:t>arrangements</w:t>
      </w:r>
      <w:r>
        <w:rPr>
          <w:color w:val="58595B"/>
          <w:spacing w:val="-11"/>
        </w:rPr>
        <w:t xml:space="preserve"> </w:t>
      </w:r>
      <w:r>
        <w:rPr>
          <w:color w:val="58595B"/>
        </w:rPr>
        <w:t>outlined</w:t>
      </w:r>
      <w:r>
        <w:rPr>
          <w:color w:val="58595B"/>
          <w:spacing w:val="-11"/>
        </w:rPr>
        <w:t xml:space="preserve"> </w:t>
      </w:r>
      <w:r>
        <w:rPr>
          <w:color w:val="58595B"/>
        </w:rPr>
        <w:t>in</w:t>
      </w:r>
      <w:r>
        <w:rPr>
          <w:color w:val="58595B"/>
          <w:spacing w:val="-11"/>
        </w:rPr>
        <w:t xml:space="preserve"> </w:t>
      </w:r>
      <w:r>
        <w:rPr>
          <w:color w:val="58595B"/>
        </w:rPr>
        <w:t>this</w:t>
      </w:r>
      <w:r>
        <w:rPr>
          <w:color w:val="58595B"/>
          <w:spacing w:val="-11"/>
        </w:rPr>
        <w:t xml:space="preserve"> </w:t>
      </w:r>
      <w:r>
        <w:rPr>
          <w:color w:val="58595B"/>
        </w:rPr>
        <w:t>chapter</w:t>
      </w:r>
      <w:r>
        <w:rPr>
          <w:color w:val="58595B"/>
          <w:spacing w:val="-11"/>
        </w:rPr>
        <w:t xml:space="preserve"> </w:t>
      </w:r>
      <w:r>
        <w:rPr>
          <w:color w:val="58595B"/>
        </w:rPr>
        <w:t>as</w:t>
      </w:r>
      <w:r>
        <w:rPr>
          <w:color w:val="58595B"/>
          <w:spacing w:val="-11"/>
        </w:rPr>
        <w:t xml:space="preserve"> </w:t>
      </w:r>
      <w:r>
        <w:rPr>
          <w:color w:val="58595B"/>
        </w:rPr>
        <w:t>part</w:t>
      </w:r>
      <w:r>
        <w:rPr>
          <w:color w:val="58595B"/>
          <w:spacing w:val="-11"/>
        </w:rPr>
        <w:t xml:space="preserve"> </w:t>
      </w:r>
      <w:r>
        <w:rPr>
          <w:color w:val="58595B"/>
        </w:rPr>
        <w:t>of</w:t>
      </w:r>
      <w:r>
        <w:rPr>
          <w:color w:val="58595B"/>
          <w:spacing w:val="-11"/>
        </w:rPr>
        <w:t xml:space="preserve"> </w:t>
      </w:r>
      <w:r>
        <w:rPr>
          <w:color w:val="58595B"/>
        </w:rPr>
        <w:t>our</w:t>
      </w:r>
      <w:r>
        <w:rPr>
          <w:color w:val="58595B"/>
          <w:spacing w:val="-11"/>
        </w:rPr>
        <w:t xml:space="preserve"> </w:t>
      </w:r>
      <w:r>
        <w:rPr>
          <w:color w:val="58595B"/>
        </w:rPr>
        <w:t>proposed</w:t>
      </w:r>
      <w:r>
        <w:rPr>
          <w:color w:val="58595B"/>
          <w:spacing w:val="-11"/>
        </w:rPr>
        <w:t xml:space="preserve"> </w:t>
      </w:r>
      <w:r>
        <w:rPr>
          <w:color w:val="58595B"/>
          <w:spacing w:val="-5"/>
        </w:rPr>
        <w:t>EPA</w:t>
      </w:r>
      <w:r>
        <w:rPr>
          <w:color w:val="58595B"/>
          <w:spacing w:val="-11"/>
        </w:rPr>
        <w:t xml:space="preserve"> </w:t>
      </w:r>
      <w:r>
        <w:rPr>
          <w:color w:val="58595B"/>
          <w:spacing w:val="-3"/>
        </w:rPr>
        <w:t>(Establishment)</w:t>
      </w:r>
      <w:r>
        <w:rPr>
          <w:color w:val="58595B"/>
          <w:spacing w:val="-11"/>
        </w:rPr>
        <w:t xml:space="preserve"> </w:t>
      </w:r>
      <w:r>
        <w:rPr>
          <w:color w:val="58595B"/>
        </w:rPr>
        <w:t>Act.</w:t>
      </w:r>
    </w:p>
    <w:p w14:paraId="74B20316" w14:textId="77777777" w:rsidR="00724131" w:rsidRDefault="00823349">
      <w:pPr>
        <w:pStyle w:val="BodyText"/>
        <w:spacing w:before="172" w:line="280" w:lineRule="auto"/>
        <w:ind w:left="1417" w:right="368"/>
      </w:pPr>
      <w:r>
        <w:rPr>
          <w:color w:val="58595B"/>
        </w:rPr>
        <w:t>The governance structure needs to meet contemporary standards and principles, including Victorian public sector requirements, and also support the EPA in its future role. Governments, academics and international bodies have examined governance closely, to define key generic requirements for good governance for a public authority or regulator. Recently defined best practice principles for the governance of regulators</w:t>
      </w:r>
      <w:r>
        <w:rPr>
          <w:color w:val="58595B"/>
          <w:position w:val="7"/>
          <w:sz w:val="11"/>
        </w:rPr>
        <w:t xml:space="preserve">2 </w:t>
      </w:r>
      <w:r>
        <w:rPr>
          <w:color w:val="58595B"/>
        </w:rPr>
        <w:t>provided a framework for our consideration of appropriate structures to support the EPA’s functions.</w:t>
      </w:r>
    </w:p>
    <w:p w14:paraId="6C2D6451" w14:textId="77777777" w:rsidR="00724131" w:rsidRDefault="00823349">
      <w:pPr>
        <w:pStyle w:val="BodyText"/>
        <w:spacing w:before="172" w:line="280" w:lineRule="auto"/>
        <w:ind w:left="1417" w:right="228"/>
      </w:pPr>
      <w:r>
        <w:rPr>
          <w:color w:val="58595B"/>
        </w:rPr>
        <w:t>Throughout the report, we advocate that the EPA be a confident regulator – proactively developing and deploying its toolkit to prevent pollution and waste impacts on public health and the environment – and a mature and influential regulator – involved in whole-of-government strategic planning and providing early advice to support robust decision making. The EPA needs a governance structure that supports these objectives.</w:t>
      </w:r>
    </w:p>
    <w:p w14:paraId="246E650C" w14:textId="77777777" w:rsidR="00724131" w:rsidRDefault="00724131">
      <w:pPr>
        <w:spacing w:line="280" w:lineRule="auto"/>
        <w:sectPr w:rsidR="00724131">
          <w:headerReference w:type="even" r:id="rId12"/>
          <w:headerReference w:type="default" r:id="rId13"/>
          <w:pgSz w:w="11910" w:h="16840"/>
          <w:pgMar w:top="980" w:right="1680" w:bottom="280" w:left="0" w:header="788" w:footer="0" w:gutter="0"/>
          <w:pgNumType w:start="324"/>
          <w:cols w:space="720"/>
        </w:sectPr>
      </w:pPr>
    </w:p>
    <w:p w14:paraId="3A274D4F" w14:textId="77777777" w:rsidR="00724131" w:rsidRDefault="00724131">
      <w:pPr>
        <w:pStyle w:val="BodyText"/>
      </w:pPr>
    </w:p>
    <w:p w14:paraId="10CDA246" w14:textId="77777777" w:rsidR="00724131" w:rsidRDefault="00724131">
      <w:pPr>
        <w:pStyle w:val="BodyText"/>
      </w:pPr>
    </w:p>
    <w:p w14:paraId="3BD7115A" w14:textId="77777777" w:rsidR="00724131" w:rsidRDefault="00724131">
      <w:pPr>
        <w:pStyle w:val="BodyText"/>
      </w:pPr>
    </w:p>
    <w:p w14:paraId="44C16CD5" w14:textId="77777777" w:rsidR="00724131" w:rsidRDefault="00724131">
      <w:pPr>
        <w:pStyle w:val="BodyText"/>
      </w:pPr>
    </w:p>
    <w:p w14:paraId="4B78F7A0" w14:textId="77777777" w:rsidR="00724131" w:rsidRDefault="00724131">
      <w:pPr>
        <w:pStyle w:val="BodyText"/>
        <w:spacing w:before="8"/>
        <w:rPr>
          <w:sz w:val="17"/>
        </w:rPr>
      </w:pPr>
    </w:p>
    <w:p w14:paraId="7AC0A391" w14:textId="77777777" w:rsidR="00724131" w:rsidRDefault="00823349">
      <w:pPr>
        <w:pStyle w:val="BodyText"/>
        <w:spacing w:before="1"/>
        <w:ind w:left="134" w:right="228"/>
      </w:pPr>
      <w:r>
        <w:rPr>
          <w:color w:val="58595B"/>
        </w:rPr>
        <w:t>In part, the EPA’s influence will depend on the strength of its in-house expertise (chapters 6 and</w:t>
      </w:r>
    </w:p>
    <w:p w14:paraId="4B4FE7D6" w14:textId="77777777" w:rsidR="00724131" w:rsidRDefault="00823349">
      <w:pPr>
        <w:pStyle w:val="ListParagraph"/>
        <w:numPr>
          <w:ilvl w:val="0"/>
          <w:numId w:val="32"/>
        </w:numPr>
        <w:tabs>
          <w:tab w:val="left" w:pos="474"/>
        </w:tabs>
        <w:spacing w:before="40" w:line="280" w:lineRule="auto"/>
        <w:ind w:right="1445" w:firstLine="0"/>
        <w:rPr>
          <w:sz w:val="20"/>
        </w:rPr>
      </w:pPr>
      <w:r>
        <w:rPr>
          <w:color w:val="58595B"/>
          <w:sz w:val="20"/>
        </w:rPr>
        <w:t xml:space="preserve">) and opportunities to be ‘at the table’ for strategic discussions within government (chapters 7 and </w:t>
      </w:r>
      <w:r>
        <w:rPr>
          <w:color w:val="58595B"/>
          <w:spacing w:val="-4"/>
          <w:sz w:val="20"/>
        </w:rPr>
        <w:t xml:space="preserve">10). </w:t>
      </w:r>
      <w:r>
        <w:rPr>
          <w:color w:val="58595B"/>
          <w:sz w:val="20"/>
        </w:rPr>
        <w:t xml:space="preserve">But its governance structure can also extend the </w:t>
      </w:r>
      <w:r>
        <w:rPr>
          <w:color w:val="58595B"/>
          <w:spacing w:val="-7"/>
          <w:sz w:val="20"/>
        </w:rPr>
        <w:t xml:space="preserve">EPA’s </w:t>
      </w:r>
      <w:r>
        <w:rPr>
          <w:color w:val="58595B"/>
          <w:sz w:val="20"/>
        </w:rPr>
        <w:t>influence and authority – through the standing and expertise of external figures who play a role in the governance (for example, as Chair and board members), and through the networks that they can draw on for the</w:t>
      </w:r>
      <w:r>
        <w:rPr>
          <w:color w:val="58595B"/>
          <w:spacing w:val="-10"/>
          <w:sz w:val="20"/>
        </w:rPr>
        <w:t xml:space="preserve"> </w:t>
      </w:r>
      <w:r>
        <w:rPr>
          <w:color w:val="58595B"/>
          <w:sz w:val="20"/>
        </w:rPr>
        <w:t>EPA.</w:t>
      </w:r>
    </w:p>
    <w:p w14:paraId="537DE7D0" w14:textId="77777777" w:rsidR="00724131" w:rsidRDefault="00823349">
      <w:pPr>
        <w:pStyle w:val="BodyText"/>
        <w:spacing w:before="172" w:line="280" w:lineRule="auto"/>
        <w:ind w:left="134" w:right="1337"/>
      </w:pPr>
      <w:r>
        <w:rPr>
          <w:color w:val="58595B"/>
        </w:rPr>
        <w:t>Our proposals for the EPA governance structure seek to address specific requirements as well as to meet the generic requirements of the Victorian regulatory environment and best practice principles, as outlined below:</w:t>
      </w:r>
    </w:p>
    <w:p w14:paraId="2033060F" w14:textId="77777777" w:rsidR="00724131" w:rsidRDefault="00823349">
      <w:pPr>
        <w:pStyle w:val="ListParagraph"/>
        <w:numPr>
          <w:ilvl w:val="0"/>
          <w:numId w:val="31"/>
        </w:numPr>
        <w:tabs>
          <w:tab w:val="left" w:pos="305"/>
        </w:tabs>
        <w:ind w:hanging="170"/>
        <w:rPr>
          <w:sz w:val="20"/>
        </w:rPr>
      </w:pPr>
      <w:r>
        <w:rPr>
          <w:color w:val="58595B"/>
          <w:sz w:val="20"/>
        </w:rPr>
        <w:t>Whole-of-government requirements for public sector governance,</w:t>
      </w:r>
      <w:r>
        <w:rPr>
          <w:color w:val="58595B"/>
          <w:spacing w:val="9"/>
          <w:sz w:val="20"/>
        </w:rPr>
        <w:t xml:space="preserve"> </w:t>
      </w:r>
      <w:r>
        <w:rPr>
          <w:color w:val="58595B"/>
          <w:sz w:val="20"/>
        </w:rPr>
        <w:t>including:</w:t>
      </w:r>
    </w:p>
    <w:p w14:paraId="607C2BB7" w14:textId="77777777" w:rsidR="00724131" w:rsidRDefault="00724131">
      <w:pPr>
        <w:pStyle w:val="BodyText"/>
        <w:spacing w:before="3"/>
        <w:rPr>
          <w:sz w:val="18"/>
        </w:rPr>
      </w:pPr>
    </w:p>
    <w:p w14:paraId="16A5E326" w14:textId="77777777" w:rsidR="00724131" w:rsidRDefault="00823349">
      <w:pPr>
        <w:pStyle w:val="ListParagraph"/>
        <w:numPr>
          <w:ilvl w:val="1"/>
          <w:numId w:val="32"/>
        </w:numPr>
        <w:tabs>
          <w:tab w:val="left" w:pos="645"/>
        </w:tabs>
        <w:spacing w:before="0"/>
        <w:ind w:hanging="340"/>
        <w:rPr>
          <w:sz w:val="11"/>
        </w:rPr>
      </w:pPr>
      <w:r>
        <w:rPr>
          <w:color w:val="58595B"/>
          <w:sz w:val="20"/>
        </w:rPr>
        <w:t>oversight by external bodies reporting to</w:t>
      </w:r>
      <w:r>
        <w:rPr>
          <w:color w:val="58595B"/>
          <w:spacing w:val="8"/>
          <w:sz w:val="20"/>
        </w:rPr>
        <w:t xml:space="preserve"> </w:t>
      </w:r>
      <w:r>
        <w:rPr>
          <w:color w:val="58595B"/>
          <w:sz w:val="20"/>
        </w:rPr>
        <w:t>Parliament</w:t>
      </w:r>
      <w:r>
        <w:rPr>
          <w:color w:val="58595B"/>
          <w:position w:val="7"/>
          <w:sz w:val="11"/>
        </w:rPr>
        <w:t>3</w:t>
      </w:r>
    </w:p>
    <w:p w14:paraId="7507F035" w14:textId="77777777" w:rsidR="00724131" w:rsidRDefault="00724131">
      <w:pPr>
        <w:pStyle w:val="BodyText"/>
        <w:spacing w:before="3"/>
        <w:rPr>
          <w:sz w:val="18"/>
        </w:rPr>
      </w:pPr>
    </w:p>
    <w:p w14:paraId="4C97256D" w14:textId="77777777" w:rsidR="00724131" w:rsidRDefault="00823349">
      <w:pPr>
        <w:pStyle w:val="ListParagraph"/>
        <w:numPr>
          <w:ilvl w:val="1"/>
          <w:numId w:val="32"/>
        </w:numPr>
        <w:tabs>
          <w:tab w:val="left" w:pos="645"/>
        </w:tabs>
        <w:spacing w:before="0"/>
        <w:ind w:hanging="340"/>
        <w:rPr>
          <w:sz w:val="11"/>
        </w:rPr>
      </w:pPr>
      <w:r>
        <w:rPr>
          <w:color w:val="58595B"/>
          <w:sz w:val="20"/>
        </w:rPr>
        <w:t>compliance with the duties of entities, Chairs, directors and public</w:t>
      </w:r>
      <w:r>
        <w:rPr>
          <w:color w:val="58595B"/>
          <w:spacing w:val="23"/>
          <w:sz w:val="20"/>
        </w:rPr>
        <w:t xml:space="preserve"> </w:t>
      </w:r>
      <w:r>
        <w:rPr>
          <w:color w:val="58595B"/>
          <w:sz w:val="20"/>
        </w:rPr>
        <w:t>servants</w:t>
      </w:r>
      <w:r>
        <w:rPr>
          <w:color w:val="58595B"/>
          <w:position w:val="7"/>
          <w:sz w:val="11"/>
        </w:rPr>
        <w:t>4</w:t>
      </w:r>
    </w:p>
    <w:p w14:paraId="5D83B052" w14:textId="77777777" w:rsidR="00724131" w:rsidRDefault="00724131">
      <w:pPr>
        <w:pStyle w:val="BodyText"/>
        <w:spacing w:before="3"/>
        <w:rPr>
          <w:sz w:val="18"/>
        </w:rPr>
      </w:pPr>
    </w:p>
    <w:p w14:paraId="20101EF2" w14:textId="77777777" w:rsidR="00724131" w:rsidRDefault="00823349">
      <w:pPr>
        <w:pStyle w:val="ListParagraph"/>
        <w:numPr>
          <w:ilvl w:val="1"/>
          <w:numId w:val="32"/>
        </w:numPr>
        <w:tabs>
          <w:tab w:val="left" w:pos="645"/>
        </w:tabs>
        <w:spacing w:before="0"/>
        <w:ind w:hanging="340"/>
        <w:rPr>
          <w:sz w:val="11"/>
        </w:rPr>
      </w:pPr>
      <w:r>
        <w:rPr>
          <w:color w:val="58595B"/>
          <w:sz w:val="20"/>
        </w:rPr>
        <w:t>entity financial management and reporting</w:t>
      </w:r>
      <w:r>
        <w:rPr>
          <w:color w:val="58595B"/>
          <w:spacing w:val="25"/>
          <w:sz w:val="20"/>
        </w:rPr>
        <w:t xml:space="preserve"> </w:t>
      </w:r>
      <w:r>
        <w:rPr>
          <w:color w:val="58595B"/>
          <w:sz w:val="20"/>
        </w:rPr>
        <w:t>obligations</w:t>
      </w:r>
      <w:r>
        <w:rPr>
          <w:color w:val="58595B"/>
          <w:position w:val="7"/>
          <w:sz w:val="11"/>
        </w:rPr>
        <w:t>5</w:t>
      </w:r>
    </w:p>
    <w:p w14:paraId="257FE5A2" w14:textId="77777777" w:rsidR="00724131" w:rsidRDefault="00724131">
      <w:pPr>
        <w:pStyle w:val="BodyText"/>
        <w:spacing w:before="3"/>
        <w:rPr>
          <w:sz w:val="18"/>
        </w:rPr>
      </w:pPr>
    </w:p>
    <w:p w14:paraId="369948C6" w14:textId="77777777" w:rsidR="00724131" w:rsidRDefault="00823349">
      <w:pPr>
        <w:pStyle w:val="ListParagraph"/>
        <w:numPr>
          <w:ilvl w:val="1"/>
          <w:numId w:val="32"/>
        </w:numPr>
        <w:tabs>
          <w:tab w:val="left" w:pos="645"/>
        </w:tabs>
        <w:spacing w:before="0"/>
        <w:ind w:hanging="340"/>
        <w:rPr>
          <w:sz w:val="11"/>
        </w:rPr>
      </w:pPr>
      <w:r>
        <w:rPr>
          <w:color w:val="58595B"/>
          <w:sz w:val="20"/>
        </w:rPr>
        <w:t>organisational compliance with legislation</w:t>
      </w:r>
      <w:r>
        <w:rPr>
          <w:color w:val="58595B"/>
          <w:position w:val="7"/>
          <w:sz w:val="11"/>
        </w:rPr>
        <w:t xml:space="preserve">6  </w:t>
      </w:r>
      <w:r>
        <w:rPr>
          <w:color w:val="58595B"/>
          <w:sz w:val="20"/>
        </w:rPr>
        <w:t>and government</w:t>
      </w:r>
      <w:r>
        <w:rPr>
          <w:color w:val="58595B"/>
          <w:spacing w:val="-3"/>
          <w:sz w:val="20"/>
        </w:rPr>
        <w:t xml:space="preserve"> </w:t>
      </w:r>
      <w:r>
        <w:rPr>
          <w:color w:val="58595B"/>
          <w:sz w:val="20"/>
        </w:rPr>
        <w:t>policy.</w:t>
      </w:r>
      <w:r>
        <w:rPr>
          <w:color w:val="58595B"/>
          <w:position w:val="7"/>
          <w:sz w:val="11"/>
        </w:rPr>
        <w:t>7</w:t>
      </w:r>
    </w:p>
    <w:p w14:paraId="3189B45D" w14:textId="77777777" w:rsidR="00724131" w:rsidRDefault="00823349">
      <w:pPr>
        <w:pStyle w:val="ListParagraph"/>
        <w:numPr>
          <w:ilvl w:val="0"/>
          <w:numId w:val="31"/>
        </w:numPr>
        <w:tabs>
          <w:tab w:val="left" w:pos="305"/>
        </w:tabs>
        <w:spacing w:before="153" w:line="280" w:lineRule="auto"/>
        <w:ind w:right="1667" w:hanging="170"/>
        <w:rPr>
          <w:sz w:val="20"/>
        </w:rPr>
      </w:pPr>
      <w:r>
        <w:rPr>
          <w:color w:val="58595B"/>
          <w:sz w:val="20"/>
        </w:rPr>
        <w:t>Consistency with internationally accepted best practice governance principles for regulators,</w:t>
      </w:r>
      <w:r>
        <w:rPr>
          <w:color w:val="58595B"/>
          <w:position w:val="7"/>
          <w:sz w:val="11"/>
        </w:rPr>
        <w:t xml:space="preserve">8 </w:t>
      </w:r>
      <w:r>
        <w:rPr>
          <w:color w:val="58595B"/>
          <w:sz w:val="20"/>
        </w:rPr>
        <w:t>in particular, elements dealing</w:t>
      </w:r>
      <w:r>
        <w:rPr>
          <w:color w:val="58595B"/>
          <w:spacing w:val="-8"/>
          <w:sz w:val="20"/>
        </w:rPr>
        <w:t xml:space="preserve"> </w:t>
      </w:r>
      <w:r>
        <w:rPr>
          <w:color w:val="58595B"/>
          <w:sz w:val="20"/>
        </w:rPr>
        <w:t>with:</w:t>
      </w:r>
    </w:p>
    <w:p w14:paraId="0AD924DC" w14:textId="77777777" w:rsidR="00724131" w:rsidRDefault="00823349">
      <w:pPr>
        <w:pStyle w:val="ListParagraph"/>
        <w:numPr>
          <w:ilvl w:val="0"/>
          <w:numId w:val="30"/>
        </w:numPr>
        <w:tabs>
          <w:tab w:val="left" w:pos="645"/>
        </w:tabs>
        <w:spacing w:before="172"/>
        <w:ind w:hanging="340"/>
        <w:rPr>
          <w:sz w:val="20"/>
        </w:rPr>
      </w:pPr>
      <w:r>
        <w:rPr>
          <w:color w:val="58595B"/>
          <w:sz w:val="20"/>
        </w:rPr>
        <w:t>integrity of regulatory decision</w:t>
      </w:r>
      <w:r>
        <w:rPr>
          <w:color w:val="58595B"/>
          <w:spacing w:val="13"/>
          <w:sz w:val="20"/>
        </w:rPr>
        <w:t xml:space="preserve"> </w:t>
      </w:r>
      <w:r>
        <w:rPr>
          <w:color w:val="58595B"/>
          <w:sz w:val="20"/>
        </w:rPr>
        <w:t>making</w:t>
      </w:r>
    </w:p>
    <w:p w14:paraId="4767D3EE" w14:textId="77777777" w:rsidR="00724131" w:rsidRDefault="00724131">
      <w:pPr>
        <w:pStyle w:val="BodyText"/>
        <w:spacing w:before="3"/>
        <w:rPr>
          <w:sz w:val="18"/>
        </w:rPr>
      </w:pPr>
    </w:p>
    <w:p w14:paraId="753A1A4A" w14:textId="77777777" w:rsidR="00724131" w:rsidRDefault="00823349">
      <w:pPr>
        <w:pStyle w:val="ListParagraph"/>
        <w:numPr>
          <w:ilvl w:val="0"/>
          <w:numId w:val="30"/>
        </w:numPr>
        <w:tabs>
          <w:tab w:val="left" w:pos="645"/>
        </w:tabs>
        <w:spacing w:before="0" w:line="280" w:lineRule="auto"/>
        <w:ind w:right="1524" w:hanging="340"/>
        <w:rPr>
          <w:sz w:val="20"/>
        </w:rPr>
      </w:pPr>
      <w:r>
        <w:rPr>
          <w:color w:val="58595B"/>
          <w:sz w:val="20"/>
        </w:rPr>
        <w:t>governing body structure that provides for effective strategic direction setting and oversight of corporate governance, separate to regulatory and operational decision making</w:t>
      </w:r>
      <w:r>
        <w:rPr>
          <w:color w:val="58595B"/>
          <w:spacing w:val="21"/>
          <w:sz w:val="20"/>
        </w:rPr>
        <w:t xml:space="preserve"> </w:t>
      </w:r>
      <w:r>
        <w:rPr>
          <w:color w:val="58595B"/>
          <w:sz w:val="20"/>
        </w:rPr>
        <w:t>functions</w:t>
      </w:r>
    </w:p>
    <w:p w14:paraId="510F7800" w14:textId="77777777" w:rsidR="00724131" w:rsidRDefault="00823349">
      <w:pPr>
        <w:pStyle w:val="ListParagraph"/>
        <w:numPr>
          <w:ilvl w:val="0"/>
          <w:numId w:val="30"/>
        </w:numPr>
        <w:tabs>
          <w:tab w:val="left" w:pos="645"/>
        </w:tabs>
        <w:spacing w:before="172"/>
        <w:ind w:hanging="340"/>
        <w:rPr>
          <w:sz w:val="20"/>
        </w:rPr>
      </w:pPr>
      <w:r>
        <w:rPr>
          <w:color w:val="58595B"/>
          <w:sz w:val="20"/>
        </w:rPr>
        <w:t>accountability and</w:t>
      </w:r>
      <w:r>
        <w:rPr>
          <w:color w:val="58595B"/>
          <w:spacing w:val="-3"/>
          <w:sz w:val="20"/>
        </w:rPr>
        <w:t xml:space="preserve"> </w:t>
      </w:r>
      <w:r>
        <w:rPr>
          <w:color w:val="58595B"/>
          <w:sz w:val="20"/>
        </w:rPr>
        <w:t>transparency.</w:t>
      </w:r>
    </w:p>
    <w:p w14:paraId="597B8039" w14:textId="77777777" w:rsidR="00724131" w:rsidRDefault="00823349">
      <w:pPr>
        <w:pStyle w:val="ListParagraph"/>
        <w:numPr>
          <w:ilvl w:val="0"/>
          <w:numId w:val="31"/>
        </w:numPr>
        <w:tabs>
          <w:tab w:val="left" w:pos="305"/>
        </w:tabs>
        <w:spacing w:before="153" w:line="280" w:lineRule="auto"/>
        <w:ind w:right="2085" w:hanging="170"/>
        <w:jc w:val="both"/>
        <w:rPr>
          <w:sz w:val="20"/>
        </w:rPr>
      </w:pPr>
      <w:r>
        <w:rPr>
          <w:color w:val="58595B"/>
          <w:sz w:val="20"/>
        </w:rPr>
        <w:t xml:space="preserve">Specific governance features necessary to support the </w:t>
      </w:r>
      <w:r>
        <w:rPr>
          <w:color w:val="58595B"/>
          <w:spacing w:val="-7"/>
          <w:sz w:val="20"/>
        </w:rPr>
        <w:t xml:space="preserve">EPA’s </w:t>
      </w:r>
      <w:r>
        <w:rPr>
          <w:color w:val="58595B"/>
          <w:sz w:val="20"/>
        </w:rPr>
        <w:t xml:space="preserve">authority and influence as a specialist science-based regulator with a responsibility for protecting human health </w:t>
      </w:r>
      <w:r>
        <w:rPr>
          <w:color w:val="58595B"/>
          <w:spacing w:val="-4"/>
          <w:sz w:val="20"/>
        </w:rPr>
        <w:t xml:space="preserve">(as </w:t>
      </w:r>
      <w:r>
        <w:rPr>
          <w:color w:val="58595B"/>
          <w:sz w:val="20"/>
        </w:rPr>
        <w:t>clarified by our proposed legislated</w:t>
      </w:r>
      <w:r>
        <w:rPr>
          <w:color w:val="58595B"/>
          <w:spacing w:val="-9"/>
          <w:sz w:val="20"/>
        </w:rPr>
        <w:t xml:space="preserve"> </w:t>
      </w:r>
      <w:r>
        <w:rPr>
          <w:color w:val="58595B"/>
          <w:sz w:val="20"/>
        </w:rPr>
        <w:t>objective).</w:t>
      </w:r>
    </w:p>
    <w:p w14:paraId="71F2FDF2" w14:textId="77777777" w:rsidR="00724131" w:rsidRDefault="00823349">
      <w:pPr>
        <w:pStyle w:val="BodyText"/>
        <w:spacing w:before="172" w:line="280" w:lineRule="auto"/>
        <w:ind w:left="134" w:right="1911"/>
      </w:pPr>
      <w:r>
        <w:rPr>
          <w:color w:val="58595B"/>
        </w:rPr>
        <w:t>Importantly, these proposals for change are about positioning the EPA for the future and do not reflect the capability or diligence of the current, or indeed previous, EPA Chairmen, or</w:t>
      </w:r>
    </w:p>
    <w:p w14:paraId="120514B1" w14:textId="77777777" w:rsidR="00724131" w:rsidRDefault="00823349">
      <w:pPr>
        <w:pStyle w:val="BodyText"/>
        <w:spacing w:before="2" w:line="280" w:lineRule="auto"/>
        <w:ind w:left="134" w:right="789"/>
      </w:pPr>
      <w:r>
        <w:rPr>
          <w:color w:val="58595B"/>
        </w:rPr>
        <w:t>others involved in the EPA’s governance arrangements. We acknowledge that they have shown enormous commitment to the organisation.</w:t>
      </w:r>
    </w:p>
    <w:p w14:paraId="67F793CE" w14:textId="77777777" w:rsidR="00724131" w:rsidRDefault="00724131">
      <w:pPr>
        <w:pStyle w:val="BodyText"/>
        <w:spacing w:before="1"/>
        <w:rPr>
          <w:sz w:val="19"/>
        </w:rPr>
      </w:pPr>
    </w:p>
    <w:p w14:paraId="1FEE26F2" w14:textId="77777777" w:rsidR="00724131" w:rsidRDefault="00823349">
      <w:pPr>
        <w:pStyle w:val="Heading3"/>
        <w:numPr>
          <w:ilvl w:val="1"/>
          <w:numId w:val="33"/>
        </w:numPr>
        <w:tabs>
          <w:tab w:val="left" w:pos="722"/>
        </w:tabs>
        <w:ind w:left="721" w:hanging="587"/>
        <w:jc w:val="left"/>
      </w:pPr>
      <w:r>
        <w:rPr>
          <w:color w:val="0095A7"/>
        </w:rPr>
        <w:t>The case for</w:t>
      </w:r>
      <w:r>
        <w:rPr>
          <w:color w:val="0095A7"/>
          <w:spacing w:val="25"/>
        </w:rPr>
        <w:t xml:space="preserve"> </w:t>
      </w:r>
      <w:r>
        <w:rPr>
          <w:color w:val="0095A7"/>
        </w:rPr>
        <w:t>change</w:t>
      </w:r>
    </w:p>
    <w:p w14:paraId="0E58D4FA" w14:textId="77777777" w:rsidR="00724131" w:rsidRDefault="00823349">
      <w:pPr>
        <w:spacing w:before="145"/>
        <w:ind w:left="701" w:right="228"/>
        <w:rPr>
          <w:i/>
          <w:sz w:val="20"/>
        </w:rPr>
      </w:pPr>
      <w:r>
        <w:rPr>
          <w:i/>
          <w:color w:val="231F20"/>
          <w:sz w:val="20"/>
        </w:rPr>
        <w:t>How a regulator is established, directed, controlled, resourced and held to account</w:t>
      </w:r>
    </w:p>
    <w:p w14:paraId="00EF441B" w14:textId="77777777" w:rsidR="00724131" w:rsidRDefault="00823349">
      <w:pPr>
        <w:pStyle w:val="ListParagraph"/>
        <w:numPr>
          <w:ilvl w:val="1"/>
          <w:numId w:val="31"/>
        </w:numPr>
        <w:tabs>
          <w:tab w:val="left" w:pos="868"/>
        </w:tabs>
        <w:spacing w:before="40" w:line="280" w:lineRule="auto"/>
        <w:ind w:right="2320" w:firstLine="0"/>
        <w:rPr>
          <w:sz w:val="11"/>
        </w:rPr>
      </w:pPr>
      <w:r>
        <w:rPr>
          <w:i/>
          <w:color w:val="231F20"/>
          <w:sz w:val="20"/>
        </w:rPr>
        <w:t xml:space="preserve">including the nature of the relationships between the regulatory decision </w:t>
      </w:r>
      <w:r>
        <w:rPr>
          <w:i/>
          <w:color w:val="231F20"/>
          <w:spacing w:val="-3"/>
          <w:sz w:val="20"/>
        </w:rPr>
        <w:t xml:space="preserve">maker, </w:t>
      </w:r>
      <w:r>
        <w:rPr>
          <w:i/>
          <w:color w:val="231F20"/>
          <w:sz w:val="20"/>
        </w:rPr>
        <w:t xml:space="preserve">political actors, the legislature, the </w:t>
      </w:r>
      <w:r>
        <w:rPr>
          <w:i/>
          <w:color w:val="231F20"/>
          <w:spacing w:val="-3"/>
          <w:sz w:val="20"/>
        </w:rPr>
        <w:t xml:space="preserve">executive </w:t>
      </w:r>
      <w:r>
        <w:rPr>
          <w:i/>
          <w:color w:val="231F20"/>
          <w:sz w:val="20"/>
        </w:rPr>
        <w:t>administration, judicial processes and regulated entities – builds trust in the regulator and is crucial to the overall effectiveness of</w:t>
      </w:r>
      <w:r>
        <w:rPr>
          <w:i/>
          <w:color w:val="231F20"/>
          <w:spacing w:val="-44"/>
          <w:sz w:val="20"/>
        </w:rPr>
        <w:t xml:space="preserve"> </w:t>
      </w:r>
      <w:r>
        <w:rPr>
          <w:i/>
          <w:color w:val="231F20"/>
          <w:sz w:val="20"/>
        </w:rPr>
        <w:t>regulation.</w:t>
      </w:r>
      <w:r>
        <w:rPr>
          <w:color w:val="231F20"/>
          <w:position w:val="7"/>
          <w:sz w:val="11"/>
        </w:rPr>
        <w:t>9</w:t>
      </w:r>
    </w:p>
    <w:p w14:paraId="761465A5" w14:textId="77777777" w:rsidR="00724131" w:rsidRDefault="00823349">
      <w:pPr>
        <w:pStyle w:val="BodyText"/>
        <w:spacing w:before="172" w:line="280" w:lineRule="auto"/>
        <w:ind w:left="134" w:right="1911"/>
      </w:pPr>
      <w:r>
        <w:rPr>
          <w:color w:val="58595B"/>
        </w:rPr>
        <w:t>Governance is nominated as a crucial issue by both regulatory experts and by stakeholders. One in four submissions to the inquiry included comments on the EPA’s governance arrangements and the way the organisation operates. The majority of commentary on governance in the submissions advocated for an independent and accountable EPA with</w:t>
      </w:r>
    </w:p>
    <w:p w14:paraId="078C60BC" w14:textId="77777777" w:rsidR="00724131" w:rsidRDefault="00823349">
      <w:pPr>
        <w:pStyle w:val="BodyText"/>
        <w:spacing w:before="2"/>
        <w:ind w:left="134" w:right="228"/>
        <w:rPr>
          <w:sz w:val="11"/>
        </w:rPr>
      </w:pPr>
      <w:r>
        <w:rPr>
          <w:color w:val="58595B"/>
        </w:rPr>
        <w:t>a modern governance framework.</w:t>
      </w:r>
      <w:r>
        <w:rPr>
          <w:color w:val="58595B"/>
          <w:position w:val="7"/>
          <w:sz w:val="11"/>
        </w:rPr>
        <w:t>10</w:t>
      </w:r>
    </w:p>
    <w:p w14:paraId="2F67B9A1" w14:textId="77777777" w:rsidR="00724131" w:rsidRDefault="00724131">
      <w:pPr>
        <w:pStyle w:val="BodyText"/>
        <w:spacing w:before="3"/>
        <w:rPr>
          <w:sz w:val="18"/>
        </w:rPr>
      </w:pPr>
    </w:p>
    <w:p w14:paraId="39492B35" w14:textId="77777777" w:rsidR="00724131" w:rsidRDefault="00823349">
      <w:pPr>
        <w:pStyle w:val="BodyText"/>
        <w:spacing w:line="280" w:lineRule="auto"/>
        <w:ind w:left="134" w:right="1337"/>
      </w:pPr>
      <w:r>
        <w:rPr>
          <w:color w:val="58595B"/>
        </w:rPr>
        <w:t>Our consultations also revealed broad acknowledgement of the deficiencies in the EPA’s legislated governance structure. These limitations are well recognised by the EPA and the current Chairman.</w:t>
      </w:r>
    </w:p>
    <w:p w14:paraId="470B624D" w14:textId="77777777" w:rsidR="00724131" w:rsidRDefault="00724131">
      <w:pPr>
        <w:spacing w:line="280" w:lineRule="auto"/>
        <w:sectPr w:rsidR="00724131">
          <w:pgSz w:w="11910" w:h="16840"/>
          <w:pgMar w:top="980" w:right="0" w:bottom="280" w:left="1680" w:header="788" w:footer="0" w:gutter="0"/>
          <w:cols w:space="720"/>
        </w:sectPr>
      </w:pPr>
    </w:p>
    <w:p w14:paraId="1AC6F9D8" w14:textId="77777777" w:rsidR="00724131" w:rsidRDefault="00724131">
      <w:pPr>
        <w:pStyle w:val="BodyText"/>
      </w:pPr>
    </w:p>
    <w:p w14:paraId="5E6B8D16" w14:textId="77777777" w:rsidR="00724131" w:rsidRDefault="00724131">
      <w:pPr>
        <w:pStyle w:val="BodyText"/>
      </w:pPr>
    </w:p>
    <w:p w14:paraId="5F1078FB" w14:textId="77777777" w:rsidR="00724131" w:rsidRDefault="00724131">
      <w:pPr>
        <w:pStyle w:val="BodyText"/>
      </w:pPr>
    </w:p>
    <w:p w14:paraId="15FE15EB" w14:textId="77777777" w:rsidR="00724131" w:rsidRDefault="00724131">
      <w:pPr>
        <w:pStyle w:val="BodyText"/>
      </w:pPr>
    </w:p>
    <w:p w14:paraId="4F9B9EF4" w14:textId="77777777" w:rsidR="00724131" w:rsidRDefault="00724131">
      <w:pPr>
        <w:pStyle w:val="BodyText"/>
        <w:spacing w:before="8"/>
        <w:rPr>
          <w:sz w:val="17"/>
        </w:rPr>
      </w:pPr>
    </w:p>
    <w:p w14:paraId="202DD487" w14:textId="3F26FA63" w:rsidR="00724131" w:rsidRDefault="00823349">
      <w:pPr>
        <w:pStyle w:val="BodyText"/>
        <w:spacing w:before="1" w:line="280" w:lineRule="auto"/>
        <w:ind w:left="1417" w:right="567"/>
      </w:pPr>
      <w:r>
        <w:rPr>
          <w:color w:val="58595B"/>
        </w:rPr>
        <w:t xml:space="preserve">A </w:t>
      </w:r>
      <w:r>
        <w:rPr>
          <w:color w:val="58595B"/>
          <w:spacing w:val="-3"/>
        </w:rPr>
        <w:t xml:space="preserve">key </w:t>
      </w:r>
      <w:r>
        <w:rPr>
          <w:color w:val="58595B"/>
        </w:rPr>
        <w:t xml:space="preserve">problem is that all formal responsibility and authority is vested in a single person-based structure. The EP Act specifies that the Chairman is the ‘Authority’ with sole oversight and responsibility for the </w:t>
      </w:r>
      <w:r>
        <w:rPr>
          <w:color w:val="58595B"/>
          <w:spacing w:val="-7"/>
        </w:rPr>
        <w:t xml:space="preserve">EPA’s </w:t>
      </w:r>
      <w:r>
        <w:rPr>
          <w:color w:val="58595B"/>
        </w:rPr>
        <w:t xml:space="preserve">regulatory activity. The Chairman is supported by a three-person advisory Board which has no power or decision making </w:t>
      </w:r>
      <w:r>
        <w:rPr>
          <w:color w:val="58595B"/>
          <w:spacing w:val="-3"/>
        </w:rPr>
        <w:t>authority.</w:t>
      </w:r>
      <w:r>
        <w:rPr>
          <w:color w:val="58595B"/>
          <w:spacing w:val="-3"/>
          <w:position w:val="7"/>
          <w:sz w:val="11"/>
        </w:rPr>
        <w:t xml:space="preserve">11 </w:t>
      </w:r>
      <w:r>
        <w:rPr>
          <w:color w:val="58595B"/>
        </w:rPr>
        <w:t xml:space="preserve">Concentrated powers and functions in the Chairman has been a feature through most of the </w:t>
      </w:r>
      <w:r>
        <w:rPr>
          <w:color w:val="58595B"/>
          <w:spacing w:val="-7"/>
        </w:rPr>
        <w:t xml:space="preserve">EPA’s </w:t>
      </w:r>
      <w:r>
        <w:rPr>
          <w:color w:val="58595B"/>
        </w:rPr>
        <w:t>45 year operating</w:t>
      </w:r>
      <w:r w:rsidR="00C741DE">
        <w:rPr>
          <w:color w:val="58595B"/>
        </w:rPr>
        <w:br/>
      </w:r>
      <w:r>
        <w:rPr>
          <w:color w:val="58595B"/>
        </w:rPr>
        <w:t xml:space="preserve">life (see table </w:t>
      </w:r>
      <w:r>
        <w:rPr>
          <w:color w:val="58595B"/>
          <w:spacing w:val="-7"/>
        </w:rPr>
        <w:t xml:space="preserve">19.1 </w:t>
      </w:r>
      <w:r>
        <w:rPr>
          <w:color w:val="58595B"/>
        </w:rPr>
        <w:t xml:space="preserve">for the history of the </w:t>
      </w:r>
      <w:r>
        <w:rPr>
          <w:color w:val="58595B"/>
          <w:spacing w:val="-7"/>
        </w:rPr>
        <w:t xml:space="preserve">EPA’s </w:t>
      </w:r>
      <w:r>
        <w:rPr>
          <w:color w:val="58595B"/>
        </w:rPr>
        <w:t>governance structure) but is now broadly acknowledged as neither consistent with modern governance principles nor practical or reasonable to demand of any</w:t>
      </w:r>
      <w:r>
        <w:rPr>
          <w:color w:val="58595B"/>
          <w:spacing w:val="-10"/>
        </w:rPr>
        <w:t xml:space="preserve"> </w:t>
      </w:r>
      <w:r>
        <w:rPr>
          <w:color w:val="58595B"/>
        </w:rPr>
        <w:t>individual.</w:t>
      </w:r>
    </w:p>
    <w:p w14:paraId="193F0960" w14:textId="5CB8ED91" w:rsidR="00724131" w:rsidRDefault="00823349">
      <w:pPr>
        <w:pStyle w:val="BodyText"/>
        <w:spacing w:before="172" w:line="280" w:lineRule="auto"/>
        <w:ind w:left="1417" w:right="419"/>
      </w:pPr>
      <w:r>
        <w:rPr>
          <w:color w:val="58595B"/>
        </w:rPr>
        <w:t xml:space="preserve">The current Chairman has taken steps to address these issues. In 2009, a Chief Executive </w:t>
      </w:r>
      <w:r>
        <w:rPr>
          <w:color w:val="58595B"/>
          <w:spacing w:val="2"/>
        </w:rPr>
        <w:t xml:space="preserve">Officer </w:t>
      </w:r>
      <w:r>
        <w:rPr>
          <w:color w:val="58595B"/>
          <w:spacing w:val="-4"/>
        </w:rPr>
        <w:t xml:space="preserve">(CEO) </w:t>
      </w:r>
      <w:r>
        <w:rPr>
          <w:color w:val="58595B"/>
        </w:rPr>
        <w:t>role was created to broaden oversight and accountability for the EPA. All powers or functions of the Authority (Chairman) have been delegated to the CEO (under section 68A</w:t>
      </w:r>
      <w:r w:rsidR="00C741DE">
        <w:rPr>
          <w:color w:val="58595B"/>
        </w:rPr>
        <w:br/>
      </w:r>
      <w:r>
        <w:rPr>
          <w:color w:val="58595B"/>
        </w:rPr>
        <w:t>of the EP Act). The CEO has no statutory foundation, even though he or she is effectively responsible for all regulatory decision making. The Chairman established a Chair’s Executive Forum (comprising the CEO and senior executives) to assist her oversight. The Chairman also accesses external strategic advice and oversight guidance through the following high level advisory</w:t>
      </w:r>
      <w:r>
        <w:rPr>
          <w:color w:val="58595B"/>
          <w:spacing w:val="11"/>
        </w:rPr>
        <w:t xml:space="preserve"> </w:t>
      </w:r>
      <w:r>
        <w:rPr>
          <w:color w:val="58595B"/>
        </w:rPr>
        <w:t>committees:</w:t>
      </w:r>
    </w:p>
    <w:p w14:paraId="2257628C" w14:textId="77777777" w:rsidR="00724131" w:rsidRDefault="00823349">
      <w:pPr>
        <w:pStyle w:val="ListParagraph"/>
        <w:numPr>
          <w:ilvl w:val="2"/>
          <w:numId w:val="31"/>
        </w:numPr>
        <w:tabs>
          <w:tab w:val="left" w:pos="1588"/>
        </w:tabs>
        <w:ind w:hanging="170"/>
        <w:rPr>
          <w:sz w:val="20"/>
        </w:rPr>
      </w:pPr>
      <w:r>
        <w:rPr>
          <w:color w:val="58595B"/>
          <w:sz w:val="20"/>
        </w:rPr>
        <w:t>Risk and Audit Committee – to support the Chairman and CEO to meet obligations under</w:t>
      </w:r>
      <w:r>
        <w:rPr>
          <w:color w:val="58595B"/>
          <w:spacing w:val="10"/>
          <w:sz w:val="20"/>
        </w:rPr>
        <w:t xml:space="preserve"> </w:t>
      </w:r>
      <w:r>
        <w:rPr>
          <w:color w:val="58595B"/>
          <w:sz w:val="20"/>
        </w:rPr>
        <w:t>the</w:t>
      </w:r>
    </w:p>
    <w:p w14:paraId="0D6C50F5" w14:textId="77777777" w:rsidR="00724131" w:rsidRDefault="00823349">
      <w:pPr>
        <w:spacing w:before="40"/>
        <w:ind w:left="1587" w:right="228"/>
        <w:rPr>
          <w:i/>
          <w:sz w:val="20"/>
        </w:rPr>
      </w:pPr>
      <w:r>
        <w:rPr>
          <w:i/>
          <w:color w:val="58595B"/>
          <w:sz w:val="20"/>
        </w:rPr>
        <w:t>Financial Management Act 1994</w:t>
      </w:r>
    </w:p>
    <w:p w14:paraId="0F6A6E0B" w14:textId="77777777" w:rsidR="00724131" w:rsidRDefault="00823349">
      <w:pPr>
        <w:pStyle w:val="ListParagraph"/>
        <w:numPr>
          <w:ilvl w:val="2"/>
          <w:numId w:val="31"/>
        </w:numPr>
        <w:tabs>
          <w:tab w:val="left" w:pos="1588"/>
        </w:tabs>
        <w:spacing w:before="153"/>
        <w:ind w:hanging="170"/>
        <w:rPr>
          <w:sz w:val="20"/>
        </w:rPr>
      </w:pPr>
      <w:r>
        <w:rPr>
          <w:color w:val="58595B"/>
          <w:sz w:val="20"/>
        </w:rPr>
        <w:t>People and Culture</w:t>
      </w:r>
      <w:r>
        <w:rPr>
          <w:color w:val="58595B"/>
          <w:spacing w:val="1"/>
          <w:sz w:val="20"/>
        </w:rPr>
        <w:t xml:space="preserve"> </w:t>
      </w:r>
      <w:r>
        <w:rPr>
          <w:color w:val="58595B"/>
          <w:sz w:val="20"/>
        </w:rPr>
        <w:t>Committee</w:t>
      </w:r>
    </w:p>
    <w:p w14:paraId="010C67D4" w14:textId="77777777" w:rsidR="00724131" w:rsidRDefault="00823349">
      <w:pPr>
        <w:pStyle w:val="ListParagraph"/>
        <w:numPr>
          <w:ilvl w:val="2"/>
          <w:numId w:val="31"/>
        </w:numPr>
        <w:tabs>
          <w:tab w:val="left" w:pos="1588"/>
        </w:tabs>
        <w:spacing w:before="153"/>
        <w:ind w:hanging="170"/>
        <w:rPr>
          <w:sz w:val="11"/>
        </w:rPr>
      </w:pPr>
      <w:r>
        <w:rPr>
          <w:color w:val="58595B"/>
          <w:sz w:val="20"/>
        </w:rPr>
        <w:t>Science and Engineering Advisory</w:t>
      </w:r>
      <w:r>
        <w:rPr>
          <w:color w:val="58595B"/>
          <w:spacing w:val="-1"/>
          <w:sz w:val="20"/>
        </w:rPr>
        <w:t xml:space="preserve"> </w:t>
      </w:r>
      <w:r>
        <w:rPr>
          <w:color w:val="58595B"/>
          <w:sz w:val="20"/>
        </w:rPr>
        <w:t>Committee.</w:t>
      </w:r>
      <w:r>
        <w:rPr>
          <w:color w:val="58595B"/>
          <w:position w:val="7"/>
          <w:sz w:val="11"/>
        </w:rPr>
        <w:t>12</w:t>
      </w:r>
    </w:p>
    <w:p w14:paraId="53F7DC99" w14:textId="77777777" w:rsidR="00724131" w:rsidRDefault="00724131">
      <w:pPr>
        <w:pStyle w:val="BodyText"/>
        <w:spacing w:before="3"/>
        <w:rPr>
          <w:sz w:val="18"/>
        </w:rPr>
      </w:pPr>
    </w:p>
    <w:p w14:paraId="66D6B658" w14:textId="77777777" w:rsidR="00724131" w:rsidRDefault="00823349">
      <w:pPr>
        <w:pStyle w:val="BodyText"/>
        <w:spacing w:line="280" w:lineRule="auto"/>
        <w:ind w:left="1417" w:right="132"/>
      </w:pPr>
      <w:r>
        <w:rPr>
          <w:color w:val="58595B"/>
        </w:rPr>
        <w:t>These committees are valuable practical improvements to the EPA’s governance structure. They provide a broader range of views and skills to corporate governance functions, and support ‘continuous improvement in its people, culture, science and engineering.’</w:t>
      </w:r>
      <w:r>
        <w:rPr>
          <w:color w:val="58595B"/>
          <w:position w:val="7"/>
          <w:sz w:val="11"/>
        </w:rPr>
        <w:t xml:space="preserve">13 </w:t>
      </w:r>
      <w:r>
        <w:rPr>
          <w:color w:val="58595B"/>
        </w:rPr>
        <w:t>However, it is clearly time for the EPA to have an appropriately modern, legislated framework that provides an enduring basis for good governance.</w:t>
      </w:r>
    </w:p>
    <w:p w14:paraId="561E2E53" w14:textId="77777777" w:rsidR="00724131" w:rsidRDefault="00724131">
      <w:pPr>
        <w:spacing w:line="280" w:lineRule="auto"/>
        <w:sectPr w:rsidR="00724131">
          <w:pgSz w:w="11910" w:h="16840"/>
          <w:pgMar w:top="980" w:right="1680" w:bottom="280" w:left="0" w:header="788" w:footer="0" w:gutter="0"/>
          <w:cols w:space="720"/>
        </w:sectPr>
      </w:pPr>
    </w:p>
    <w:p w14:paraId="5EE4169E" w14:textId="77777777" w:rsidR="00724131" w:rsidRDefault="00724131">
      <w:pPr>
        <w:pStyle w:val="BodyText"/>
      </w:pPr>
    </w:p>
    <w:p w14:paraId="6F449DE3" w14:textId="77777777" w:rsidR="00724131" w:rsidRDefault="00724131">
      <w:pPr>
        <w:pStyle w:val="BodyText"/>
      </w:pPr>
    </w:p>
    <w:p w14:paraId="3669FC49" w14:textId="77777777" w:rsidR="00724131" w:rsidRDefault="00724131">
      <w:pPr>
        <w:pStyle w:val="BodyText"/>
      </w:pPr>
    </w:p>
    <w:p w14:paraId="1B0048E0" w14:textId="77777777" w:rsidR="00724131" w:rsidRDefault="00724131">
      <w:pPr>
        <w:pStyle w:val="BodyText"/>
      </w:pPr>
    </w:p>
    <w:p w14:paraId="74F8705F" w14:textId="77777777" w:rsidR="00724131" w:rsidRDefault="00724131">
      <w:pPr>
        <w:pStyle w:val="BodyText"/>
        <w:spacing w:before="8"/>
        <w:rPr>
          <w:sz w:val="17"/>
        </w:rPr>
      </w:pPr>
    </w:p>
    <w:p w14:paraId="79FBD2C9" w14:textId="77777777" w:rsidR="00724131" w:rsidRDefault="00823349">
      <w:pPr>
        <w:spacing w:before="1"/>
        <w:ind w:left="134" w:right="228"/>
        <w:rPr>
          <w:sz w:val="20"/>
        </w:rPr>
      </w:pPr>
      <w:r>
        <w:rPr>
          <w:b/>
          <w:color w:val="0095A7"/>
          <w:sz w:val="20"/>
        </w:rPr>
        <w:t xml:space="preserve">TABLE 19.1:  </w:t>
      </w:r>
      <w:r>
        <w:rPr>
          <w:color w:val="0095A7"/>
          <w:sz w:val="20"/>
        </w:rPr>
        <w:t>HISTORY OF EPA GOVERNANCE STRUCTURES</w:t>
      </w:r>
    </w:p>
    <w:p w14:paraId="4CD266F9" w14:textId="77777777" w:rsidR="00724131" w:rsidRDefault="00724131">
      <w:pPr>
        <w:pStyle w:val="BodyText"/>
        <w:spacing w:before="10"/>
        <w:rPr>
          <w:sz w:val="25"/>
        </w:rPr>
      </w:pPr>
    </w:p>
    <w:tbl>
      <w:tblPr>
        <w:tblW w:w="0" w:type="auto"/>
        <w:tblInd w:w="134"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815"/>
        <w:gridCol w:w="2388"/>
        <w:gridCol w:w="5471"/>
      </w:tblGrid>
      <w:tr w:rsidR="00724131" w14:paraId="5885385D" w14:textId="77777777">
        <w:trPr>
          <w:trHeight w:hRule="exact" w:val="358"/>
        </w:trPr>
        <w:tc>
          <w:tcPr>
            <w:tcW w:w="815" w:type="dxa"/>
            <w:shd w:val="clear" w:color="auto" w:fill="89BFCB"/>
          </w:tcPr>
          <w:p w14:paraId="3EC54555" w14:textId="77777777" w:rsidR="00724131" w:rsidRDefault="00724131"/>
        </w:tc>
        <w:tc>
          <w:tcPr>
            <w:tcW w:w="2388" w:type="dxa"/>
            <w:shd w:val="clear" w:color="auto" w:fill="89BFCB"/>
          </w:tcPr>
          <w:p w14:paraId="3101B6C8" w14:textId="77777777" w:rsidR="00724131" w:rsidRDefault="00823349">
            <w:pPr>
              <w:pStyle w:val="TableParagraph"/>
              <w:spacing w:before="75"/>
              <w:ind w:left="92"/>
              <w:rPr>
                <w:sz w:val="18"/>
              </w:rPr>
            </w:pPr>
            <w:r>
              <w:rPr>
                <w:color w:val="FFFFFF"/>
                <w:sz w:val="18"/>
              </w:rPr>
              <w:t>Decision Making Role/s</w:t>
            </w:r>
          </w:p>
        </w:tc>
        <w:tc>
          <w:tcPr>
            <w:tcW w:w="5471" w:type="dxa"/>
            <w:shd w:val="clear" w:color="auto" w:fill="89BFCB"/>
          </w:tcPr>
          <w:p w14:paraId="29CDD586" w14:textId="77777777" w:rsidR="00724131" w:rsidRDefault="00823349">
            <w:pPr>
              <w:pStyle w:val="TableParagraph"/>
              <w:spacing w:before="75"/>
              <w:ind w:left="57" w:right="54"/>
              <w:rPr>
                <w:sz w:val="18"/>
              </w:rPr>
            </w:pPr>
            <w:r>
              <w:rPr>
                <w:color w:val="FFFFFF"/>
                <w:sz w:val="18"/>
              </w:rPr>
              <w:t>Advisory Bodies</w:t>
            </w:r>
          </w:p>
        </w:tc>
      </w:tr>
      <w:tr w:rsidR="00724131" w14:paraId="32A0DC22" w14:textId="77777777">
        <w:trPr>
          <w:trHeight w:hRule="exact" w:val="5429"/>
        </w:trPr>
        <w:tc>
          <w:tcPr>
            <w:tcW w:w="815" w:type="dxa"/>
            <w:tcBorders>
              <w:bottom w:val="single" w:sz="2" w:space="0" w:color="939598"/>
            </w:tcBorders>
          </w:tcPr>
          <w:p w14:paraId="09D03AF4" w14:textId="77777777" w:rsidR="00724131" w:rsidRDefault="00823349">
            <w:pPr>
              <w:pStyle w:val="TableParagraph"/>
              <w:spacing w:before="44"/>
              <w:ind w:left="56" w:right="88"/>
              <w:rPr>
                <w:b/>
                <w:sz w:val="18"/>
              </w:rPr>
            </w:pPr>
            <w:r>
              <w:rPr>
                <w:b/>
                <w:color w:val="58595B"/>
                <w:sz w:val="18"/>
              </w:rPr>
              <w:t>1971</w:t>
            </w:r>
          </w:p>
        </w:tc>
        <w:tc>
          <w:tcPr>
            <w:tcW w:w="2388" w:type="dxa"/>
            <w:tcBorders>
              <w:bottom w:val="single" w:sz="2" w:space="0" w:color="939598"/>
            </w:tcBorders>
          </w:tcPr>
          <w:p w14:paraId="14725D16" w14:textId="77777777" w:rsidR="00724131" w:rsidRDefault="00823349">
            <w:pPr>
              <w:pStyle w:val="TableParagraph"/>
              <w:spacing w:before="44"/>
              <w:ind w:left="92"/>
              <w:rPr>
                <w:b/>
                <w:sz w:val="18"/>
              </w:rPr>
            </w:pPr>
            <w:r>
              <w:rPr>
                <w:b/>
                <w:color w:val="58595B"/>
                <w:sz w:val="18"/>
              </w:rPr>
              <w:t>Three member Authority</w:t>
            </w:r>
          </w:p>
          <w:p w14:paraId="0269E28C" w14:textId="77777777" w:rsidR="00724131" w:rsidRDefault="00823349">
            <w:pPr>
              <w:pStyle w:val="TableParagraph"/>
              <w:numPr>
                <w:ilvl w:val="0"/>
                <w:numId w:val="29"/>
              </w:numPr>
              <w:tabs>
                <w:tab w:val="left" w:pos="320"/>
              </w:tabs>
              <w:spacing w:before="69" w:line="254" w:lineRule="auto"/>
              <w:ind w:right="322"/>
              <w:rPr>
                <w:sz w:val="18"/>
              </w:rPr>
            </w:pPr>
            <w:r>
              <w:rPr>
                <w:color w:val="58595B"/>
                <w:spacing w:val="-5"/>
                <w:sz w:val="18"/>
              </w:rPr>
              <w:t xml:space="preserve">Two </w:t>
            </w:r>
            <w:r>
              <w:rPr>
                <w:color w:val="58595B"/>
                <w:sz w:val="18"/>
              </w:rPr>
              <w:t>experts in environmental</w:t>
            </w:r>
            <w:r>
              <w:rPr>
                <w:color w:val="58595B"/>
                <w:spacing w:val="15"/>
                <w:sz w:val="18"/>
              </w:rPr>
              <w:t xml:space="preserve"> </w:t>
            </w:r>
            <w:r>
              <w:rPr>
                <w:color w:val="58595B"/>
                <w:sz w:val="18"/>
              </w:rPr>
              <w:t>control</w:t>
            </w:r>
          </w:p>
          <w:p w14:paraId="3324C843" w14:textId="77777777" w:rsidR="00724131" w:rsidRDefault="00823349">
            <w:pPr>
              <w:pStyle w:val="TableParagraph"/>
              <w:numPr>
                <w:ilvl w:val="0"/>
                <w:numId w:val="29"/>
              </w:numPr>
              <w:tabs>
                <w:tab w:val="left" w:pos="320"/>
              </w:tabs>
              <w:spacing w:before="57" w:line="254" w:lineRule="auto"/>
              <w:ind w:right="175"/>
              <w:rPr>
                <w:sz w:val="18"/>
              </w:rPr>
            </w:pPr>
            <w:r>
              <w:rPr>
                <w:color w:val="58595B"/>
                <w:sz w:val="18"/>
              </w:rPr>
              <w:t>One with administrative skill and</w:t>
            </w:r>
            <w:r>
              <w:rPr>
                <w:color w:val="58595B"/>
                <w:spacing w:val="11"/>
                <w:sz w:val="18"/>
              </w:rPr>
              <w:t xml:space="preserve"> </w:t>
            </w:r>
            <w:r>
              <w:rPr>
                <w:color w:val="58595B"/>
                <w:sz w:val="18"/>
              </w:rPr>
              <w:t>experience</w:t>
            </w:r>
          </w:p>
        </w:tc>
        <w:tc>
          <w:tcPr>
            <w:tcW w:w="5471" w:type="dxa"/>
            <w:tcBorders>
              <w:bottom w:val="single" w:sz="2" w:space="0" w:color="939598"/>
            </w:tcBorders>
          </w:tcPr>
          <w:p w14:paraId="25237D0C" w14:textId="77777777" w:rsidR="00724131" w:rsidRDefault="00823349">
            <w:pPr>
              <w:pStyle w:val="TableParagraph"/>
              <w:spacing w:before="44"/>
              <w:ind w:left="57" w:right="54"/>
              <w:rPr>
                <w:sz w:val="18"/>
              </w:rPr>
            </w:pPr>
            <w:r>
              <w:rPr>
                <w:b/>
                <w:color w:val="58595B"/>
                <w:sz w:val="18"/>
              </w:rPr>
              <w:t xml:space="preserve">Environment Protection Council </w:t>
            </w:r>
            <w:r w:rsidR="001337B8">
              <w:rPr>
                <w:color w:val="58595B"/>
                <w:sz w:val="18"/>
              </w:rPr>
              <w:t xml:space="preserve">– 17 members </w:t>
            </w:r>
            <w:r>
              <w:rPr>
                <w:color w:val="58595B"/>
                <w:sz w:val="18"/>
              </w:rPr>
              <w:t>comprising:</w:t>
            </w:r>
          </w:p>
          <w:p w14:paraId="5D810382" w14:textId="77777777" w:rsidR="00724131" w:rsidRDefault="00724131">
            <w:pPr>
              <w:pStyle w:val="TableParagraph"/>
              <w:spacing w:before="10"/>
              <w:rPr>
                <w:sz w:val="15"/>
              </w:rPr>
            </w:pPr>
          </w:p>
          <w:p w14:paraId="39707D60" w14:textId="77777777" w:rsidR="00724131" w:rsidRDefault="00823349">
            <w:pPr>
              <w:pStyle w:val="TableParagraph"/>
              <w:spacing w:before="0" w:line="254" w:lineRule="auto"/>
              <w:ind w:left="57" w:right="54"/>
              <w:rPr>
                <w:sz w:val="18"/>
              </w:rPr>
            </w:pPr>
            <w:r>
              <w:rPr>
                <w:color w:val="58595B"/>
                <w:spacing w:val="2"/>
                <w:sz w:val="18"/>
              </w:rPr>
              <w:t xml:space="preserve">Experts </w:t>
            </w:r>
            <w:r>
              <w:rPr>
                <w:color w:val="58595B"/>
                <w:sz w:val="18"/>
              </w:rPr>
              <w:t>with the following qualifications: environmental management (nominated by Minister of Mines), industrial waste chemist or industrial waste engineer (nominated by minister via CSIRO), town and country planner (nominated by Minister for Local Government), university professor or teacher of ecology or aquatic or marine biology (nominated by Minister for</w:t>
            </w:r>
            <w:r>
              <w:rPr>
                <w:color w:val="58595B"/>
                <w:spacing w:val="8"/>
                <w:sz w:val="18"/>
              </w:rPr>
              <w:t xml:space="preserve"> </w:t>
            </w:r>
            <w:r>
              <w:rPr>
                <w:color w:val="58595B"/>
                <w:sz w:val="18"/>
              </w:rPr>
              <w:t>Conservation)</w:t>
            </w:r>
          </w:p>
          <w:p w14:paraId="2B869BFA" w14:textId="77777777" w:rsidR="00724131" w:rsidRDefault="00724131">
            <w:pPr>
              <w:pStyle w:val="TableParagraph"/>
              <w:spacing w:before="10"/>
              <w:rPr>
                <w:sz w:val="14"/>
              </w:rPr>
            </w:pPr>
          </w:p>
          <w:p w14:paraId="661A7FF6" w14:textId="77777777" w:rsidR="00724131" w:rsidRDefault="00823349">
            <w:pPr>
              <w:pStyle w:val="TableParagraph"/>
              <w:spacing w:before="0" w:line="254" w:lineRule="auto"/>
              <w:ind w:left="57" w:right="112"/>
              <w:rPr>
                <w:sz w:val="18"/>
              </w:rPr>
            </w:pPr>
            <w:r>
              <w:rPr>
                <w:b/>
                <w:color w:val="58595B"/>
                <w:sz w:val="18"/>
              </w:rPr>
              <w:t>Government representatives</w:t>
            </w:r>
            <w:r>
              <w:rPr>
                <w:color w:val="58595B"/>
                <w:sz w:val="18"/>
              </w:rPr>
              <w:t>, including from key agencies: Melbourne Metropolitan Board of Works, Chief Health Officer, Director of Fisheries and Wildlife, Soil Conservation Authority, State Rivers and Water Supply Commission (nominated by Minister of Water Supply), State Electricity Commission and Gas and Fuel Corporation (nominated by Minister for Fuel and Power), Ports and Harbour Division of the Public Works Department (nominated by Minister for Public Works)</w:t>
            </w:r>
          </w:p>
          <w:p w14:paraId="21ABFEC6" w14:textId="77777777" w:rsidR="00724131" w:rsidRDefault="00724131">
            <w:pPr>
              <w:pStyle w:val="TableParagraph"/>
              <w:spacing w:before="10"/>
              <w:rPr>
                <w:sz w:val="14"/>
              </w:rPr>
            </w:pPr>
          </w:p>
          <w:p w14:paraId="5E59B5D0" w14:textId="77777777" w:rsidR="00724131" w:rsidRDefault="00823349">
            <w:pPr>
              <w:pStyle w:val="TableParagraph"/>
              <w:spacing w:before="0" w:line="254" w:lineRule="auto"/>
              <w:ind w:left="57" w:right="82"/>
              <w:rPr>
                <w:sz w:val="18"/>
              </w:rPr>
            </w:pPr>
            <w:r>
              <w:rPr>
                <w:b/>
                <w:color w:val="58595B"/>
                <w:sz w:val="18"/>
              </w:rPr>
              <w:t xml:space="preserve">Sector representatives: </w:t>
            </w:r>
            <w:r>
              <w:rPr>
                <w:color w:val="58595B"/>
                <w:sz w:val="18"/>
              </w:rPr>
              <w:t>industrial waste (nominated by Minister from five submitted by Vic Chamber of Manufacturers), trade unions (nominated by the minister from five submitted by Victorian Trades Hall Council), local government (nominated by Minister for Local Government from five submitted by Municipal Association of Victoria), nominated by Minister for Agriculture, and representing the general public.</w:t>
            </w:r>
          </w:p>
        </w:tc>
      </w:tr>
      <w:tr w:rsidR="00724131" w14:paraId="53BEC519" w14:textId="77777777">
        <w:trPr>
          <w:trHeight w:hRule="exact" w:val="911"/>
        </w:trPr>
        <w:tc>
          <w:tcPr>
            <w:tcW w:w="815" w:type="dxa"/>
            <w:tcBorders>
              <w:top w:val="single" w:sz="2" w:space="0" w:color="939598"/>
              <w:bottom w:val="single" w:sz="2" w:space="0" w:color="939598"/>
            </w:tcBorders>
          </w:tcPr>
          <w:p w14:paraId="6029C995" w14:textId="77777777" w:rsidR="00724131" w:rsidRDefault="00823349">
            <w:pPr>
              <w:pStyle w:val="TableParagraph"/>
              <w:spacing w:before="44"/>
              <w:ind w:left="56" w:right="88"/>
              <w:rPr>
                <w:b/>
                <w:sz w:val="18"/>
              </w:rPr>
            </w:pPr>
            <w:r>
              <w:rPr>
                <w:b/>
                <w:color w:val="58595B"/>
                <w:sz w:val="18"/>
              </w:rPr>
              <w:t>1984</w:t>
            </w:r>
          </w:p>
        </w:tc>
        <w:tc>
          <w:tcPr>
            <w:tcW w:w="2388" w:type="dxa"/>
            <w:tcBorders>
              <w:top w:val="single" w:sz="2" w:space="0" w:color="939598"/>
              <w:bottom w:val="single" w:sz="2" w:space="0" w:color="939598"/>
            </w:tcBorders>
          </w:tcPr>
          <w:p w14:paraId="3E27530A" w14:textId="77777777" w:rsidR="00724131" w:rsidRDefault="00823349">
            <w:pPr>
              <w:pStyle w:val="TableParagraph"/>
              <w:spacing w:before="44" w:line="254" w:lineRule="auto"/>
              <w:ind w:left="92"/>
              <w:rPr>
                <w:b/>
                <w:sz w:val="18"/>
              </w:rPr>
            </w:pPr>
            <w:r>
              <w:rPr>
                <w:b/>
                <w:color w:val="58595B"/>
                <w:sz w:val="18"/>
              </w:rPr>
              <w:t>Single member Authority/ Chairman, plus</w:t>
            </w:r>
          </w:p>
          <w:p w14:paraId="05A96E6B" w14:textId="77777777" w:rsidR="00724131" w:rsidRDefault="00724131">
            <w:pPr>
              <w:pStyle w:val="TableParagraph"/>
              <w:spacing w:before="10"/>
              <w:rPr>
                <w:sz w:val="14"/>
              </w:rPr>
            </w:pPr>
          </w:p>
          <w:p w14:paraId="4FFDB2CC" w14:textId="77777777" w:rsidR="00724131" w:rsidRDefault="00823349">
            <w:pPr>
              <w:pStyle w:val="TableParagraph"/>
              <w:spacing w:before="0"/>
              <w:ind w:left="92"/>
              <w:rPr>
                <w:sz w:val="18"/>
              </w:rPr>
            </w:pPr>
            <w:r>
              <w:rPr>
                <w:color w:val="58595B"/>
                <w:sz w:val="18"/>
              </w:rPr>
              <w:t>Deputy Chairman (optional)</w:t>
            </w:r>
          </w:p>
        </w:tc>
        <w:tc>
          <w:tcPr>
            <w:tcW w:w="5471" w:type="dxa"/>
            <w:tcBorders>
              <w:top w:val="single" w:sz="2" w:space="0" w:color="939598"/>
              <w:bottom w:val="single" w:sz="2" w:space="0" w:color="939598"/>
            </w:tcBorders>
          </w:tcPr>
          <w:p w14:paraId="52C1113A" w14:textId="77777777" w:rsidR="00724131" w:rsidRDefault="00823349">
            <w:pPr>
              <w:pStyle w:val="TableParagraph"/>
              <w:spacing w:before="44" w:line="254" w:lineRule="auto"/>
              <w:ind w:left="57" w:right="54"/>
              <w:rPr>
                <w:sz w:val="18"/>
              </w:rPr>
            </w:pPr>
            <w:r>
              <w:rPr>
                <w:b/>
                <w:color w:val="58595B"/>
                <w:sz w:val="18"/>
              </w:rPr>
              <w:t xml:space="preserve">Environment Protection Council </w:t>
            </w:r>
            <w:r>
              <w:rPr>
                <w:color w:val="58595B"/>
                <w:sz w:val="18"/>
              </w:rPr>
              <w:t>– not more than 12 members, with a special interest in preventing and controlling pollution and protecting and improving the quality of the environment.</w:t>
            </w:r>
          </w:p>
        </w:tc>
      </w:tr>
      <w:tr w:rsidR="00724131" w14:paraId="25316930" w14:textId="77777777">
        <w:trPr>
          <w:trHeight w:hRule="exact" w:val="1401"/>
        </w:trPr>
        <w:tc>
          <w:tcPr>
            <w:tcW w:w="815" w:type="dxa"/>
            <w:tcBorders>
              <w:top w:val="single" w:sz="2" w:space="0" w:color="939598"/>
              <w:bottom w:val="single" w:sz="2" w:space="0" w:color="939598"/>
            </w:tcBorders>
          </w:tcPr>
          <w:p w14:paraId="589C208E" w14:textId="77777777" w:rsidR="00724131" w:rsidRDefault="00823349">
            <w:pPr>
              <w:pStyle w:val="TableParagraph"/>
              <w:spacing w:before="44" w:line="254" w:lineRule="auto"/>
              <w:ind w:left="56" w:right="88"/>
              <w:rPr>
                <w:b/>
                <w:sz w:val="18"/>
              </w:rPr>
            </w:pPr>
            <w:r>
              <w:rPr>
                <w:b/>
                <w:color w:val="58595B"/>
                <w:sz w:val="18"/>
              </w:rPr>
              <w:t>1997 to present</w:t>
            </w:r>
          </w:p>
        </w:tc>
        <w:tc>
          <w:tcPr>
            <w:tcW w:w="2388" w:type="dxa"/>
            <w:tcBorders>
              <w:top w:val="single" w:sz="2" w:space="0" w:color="939598"/>
              <w:bottom w:val="single" w:sz="2" w:space="0" w:color="939598"/>
            </w:tcBorders>
          </w:tcPr>
          <w:p w14:paraId="7899C492" w14:textId="77777777" w:rsidR="00724131" w:rsidRDefault="00823349">
            <w:pPr>
              <w:pStyle w:val="TableParagraph"/>
              <w:spacing w:before="44" w:line="254" w:lineRule="auto"/>
              <w:ind w:left="92"/>
              <w:rPr>
                <w:b/>
                <w:sz w:val="18"/>
              </w:rPr>
            </w:pPr>
            <w:r>
              <w:rPr>
                <w:b/>
                <w:color w:val="58595B"/>
                <w:sz w:val="18"/>
              </w:rPr>
              <w:t>Single member Authority/ Chairman</w:t>
            </w:r>
          </w:p>
          <w:p w14:paraId="3E16FED7" w14:textId="77777777" w:rsidR="00724131" w:rsidRDefault="00724131">
            <w:pPr>
              <w:pStyle w:val="TableParagraph"/>
              <w:spacing w:before="10"/>
              <w:rPr>
                <w:sz w:val="14"/>
              </w:rPr>
            </w:pPr>
          </w:p>
          <w:p w14:paraId="133B43DE" w14:textId="77777777" w:rsidR="00724131" w:rsidRDefault="00823349">
            <w:pPr>
              <w:pStyle w:val="TableParagraph"/>
              <w:spacing w:before="0"/>
              <w:ind w:left="92"/>
              <w:rPr>
                <w:sz w:val="18"/>
              </w:rPr>
            </w:pPr>
            <w:r>
              <w:rPr>
                <w:color w:val="58595B"/>
                <w:sz w:val="18"/>
              </w:rPr>
              <w:t>Deputy Chairman (optional)</w:t>
            </w:r>
          </w:p>
        </w:tc>
        <w:tc>
          <w:tcPr>
            <w:tcW w:w="5471" w:type="dxa"/>
            <w:tcBorders>
              <w:top w:val="single" w:sz="2" w:space="0" w:color="939598"/>
              <w:bottom w:val="single" w:sz="2" w:space="0" w:color="939598"/>
            </w:tcBorders>
          </w:tcPr>
          <w:p w14:paraId="63A7533E" w14:textId="77777777" w:rsidR="00724131" w:rsidRDefault="00823349">
            <w:pPr>
              <w:pStyle w:val="TableParagraph"/>
              <w:spacing w:before="44" w:line="254" w:lineRule="auto"/>
              <w:ind w:left="57" w:right="54"/>
              <w:rPr>
                <w:sz w:val="18"/>
              </w:rPr>
            </w:pPr>
            <w:r>
              <w:rPr>
                <w:b/>
                <w:color w:val="58595B"/>
                <w:sz w:val="18"/>
              </w:rPr>
              <w:t xml:space="preserve">Environment Protection Board </w:t>
            </w:r>
            <w:r>
              <w:rPr>
                <w:color w:val="58595B"/>
                <w:sz w:val="18"/>
              </w:rPr>
              <w:t>– 3 members with skills, experience or knowledge that will assist in carrying out advisory functions to minister and Chairman, including on: administration, policies and strategic directions of the EPA; EPA’s corporate plan; national and international trends of significance in environment protection.</w:t>
            </w:r>
          </w:p>
        </w:tc>
      </w:tr>
    </w:tbl>
    <w:p w14:paraId="739D0CFC" w14:textId="77777777" w:rsidR="00724131" w:rsidRDefault="00724131">
      <w:pPr>
        <w:spacing w:line="254" w:lineRule="auto"/>
        <w:rPr>
          <w:sz w:val="18"/>
        </w:rPr>
        <w:sectPr w:rsidR="00724131">
          <w:pgSz w:w="11910" w:h="16840"/>
          <w:pgMar w:top="980" w:right="0" w:bottom="280" w:left="1680" w:header="788" w:footer="0" w:gutter="0"/>
          <w:cols w:space="720"/>
        </w:sectPr>
      </w:pPr>
    </w:p>
    <w:p w14:paraId="6B080260" w14:textId="77777777" w:rsidR="00724131" w:rsidRDefault="00724131">
      <w:pPr>
        <w:pStyle w:val="BodyText"/>
      </w:pPr>
    </w:p>
    <w:p w14:paraId="2D500D32" w14:textId="77777777" w:rsidR="00724131" w:rsidRDefault="00724131">
      <w:pPr>
        <w:pStyle w:val="BodyText"/>
      </w:pPr>
    </w:p>
    <w:p w14:paraId="7316F56D" w14:textId="77777777" w:rsidR="00724131" w:rsidRDefault="00724131">
      <w:pPr>
        <w:pStyle w:val="BodyText"/>
      </w:pPr>
    </w:p>
    <w:p w14:paraId="52D254A0" w14:textId="77777777" w:rsidR="00724131" w:rsidRDefault="00724131">
      <w:pPr>
        <w:pStyle w:val="BodyText"/>
      </w:pPr>
    </w:p>
    <w:p w14:paraId="6A056C0B" w14:textId="77777777" w:rsidR="00724131" w:rsidRDefault="00724131">
      <w:pPr>
        <w:pStyle w:val="BodyText"/>
        <w:spacing w:before="8"/>
        <w:rPr>
          <w:sz w:val="17"/>
        </w:rPr>
      </w:pPr>
    </w:p>
    <w:p w14:paraId="6D0ECDBE" w14:textId="77777777" w:rsidR="00724131" w:rsidRDefault="00823349">
      <w:pPr>
        <w:pStyle w:val="BodyText"/>
        <w:spacing w:before="1"/>
        <w:ind w:left="1417" w:right="228"/>
      </w:pPr>
      <w:r>
        <w:rPr>
          <w:color w:val="0095A7"/>
        </w:rPr>
        <w:t>19.2.1  Measuring up against best practice governance principles</w:t>
      </w:r>
    </w:p>
    <w:p w14:paraId="6BF7D381" w14:textId="77777777" w:rsidR="00724131" w:rsidRDefault="00823349">
      <w:pPr>
        <w:pStyle w:val="BodyText"/>
        <w:spacing w:before="153" w:line="280" w:lineRule="auto"/>
        <w:ind w:left="1417" w:right="228"/>
      </w:pPr>
      <w:r>
        <w:rPr>
          <w:color w:val="58595B"/>
          <w:spacing w:val="-4"/>
        </w:rPr>
        <w:t xml:space="preserve">T(he) </w:t>
      </w:r>
      <w:r>
        <w:rPr>
          <w:color w:val="58595B"/>
        </w:rPr>
        <w:t xml:space="preserve">OECD laid out a set of principles for the governance of regulators in </w:t>
      </w:r>
      <w:r>
        <w:rPr>
          <w:color w:val="58595B"/>
          <w:spacing w:val="-6"/>
        </w:rPr>
        <w:t>2014.</w:t>
      </w:r>
      <w:r>
        <w:rPr>
          <w:color w:val="58595B"/>
          <w:spacing w:val="-6"/>
          <w:position w:val="7"/>
          <w:sz w:val="11"/>
        </w:rPr>
        <w:t xml:space="preserve">14  </w:t>
      </w:r>
      <w:r>
        <w:rPr>
          <w:color w:val="58595B"/>
        </w:rPr>
        <w:t xml:space="preserve">Those principles rely extensively on the best practice principles developed by the Victorian Government in </w:t>
      </w:r>
      <w:r>
        <w:rPr>
          <w:color w:val="58595B"/>
          <w:spacing w:val="-5"/>
        </w:rPr>
        <w:t>2010.</w:t>
      </w:r>
      <w:r>
        <w:rPr>
          <w:color w:val="58595B"/>
          <w:spacing w:val="-5"/>
          <w:position w:val="7"/>
          <w:sz w:val="11"/>
        </w:rPr>
        <w:t xml:space="preserve">15  </w:t>
      </w:r>
      <w:r>
        <w:rPr>
          <w:color w:val="58595B"/>
        </w:rPr>
        <w:t>We drew on these principles in this chapter to consider governance</w:t>
      </w:r>
      <w:r>
        <w:rPr>
          <w:color w:val="58595B"/>
          <w:spacing w:val="19"/>
        </w:rPr>
        <w:t xml:space="preserve"> </w:t>
      </w:r>
      <w:r>
        <w:rPr>
          <w:color w:val="58595B"/>
        </w:rPr>
        <w:t>arrangements.</w:t>
      </w:r>
    </w:p>
    <w:p w14:paraId="1D79E1D8" w14:textId="77777777" w:rsidR="00724131" w:rsidRDefault="00823349">
      <w:pPr>
        <w:pStyle w:val="BodyText"/>
        <w:spacing w:before="2" w:line="280" w:lineRule="auto"/>
        <w:ind w:left="1417" w:right="789"/>
      </w:pPr>
      <w:r>
        <w:rPr>
          <w:color w:val="58595B"/>
        </w:rPr>
        <w:t>In addition, we drew on them as we considered role clarity</w:t>
      </w:r>
      <w:r>
        <w:rPr>
          <w:color w:val="58595B"/>
          <w:position w:val="7"/>
          <w:sz w:val="11"/>
        </w:rPr>
        <w:t xml:space="preserve">16 </w:t>
      </w:r>
      <w:r>
        <w:rPr>
          <w:color w:val="58595B"/>
        </w:rPr>
        <w:t>and funding</w:t>
      </w:r>
      <w:r>
        <w:rPr>
          <w:color w:val="58595B"/>
          <w:position w:val="7"/>
          <w:sz w:val="11"/>
        </w:rPr>
        <w:t xml:space="preserve">17 </w:t>
      </w:r>
      <w:r>
        <w:rPr>
          <w:color w:val="58595B"/>
        </w:rPr>
        <w:t>(chapters 5 and 21 respectively).</w:t>
      </w:r>
    </w:p>
    <w:p w14:paraId="67D9D72F" w14:textId="77777777" w:rsidR="00724131" w:rsidRDefault="00823349">
      <w:pPr>
        <w:pStyle w:val="BodyText"/>
        <w:spacing w:before="172" w:line="280" w:lineRule="auto"/>
        <w:ind w:left="1417" w:right="1144"/>
      </w:pPr>
      <w:r>
        <w:rPr>
          <w:color w:val="58595B"/>
        </w:rPr>
        <w:t>Our proposals for reforms to the EPA’s legislated governance structure account for the following principles.</w:t>
      </w:r>
    </w:p>
    <w:p w14:paraId="2B211D5D" w14:textId="77777777" w:rsidR="00724131" w:rsidRDefault="00724131">
      <w:pPr>
        <w:pStyle w:val="BodyText"/>
        <w:spacing w:before="10"/>
        <w:rPr>
          <w:sz w:val="19"/>
        </w:rPr>
      </w:pPr>
    </w:p>
    <w:p w14:paraId="307032DB" w14:textId="77777777" w:rsidR="00724131" w:rsidRDefault="00823349">
      <w:pPr>
        <w:ind w:left="1417" w:right="228"/>
        <w:rPr>
          <w:i/>
          <w:sz w:val="20"/>
        </w:rPr>
      </w:pPr>
      <w:r>
        <w:rPr>
          <w:i/>
          <w:color w:val="6D6E71"/>
          <w:sz w:val="20"/>
        </w:rPr>
        <w:t>Independence and regulatory integrity</w:t>
      </w:r>
    </w:p>
    <w:p w14:paraId="5B5BCCA1" w14:textId="77777777" w:rsidR="00724131" w:rsidRDefault="00823349">
      <w:pPr>
        <w:pStyle w:val="BodyText"/>
        <w:spacing w:before="125" w:line="280" w:lineRule="auto"/>
        <w:ind w:left="1417" w:right="488"/>
      </w:pPr>
      <w:r>
        <w:rPr>
          <w:color w:val="58595B"/>
        </w:rPr>
        <w:t>A regulator must conduct – and be seen to conduct – its regulatory decisions and functions with integrity and impartiality to ensure confidence in the regulatory regime. It must consider both its procedures for regulatory decision making and the institutional structures that define its relationship with the minister and the department. Regulatory integrity is also buttressed by accountability and</w:t>
      </w:r>
      <w:r>
        <w:rPr>
          <w:color w:val="58595B"/>
          <w:spacing w:val="-3"/>
        </w:rPr>
        <w:t xml:space="preserve"> </w:t>
      </w:r>
      <w:r>
        <w:rPr>
          <w:color w:val="58595B"/>
        </w:rPr>
        <w:t>transparency.</w:t>
      </w:r>
    </w:p>
    <w:p w14:paraId="6BC62ADB" w14:textId="77777777" w:rsidR="00724131" w:rsidRDefault="00823349">
      <w:pPr>
        <w:pStyle w:val="BodyText"/>
        <w:spacing w:before="172" w:line="280" w:lineRule="auto"/>
        <w:ind w:left="1417" w:right="789"/>
      </w:pPr>
      <w:r>
        <w:rPr>
          <w:color w:val="58595B"/>
        </w:rPr>
        <w:t>Governance structures that support regulatory integrity are crucial for the EPA because it regulates government and non-government entities, and makes decisions that can have significant impacts on the interests of industry sectors and the community.</w:t>
      </w:r>
      <w:r>
        <w:rPr>
          <w:color w:val="58595B"/>
          <w:position w:val="7"/>
          <w:sz w:val="11"/>
        </w:rPr>
        <w:t xml:space="preserve">18 </w:t>
      </w:r>
      <w:r>
        <w:rPr>
          <w:color w:val="58595B"/>
        </w:rPr>
        <w:t>The EPA must have the public’s confidence as an independent authority making rigorous, objective and impartial decisions.</w:t>
      </w:r>
    </w:p>
    <w:p w14:paraId="2C6702C1" w14:textId="77777777" w:rsidR="00724131" w:rsidRDefault="00823349">
      <w:pPr>
        <w:pStyle w:val="BodyText"/>
        <w:spacing w:before="172" w:line="280" w:lineRule="auto"/>
        <w:ind w:left="1417" w:right="228"/>
      </w:pPr>
      <w:r>
        <w:rPr>
          <w:color w:val="58595B"/>
        </w:rPr>
        <w:t>The EPA is currently established as an administrative office of DELWP. We consider that its formal establishment arrangements should be changed to reflect its operational independence.</w:t>
      </w:r>
    </w:p>
    <w:p w14:paraId="06E16EDF" w14:textId="77777777" w:rsidR="00724131" w:rsidRDefault="00724131">
      <w:pPr>
        <w:pStyle w:val="BodyText"/>
        <w:spacing w:before="10"/>
        <w:rPr>
          <w:sz w:val="19"/>
        </w:rPr>
      </w:pPr>
    </w:p>
    <w:p w14:paraId="116722CD" w14:textId="77777777" w:rsidR="00724131" w:rsidRDefault="00823349">
      <w:pPr>
        <w:ind w:left="1417" w:right="228"/>
        <w:rPr>
          <w:i/>
          <w:sz w:val="20"/>
        </w:rPr>
      </w:pPr>
      <w:r>
        <w:rPr>
          <w:i/>
          <w:color w:val="6D6E71"/>
          <w:sz w:val="20"/>
        </w:rPr>
        <w:t>Governing body structure</w:t>
      </w:r>
    </w:p>
    <w:p w14:paraId="3CAED862" w14:textId="77777777" w:rsidR="00724131" w:rsidRDefault="00823349">
      <w:pPr>
        <w:pStyle w:val="BodyText"/>
        <w:spacing w:before="125" w:line="280" w:lineRule="auto"/>
        <w:ind w:left="1417" w:right="228"/>
      </w:pPr>
      <w:r>
        <w:rPr>
          <w:color w:val="58595B"/>
        </w:rPr>
        <w:t>The</w:t>
      </w:r>
      <w:r>
        <w:rPr>
          <w:color w:val="58595B"/>
          <w:spacing w:val="-11"/>
        </w:rPr>
        <w:t xml:space="preserve"> </w:t>
      </w:r>
      <w:r>
        <w:rPr>
          <w:color w:val="58595B"/>
        </w:rPr>
        <w:t>appropriate</w:t>
      </w:r>
      <w:r>
        <w:rPr>
          <w:color w:val="58595B"/>
          <w:spacing w:val="-11"/>
        </w:rPr>
        <w:t xml:space="preserve"> </w:t>
      </w:r>
      <w:r>
        <w:rPr>
          <w:color w:val="58595B"/>
        </w:rPr>
        <w:t>governance</w:t>
      </w:r>
      <w:r>
        <w:rPr>
          <w:color w:val="58595B"/>
          <w:spacing w:val="-11"/>
        </w:rPr>
        <w:t xml:space="preserve"> </w:t>
      </w:r>
      <w:r>
        <w:rPr>
          <w:color w:val="58595B"/>
        </w:rPr>
        <w:t>structure</w:t>
      </w:r>
      <w:r>
        <w:rPr>
          <w:color w:val="58595B"/>
          <w:spacing w:val="-11"/>
        </w:rPr>
        <w:t xml:space="preserve"> </w:t>
      </w:r>
      <w:r>
        <w:rPr>
          <w:color w:val="58595B"/>
        </w:rPr>
        <w:t>depends</w:t>
      </w:r>
      <w:r>
        <w:rPr>
          <w:color w:val="58595B"/>
          <w:spacing w:val="-11"/>
        </w:rPr>
        <w:t xml:space="preserve"> </w:t>
      </w:r>
      <w:r>
        <w:rPr>
          <w:color w:val="58595B"/>
        </w:rPr>
        <w:t>on</w:t>
      </w:r>
      <w:r>
        <w:rPr>
          <w:color w:val="58595B"/>
          <w:spacing w:val="-11"/>
        </w:rPr>
        <w:t xml:space="preserve"> </w:t>
      </w:r>
      <w:r>
        <w:rPr>
          <w:color w:val="58595B"/>
        </w:rPr>
        <w:t>the</w:t>
      </w:r>
      <w:r>
        <w:rPr>
          <w:color w:val="58595B"/>
          <w:spacing w:val="-11"/>
        </w:rPr>
        <w:t xml:space="preserve"> </w:t>
      </w:r>
      <w:r>
        <w:rPr>
          <w:color w:val="58595B"/>
        </w:rPr>
        <w:t>nature</w:t>
      </w:r>
      <w:r>
        <w:rPr>
          <w:color w:val="58595B"/>
          <w:spacing w:val="-11"/>
        </w:rPr>
        <w:t xml:space="preserve"> </w:t>
      </w:r>
      <w:r>
        <w:rPr>
          <w:color w:val="58595B"/>
        </w:rPr>
        <w:t>of</w:t>
      </w:r>
      <w:r>
        <w:rPr>
          <w:color w:val="58595B"/>
          <w:spacing w:val="-11"/>
        </w:rPr>
        <w:t xml:space="preserve"> </w:t>
      </w:r>
      <w:r>
        <w:rPr>
          <w:color w:val="58595B"/>
        </w:rPr>
        <w:t>the</w:t>
      </w:r>
      <w:r>
        <w:rPr>
          <w:color w:val="58595B"/>
          <w:spacing w:val="-11"/>
        </w:rPr>
        <w:t xml:space="preserve"> </w:t>
      </w:r>
      <w:r>
        <w:rPr>
          <w:color w:val="58595B"/>
        </w:rPr>
        <w:t>regulatory</w:t>
      </w:r>
      <w:r>
        <w:rPr>
          <w:color w:val="58595B"/>
          <w:spacing w:val="-11"/>
        </w:rPr>
        <w:t xml:space="preserve"> </w:t>
      </w:r>
      <w:r>
        <w:rPr>
          <w:color w:val="58595B"/>
        </w:rPr>
        <w:t>task</w:t>
      </w:r>
      <w:r>
        <w:rPr>
          <w:color w:val="58595B"/>
          <w:spacing w:val="-11"/>
        </w:rPr>
        <w:t xml:space="preserve"> </w:t>
      </w:r>
      <w:r>
        <w:rPr>
          <w:color w:val="58595B"/>
        </w:rPr>
        <w:t>–</w:t>
      </w:r>
      <w:r>
        <w:rPr>
          <w:color w:val="58595B"/>
          <w:spacing w:val="-11"/>
        </w:rPr>
        <w:t xml:space="preserve"> </w:t>
      </w:r>
      <w:r>
        <w:rPr>
          <w:color w:val="58595B"/>
        </w:rPr>
        <w:t>in</w:t>
      </w:r>
      <w:r>
        <w:rPr>
          <w:color w:val="58595B"/>
          <w:spacing w:val="-11"/>
        </w:rPr>
        <w:t xml:space="preserve"> </w:t>
      </w:r>
      <w:r>
        <w:rPr>
          <w:color w:val="58595B"/>
          <w:spacing w:val="-3"/>
        </w:rPr>
        <w:t xml:space="preserve">particular, </w:t>
      </w:r>
      <w:r>
        <w:rPr>
          <w:color w:val="58595B"/>
        </w:rPr>
        <w:t>its complexity and the volume of decisions – and the sectors subject to the regulation.</w:t>
      </w:r>
      <w:r>
        <w:rPr>
          <w:color w:val="58595B"/>
          <w:spacing w:val="5"/>
        </w:rPr>
        <w:t xml:space="preserve"> </w:t>
      </w:r>
      <w:r>
        <w:rPr>
          <w:color w:val="58595B"/>
        </w:rPr>
        <w:t>When</w:t>
      </w:r>
    </w:p>
    <w:p w14:paraId="1AAFED23" w14:textId="77777777" w:rsidR="00724131" w:rsidRDefault="00823349">
      <w:pPr>
        <w:pStyle w:val="BodyText"/>
        <w:spacing w:before="2" w:line="280" w:lineRule="auto"/>
        <w:ind w:left="1417" w:right="228"/>
        <w:rPr>
          <w:sz w:val="11"/>
        </w:rPr>
      </w:pPr>
      <w:r>
        <w:rPr>
          <w:color w:val="58595B"/>
        </w:rPr>
        <w:t>a regulator has a separate governing body and chief executive, clearly defining the levels of decision making and their allocation between the governing body and the chief executive (or management levels) is important.</w:t>
      </w:r>
      <w:r>
        <w:rPr>
          <w:color w:val="58595B"/>
          <w:position w:val="7"/>
          <w:sz w:val="11"/>
        </w:rPr>
        <w:t>19</w:t>
      </w:r>
    </w:p>
    <w:p w14:paraId="6A2920C5" w14:textId="77777777" w:rsidR="00724131" w:rsidRDefault="00823349">
      <w:pPr>
        <w:pStyle w:val="BodyText"/>
        <w:spacing w:before="172"/>
        <w:ind w:left="1417" w:right="228"/>
      </w:pPr>
      <w:r>
        <w:rPr>
          <w:color w:val="58595B"/>
        </w:rPr>
        <w:t>The OECD identifies three main governance structures for independent regulators:</w:t>
      </w:r>
    </w:p>
    <w:p w14:paraId="46DB033A" w14:textId="77777777" w:rsidR="00724131" w:rsidRDefault="00823349">
      <w:pPr>
        <w:pStyle w:val="ListParagraph"/>
        <w:numPr>
          <w:ilvl w:val="2"/>
          <w:numId w:val="31"/>
        </w:numPr>
        <w:tabs>
          <w:tab w:val="left" w:pos="1588"/>
        </w:tabs>
        <w:spacing w:before="153" w:line="280" w:lineRule="auto"/>
        <w:ind w:right="627" w:hanging="170"/>
        <w:rPr>
          <w:sz w:val="20"/>
        </w:rPr>
      </w:pPr>
      <w:r>
        <w:rPr>
          <w:color w:val="58595B"/>
          <w:sz w:val="20"/>
        </w:rPr>
        <w:t>Governance board model – the board is primarily responsible for the oversight, strategic guidance and operational policy of the regulator, with regulatory decision making functions largely delegated by the chief executive</w:t>
      </w:r>
      <w:r>
        <w:rPr>
          <w:color w:val="58595B"/>
          <w:spacing w:val="1"/>
          <w:sz w:val="20"/>
        </w:rPr>
        <w:t xml:space="preserve"> </w:t>
      </w:r>
      <w:r>
        <w:rPr>
          <w:color w:val="58595B"/>
          <w:sz w:val="20"/>
        </w:rPr>
        <w:t>officer</w:t>
      </w:r>
    </w:p>
    <w:p w14:paraId="5B17A3DB" w14:textId="77777777" w:rsidR="00724131" w:rsidRDefault="00823349">
      <w:pPr>
        <w:pStyle w:val="ListParagraph"/>
        <w:numPr>
          <w:ilvl w:val="2"/>
          <w:numId w:val="31"/>
        </w:numPr>
        <w:tabs>
          <w:tab w:val="left" w:pos="1588"/>
        </w:tabs>
        <w:ind w:hanging="170"/>
        <w:rPr>
          <w:sz w:val="20"/>
        </w:rPr>
      </w:pPr>
      <w:r>
        <w:rPr>
          <w:color w:val="58595B"/>
          <w:sz w:val="20"/>
        </w:rPr>
        <w:t>Commission model – the commission itself makes most substantive, regulatory</w:t>
      </w:r>
      <w:r>
        <w:rPr>
          <w:color w:val="58595B"/>
          <w:spacing w:val="13"/>
          <w:sz w:val="20"/>
        </w:rPr>
        <w:t xml:space="preserve"> </w:t>
      </w:r>
      <w:r>
        <w:rPr>
          <w:color w:val="58595B"/>
          <w:sz w:val="20"/>
        </w:rPr>
        <w:t>decisions</w:t>
      </w:r>
    </w:p>
    <w:p w14:paraId="34F5F5F4" w14:textId="77777777" w:rsidR="00724131" w:rsidRDefault="00823349">
      <w:pPr>
        <w:pStyle w:val="ListParagraph"/>
        <w:numPr>
          <w:ilvl w:val="2"/>
          <w:numId w:val="31"/>
        </w:numPr>
        <w:tabs>
          <w:tab w:val="left" w:pos="1588"/>
        </w:tabs>
        <w:spacing w:before="153" w:line="280" w:lineRule="auto"/>
        <w:ind w:right="260" w:hanging="170"/>
        <w:rPr>
          <w:sz w:val="11"/>
        </w:rPr>
      </w:pPr>
      <w:r>
        <w:rPr>
          <w:color w:val="58595B"/>
          <w:sz w:val="20"/>
        </w:rPr>
        <w:t>Single member regulator – an individual is appointed as regulator and makes most substantive regulatory decisions and delegates other decisions to his or her</w:t>
      </w:r>
      <w:r>
        <w:rPr>
          <w:color w:val="58595B"/>
          <w:spacing w:val="29"/>
          <w:sz w:val="20"/>
        </w:rPr>
        <w:t xml:space="preserve"> </w:t>
      </w:r>
      <w:r>
        <w:rPr>
          <w:color w:val="58595B"/>
          <w:sz w:val="20"/>
        </w:rPr>
        <w:t>staff.</w:t>
      </w:r>
      <w:r>
        <w:rPr>
          <w:color w:val="58595B"/>
          <w:position w:val="7"/>
          <w:sz w:val="11"/>
        </w:rPr>
        <w:t>20</w:t>
      </w:r>
    </w:p>
    <w:p w14:paraId="48EC926C" w14:textId="6F1EF302" w:rsidR="00724131" w:rsidRDefault="00823349" w:rsidP="00C741DE">
      <w:pPr>
        <w:pStyle w:val="BodyText"/>
        <w:spacing w:before="172" w:line="280" w:lineRule="auto"/>
        <w:ind w:left="1417" w:right="228"/>
      </w:pPr>
      <w:r>
        <w:rPr>
          <w:color w:val="58595B"/>
        </w:rPr>
        <w:t>We did not consider the single member model, because this replicates deficiencies in the current structures. In particular, it does not provide the EPA with important oversight and guidance</w:t>
      </w:r>
      <w:r w:rsidR="00C741DE">
        <w:t xml:space="preserve"> </w:t>
      </w:r>
      <w:r>
        <w:rPr>
          <w:color w:val="58595B"/>
        </w:rPr>
        <w:t>on strategic direction.</w:t>
      </w:r>
    </w:p>
    <w:p w14:paraId="36BA1C84" w14:textId="77777777" w:rsidR="00724131" w:rsidRDefault="00724131">
      <w:pPr>
        <w:sectPr w:rsidR="00724131">
          <w:pgSz w:w="11910" w:h="16840"/>
          <w:pgMar w:top="980" w:right="1680" w:bottom="280" w:left="0" w:header="788" w:footer="0" w:gutter="0"/>
          <w:cols w:space="720"/>
        </w:sectPr>
      </w:pPr>
    </w:p>
    <w:p w14:paraId="1CE4C148" w14:textId="77777777" w:rsidR="00724131" w:rsidRDefault="00724131">
      <w:pPr>
        <w:pStyle w:val="BodyText"/>
      </w:pPr>
    </w:p>
    <w:p w14:paraId="0ED7AC05" w14:textId="77777777" w:rsidR="00724131" w:rsidRDefault="00724131">
      <w:pPr>
        <w:pStyle w:val="BodyText"/>
      </w:pPr>
    </w:p>
    <w:p w14:paraId="02EEEC86" w14:textId="77777777" w:rsidR="00724131" w:rsidRDefault="00724131">
      <w:pPr>
        <w:pStyle w:val="BodyText"/>
      </w:pPr>
    </w:p>
    <w:p w14:paraId="22F486B5" w14:textId="77777777" w:rsidR="00724131" w:rsidRDefault="00724131">
      <w:pPr>
        <w:pStyle w:val="BodyText"/>
      </w:pPr>
    </w:p>
    <w:p w14:paraId="19E07FD0" w14:textId="77777777" w:rsidR="00724131" w:rsidRDefault="00724131">
      <w:pPr>
        <w:pStyle w:val="BodyText"/>
        <w:spacing w:before="8"/>
        <w:rPr>
          <w:sz w:val="17"/>
        </w:rPr>
      </w:pPr>
    </w:p>
    <w:p w14:paraId="5493FF91" w14:textId="77777777" w:rsidR="00724131" w:rsidRDefault="00823349">
      <w:pPr>
        <w:pStyle w:val="BodyText"/>
        <w:spacing w:before="1" w:line="280" w:lineRule="auto"/>
        <w:ind w:left="134" w:right="1468"/>
      </w:pPr>
      <w:r>
        <w:rPr>
          <w:color w:val="58595B"/>
        </w:rPr>
        <w:t xml:space="preserve">We considered the commission model because of its potential to address some elements of the </w:t>
      </w:r>
      <w:r>
        <w:rPr>
          <w:color w:val="58595B"/>
          <w:spacing w:val="-7"/>
        </w:rPr>
        <w:t xml:space="preserve">EPA’s </w:t>
      </w:r>
      <w:r>
        <w:rPr>
          <w:color w:val="58595B"/>
        </w:rPr>
        <w:t xml:space="preserve">regulatory decision making task. Specifically, it provides a capacity for hearing matters   and adjudication. But we rejected the commission model for several reasons. First, we concluded that the existing mechanisms for the Victorian Civil and Administrative Tribunal to review </w:t>
      </w:r>
      <w:r>
        <w:rPr>
          <w:color w:val="58595B"/>
          <w:spacing w:val="-4"/>
        </w:rPr>
        <w:t xml:space="preserve">EPA </w:t>
      </w:r>
      <w:r>
        <w:rPr>
          <w:color w:val="58595B"/>
        </w:rPr>
        <w:t>decisions are appropriate and that further special provision for internal hearings or</w:t>
      </w:r>
      <w:r>
        <w:rPr>
          <w:color w:val="58595B"/>
          <w:spacing w:val="18"/>
        </w:rPr>
        <w:t xml:space="preserve"> </w:t>
      </w:r>
      <w:r>
        <w:rPr>
          <w:color w:val="58595B"/>
        </w:rPr>
        <w:t>reviews</w:t>
      </w:r>
    </w:p>
    <w:p w14:paraId="4CC02F92" w14:textId="77777777" w:rsidR="00724131" w:rsidRDefault="00823349">
      <w:pPr>
        <w:pStyle w:val="BodyText"/>
        <w:spacing w:before="2" w:line="280" w:lineRule="auto"/>
        <w:ind w:left="134" w:right="1680"/>
      </w:pPr>
      <w:r>
        <w:rPr>
          <w:color w:val="58595B"/>
        </w:rPr>
        <w:t xml:space="preserve">is not required. Second, commission model is of limited value for most </w:t>
      </w:r>
      <w:r>
        <w:rPr>
          <w:color w:val="58595B"/>
          <w:spacing w:val="-4"/>
        </w:rPr>
        <w:t xml:space="preserve">EPA </w:t>
      </w:r>
      <w:r>
        <w:rPr>
          <w:color w:val="58595B"/>
        </w:rPr>
        <w:t xml:space="preserve">decision making, which is delegated to authorised officers and involves technical staff, including often a range   of inputs from internal scientific and technical experts. Third, like the single member model, the commission model does not generally provide for corporate governance and strategic direction setting functions. We consider these are the most important features to be added to </w:t>
      </w:r>
      <w:r>
        <w:rPr>
          <w:color w:val="58595B"/>
          <w:spacing w:val="-7"/>
        </w:rPr>
        <w:t xml:space="preserve">EPA’s </w:t>
      </w:r>
      <w:r>
        <w:rPr>
          <w:color w:val="58595B"/>
        </w:rPr>
        <w:t>governance</w:t>
      </w:r>
      <w:r>
        <w:rPr>
          <w:color w:val="58595B"/>
          <w:spacing w:val="2"/>
        </w:rPr>
        <w:t xml:space="preserve"> </w:t>
      </w:r>
      <w:r>
        <w:rPr>
          <w:color w:val="58595B"/>
        </w:rPr>
        <w:t>structure.</w:t>
      </w:r>
    </w:p>
    <w:p w14:paraId="03EDE256" w14:textId="77777777" w:rsidR="00724131" w:rsidRDefault="00823349">
      <w:pPr>
        <w:pStyle w:val="BodyText"/>
        <w:spacing w:before="172" w:line="280" w:lineRule="auto"/>
        <w:ind w:left="134" w:right="2184"/>
      </w:pPr>
      <w:r>
        <w:rPr>
          <w:color w:val="58595B"/>
        </w:rPr>
        <w:t xml:space="preserve">We consider that the board model best provides the </w:t>
      </w:r>
      <w:r>
        <w:rPr>
          <w:color w:val="58595B"/>
          <w:spacing w:val="-4"/>
        </w:rPr>
        <w:t xml:space="preserve">EPA </w:t>
      </w:r>
      <w:r>
        <w:rPr>
          <w:color w:val="58595B"/>
        </w:rPr>
        <w:t>with a governance structure that provides strategic direction and oversight, and brings to this a range of expertise and experience. These functions are best located in a body that is not engaged in</w:t>
      </w:r>
      <w:r>
        <w:rPr>
          <w:color w:val="58595B"/>
          <w:spacing w:val="15"/>
        </w:rPr>
        <w:t xml:space="preserve"> </w:t>
      </w:r>
      <w:r>
        <w:rPr>
          <w:color w:val="58595B"/>
        </w:rPr>
        <w:t>day-to-day</w:t>
      </w:r>
    </w:p>
    <w:p w14:paraId="5810BF1A" w14:textId="77777777" w:rsidR="00724131" w:rsidRDefault="00823349">
      <w:pPr>
        <w:pStyle w:val="BodyText"/>
        <w:spacing w:before="2" w:line="280" w:lineRule="auto"/>
        <w:ind w:left="134" w:right="1911"/>
        <w:rPr>
          <w:sz w:val="11"/>
        </w:rPr>
      </w:pPr>
      <w:r>
        <w:rPr>
          <w:color w:val="58595B"/>
        </w:rPr>
        <w:t>operations or regulatory decision making. While the board would oversee the discharge of these responsibilities, regulatory decision making is best placed with the EPA CEO, with appropriate delegations.</w:t>
      </w:r>
      <w:r>
        <w:rPr>
          <w:color w:val="58595B"/>
          <w:position w:val="7"/>
          <w:sz w:val="11"/>
        </w:rPr>
        <w:t>21</w:t>
      </w:r>
    </w:p>
    <w:p w14:paraId="15803BB0" w14:textId="77777777" w:rsidR="00724131" w:rsidRDefault="00724131">
      <w:pPr>
        <w:pStyle w:val="BodyText"/>
        <w:spacing w:before="10"/>
        <w:rPr>
          <w:sz w:val="19"/>
        </w:rPr>
      </w:pPr>
    </w:p>
    <w:p w14:paraId="737E9059" w14:textId="77777777" w:rsidR="00724131" w:rsidRDefault="00823349">
      <w:pPr>
        <w:ind w:left="134" w:right="228"/>
        <w:rPr>
          <w:i/>
          <w:sz w:val="20"/>
        </w:rPr>
      </w:pPr>
      <w:r>
        <w:rPr>
          <w:i/>
          <w:color w:val="6D6E71"/>
          <w:sz w:val="20"/>
        </w:rPr>
        <w:t>Accountability and transparency</w:t>
      </w:r>
    </w:p>
    <w:p w14:paraId="59749620" w14:textId="77777777" w:rsidR="00724131" w:rsidRDefault="00823349">
      <w:pPr>
        <w:spacing w:before="125" w:line="280" w:lineRule="auto"/>
        <w:ind w:left="701" w:right="1911"/>
        <w:rPr>
          <w:i/>
          <w:sz w:val="20"/>
        </w:rPr>
      </w:pPr>
      <w:r>
        <w:rPr>
          <w:i/>
          <w:color w:val="231F20"/>
          <w:sz w:val="20"/>
        </w:rPr>
        <w:t>Regulators can avoid actual or perceived influences by simply being more open and transparent about their decisions. … Making such justifications or the reasoning behind the decision open to full public scrutiny is important to achieve not only good regulatory outcomes but also support more fundamental issues such as the rule</w:t>
      </w:r>
    </w:p>
    <w:p w14:paraId="68B023C3" w14:textId="77777777" w:rsidR="00724131" w:rsidRDefault="00823349">
      <w:pPr>
        <w:spacing w:before="2"/>
        <w:ind w:left="701" w:right="228"/>
        <w:rPr>
          <w:sz w:val="11"/>
        </w:rPr>
      </w:pPr>
      <w:r>
        <w:rPr>
          <w:i/>
          <w:color w:val="231F20"/>
          <w:sz w:val="20"/>
        </w:rPr>
        <w:t>of law.</w:t>
      </w:r>
      <w:r>
        <w:rPr>
          <w:color w:val="231F20"/>
          <w:position w:val="7"/>
          <w:sz w:val="11"/>
        </w:rPr>
        <w:t>22</w:t>
      </w:r>
    </w:p>
    <w:p w14:paraId="4858DD63" w14:textId="77777777" w:rsidR="00724131" w:rsidRDefault="00724131">
      <w:pPr>
        <w:pStyle w:val="BodyText"/>
        <w:spacing w:before="3"/>
        <w:rPr>
          <w:sz w:val="18"/>
        </w:rPr>
      </w:pPr>
    </w:p>
    <w:p w14:paraId="1431E7E0" w14:textId="77777777" w:rsidR="00724131" w:rsidRDefault="00823349">
      <w:pPr>
        <w:pStyle w:val="BodyText"/>
        <w:spacing w:line="280" w:lineRule="auto"/>
        <w:ind w:left="134" w:right="1337"/>
      </w:pPr>
      <w:r>
        <w:rPr>
          <w:color w:val="58595B"/>
        </w:rPr>
        <w:t>The EPA is accountable to three groups of stakeholders: the minister, regulated entities, and the public.</w:t>
      </w:r>
      <w:r>
        <w:rPr>
          <w:color w:val="58595B"/>
          <w:position w:val="7"/>
          <w:sz w:val="11"/>
        </w:rPr>
        <w:t xml:space="preserve">23 </w:t>
      </w:r>
      <w:r>
        <w:rPr>
          <w:color w:val="58595B"/>
        </w:rPr>
        <w:t>Accountability that demonstrates the regulator is properly using its statutory powers and resources builds confidence and strengthens the regulator’s authority.</w:t>
      </w:r>
    </w:p>
    <w:p w14:paraId="599925BC" w14:textId="77777777" w:rsidR="00724131" w:rsidRDefault="00823349">
      <w:pPr>
        <w:pStyle w:val="BodyText"/>
        <w:spacing w:before="172" w:line="280" w:lineRule="auto"/>
        <w:ind w:left="134" w:right="1468"/>
        <w:rPr>
          <w:sz w:val="11"/>
        </w:rPr>
      </w:pPr>
      <w:r>
        <w:rPr>
          <w:color w:val="58595B"/>
        </w:rPr>
        <w:t>We consider performance evaluation to be a key element of accountability – requiring the regulator to track outcomes, be aware of the impacts of its regulatory actions and decisions, and be transparent about these. This helps drive internal improvements to systems and processes, and build confidence in the regulatory system.</w:t>
      </w:r>
      <w:r>
        <w:rPr>
          <w:color w:val="58595B"/>
          <w:position w:val="7"/>
          <w:sz w:val="11"/>
        </w:rPr>
        <w:t>24</w:t>
      </w:r>
    </w:p>
    <w:p w14:paraId="63498153" w14:textId="77777777" w:rsidR="00724131" w:rsidRDefault="00724131">
      <w:pPr>
        <w:pStyle w:val="BodyText"/>
        <w:spacing w:before="1"/>
        <w:rPr>
          <w:sz w:val="19"/>
        </w:rPr>
      </w:pPr>
    </w:p>
    <w:p w14:paraId="15F339CD" w14:textId="77777777" w:rsidR="00724131" w:rsidRDefault="00823349">
      <w:pPr>
        <w:pStyle w:val="Heading3"/>
        <w:numPr>
          <w:ilvl w:val="1"/>
          <w:numId w:val="33"/>
        </w:numPr>
        <w:tabs>
          <w:tab w:val="left" w:pos="719"/>
        </w:tabs>
        <w:ind w:left="718" w:hanging="584"/>
        <w:jc w:val="left"/>
      </w:pPr>
      <w:r>
        <w:rPr>
          <w:color w:val="0095A7"/>
        </w:rPr>
        <w:t>A legislated governance structure for the</w:t>
      </w:r>
      <w:r>
        <w:rPr>
          <w:color w:val="0095A7"/>
          <w:spacing w:val="44"/>
        </w:rPr>
        <w:t xml:space="preserve"> </w:t>
      </w:r>
      <w:r>
        <w:rPr>
          <w:color w:val="0095A7"/>
        </w:rPr>
        <w:t>future</w:t>
      </w:r>
    </w:p>
    <w:p w14:paraId="2EFD2F7C" w14:textId="77777777" w:rsidR="00724131" w:rsidRDefault="00823349">
      <w:pPr>
        <w:spacing w:before="145" w:line="280" w:lineRule="auto"/>
        <w:ind w:left="701" w:right="2184"/>
        <w:rPr>
          <w:sz w:val="11"/>
        </w:rPr>
      </w:pPr>
      <w:r>
        <w:rPr>
          <w:i/>
          <w:color w:val="231F20"/>
          <w:sz w:val="20"/>
        </w:rPr>
        <w:t>Improving the governance arrangements of regulators can benefit the community by enhancing the effectiveness of regulators and, ultimately, the achievement of important public policy goals.</w:t>
      </w:r>
      <w:r>
        <w:rPr>
          <w:color w:val="231F20"/>
          <w:position w:val="7"/>
          <w:sz w:val="11"/>
        </w:rPr>
        <w:t>25</w:t>
      </w:r>
    </w:p>
    <w:p w14:paraId="421382DC" w14:textId="4F0A2884" w:rsidR="00724131" w:rsidRDefault="00823349">
      <w:pPr>
        <w:pStyle w:val="BodyText"/>
        <w:spacing w:before="172" w:line="280" w:lineRule="auto"/>
        <w:ind w:left="134" w:right="1530"/>
      </w:pPr>
      <w:r>
        <w:rPr>
          <w:color w:val="58595B"/>
        </w:rPr>
        <w:t xml:space="preserve">There is a compelling case for legislative reform to provide the </w:t>
      </w:r>
      <w:r>
        <w:rPr>
          <w:color w:val="58595B"/>
          <w:spacing w:val="-4"/>
        </w:rPr>
        <w:t xml:space="preserve">EPA </w:t>
      </w:r>
      <w:r>
        <w:rPr>
          <w:color w:val="58595B"/>
        </w:rPr>
        <w:t>with properly constituted</w:t>
      </w:r>
      <w:r w:rsidR="00791987">
        <w:rPr>
          <w:color w:val="58595B"/>
        </w:rPr>
        <w:br/>
      </w:r>
      <w:r>
        <w:rPr>
          <w:color w:val="58595B"/>
        </w:rPr>
        <w:t xml:space="preserve">and enduring governance arrangements consistent with best practice governance principles for regulatory bodies. Our recommendations also seek to formalise specific features that strengthen the </w:t>
      </w:r>
      <w:r>
        <w:rPr>
          <w:color w:val="58595B"/>
          <w:spacing w:val="-7"/>
        </w:rPr>
        <w:t xml:space="preserve">EPA’s </w:t>
      </w:r>
      <w:r>
        <w:rPr>
          <w:color w:val="58595B"/>
        </w:rPr>
        <w:t>influence and authority as a specialist science-based</w:t>
      </w:r>
      <w:r>
        <w:rPr>
          <w:color w:val="58595B"/>
          <w:spacing w:val="26"/>
        </w:rPr>
        <w:t xml:space="preserve"> </w:t>
      </w:r>
      <w:r>
        <w:rPr>
          <w:color w:val="58595B"/>
        </w:rPr>
        <w:t>regulator.</w:t>
      </w:r>
    </w:p>
    <w:p w14:paraId="01901176" w14:textId="77777777" w:rsidR="00724131" w:rsidRDefault="00823349">
      <w:pPr>
        <w:pStyle w:val="BodyText"/>
        <w:spacing w:before="172" w:line="280" w:lineRule="auto"/>
        <w:ind w:left="134" w:right="789"/>
      </w:pPr>
      <w:r>
        <w:rPr>
          <w:color w:val="58595B"/>
        </w:rPr>
        <w:t>Our recommended governance structure addresses the acknowledged deficiencies of the current structure and will support the broader reforms proposed in this report.</w:t>
      </w:r>
    </w:p>
    <w:p w14:paraId="0EFA7FB0" w14:textId="77777777" w:rsidR="00724131" w:rsidRDefault="00724131">
      <w:pPr>
        <w:spacing w:line="280" w:lineRule="auto"/>
        <w:sectPr w:rsidR="00724131">
          <w:pgSz w:w="11910" w:h="16840"/>
          <w:pgMar w:top="980" w:right="0" w:bottom="280" w:left="1680" w:header="788" w:footer="0" w:gutter="0"/>
          <w:cols w:space="720"/>
        </w:sectPr>
      </w:pPr>
    </w:p>
    <w:p w14:paraId="3B012FAC" w14:textId="77777777" w:rsidR="00724131" w:rsidRDefault="00724131">
      <w:pPr>
        <w:pStyle w:val="BodyText"/>
      </w:pPr>
    </w:p>
    <w:p w14:paraId="378EA952" w14:textId="77777777" w:rsidR="00724131" w:rsidRDefault="00724131">
      <w:pPr>
        <w:pStyle w:val="BodyText"/>
      </w:pPr>
    </w:p>
    <w:p w14:paraId="77028A0C" w14:textId="77777777" w:rsidR="00724131" w:rsidRDefault="00724131">
      <w:pPr>
        <w:pStyle w:val="BodyText"/>
      </w:pPr>
    </w:p>
    <w:p w14:paraId="3776F7B4" w14:textId="77777777" w:rsidR="00724131" w:rsidRDefault="00724131">
      <w:pPr>
        <w:pStyle w:val="BodyText"/>
      </w:pPr>
    </w:p>
    <w:p w14:paraId="6A098C47" w14:textId="77777777" w:rsidR="00724131" w:rsidRDefault="00724131">
      <w:pPr>
        <w:pStyle w:val="BodyText"/>
        <w:spacing w:before="8"/>
        <w:rPr>
          <w:sz w:val="17"/>
        </w:rPr>
      </w:pPr>
    </w:p>
    <w:p w14:paraId="0B578279" w14:textId="77777777" w:rsidR="00724131" w:rsidRDefault="00823349">
      <w:pPr>
        <w:pStyle w:val="BodyText"/>
        <w:spacing w:before="1" w:line="280" w:lineRule="auto"/>
        <w:ind w:left="1417" w:right="228"/>
      </w:pPr>
      <w:r>
        <w:rPr>
          <w:color w:val="58595B"/>
        </w:rPr>
        <w:t>In summary, we recommend including the following specific governance elements in the proposed EPA (Establishment) Act:</w:t>
      </w:r>
    </w:p>
    <w:p w14:paraId="3735070B" w14:textId="77777777" w:rsidR="00724131" w:rsidRDefault="00823349">
      <w:pPr>
        <w:pStyle w:val="ListParagraph"/>
        <w:numPr>
          <w:ilvl w:val="2"/>
          <w:numId w:val="31"/>
        </w:numPr>
        <w:tabs>
          <w:tab w:val="left" w:pos="1588"/>
        </w:tabs>
        <w:ind w:hanging="170"/>
        <w:rPr>
          <w:sz w:val="20"/>
        </w:rPr>
      </w:pPr>
      <w:r>
        <w:rPr>
          <w:color w:val="58595B"/>
          <w:sz w:val="20"/>
        </w:rPr>
        <w:t xml:space="preserve">create the </w:t>
      </w:r>
      <w:r>
        <w:rPr>
          <w:color w:val="58595B"/>
          <w:spacing w:val="-4"/>
          <w:sz w:val="20"/>
        </w:rPr>
        <w:t xml:space="preserve">EPA </w:t>
      </w:r>
      <w:r>
        <w:rPr>
          <w:color w:val="58595B"/>
          <w:sz w:val="20"/>
        </w:rPr>
        <w:t>as an independent statutory</w:t>
      </w:r>
      <w:r>
        <w:rPr>
          <w:color w:val="58595B"/>
          <w:spacing w:val="16"/>
          <w:sz w:val="20"/>
        </w:rPr>
        <w:t xml:space="preserve"> </w:t>
      </w:r>
      <w:r>
        <w:rPr>
          <w:color w:val="58595B"/>
          <w:sz w:val="20"/>
        </w:rPr>
        <w:t>authority</w:t>
      </w:r>
    </w:p>
    <w:p w14:paraId="085BF57C" w14:textId="77777777" w:rsidR="00724131" w:rsidRDefault="00823349">
      <w:pPr>
        <w:pStyle w:val="ListParagraph"/>
        <w:numPr>
          <w:ilvl w:val="2"/>
          <w:numId w:val="31"/>
        </w:numPr>
        <w:tabs>
          <w:tab w:val="left" w:pos="1588"/>
        </w:tabs>
        <w:spacing w:before="153" w:line="280" w:lineRule="auto"/>
        <w:ind w:right="256" w:hanging="170"/>
        <w:rPr>
          <w:sz w:val="20"/>
        </w:rPr>
      </w:pPr>
      <w:r>
        <w:rPr>
          <w:color w:val="58595B"/>
          <w:sz w:val="20"/>
        </w:rPr>
        <w:t xml:space="preserve">establish a seven member Board responsible for strategic direction, and oversight of corporate governance and the discharge of the regulatory approach – to include two members with specified qualifications or experience to support </w:t>
      </w:r>
      <w:r>
        <w:rPr>
          <w:color w:val="58595B"/>
          <w:spacing w:val="-3"/>
          <w:sz w:val="20"/>
        </w:rPr>
        <w:t xml:space="preserve">key </w:t>
      </w:r>
      <w:r>
        <w:rPr>
          <w:color w:val="58595B"/>
          <w:sz w:val="20"/>
        </w:rPr>
        <w:t xml:space="preserve">elements of the </w:t>
      </w:r>
      <w:r>
        <w:rPr>
          <w:color w:val="58595B"/>
          <w:spacing w:val="-7"/>
          <w:sz w:val="20"/>
        </w:rPr>
        <w:t xml:space="preserve">EPA’s </w:t>
      </w:r>
      <w:r>
        <w:rPr>
          <w:color w:val="58595B"/>
          <w:sz w:val="20"/>
        </w:rPr>
        <w:t>task (in particular,  a member nominated by the Minister for</w:t>
      </w:r>
      <w:r>
        <w:rPr>
          <w:color w:val="58595B"/>
          <w:spacing w:val="-14"/>
          <w:sz w:val="20"/>
        </w:rPr>
        <w:t xml:space="preserve"> </w:t>
      </w:r>
      <w:r>
        <w:rPr>
          <w:color w:val="58595B"/>
          <w:sz w:val="20"/>
        </w:rPr>
        <w:t>Health)</w:t>
      </w:r>
    </w:p>
    <w:p w14:paraId="4AE54A46" w14:textId="77777777" w:rsidR="00724131" w:rsidRDefault="00823349">
      <w:pPr>
        <w:pStyle w:val="ListParagraph"/>
        <w:numPr>
          <w:ilvl w:val="2"/>
          <w:numId w:val="31"/>
        </w:numPr>
        <w:tabs>
          <w:tab w:val="left" w:pos="1588"/>
        </w:tabs>
        <w:spacing w:line="280" w:lineRule="auto"/>
        <w:ind w:right="857" w:hanging="170"/>
        <w:rPr>
          <w:sz w:val="20"/>
        </w:rPr>
      </w:pPr>
      <w:r>
        <w:rPr>
          <w:color w:val="58595B"/>
          <w:sz w:val="20"/>
        </w:rPr>
        <w:t>establish a legislated Science, Engineering and Health subcommittee of the Board, with members including external experts and Victoria’s Chief Health</w:t>
      </w:r>
      <w:r>
        <w:rPr>
          <w:color w:val="58595B"/>
          <w:spacing w:val="8"/>
          <w:sz w:val="20"/>
        </w:rPr>
        <w:t xml:space="preserve"> </w:t>
      </w:r>
      <w:r>
        <w:rPr>
          <w:color w:val="58595B"/>
          <w:spacing w:val="2"/>
          <w:sz w:val="20"/>
        </w:rPr>
        <w:t>Officer</w:t>
      </w:r>
    </w:p>
    <w:p w14:paraId="595F2A0F" w14:textId="77777777" w:rsidR="00724131" w:rsidRDefault="00823349">
      <w:pPr>
        <w:pStyle w:val="ListParagraph"/>
        <w:numPr>
          <w:ilvl w:val="2"/>
          <w:numId w:val="31"/>
        </w:numPr>
        <w:tabs>
          <w:tab w:val="left" w:pos="1588"/>
        </w:tabs>
        <w:spacing w:line="280" w:lineRule="auto"/>
        <w:ind w:right="639" w:hanging="170"/>
        <w:rPr>
          <w:sz w:val="20"/>
        </w:rPr>
      </w:pPr>
      <w:r>
        <w:rPr>
          <w:color w:val="58595B"/>
          <w:sz w:val="20"/>
        </w:rPr>
        <w:t>legislate the functions of the Board and the CEO – and vest responsibility for all regulatory decision making in the</w:t>
      </w:r>
      <w:r>
        <w:rPr>
          <w:color w:val="58595B"/>
          <w:spacing w:val="3"/>
          <w:sz w:val="20"/>
        </w:rPr>
        <w:t xml:space="preserve"> </w:t>
      </w:r>
      <w:r>
        <w:rPr>
          <w:color w:val="58595B"/>
          <w:sz w:val="20"/>
        </w:rPr>
        <w:t>CEO</w:t>
      </w:r>
    </w:p>
    <w:p w14:paraId="32DD57FE" w14:textId="77777777" w:rsidR="00724131" w:rsidRDefault="00823349">
      <w:pPr>
        <w:pStyle w:val="ListParagraph"/>
        <w:numPr>
          <w:ilvl w:val="2"/>
          <w:numId w:val="31"/>
        </w:numPr>
        <w:tabs>
          <w:tab w:val="left" w:pos="1588"/>
        </w:tabs>
        <w:ind w:hanging="170"/>
        <w:rPr>
          <w:sz w:val="20"/>
        </w:rPr>
      </w:pPr>
      <w:r>
        <w:rPr>
          <w:color w:val="58595B"/>
          <w:sz w:val="20"/>
        </w:rPr>
        <w:t>specify that the CEO should have science or engineering qualifications or</w:t>
      </w:r>
      <w:r>
        <w:rPr>
          <w:color w:val="58595B"/>
          <w:spacing w:val="23"/>
          <w:sz w:val="20"/>
        </w:rPr>
        <w:t xml:space="preserve"> </w:t>
      </w:r>
      <w:r>
        <w:rPr>
          <w:color w:val="58595B"/>
          <w:sz w:val="20"/>
        </w:rPr>
        <w:t>experience</w:t>
      </w:r>
    </w:p>
    <w:p w14:paraId="70857D3E" w14:textId="77777777" w:rsidR="00724131" w:rsidRDefault="00823349">
      <w:pPr>
        <w:pStyle w:val="ListParagraph"/>
        <w:numPr>
          <w:ilvl w:val="2"/>
          <w:numId w:val="31"/>
        </w:numPr>
        <w:tabs>
          <w:tab w:val="left" w:pos="1588"/>
        </w:tabs>
        <w:spacing w:before="153" w:line="280" w:lineRule="auto"/>
        <w:ind w:right="635" w:hanging="170"/>
        <w:rPr>
          <w:sz w:val="20"/>
        </w:rPr>
      </w:pPr>
      <w:r>
        <w:rPr>
          <w:color w:val="58595B"/>
          <w:sz w:val="20"/>
        </w:rPr>
        <w:t xml:space="preserve">establish a legislated role of Chief Environmental Scientist as part of the </w:t>
      </w:r>
      <w:r>
        <w:rPr>
          <w:color w:val="58595B"/>
          <w:spacing w:val="-4"/>
          <w:sz w:val="20"/>
        </w:rPr>
        <w:t xml:space="preserve">EPA </w:t>
      </w:r>
      <w:r>
        <w:rPr>
          <w:color w:val="58595B"/>
          <w:sz w:val="20"/>
        </w:rPr>
        <w:t>executive, to support enhanced technical capability and advisory</w:t>
      </w:r>
      <w:r>
        <w:rPr>
          <w:color w:val="58595B"/>
          <w:spacing w:val="30"/>
          <w:sz w:val="20"/>
        </w:rPr>
        <w:t xml:space="preserve"> </w:t>
      </w:r>
      <w:r>
        <w:rPr>
          <w:color w:val="58595B"/>
          <w:sz w:val="20"/>
        </w:rPr>
        <w:t>functions.</w:t>
      </w:r>
    </w:p>
    <w:p w14:paraId="4C22A8C9" w14:textId="77777777" w:rsidR="00724131" w:rsidRDefault="00823349">
      <w:pPr>
        <w:pStyle w:val="BodyText"/>
        <w:spacing w:before="172" w:line="280" w:lineRule="auto"/>
        <w:ind w:left="1417" w:right="488"/>
      </w:pPr>
      <w:r>
        <w:rPr>
          <w:color w:val="58595B"/>
        </w:rPr>
        <w:t>The focus on expertise is an important strand running through the proposed governance structure, reflecting our strong view of the EPA’s distinctive role as a science-based regulator. It underpins its capacity to influence and provide effective protection of human health and the environment. The governance structure provides an opportunity to communicate, support and enhance this role at the highest level.</w:t>
      </w:r>
    </w:p>
    <w:p w14:paraId="68B20B32" w14:textId="77777777" w:rsidR="00724131" w:rsidRDefault="00724131">
      <w:pPr>
        <w:pStyle w:val="BodyText"/>
        <w:spacing w:before="1"/>
        <w:rPr>
          <w:sz w:val="19"/>
        </w:rPr>
      </w:pPr>
    </w:p>
    <w:p w14:paraId="116477C0" w14:textId="77777777" w:rsidR="00724131" w:rsidRDefault="00823349">
      <w:pPr>
        <w:pStyle w:val="Heading3"/>
        <w:numPr>
          <w:ilvl w:val="1"/>
          <w:numId w:val="33"/>
        </w:numPr>
        <w:tabs>
          <w:tab w:val="left" w:pos="2001"/>
        </w:tabs>
        <w:ind w:left="2000" w:hanging="583"/>
        <w:jc w:val="left"/>
      </w:pPr>
      <w:r>
        <w:rPr>
          <w:color w:val="0095A7"/>
        </w:rPr>
        <w:t xml:space="preserve">Clarifying the </w:t>
      </w:r>
      <w:r>
        <w:rPr>
          <w:color w:val="0095A7"/>
          <w:spacing w:val="-6"/>
        </w:rPr>
        <w:t xml:space="preserve">EPA’S STATUS </w:t>
      </w:r>
      <w:r>
        <w:rPr>
          <w:color w:val="0095A7"/>
        </w:rPr>
        <w:t>as an independent statutory authority</w:t>
      </w:r>
    </w:p>
    <w:p w14:paraId="5652BA85" w14:textId="77777777" w:rsidR="00724131" w:rsidRDefault="00823349">
      <w:pPr>
        <w:spacing w:before="145" w:line="280" w:lineRule="auto"/>
        <w:ind w:left="1984" w:right="695"/>
        <w:rPr>
          <w:i/>
          <w:sz w:val="20"/>
        </w:rPr>
      </w:pPr>
      <w:r>
        <w:rPr>
          <w:i/>
          <w:color w:val="231F20"/>
          <w:sz w:val="20"/>
        </w:rPr>
        <w:t xml:space="preserve">The EPA’s statutory independence and standing as an ‘authority’ is valued. The independence of the Environment Protection Board and the Authority under its Chief Executive Officer to impartially and objectively deal with environment protection issues is a key factor in its achievements to date and should be preserved in the future. </w:t>
      </w:r>
      <w:r>
        <w:rPr>
          <w:color w:val="231F20"/>
          <w:sz w:val="20"/>
        </w:rPr>
        <w:t>(Planning Institute of Australia Victoria submission, p. 1)</w:t>
      </w:r>
      <w:r>
        <w:rPr>
          <w:i/>
          <w:color w:val="231F20"/>
          <w:sz w:val="20"/>
        </w:rPr>
        <w:t>.</w:t>
      </w:r>
    </w:p>
    <w:p w14:paraId="3ECA5BE1" w14:textId="77777777" w:rsidR="00724131" w:rsidRDefault="00823349">
      <w:pPr>
        <w:pStyle w:val="BodyText"/>
        <w:spacing w:before="172"/>
        <w:ind w:left="1417" w:right="228"/>
      </w:pPr>
      <w:r>
        <w:rPr>
          <w:color w:val="58595B"/>
        </w:rPr>
        <w:t>Regulatory independence is primarily about ensuring the integrity of decision making processes</w:t>
      </w:r>
    </w:p>
    <w:p w14:paraId="74339F3A" w14:textId="77777777" w:rsidR="00724131" w:rsidRDefault="00823349">
      <w:pPr>
        <w:pStyle w:val="BodyText"/>
        <w:spacing w:before="40" w:line="280" w:lineRule="auto"/>
        <w:ind w:left="1417" w:right="508"/>
        <w:rPr>
          <w:sz w:val="11"/>
        </w:rPr>
      </w:pPr>
      <w:r>
        <w:rPr>
          <w:color w:val="58595B"/>
        </w:rPr>
        <w:t>– in particular, that individual regulatory decisions are not subject to direction by executive government.</w:t>
      </w:r>
      <w:r>
        <w:rPr>
          <w:color w:val="58595B"/>
          <w:position w:val="7"/>
          <w:sz w:val="11"/>
        </w:rPr>
        <w:t xml:space="preserve">26 </w:t>
      </w:r>
      <w:r>
        <w:rPr>
          <w:color w:val="58595B"/>
        </w:rPr>
        <w:t xml:space="preserve">The </w:t>
      </w:r>
      <w:r>
        <w:rPr>
          <w:color w:val="58595B"/>
          <w:spacing w:val="-4"/>
        </w:rPr>
        <w:t xml:space="preserve">EPA </w:t>
      </w:r>
      <w:r>
        <w:rPr>
          <w:color w:val="58595B"/>
        </w:rPr>
        <w:t xml:space="preserve">must be seen as independent </w:t>
      </w:r>
      <w:r>
        <w:rPr>
          <w:color w:val="58595B"/>
          <w:spacing w:val="-7"/>
        </w:rPr>
        <w:t xml:space="preserve">‘… </w:t>
      </w:r>
      <w:r>
        <w:rPr>
          <w:color w:val="58595B"/>
        </w:rPr>
        <w:t>to maintain public confidence in the objectivity and impartiality of decisions’.</w:t>
      </w:r>
      <w:r>
        <w:rPr>
          <w:color w:val="58595B"/>
          <w:position w:val="7"/>
          <w:sz w:val="11"/>
        </w:rPr>
        <w:t xml:space="preserve">27  </w:t>
      </w:r>
      <w:r>
        <w:rPr>
          <w:color w:val="58595B"/>
        </w:rPr>
        <w:t>This is particularly important for a regulator, such  as the EPA, that deals with government entities on a range of issues, such as: licensing water authorities, requiring statutory environmental audits of contamination and issuing clean up notices,</w:t>
      </w:r>
      <w:r>
        <w:rPr>
          <w:color w:val="58595B"/>
          <w:position w:val="7"/>
          <w:sz w:val="11"/>
        </w:rPr>
        <w:t xml:space="preserve">28  </w:t>
      </w:r>
      <w:r>
        <w:rPr>
          <w:color w:val="58595B"/>
        </w:rPr>
        <w:t>and assessing works approvals for major</w:t>
      </w:r>
      <w:r>
        <w:rPr>
          <w:color w:val="58595B"/>
          <w:spacing w:val="25"/>
        </w:rPr>
        <w:t xml:space="preserve"> </w:t>
      </w:r>
      <w:r>
        <w:rPr>
          <w:color w:val="58595B"/>
        </w:rPr>
        <w:t>infrastructure.</w:t>
      </w:r>
      <w:r>
        <w:rPr>
          <w:color w:val="58595B"/>
          <w:position w:val="7"/>
          <w:sz w:val="11"/>
        </w:rPr>
        <w:t>29</w:t>
      </w:r>
    </w:p>
    <w:p w14:paraId="7B7061C3" w14:textId="33A3EB79" w:rsidR="00724131" w:rsidRDefault="00823349">
      <w:pPr>
        <w:pStyle w:val="BodyText"/>
        <w:spacing w:before="172" w:line="280" w:lineRule="auto"/>
        <w:ind w:left="1417" w:right="368"/>
      </w:pPr>
      <w:r>
        <w:rPr>
          <w:color w:val="58595B"/>
        </w:rPr>
        <w:t xml:space="preserve">The </w:t>
      </w:r>
      <w:r>
        <w:rPr>
          <w:color w:val="58595B"/>
          <w:spacing w:val="-7"/>
        </w:rPr>
        <w:t xml:space="preserve">EPA’s </w:t>
      </w:r>
      <w:r>
        <w:rPr>
          <w:color w:val="58595B"/>
        </w:rPr>
        <w:t xml:space="preserve">current status is as an ‘administrative office’ of </w:t>
      </w:r>
      <w:r>
        <w:rPr>
          <w:color w:val="58595B"/>
          <w:spacing w:val="-6"/>
        </w:rPr>
        <w:t xml:space="preserve">DELWP. </w:t>
      </w:r>
      <w:r>
        <w:rPr>
          <w:color w:val="58595B"/>
        </w:rPr>
        <w:t xml:space="preserve">This status is not consistent with contemporary governance approaches for a public entity of this scale, which regulates both industry and government activities. We do not suggest that the current arrangements affect the integrity of the </w:t>
      </w:r>
      <w:r>
        <w:rPr>
          <w:color w:val="58595B"/>
          <w:spacing w:val="-7"/>
        </w:rPr>
        <w:t xml:space="preserve">EPA’s </w:t>
      </w:r>
      <w:r>
        <w:rPr>
          <w:color w:val="58595B"/>
        </w:rPr>
        <w:t>decisions, but we consider its legislative status should reflect</w:t>
      </w:r>
      <w:r w:rsidR="00791987">
        <w:rPr>
          <w:color w:val="58595B"/>
          <w:spacing w:val="32"/>
        </w:rPr>
        <w:t xml:space="preserve"> </w:t>
      </w:r>
      <w:r>
        <w:rPr>
          <w:color w:val="58595B"/>
        </w:rPr>
        <w:t>its</w:t>
      </w:r>
    </w:p>
    <w:p w14:paraId="2163730C" w14:textId="77777777" w:rsidR="00724131" w:rsidRDefault="00823349">
      <w:pPr>
        <w:pStyle w:val="BodyText"/>
        <w:spacing w:before="2" w:line="280" w:lineRule="auto"/>
        <w:ind w:left="1417" w:right="143"/>
      </w:pPr>
      <w:r>
        <w:rPr>
          <w:color w:val="58595B"/>
        </w:rPr>
        <w:t>independence of operation, and therefore recommend the EPA should be formally established as a non-departmental statutory corporation ’public entity’ in its own right.</w:t>
      </w:r>
    </w:p>
    <w:p w14:paraId="7F415AEA" w14:textId="77777777" w:rsidR="00724131" w:rsidRDefault="00724131">
      <w:pPr>
        <w:spacing w:line="280" w:lineRule="auto"/>
        <w:sectPr w:rsidR="00724131">
          <w:headerReference w:type="even" r:id="rId14"/>
          <w:headerReference w:type="default" r:id="rId15"/>
          <w:pgSz w:w="11910" w:h="16840"/>
          <w:pgMar w:top="980" w:right="1680" w:bottom="280" w:left="0" w:header="788" w:footer="0" w:gutter="0"/>
          <w:pgNumType w:start="330"/>
          <w:cols w:space="720"/>
        </w:sectPr>
      </w:pPr>
    </w:p>
    <w:p w14:paraId="0949AEC2" w14:textId="77777777" w:rsidR="00724131" w:rsidRDefault="00724131">
      <w:pPr>
        <w:pStyle w:val="BodyText"/>
      </w:pPr>
    </w:p>
    <w:p w14:paraId="6AC203BE" w14:textId="77777777" w:rsidR="00724131" w:rsidRDefault="00724131">
      <w:pPr>
        <w:pStyle w:val="BodyText"/>
      </w:pPr>
    </w:p>
    <w:p w14:paraId="301683DD" w14:textId="77777777" w:rsidR="00724131" w:rsidRDefault="00724131">
      <w:pPr>
        <w:pStyle w:val="BodyText"/>
      </w:pPr>
    </w:p>
    <w:p w14:paraId="6ACD8814" w14:textId="77777777" w:rsidR="00724131" w:rsidRDefault="00724131">
      <w:pPr>
        <w:pStyle w:val="BodyText"/>
      </w:pPr>
    </w:p>
    <w:p w14:paraId="69EA5C74" w14:textId="77777777" w:rsidR="00724131" w:rsidRDefault="00724131">
      <w:pPr>
        <w:pStyle w:val="BodyText"/>
        <w:spacing w:before="8"/>
        <w:rPr>
          <w:sz w:val="17"/>
        </w:rPr>
      </w:pPr>
    </w:p>
    <w:p w14:paraId="455C942A" w14:textId="37713BE2" w:rsidR="00724131" w:rsidRDefault="00823349" w:rsidP="00791987">
      <w:pPr>
        <w:pStyle w:val="BodyText"/>
        <w:spacing w:before="1" w:line="280" w:lineRule="auto"/>
        <w:ind w:left="134" w:right="1793"/>
      </w:pPr>
      <w:r>
        <w:rPr>
          <w:color w:val="58595B"/>
        </w:rPr>
        <w:t xml:space="preserve">The EPA’s status under the </w:t>
      </w:r>
      <w:r>
        <w:rPr>
          <w:i/>
          <w:color w:val="58595B"/>
        </w:rPr>
        <w:t xml:space="preserve">Public Administration Act 2004 </w:t>
      </w:r>
      <w:r>
        <w:rPr>
          <w:color w:val="58595B"/>
        </w:rPr>
        <w:t>(PA Act) would change from being an Administrative Office to being a ‘public entity’</w:t>
      </w:r>
      <w:r>
        <w:rPr>
          <w:color w:val="58595B"/>
          <w:position w:val="7"/>
          <w:sz w:val="11"/>
        </w:rPr>
        <w:t xml:space="preserve">30 </w:t>
      </w:r>
      <w:r>
        <w:rPr>
          <w:color w:val="58595B"/>
        </w:rPr>
        <w:t>but we propose that EPA staff continue to be employed as public servants. As outlined by the Victorian Public Sector Commission, this</w:t>
      </w:r>
      <w:r w:rsidR="00791987">
        <w:br/>
      </w:r>
      <w:r>
        <w:rPr>
          <w:color w:val="58595B"/>
        </w:rPr>
        <w:t xml:space="preserve">would require an amendment of section </w:t>
      </w:r>
      <w:r>
        <w:rPr>
          <w:color w:val="58595B"/>
          <w:spacing w:val="-3"/>
        </w:rPr>
        <w:t xml:space="preserve">16 </w:t>
      </w:r>
      <w:r>
        <w:rPr>
          <w:color w:val="58595B"/>
        </w:rPr>
        <w:t xml:space="preserve">of the </w:t>
      </w:r>
      <w:r>
        <w:rPr>
          <w:color w:val="58595B"/>
          <w:spacing w:val="-5"/>
        </w:rPr>
        <w:t xml:space="preserve">PA </w:t>
      </w:r>
      <w:r>
        <w:rPr>
          <w:color w:val="58595B"/>
        </w:rPr>
        <w:t xml:space="preserve">Act, to declare the CEO ‘a person with the functions of a public service body Head’ for the purposes of the </w:t>
      </w:r>
      <w:r>
        <w:rPr>
          <w:color w:val="58595B"/>
          <w:spacing w:val="-5"/>
        </w:rPr>
        <w:t xml:space="preserve">PA </w:t>
      </w:r>
      <w:r>
        <w:rPr>
          <w:color w:val="58595B"/>
        </w:rPr>
        <w:t>Act.</w:t>
      </w:r>
      <w:r>
        <w:rPr>
          <w:color w:val="58595B"/>
          <w:position w:val="7"/>
          <w:sz w:val="11"/>
        </w:rPr>
        <w:t xml:space="preserve">31  </w:t>
      </w:r>
      <w:r>
        <w:rPr>
          <w:color w:val="58595B"/>
        </w:rPr>
        <w:t>This approach has been adopted with a number of other public entities that requi</w:t>
      </w:r>
      <w:r w:rsidR="00791987">
        <w:rPr>
          <w:color w:val="58595B"/>
        </w:rPr>
        <w:t xml:space="preserve">re independence but where there </w:t>
      </w:r>
      <w:r>
        <w:rPr>
          <w:color w:val="58595B"/>
        </w:rPr>
        <w:t xml:space="preserve">is a case for employing public servants. Examples include the Victorian Auditor-General’s </w:t>
      </w:r>
      <w:r>
        <w:rPr>
          <w:color w:val="58595B"/>
          <w:spacing w:val="3"/>
        </w:rPr>
        <w:t xml:space="preserve">Office </w:t>
      </w:r>
      <w:r>
        <w:rPr>
          <w:color w:val="58595B"/>
        </w:rPr>
        <w:t xml:space="preserve">and Essential Services Commission. We consider it is important that </w:t>
      </w:r>
      <w:r>
        <w:rPr>
          <w:color w:val="58595B"/>
          <w:spacing w:val="-4"/>
        </w:rPr>
        <w:t xml:space="preserve">EPA </w:t>
      </w:r>
      <w:r>
        <w:rPr>
          <w:color w:val="58595B"/>
        </w:rPr>
        <w:t xml:space="preserve">staff remain Victorian public servants to give them consistent employment and to allow them to move between the </w:t>
      </w:r>
      <w:r>
        <w:rPr>
          <w:color w:val="58595B"/>
          <w:spacing w:val="-4"/>
        </w:rPr>
        <w:t xml:space="preserve">EPA </w:t>
      </w:r>
      <w:r>
        <w:rPr>
          <w:color w:val="58595B"/>
        </w:rPr>
        <w:t>and other parts of the Victorian public</w:t>
      </w:r>
      <w:r>
        <w:rPr>
          <w:color w:val="58595B"/>
          <w:spacing w:val="21"/>
        </w:rPr>
        <w:t xml:space="preserve"> </w:t>
      </w:r>
      <w:r>
        <w:rPr>
          <w:color w:val="58595B"/>
        </w:rPr>
        <w:t>service.</w:t>
      </w:r>
    </w:p>
    <w:p w14:paraId="0BACF324" w14:textId="77777777" w:rsidR="00724131" w:rsidRDefault="00823349">
      <w:pPr>
        <w:pStyle w:val="BodyText"/>
        <w:spacing w:before="172" w:line="280" w:lineRule="auto"/>
        <w:ind w:left="134" w:right="1911"/>
      </w:pPr>
      <w:r>
        <w:rPr>
          <w:color w:val="58595B"/>
        </w:rPr>
        <w:t xml:space="preserve">The EPA’s responsibilities for financial management under the </w:t>
      </w:r>
      <w:r>
        <w:rPr>
          <w:i/>
          <w:color w:val="58595B"/>
        </w:rPr>
        <w:t xml:space="preserve">Financial Management Act 1994 </w:t>
      </w:r>
      <w:r>
        <w:rPr>
          <w:color w:val="58595B"/>
        </w:rPr>
        <w:t>would not change. However, responsibility within the EPA would move from the EPA Chair and CEO to the proposed EPA Board and CEO, in accordance with the corresponding legislative obligations.</w:t>
      </w:r>
    </w:p>
    <w:p w14:paraId="04F8646E" w14:textId="77777777" w:rsidR="00724131" w:rsidRDefault="00823349">
      <w:pPr>
        <w:pStyle w:val="BodyText"/>
        <w:spacing w:before="172" w:line="280" w:lineRule="auto"/>
        <w:ind w:left="134" w:right="1337"/>
      </w:pPr>
      <w:r>
        <w:rPr>
          <w:color w:val="58595B"/>
        </w:rPr>
        <w:t>Independence is an important element for regulatory integrity, but it operates alongside other equally important principles for accountability applying to the EPA, as with all other public bodies:</w:t>
      </w:r>
    </w:p>
    <w:p w14:paraId="483173DA" w14:textId="77777777" w:rsidR="00724131" w:rsidRDefault="00823349">
      <w:pPr>
        <w:spacing w:before="172" w:line="280" w:lineRule="auto"/>
        <w:ind w:left="701" w:right="2238"/>
        <w:rPr>
          <w:sz w:val="11"/>
        </w:rPr>
      </w:pPr>
      <w:r>
        <w:rPr>
          <w:i/>
          <w:color w:val="231F20"/>
          <w:sz w:val="20"/>
        </w:rPr>
        <w:t>Accountability and transparency is the other side of the coin of independence and a balance is required between the two.</w:t>
      </w:r>
      <w:r>
        <w:rPr>
          <w:color w:val="231F20"/>
          <w:position w:val="7"/>
          <w:sz w:val="11"/>
        </w:rPr>
        <w:t>32</w:t>
      </w:r>
    </w:p>
    <w:p w14:paraId="2C364C43" w14:textId="77777777" w:rsidR="00724131" w:rsidRDefault="00823349">
      <w:pPr>
        <w:pStyle w:val="BodyText"/>
        <w:spacing w:before="172" w:line="280" w:lineRule="auto"/>
        <w:ind w:left="134" w:right="1337"/>
        <w:rPr>
          <w:sz w:val="11"/>
        </w:rPr>
      </w:pPr>
      <w:r>
        <w:rPr>
          <w:color w:val="58595B"/>
        </w:rPr>
        <w:t>As noted in the Victorian Government guidelines: ‘a regulator’s ‘independence’ from government can never be absolute’, indeed, it ‘exists to achieve objectives deemed by government to be in the public interest and operates using the powers conferred by Parliament’.</w:t>
      </w:r>
      <w:r>
        <w:rPr>
          <w:color w:val="58595B"/>
          <w:position w:val="7"/>
          <w:sz w:val="11"/>
        </w:rPr>
        <w:t>33</w:t>
      </w:r>
    </w:p>
    <w:p w14:paraId="3A18668E" w14:textId="68E46E8F" w:rsidR="00724131" w:rsidRDefault="00823349">
      <w:pPr>
        <w:pStyle w:val="BodyText"/>
        <w:spacing w:before="172" w:line="280" w:lineRule="auto"/>
        <w:ind w:left="134" w:right="1575"/>
      </w:pPr>
      <w:r>
        <w:rPr>
          <w:color w:val="58595B"/>
        </w:rPr>
        <w:t xml:space="preserve">The </w:t>
      </w:r>
      <w:r>
        <w:rPr>
          <w:color w:val="58595B"/>
          <w:spacing w:val="-4"/>
        </w:rPr>
        <w:t xml:space="preserve">EPA </w:t>
      </w:r>
      <w:r>
        <w:rPr>
          <w:color w:val="58595B"/>
        </w:rPr>
        <w:t>will remain accountable to the Minister for Environment, Climate Change and Water</w:t>
      </w:r>
      <w:r w:rsidR="00791987">
        <w:rPr>
          <w:color w:val="58595B"/>
        </w:rPr>
        <w:br/>
      </w:r>
      <w:r>
        <w:rPr>
          <w:color w:val="58595B"/>
        </w:rPr>
        <w:t>for performing its functions in accordance with its legislation. DELWP would continue to have an important role in supporting the minister in overseeing the</w:t>
      </w:r>
      <w:r>
        <w:rPr>
          <w:color w:val="58595B"/>
          <w:spacing w:val="10"/>
        </w:rPr>
        <w:t xml:space="preserve"> </w:t>
      </w:r>
      <w:r>
        <w:rPr>
          <w:color w:val="58595B"/>
        </w:rPr>
        <w:t>EPA.</w:t>
      </w:r>
    </w:p>
    <w:p w14:paraId="5523229C" w14:textId="252B6155" w:rsidR="00724131" w:rsidRDefault="00823349">
      <w:pPr>
        <w:pStyle w:val="BodyText"/>
        <w:spacing w:before="172" w:line="280" w:lineRule="auto"/>
        <w:ind w:left="134" w:right="1840"/>
      </w:pPr>
      <w:r>
        <w:rPr>
          <w:color w:val="58595B"/>
        </w:rPr>
        <w:t xml:space="preserve">The </w:t>
      </w:r>
      <w:r>
        <w:rPr>
          <w:color w:val="58595B"/>
          <w:spacing w:val="-7"/>
        </w:rPr>
        <w:t xml:space="preserve">EPA’s </w:t>
      </w:r>
      <w:r>
        <w:rPr>
          <w:color w:val="58595B"/>
        </w:rPr>
        <w:t>establishment legislation should be transparent about the powers of the Minister</w:t>
      </w:r>
      <w:r w:rsidR="00791987">
        <w:rPr>
          <w:color w:val="58595B"/>
        </w:rPr>
        <w:br/>
      </w:r>
      <w:r>
        <w:rPr>
          <w:color w:val="58595B"/>
        </w:rPr>
        <w:t>to request and receive advice from the EPA, and to appoint and terminate the appointment</w:t>
      </w:r>
      <w:r>
        <w:rPr>
          <w:color w:val="58595B"/>
          <w:spacing w:val="-9"/>
        </w:rPr>
        <w:t xml:space="preserve"> </w:t>
      </w:r>
      <w:r>
        <w:rPr>
          <w:color w:val="58595B"/>
        </w:rPr>
        <w:t>of</w:t>
      </w:r>
    </w:p>
    <w:p w14:paraId="3FF3B062" w14:textId="77777777" w:rsidR="00724131" w:rsidRDefault="00823349">
      <w:pPr>
        <w:pStyle w:val="BodyText"/>
        <w:spacing w:before="2" w:line="280" w:lineRule="auto"/>
        <w:ind w:left="134" w:right="1337"/>
      </w:pPr>
      <w:r>
        <w:rPr>
          <w:color w:val="58595B"/>
        </w:rPr>
        <w:t>members of the governing body in specified circumstances.</w:t>
      </w:r>
      <w:r>
        <w:rPr>
          <w:color w:val="58595B"/>
          <w:position w:val="7"/>
          <w:sz w:val="11"/>
        </w:rPr>
        <w:t xml:space="preserve">34 </w:t>
      </w:r>
      <w:r>
        <w:rPr>
          <w:color w:val="58595B"/>
        </w:rPr>
        <w:t>And also about the EPA’s power to advise the Minister in the absence of a request, on matters about protecting the environment, and on amendments to environment protection laws.</w:t>
      </w:r>
    </w:p>
    <w:p w14:paraId="02C28728" w14:textId="77777777" w:rsidR="00724131" w:rsidRDefault="00823349">
      <w:pPr>
        <w:pStyle w:val="BodyText"/>
        <w:spacing w:before="172" w:line="280" w:lineRule="auto"/>
        <w:ind w:left="134" w:right="1337"/>
        <w:rPr>
          <w:sz w:val="11"/>
        </w:rPr>
      </w:pPr>
      <w:r>
        <w:rPr>
          <w:color w:val="58595B"/>
        </w:rPr>
        <w:t>The capacity to provide advice to the minister is important. It ensures the EPA can provide frank and fearless advice</w:t>
      </w:r>
      <w:r>
        <w:rPr>
          <w:color w:val="58595B"/>
          <w:position w:val="7"/>
          <w:sz w:val="11"/>
        </w:rPr>
        <w:t xml:space="preserve">35  </w:t>
      </w:r>
      <w:r>
        <w:rPr>
          <w:color w:val="58595B"/>
        </w:rPr>
        <w:t>as an apolitical, responsive, effective and accountable regulator.</w:t>
      </w:r>
      <w:r>
        <w:rPr>
          <w:color w:val="58595B"/>
          <w:position w:val="7"/>
          <w:sz w:val="11"/>
        </w:rPr>
        <w:t>36</w:t>
      </w:r>
    </w:p>
    <w:p w14:paraId="7BC7BE0D" w14:textId="77777777" w:rsidR="00724131" w:rsidRDefault="00823349">
      <w:pPr>
        <w:spacing w:before="172" w:line="280" w:lineRule="auto"/>
        <w:ind w:left="701" w:right="2422"/>
        <w:rPr>
          <w:sz w:val="20"/>
        </w:rPr>
      </w:pPr>
      <w:r>
        <w:rPr>
          <w:i/>
          <w:color w:val="231F20"/>
          <w:sz w:val="20"/>
        </w:rPr>
        <w:t xml:space="preserve">The EPA would report directly to the Minister and would be required to advise the Minister without delay of any incident having potentially significant impact on the atmosphere, land or waters in Victoria. </w:t>
      </w:r>
      <w:r>
        <w:rPr>
          <w:color w:val="231F20"/>
          <w:sz w:val="20"/>
        </w:rPr>
        <w:t>(Monash Business School, Monash University submission, p. 11)</w:t>
      </w:r>
    </w:p>
    <w:p w14:paraId="38D30597" w14:textId="77777777" w:rsidR="00724131" w:rsidRDefault="00724131">
      <w:pPr>
        <w:spacing w:line="280" w:lineRule="auto"/>
        <w:rPr>
          <w:sz w:val="20"/>
        </w:rPr>
        <w:sectPr w:rsidR="00724131">
          <w:pgSz w:w="11910" w:h="16840"/>
          <w:pgMar w:top="980" w:right="0" w:bottom="280" w:left="1680" w:header="788" w:footer="0" w:gutter="0"/>
          <w:cols w:space="720"/>
        </w:sectPr>
      </w:pPr>
    </w:p>
    <w:p w14:paraId="128A4EFF" w14:textId="77777777" w:rsidR="00724131" w:rsidRDefault="00724131">
      <w:pPr>
        <w:pStyle w:val="BodyText"/>
      </w:pPr>
    </w:p>
    <w:p w14:paraId="5F0537A5" w14:textId="77777777" w:rsidR="00724131" w:rsidRDefault="00724131">
      <w:pPr>
        <w:pStyle w:val="BodyText"/>
      </w:pPr>
    </w:p>
    <w:p w14:paraId="663498D2" w14:textId="77777777" w:rsidR="00724131" w:rsidRDefault="00724131">
      <w:pPr>
        <w:pStyle w:val="BodyText"/>
      </w:pPr>
    </w:p>
    <w:p w14:paraId="0AD78F01" w14:textId="77777777" w:rsidR="00724131" w:rsidRDefault="00724131">
      <w:pPr>
        <w:pStyle w:val="BodyText"/>
      </w:pPr>
    </w:p>
    <w:p w14:paraId="0A95BD42" w14:textId="77777777" w:rsidR="00724131" w:rsidRDefault="00823349">
      <w:pPr>
        <w:pStyle w:val="Heading3"/>
        <w:numPr>
          <w:ilvl w:val="1"/>
          <w:numId w:val="33"/>
        </w:numPr>
        <w:tabs>
          <w:tab w:val="left" w:pos="2002"/>
        </w:tabs>
        <w:spacing w:before="196"/>
        <w:ind w:left="2001" w:hanging="584"/>
        <w:jc w:val="left"/>
      </w:pPr>
      <w:r>
        <w:rPr>
          <w:color w:val="0095A7"/>
        </w:rPr>
        <w:t xml:space="preserve">Governing the </w:t>
      </w:r>
      <w:r>
        <w:rPr>
          <w:color w:val="0095A7"/>
          <w:spacing w:val="-5"/>
        </w:rPr>
        <w:t xml:space="preserve">EPA </w:t>
      </w:r>
      <w:r>
        <w:rPr>
          <w:color w:val="0095A7"/>
        </w:rPr>
        <w:t>through a multi-member</w:t>
      </w:r>
      <w:r>
        <w:rPr>
          <w:color w:val="0095A7"/>
          <w:spacing w:val="61"/>
        </w:rPr>
        <w:t xml:space="preserve"> </w:t>
      </w:r>
      <w:r>
        <w:rPr>
          <w:color w:val="0095A7"/>
        </w:rPr>
        <w:t>Board</w:t>
      </w:r>
    </w:p>
    <w:p w14:paraId="2D8A40AE" w14:textId="77777777" w:rsidR="00724131" w:rsidRDefault="00823349">
      <w:pPr>
        <w:pStyle w:val="BodyText"/>
        <w:spacing w:before="145" w:line="280" w:lineRule="auto"/>
        <w:ind w:left="1417" w:right="143"/>
      </w:pPr>
      <w:r>
        <w:rPr>
          <w:color w:val="58595B"/>
        </w:rPr>
        <w:t>We recommend changing the EPA’s corporate form to a seven member board structure. Key elements of the proposed board structure – that would be included in the establishment legislation for the EPA – are set out below:</w:t>
      </w:r>
    </w:p>
    <w:p w14:paraId="2BE0136D" w14:textId="77777777" w:rsidR="00724131" w:rsidRDefault="00823349">
      <w:pPr>
        <w:pStyle w:val="Heading4"/>
        <w:spacing w:before="172"/>
        <w:ind w:left="1417" w:right="228"/>
      </w:pPr>
      <w:r>
        <w:rPr>
          <w:color w:val="58595B"/>
        </w:rPr>
        <w:t>Composition of the Board</w:t>
      </w:r>
    </w:p>
    <w:p w14:paraId="4E5609A0" w14:textId="77777777" w:rsidR="00724131" w:rsidRDefault="00823349">
      <w:pPr>
        <w:pStyle w:val="ListParagraph"/>
        <w:numPr>
          <w:ilvl w:val="2"/>
          <w:numId w:val="31"/>
        </w:numPr>
        <w:tabs>
          <w:tab w:val="left" w:pos="1588"/>
        </w:tabs>
        <w:spacing w:before="96" w:line="280" w:lineRule="auto"/>
        <w:ind w:right="132" w:hanging="170"/>
        <w:rPr>
          <w:sz w:val="20"/>
        </w:rPr>
      </w:pPr>
      <w:r>
        <w:rPr>
          <w:color w:val="58595B"/>
          <w:sz w:val="20"/>
        </w:rPr>
        <w:t xml:space="preserve">Board members and Chair will be appointed by the Governor in Council on the recommendation of the Minister responsible for the </w:t>
      </w:r>
      <w:r>
        <w:rPr>
          <w:color w:val="58595B"/>
          <w:spacing w:val="-4"/>
          <w:sz w:val="20"/>
        </w:rPr>
        <w:t xml:space="preserve">EPA (at </w:t>
      </w:r>
      <w:r>
        <w:rPr>
          <w:color w:val="58595B"/>
          <w:sz w:val="20"/>
        </w:rPr>
        <w:t>present, the Minister for Environment, Climate Change and</w:t>
      </w:r>
      <w:r>
        <w:rPr>
          <w:color w:val="58595B"/>
          <w:spacing w:val="-13"/>
          <w:sz w:val="20"/>
        </w:rPr>
        <w:t xml:space="preserve"> </w:t>
      </w:r>
      <w:r>
        <w:rPr>
          <w:color w:val="58595B"/>
          <w:sz w:val="20"/>
        </w:rPr>
        <w:t>Water).</w:t>
      </w:r>
    </w:p>
    <w:p w14:paraId="55BC0E79" w14:textId="77777777" w:rsidR="00724131" w:rsidRDefault="00823349">
      <w:pPr>
        <w:pStyle w:val="ListParagraph"/>
        <w:numPr>
          <w:ilvl w:val="2"/>
          <w:numId w:val="31"/>
        </w:numPr>
        <w:tabs>
          <w:tab w:val="left" w:pos="1588"/>
        </w:tabs>
        <w:spacing w:line="280" w:lineRule="auto"/>
        <w:ind w:right="680" w:hanging="170"/>
        <w:rPr>
          <w:sz w:val="20"/>
        </w:rPr>
      </w:pPr>
      <w:r>
        <w:rPr>
          <w:color w:val="58595B"/>
          <w:sz w:val="20"/>
        </w:rPr>
        <w:t xml:space="preserve">The Board will comprise seven members, including the </w:t>
      </w:r>
      <w:r>
        <w:rPr>
          <w:color w:val="58595B"/>
          <w:spacing w:val="-3"/>
          <w:sz w:val="20"/>
        </w:rPr>
        <w:t xml:space="preserve">Chair, </w:t>
      </w:r>
      <w:r>
        <w:rPr>
          <w:color w:val="58595B"/>
          <w:sz w:val="20"/>
        </w:rPr>
        <w:t>who bring a range of expert inputs and skills relevant to the functions of the</w:t>
      </w:r>
      <w:r>
        <w:rPr>
          <w:color w:val="58595B"/>
          <w:spacing w:val="-8"/>
          <w:sz w:val="20"/>
        </w:rPr>
        <w:t xml:space="preserve"> </w:t>
      </w:r>
      <w:r>
        <w:rPr>
          <w:color w:val="58595B"/>
          <w:sz w:val="20"/>
        </w:rPr>
        <w:t>EPA.</w:t>
      </w:r>
    </w:p>
    <w:p w14:paraId="2A841F82" w14:textId="77777777" w:rsidR="00724131" w:rsidRDefault="00823349">
      <w:pPr>
        <w:pStyle w:val="ListParagraph"/>
        <w:numPr>
          <w:ilvl w:val="2"/>
          <w:numId w:val="31"/>
        </w:numPr>
        <w:tabs>
          <w:tab w:val="left" w:pos="1588"/>
        </w:tabs>
        <w:spacing w:line="280" w:lineRule="auto"/>
        <w:ind w:right="132" w:hanging="170"/>
        <w:rPr>
          <w:sz w:val="20"/>
        </w:rPr>
      </w:pPr>
      <w:r>
        <w:rPr>
          <w:color w:val="58595B"/>
          <w:spacing w:val="-6"/>
          <w:sz w:val="20"/>
        </w:rPr>
        <w:t xml:space="preserve">Two </w:t>
      </w:r>
      <w:r>
        <w:rPr>
          <w:color w:val="58595B"/>
          <w:sz w:val="20"/>
        </w:rPr>
        <w:t>of these Board members should have specified qualifications or experience: one in science or engineering, and one in</w:t>
      </w:r>
      <w:r>
        <w:rPr>
          <w:color w:val="58595B"/>
          <w:spacing w:val="1"/>
          <w:sz w:val="20"/>
        </w:rPr>
        <w:t xml:space="preserve"> </w:t>
      </w:r>
      <w:r>
        <w:rPr>
          <w:color w:val="58595B"/>
          <w:sz w:val="20"/>
        </w:rPr>
        <w:t>health.</w:t>
      </w:r>
    </w:p>
    <w:p w14:paraId="29B9991E" w14:textId="77777777" w:rsidR="00724131" w:rsidRDefault="00823349">
      <w:pPr>
        <w:pStyle w:val="ListParagraph"/>
        <w:numPr>
          <w:ilvl w:val="2"/>
          <w:numId w:val="31"/>
        </w:numPr>
        <w:tabs>
          <w:tab w:val="left" w:pos="1588"/>
        </w:tabs>
        <w:ind w:hanging="170"/>
        <w:rPr>
          <w:sz w:val="20"/>
        </w:rPr>
      </w:pPr>
      <w:r>
        <w:rPr>
          <w:color w:val="58595B"/>
          <w:sz w:val="20"/>
        </w:rPr>
        <w:t>The Minister for Health nominates the member with health qualifications or</w:t>
      </w:r>
      <w:r>
        <w:rPr>
          <w:color w:val="58595B"/>
          <w:spacing w:val="13"/>
          <w:sz w:val="20"/>
        </w:rPr>
        <w:t xml:space="preserve"> </w:t>
      </w:r>
      <w:r>
        <w:rPr>
          <w:color w:val="58595B"/>
          <w:sz w:val="20"/>
        </w:rPr>
        <w:t>experience.</w:t>
      </w:r>
    </w:p>
    <w:p w14:paraId="5033D409" w14:textId="77777777" w:rsidR="00724131" w:rsidRDefault="00823349">
      <w:pPr>
        <w:pStyle w:val="ListParagraph"/>
        <w:numPr>
          <w:ilvl w:val="2"/>
          <w:numId w:val="31"/>
        </w:numPr>
        <w:tabs>
          <w:tab w:val="left" w:pos="1588"/>
        </w:tabs>
        <w:spacing w:before="153"/>
        <w:ind w:hanging="170"/>
        <w:rPr>
          <w:sz w:val="20"/>
        </w:rPr>
      </w:pPr>
      <w:r>
        <w:rPr>
          <w:color w:val="58595B"/>
          <w:sz w:val="20"/>
        </w:rPr>
        <w:t>The CEO attends all Board meetings but is not a member of the</w:t>
      </w:r>
      <w:r>
        <w:rPr>
          <w:color w:val="58595B"/>
          <w:spacing w:val="-5"/>
          <w:sz w:val="20"/>
        </w:rPr>
        <w:t xml:space="preserve"> </w:t>
      </w:r>
      <w:r>
        <w:rPr>
          <w:color w:val="58595B"/>
          <w:sz w:val="20"/>
        </w:rPr>
        <w:t>Board.</w:t>
      </w:r>
    </w:p>
    <w:p w14:paraId="6F5A49B0" w14:textId="77777777" w:rsidR="00724131" w:rsidRDefault="00724131">
      <w:pPr>
        <w:pStyle w:val="BodyText"/>
        <w:spacing w:before="3"/>
        <w:rPr>
          <w:sz w:val="18"/>
        </w:rPr>
      </w:pPr>
    </w:p>
    <w:p w14:paraId="75C9DEC5" w14:textId="77777777" w:rsidR="00724131" w:rsidRDefault="00823349">
      <w:pPr>
        <w:pStyle w:val="Heading4"/>
        <w:spacing w:before="0"/>
        <w:ind w:left="1417" w:right="228"/>
      </w:pPr>
      <w:r>
        <w:rPr>
          <w:color w:val="58595B"/>
        </w:rPr>
        <w:t>Functions of the Board</w:t>
      </w:r>
    </w:p>
    <w:p w14:paraId="5C7412E4" w14:textId="77777777" w:rsidR="00724131" w:rsidRDefault="00823349">
      <w:pPr>
        <w:pStyle w:val="ListParagraph"/>
        <w:numPr>
          <w:ilvl w:val="2"/>
          <w:numId w:val="31"/>
        </w:numPr>
        <w:tabs>
          <w:tab w:val="left" w:pos="1588"/>
        </w:tabs>
        <w:spacing w:before="96" w:line="280" w:lineRule="auto"/>
        <w:ind w:right="772" w:hanging="170"/>
        <w:rPr>
          <w:sz w:val="20"/>
        </w:rPr>
      </w:pPr>
      <w:r>
        <w:rPr>
          <w:color w:val="58595B"/>
          <w:sz w:val="20"/>
        </w:rPr>
        <w:t>The Board is accountable to the relevant minister (currently the Minister for Environment, Climate Change and</w:t>
      </w:r>
      <w:r>
        <w:rPr>
          <w:color w:val="58595B"/>
          <w:spacing w:val="-16"/>
          <w:sz w:val="20"/>
        </w:rPr>
        <w:t xml:space="preserve"> </w:t>
      </w:r>
      <w:r>
        <w:rPr>
          <w:color w:val="58595B"/>
          <w:sz w:val="20"/>
        </w:rPr>
        <w:t>Water).</w:t>
      </w:r>
    </w:p>
    <w:p w14:paraId="6C05A13F" w14:textId="77777777" w:rsidR="00724131" w:rsidRDefault="00823349">
      <w:pPr>
        <w:pStyle w:val="ListParagraph"/>
        <w:numPr>
          <w:ilvl w:val="2"/>
          <w:numId w:val="31"/>
        </w:numPr>
        <w:tabs>
          <w:tab w:val="left" w:pos="1588"/>
        </w:tabs>
        <w:spacing w:line="280" w:lineRule="auto"/>
        <w:ind w:right="395" w:hanging="170"/>
        <w:rPr>
          <w:sz w:val="20"/>
        </w:rPr>
      </w:pPr>
      <w:r>
        <w:rPr>
          <w:color w:val="58595B"/>
          <w:sz w:val="20"/>
        </w:rPr>
        <w:t>Strategic role: The Board sets overall strategic directions for the EPA, and oversees the CEO in carrying out the Board’s strategic</w:t>
      </w:r>
      <w:r>
        <w:rPr>
          <w:color w:val="58595B"/>
          <w:spacing w:val="8"/>
          <w:sz w:val="20"/>
        </w:rPr>
        <w:t xml:space="preserve"> </w:t>
      </w:r>
      <w:r>
        <w:rPr>
          <w:color w:val="58595B"/>
          <w:sz w:val="20"/>
        </w:rPr>
        <w:t>direction.</w:t>
      </w:r>
    </w:p>
    <w:p w14:paraId="2F07E7B9" w14:textId="77777777" w:rsidR="00724131" w:rsidRDefault="00823349">
      <w:pPr>
        <w:pStyle w:val="ListParagraph"/>
        <w:numPr>
          <w:ilvl w:val="2"/>
          <w:numId w:val="31"/>
        </w:numPr>
        <w:tabs>
          <w:tab w:val="left" w:pos="1588"/>
        </w:tabs>
        <w:spacing w:line="280" w:lineRule="auto"/>
        <w:ind w:right="204" w:hanging="170"/>
        <w:rPr>
          <w:sz w:val="20"/>
        </w:rPr>
      </w:pPr>
      <w:r>
        <w:rPr>
          <w:color w:val="58595B"/>
          <w:sz w:val="20"/>
        </w:rPr>
        <w:t xml:space="preserve">Oversight role: The Board oversees the discharge of the regulatory approach; oversees corporate performance, including risk management, financial management and effective use of resources; and ensures the </w:t>
      </w:r>
      <w:r>
        <w:rPr>
          <w:color w:val="58595B"/>
          <w:spacing w:val="-4"/>
          <w:sz w:val="20"/>
        </w:rPr>
        <w:t xml:space="preserve">EPA </w:t>
      </w:r>
      <w:r>
        <w:rPr>
          <w:color w:val="58595B"/>
          <w:sz w:val="20"/>
        </w:rPr>
        <w:t>meets its statutory obligations as a public entity.</w:t>
      </w:r>
    </w:p>
    <w:p w14:paraId="5D51652B" w14:textId="77777777" w:rsidR="00724131" w:rsidRDefault="00823349">
      <w:pPr>
        <w:pStyle w:val="ListParagraph"/>
        <w:numPr>
          <w:ilvl w:val="2"/>
          <w:numId w:val="31"/>
        </w:numPr>
        <w:tabs>
          <w:tab w:val="left" w:pos="1588"/>
        </w:tabs>
        <w:spacing w:line="280" w:lineRule="auto"/>
        <w:ind w:right="494" w:hanging="170"/>
        <w:rPr>
          <w:sz w:val="20"/>
        </w:rPr>
      </w:pPr>
      <w:r>
        <w:rPr>
          <w:color w:val="58595B"/>
          <w:sz w:val="20"/>
        </w:rPr>
        <w:t>Advisory role: The Board responds to requests from the minister, and provides advice to the minister as</w:t>
      </w:r>
      <w:r>
        <w:rPr>
          <w:color w:val="58595B"/>
          <w:spacing w:val="-6"/>
          <w:sz w:val="20"/>
        </w:rPr>
        <w:t xml:space="preserve"> </w:t>
      </w:r>
      <w:r>
        <w:rPr>
          <w:color w:val="58595B"/>
          <w:sz w:val="20"/>
        </w:rPr>
        <w:t>appropriate.</w:t>
      </w:r>
    </w:p>
    <w:p w14:paraId="16A30EF8" w14:textId="77777777" w:rsidR="00724131" w:rsidRDefault="00823349">
      <w:pPr>
        <w:pStyle w:val="Heading4"/>
        <w:spacing w:before="172"/>
        <w:ind w:left="1417" w:right="228"/>
      </w:pPr>
      <w:r>
        <w:rPr>
          <w:color w:val="58595B"/>
        </w:rPr>
        <w:t xml:space="preserve">Science, Engineering </w:t>
      </w:r>
      <w:r w:rsidR="001337B8">
        <w:rPr>
          <w:color w:val="58595B"/>
        </w:rPr>
        <w:t xml:space="preserve">and Health subcommittee of the </w:t>
      </w:r>
      <w:r>
        <w:rPr>
          <w:color w:val="58595B"/>
        </w:rPr>
        <w:t>Board</w:t>
      </w:r>
    </w:p>
    <w:p w14:paraId="08820C99" w14:textId="77777777" w:rsidR="00724131" w:rsidRDefault="00823349">
      <w:pPr>
        <w:pStyle w:val="ListParagraph"/>
        <w:numPr>
          <w:ilvl w:val="2"/>
          <w:numId w:val="31"/>
        </w:numPr>
        <w:tabs>
          <w:tab w:val="left" w:pos="1588"/>
        </w:tabs>
        <w:spacing w:before="96"/>
        <w:ind w:hanging="170"/>
        <w:rPr>
          <w:sz w:val="20"/>
        </w:rPr>
      </w:pPr>
      <w:r>
        <w:rPr>
          <w:color w:val="58595B"/>
          <w:sz w:val="20"/>
        </w:rPr>
        <w:t xml:space="preserve">It is included in the </w:t>
      </w:r>
      <w:r>
        <w:rPr>
          <w:color w:val="58595B"/>
          <w:spacing w:val="-7"/>
          <w:sz w:val="20"/>
        </w:rPr>
        <w:t xml:space="preserve">EPA’s </w:t>
      </w:r>
      <w:r>
        <w:rPr>
          <w:color w:val="58595B"/>
          <w:sz w:val="20"/>
        </w:rPr>
        <w:t>establishment</w:t>
      </w:r>
      <w:r>
        <w:rPr>
          <w:color w:val="58595B"/>
          <w:spacing w:val="13"/>
          <w:sz w:val="20"/>
        </w:rPr>
        <w:t xml:space="preserve"> </w:t>
      </w:r>
      <w:r>
        <w:rPr>
          <w:color w:val="58595B"/>
          <w:sz w:val="20"/>
        </w:rPr>
        <w:t>legislation.</w:t>
      </w:r>
    </w:p>
    <w:p w14:paraId="002A0E85" w14:textId="77777777" w:rsidR="00724131" w:rsidRDefault="00823349">
      <w:pPr>
        <w:pStyle w:val="ListParagraph"/>
        <w:numPr>
          <w:ilvl w:val="2"/>
          <w:numId w:val="31"/>
        </w:numPr>
        <w:tabs>
          <w:tab w:val="left" w:pos="1588"/>
        </w:tabs>
        <w:spacing w:before="153" w:line="280" w:lineRule="auto"/>
        <w:ind w:right="563" w:hanging="170"/>
        <w:rPr>
          <w:sz w:val="20"/>
        </w:rPr>
      </w:pPr>
      <w:r>
        <w:rPr>
          <w:color w:val="58595B"/>
          <w:sz w:val="20"/>
        </w:rPr>
        <w:t>It is chaired by the Board member with science/engineering qualifications, and includes the Board member with health</w:t>
      </w:r>
      <w:r>
        <w:rPr>
          <w:color w:val="58595B"/>
          <w:spacing w:val="9"/>
          <w:sz w:val="20"/>
        </w:rPr>
        <w:t xml:space="preserve"> </w:t>
      </w:r>
      <w:r>
        <w:rPr>
          <w:color w:val="58595B"/>
          <w:sz w:val="20"/>
        </w:rPr>
        <w:t>qualifications.</w:t>
      </w:r>
    </w:p>
    <w:p w14:paraId="687BBBFC" w14:textId="77777777" w:rsidR="00724131" w:rsidRDefault="00823349">
      <w:pPr>
        <w:pStyle w:val="ListParagraph"/>
        <w:numPr>
          <w:ilvl w:val="2"/>
          <w:numId w:val="31"/>
        </w:numPr>
        <w:tabs>
          <w:tab w:val="left" w:pos="1588"/>
        </w:tabs>
        <w:ind w:hanging="170"/>
        <w:rPr>
          <w:sz w:val="20"/>
        </w:rPr>
      </w:pPr>
      <w:r>
        <w:rPr>
          <w:color w:val="58595B"/>
          <w:sz w:val="20"/>
        </w:rPr>
        <w:t>The Board appoints other members, including external experts and the Chief Health</w:t>
      </w:r>
      <w:r>
        <w:rPr>
          <w:color w:val="58595B"/>
          <w:spacing w:val="17"/>
          <w:sz w:val="20"/>
        </w:rPr>
        <w:t xml:space="preserve"> </w:t>
      </w:r>
      <w:r>
        <w:rPr>
          <w:color w:val="58595B"/>
          <w:sz w:val="20"/>
        </w:rPr>
        <w:t>Officer.</w:t>
      </w:r>
    </w:p>
    <w:p w14:paraId="6DE7B12D" w14:textId="77777777" w:rsidR="00724131" w:rsidRDefault="00724131">
      <w:pPr>
        <w:pStyle w:val="BodyText"/>
        <w:spacing w:before="3"/>
        <w:rPr>
          <w:sz w:val="18"/>
        </w:rPr>
      </w:pPr>
    </w:p>
    <w:p w14:paraId="6C84F286" w14:textId="77777777" w:rsidR="00724131" w:rsidRDefault="00823349">
      <w:pPr>
        <w:pStyle w:val="BodyText"/>
        <w:spacing w:line="280" w:lineRule="auto"/>
        <w:ind w:left="1417" w:right="228"/>
      </w:pPr>
      <w:r>
        <w:rPr>
          <w:color w:val="58595B"/>
        </w:rPr>
        <w:t>Our proposed board structure enhances the EPA’s capacity for strategic decision making and for external influence. In particular, it supports the EPA’s authority as a science-based regulator and key source of expert advice for government and the community. These features are discussed further below.</w:t>
      </w:r>
    </w:p>
    <w:p w14:paraId="4358DD2A" w14:textId="77777777" w:rsidR="00724131" w:rsidRDefault="00724131">
      <w:pPr>
        <w:spacing w:line="280" w:lineRule="auto"/>
        <w:sectPr w:rsidR="00724131">
          <w:pgSz w:w="11910" w:h="16840"/>
          <w:pgMar w:top="980" w:right="1680" w:bottom="280" w:left="0" w:header="788" w:footer="0" w:gutter="0"/>
          <w:cols w:space="720"/>
        </w:sectPr>
      </w:pPr>
    </w:p>
    <w:p w14:paraId="4329700C" w14:textId="77777777" w:rsidR="00724131" w:rsidRDefault="00724131">
      <w:pPr>
        <w:pStyle w:val="BodyText"/>
      </w:pPr>
    </w:p>
    <w:p w14:paraId="27BC4365" w14:textId="77777777" w:rsidR="00724131" w:rsidRDefault="00724131">
      <w:pPr>
        <w:pStyle w:val="BodyText"/>
      </w:pPr>
    </w:p>
    <w:p w14:paraId="7C7234A8" w14:textId="77777777" w:rsidR="00724131" w:rsidRDefault="00724131">
      <w:pPr>
        <w:pStyle w:val="BodyText"/>
      </w:pPr>
    </w:p>
    <w:p w14:paraId="445B0F5C" w14:textId="77777777" w:rsidR="00724131" w:rsidRDefault="00724131">
      <w:pPr>
        <w:pStyle w:val="BodyText"/>
      </w:pPr>
    </w:p>
    <w:p w14:paraId="74691FD9" w14:textId="77777777" w:rsidR="00724131" w:rsidRDefault="00724131">
      <w:pPr>
        <w:pStyle w:val="BodyText"/>
        <w:spacing w:before="8"/>
        <w:rPr>
          <w:sz w:val="17"/>
        </w:rPr>
      </w:pPr>
    </w:p>
    <w:p w14:paraId="7FF7C974" w14:textId="77777777" w:rsidR="00724131" w:rsidRDefault="00823349">
      <w:pPr>
        <w:pStyle w:val="ListParagraph"/>
        <w:numPr>
          <w:ilvl w:val="2"/>
          <w:numId w:val="28"/>
        </w:numPr>
        <w:tabs>
          <w:tab w:val="left" w:pos="766"/>
        </w:tabs>
        <w:spacing w:before="1"/>
        <w:ind w:hanging="631"/>
        <w:rPr>
          <w:sz w:val="20"/>
        </w:rPr>
      </w:pPr>
      <w:r>
        <w:rPr>
          <w:color w:val="0095A7"/>
          <w:sz w:val="20"/>
        </w:rPr>
        <w:t>Building authority and</w:t>
      </w:r>
      <w:r>
        <w:rPr>
          <w:color w:val="0095A7"/>
          <w:spacing w:val="10"/>
          <w:sz w:val="20"/>
        </w:rPr>
        <w:t xml:space="preserve"> </w:t>
      </w:r>
      <w:r>
        <w:rPr>
          <w:color w:val="0095A7"/>
          <w:sz w:val="20"/>
        </w:rPr>
        <w:t>influence</w:t>
      </w:r>
    </w:p>
    <w:p w14:paraId="5905DCAE" w14:textId="626BF7F4" w:rsidR="00724131" w:rsidRPr="002E245C" w:rsidRDefault="00823349" w:rsidP="002E245C">
      <w:pPr>
        <w:pStyle w:val="BodyText"/>
        <w:spacing w:before="153" w:line="280" w:lineRule="auto"/>
        <w:ind w:left="134" w:right="1337"/>
      </w:pPr>
      <w:r>
        <w:rPr>
          <w:color w:val="58595B"/>
        </w:rPr>
        <w:t>The board of a public entity needs, at a minimum, to comprise directors who collectively possess the capabilities necessary for effective governance relating to: strategy, administration and</w:t>
      </w:r>
      <w:r w:rsidR="002E245C">
        <w:br/>
      </w:r>
      <w:r>
        <w:rPr>
          <w:color w:val="58595B"/>
        </w:rPr>
        <w:t>risk management;</w:t>
      </w:r>
      <w:r>
        <w:rPr>
          <w:color w:val="58595B"/>
          <w:position w:val="7"/>
          <w:sz w:val="11"/>
        </w:rPr>
        <w:t xml:space="preserve">37 </w:t>
      </w:r>
      <w:r>
        <w:rPr>
          <w:color w:val="58595B"/>
        </w:rPr>
        <w:t>legal requirements for accountability, conduct, financial management, transparency, integrity, human rights and privacy;</w:t>
      </w:r>
      <w:r>
        <w:rPr>
          <w:color w:val="58595B"/>
          <w:position w:val="7"/>
          <w:sz w:val="11"/>
        </w:rPr>
        <w:t xml:space="preserve">38 </w:t>
      </w:r>
      <w:r>
        <w:rPr>
          <w:color w:val="58595B"/>
        </w:rPr>
        <w:t xml:space="preserve">and upholding public sector values and duties of directors under the </w:t>
      </w:r>
      <w:r>
        <w:rPr>
          <w:i/>
          <w:color w:val="58595B"/>
        </w:rPr>
        <w:t>Public Administration Act 2004</w:t>
      </w:r>
      <w:r>
        <w:rPr>
          <w:color w:val="58595B"/>
          <w:position w:val="7"/>
          <w:sz w:val="11"/>
        </w:rPr>
        <w:t xml:space="preserve">39 </w:t>
      </w:r>
      <w:r>
        <w:rPr>
          <w:color w:val="58595B"/>
        </w:rPr>
        <w:t>and related codes, including the Directors’ Code of Conduct.</w:t>
      </w:r>
      <w:r>
        <w:rPr>
          <w:color w:val="58595B"/>
          <w:position w:val="7"/>
          <w:sz w:val="11"/>
        </w:rPr>
        <w:t>40</w:t>
      </w:r>
    </w:p>
    <w:p w14:paraId="50EFD348" w14:textId="77777777" w:rsidR="00724131" w:rsidRDefault="00823349">
      <w:pPr>
        <w:pStyle w:val="BodyText"/>
        <w:spacing w:before="172" w:line="280" w:lineRule="auto"/>
        <w:ind w:left="134" w:right="1468"/>
      </w:pPr>
      <w:r>
        <w:rPr>
          <w:color w:val="58595B"/>
        </w:rPr>
        <w:t>The EPA’s governance structure can also increase its authority and influence to addressing current and future challenges. By involving eminent and experienced board members, the board structure expands the EPA’s ‘thought leadership’, and brings additional gravitas and standing to the EPA as it advises both government and the community.</w:t>
      </w:r>
    </w:p>
    <w:p w14:paraId="1B89435B" w14:textId="77777777" w:rsidR="00724131" w:rsidRDefault="00823349">
      <w:pPr>
        <w:pStyle w:val="BodyText"/>
        <w:spacing w:before="172" w:line="280" w:lineRule="auto"/>
        <w:ind w:left="134" w:right="1530"/>
        <w:rPr>
          <w:sz w:val="11"/>
        </w:rPr>
      </w:pPr>
      <w:r>
        <w:rPr>
          <w:color w:val="58595B"/>
        </w:rPr>
        <w:t>The Chair of the EPA Board is a critical leadership role for the EPA, that brings to the organisation standing and eminence, and who would enjoy the trust and respect of government, industry and the public. The Chair leads the EPA and its Board, and manages relationships with the CEO and external stakeholders.</w:t>
      </w:r>
      <w:r>
        <w:rPr>
          <w:color w:val="58595B"/>
          <w:position w:val="7"/>
          <w:sz w:val="11"/>
        </w:rPr>
        <w:t>41</w:t>
      </w:r>
    </w:p>
    <w:p w14:paraId="7BE9B77F" w14:textId="77777777" w:rsidR="00724131" w:rsidRDefault="00823349">
      <w:pPr>
        <w:pStyle w:val="BodyText"/>
        <w:spacing w:before="172" w:line="280" w:lineRule="auto"/>
        <w:ind w:left="134" w:right="1530"/>
        <w:rPr>
          <w:sz w:val="11"/>
        </w:rPr>
      </w:pPr>
      <w:r>
        <w:rPr>
          <w:color w:val="58595B"/>
        </w:rPr>
        <w:t>Our proposed board model reflects the feedback we received from stakeholders, who supported a strong, independent, highly skilled EPA Board and strong advisory committees:</w:t>
      </w:r>
      <w:r>
        <w:rPr>
          <w:color w:val="58595B"/>
          <w:position w:val="7"/>
          <w:sz w:val="11"/>
        </w:rPr>
        <w:t>42</w:t>
      </w:r>
    </w:p>
    <w:p w14:paraId="5031813E" w14:textId="77777777" w:rsidR="00724131" w:rsidRDefault="00823349">
      <w:pPr>
        <w:spacing w:before="172"/>
        <w:ind w:left="701" w:right="228"/>
        <w:rPr>
          <w:i/>
          <w:sz w:val="20"/>
        </w:rPr>
      </w:pPr>
      <w:r>
        <w:rPr>
          <w:i/>
          <w:color w:val="231F20"/>
          <w:sz w:val="20"/>
        </w:rPr>
        <w:t>An expanded, skills-based board would help to provide greater independence…</w:t>
      </w:r>
    </w:p>
    <w:p w14:paraId="1637F5FA" w14:textId="77777777" w:rsidR="00724131" w:rsidRDefault="00823349">
      <w:pPr>
        <w:pStyle w:val="BodyText"/>
        <w:spacing w:before="40"/>
        <w:ind w:left="701" w:right="228"/>
      </w:pPr>
      <w:r>
        <w:rPr>
          <w:color w:val="231F20"/>
        </w:rPr>
        <w:t>(Professor John Stanley submission, p. 3)</w:t>
      </w:r>
    </w:p>
    <w:p w14:paraId="7BE4321C" w14:textId="77777777" w:rsidR="00724131" w:rsidRDefault="00724131">
      <w:pPr>
        <w:pStyle w:val="BodyText"/>
        <w:spacing w:before="3"/>
        <w:rPr>
          <w:sz w:val="18"/>
        </w:rPr>
      </w:pPr>
    </w:p>
    <w:p w14:paraId="7C636882" w14:textId="77777777" w:rsidR="00724131" w:rsidRDefault="00823349">
      <w:pPr>
        <w:spacing w:line="280" w:lineRule="auto"/>
        <w:ind w:left="701" w:right="2052"/>
        <w:rPr>
          <w:sz w:val="20"/>
        </w:rPr>
      </w:pPr>
      <w:r>
        <w:rPr>
          <w:i/>
          <w:color w:val="231F20"/>
          <w:sz w:val="20"/>
        </w:rPr>
        <w:t xml:space="preserve">The MAV considers that the vision and strategic priorities outlined in the EPA’s current strategic plan are sound, however is it is suggested that … [t]he governance structure of the EPA be modernised to be a skills-based board. </w:t>
      </w:r>
      <w:r>
        <w:rPr>
          <w:color w:val="231F20"/>
          <w:sz w:val="20"/>
        </w:rPr>
        <w:t>(Municipal Association of Victoria submission, p. 23)</w:t>
      </w:r>
    </w:p>
    <w:p w14:paraId="0CAD4BAD" w14:textId="77777777" w:rsidR="00724131" w:rsidRDefault="00823349">
      <w:pPr>
        <w:pStyle w:val="BodyText"/>
        <w:spacing w:before="172" w:line="280" w:lineRule="auto"/>
        <w:ind w:left="134" w:right="1911"/>
      </w:pPr>
      <w:r>
        <w:rPr>
          <w:color w:val="58595B"/>
        </w:rPr>
        <w:t>As well as the specified skills, Board members should bring a broad range of skills and experience consistent with best practice governance, for example:</w:t>
      </w:r>
    </w:p>
    <w:p w14:paraId="6F3CD67B" w14:textId="77777777" w:rsidR="00724131" w:rsidRDefault="00823349">
      <w:pPr>
        <w:pStyle w:val="ListParagraph"/>
        <w:numPr>
          <w:ilvl w:val="0"/>
          <w:numId w:val="31"/>
        </w:numPr>
        <w:tabs>
          <w:tab w:val="left" w:pos="305"/>
        </w:tabs>
        <w:spacing w:line="280" w:lineRule="auto"/>
        <w:ind w:right="1852" w:hanging="170"/>
        <w:rPr>
          <w:sz w:val="20"/>
        </w:rPr>
      </w:pPr>
      <w:r>
        <w:rPr>
          <w:color w:val="58595B"/>
          <w:sz w:val="20"/>
        </w:rPr>
        <w:t>members who understand the regulatory environment, including market operations and the impacts of regulatory</w:t>
      </w:r>
      <w:r>
        <w:rPr>
          <w:color w:val="58595B"/>
          <w:spacing w:val="7"/>
          <w:sz w:val="20"/>
        </w:rPr>
        <w:t xml:space="preserve"> </w:t>
      </w:r>
      <w:r>
        <w:rPr>
          <w:color w:val="58595B"/>
          <w:sz w:val="20"/>
        </w:rPr>
        <w:t>instruments</w:t>
      </w:r>
    </w:p>
    <w:p w14:paraId="0BFD1417" w14:textId="77777777" w:rsidR="00724131" w:rsidRDefault="00823349">
      <w:pPr>
        <w:pStyle w:val="ListParagraph"/>
        <w:numPr>
          <w:ilvl w:val="0"/>
          <w:numId w:val="31"/>
        </w:numPr>
        <w:tabs>
          <w:tab w:val="left" w:pos="305"/>
        </w:tabs>
        <w:spacing w:line="280" w:lineRule="auto"/>
        <w:ind w:right="2159" w:hanging="170"/>
        <w:rPr>
          <w:sz w:val="20"/>
        </w:rPr>
      </w:pPr>
      <w:r>
        <w:rPr>
          <w:color w:val="58595B"/>
          <w:sz w:val="20"/>
        </w:rPr>
        <w:t xml:space="preserve">members with industry experience, as a </w:t>
      </w:r>
      <w:r>
        <w:rPr>
          <w:color w:val="58595B"/>
          <w:spacing w:val="-2"/>
          <w:sz w:val="20"/>
        </w:rPr>
        <w:t xml:space="preserve">way </w:t>
      </w:r>
      <w:r>
        <w:rPr>
          <w:color w:val="58595B"/>
          <w:sz w:val="20"/>
        </w:rPr>
        <w:t>of engaging and forming partnerships with regulated industries, as is the case with the current membership of the Environment Protection</w:t>
      </w:r>
      <w:r>
        <w:rPr>
          <w:color w:val="58595B"/>
          <w:spacing w:val="16"/>
          <w:sz w:val="20"/>
        </w:rPr>
        <w:t xml:space="preserve"> </w:t>
      </w:r>
      <w:r>
        <w:rPr>
          <w:color w:val="58595B"/>
          <w:sz w:val="20"/>
        </w:rPr>
        <w:t>Board</w:t>
      </w:r>
      <w:r>
        <w:rPr>
          <w:color w:val="58595B"/>
          <w:position w:val="7"/>
          <w:sz w:val="11"/>
        </w:rPr>
        <w:t>43</w:t>
      </w:r>
      <w:r>
        <w:rPr>
          <w:color w:val="58595B"/>
          <w:sz w:val="20"/>
        </w:rPr>
        <w:t>.</w:t>
      </w:r>
    </w:p>
    <w:p w14:paraId="06F85CF3" w14:textId="77777777" w:rsidR="00724131" w:rsidRDefault="00823349">
      <w:pPr>
        <w:pStyle w:val="ListParagraph"/>
        <w:numPr>
          <w:ilvl w:val="0"/>
          <w:numId w:val="31"/>
        </w:numPr>
        <w:tabs>
          <w:tab w:val="left" w:pos="305"/>
        </w:tabs>
        <w:ind w:hanging="170"/>
        <w:rPr>
          <w:sz w:val="20"/>
        </w:rPr>
      </w:pPr>
      <w:r>
        <w:rPr>
          <w:color w:val="58595B"/>
          <w:sz w:val="20"/>
        </w:rPr>
        <w:t>community</w:t>
      </w:r>
      <w:r>
        <w:rPr>
          <w:color w:val="58595B"/>
          <w:spacing w:val="6"/>
          <w:sz w:val="20"/>
        </w:rPr>
        <w:t xml:space="preserve"> </w:t>
      </w:r>
      <w:r>
        <w:rPr>
          <w:color w:val="58595B"/>
          <w:sz w:val="20"/>
        </w:rPr>
        <w:t>members.</w:t>
      </w:r>
    </w:p>
    <w:p w14:paraId="0112784D" w14:textId="77777777" w:rsidR="00724131" w:rsidRDefault="00724131">
      <w:pPr>
        <w:pStyle w:val="BodyText"/>
        <w:spacing w:before="3"/>
        <w:rPr>
          <w:sz w:val="18"/>
        </w:rPr>
      </w:pPr>
    </w:p>
    <w:p w14:paraId="3C9DC0EB" w14:textId="77777777" w:rsidR="00724131" w:rsidRDefault="00823349">
      <w:pPr>
        <w:pStyle w:val="BodyText"/>
        <w:spacing w:line="280" w:lineRule="auto"/>
        <w:ind w:left="134" w:right="1793"/>
      </w:pPr>
      <w:r>
        <w:rPr>
          <w:color w:val="58595B"/>
        </w:rPr>
        <w:t xml:space="preserve">The Board will, as a matter of course, establish other subcommittees as appropriate including a Risk and Audit subcommittee, as required by the </w:t>
      </w:r>
      <w:r>
        <w:rPr>
          <w:i/>
          <w:color w:val="58595B"/>
        </w:rPr>
        <w:t>Financial Management Act 1994</w:t>
      </w:r>
      <w:r>
        <w:rPr>
          <w:color w:val="58595B"/>
        </w:rPr>
        <w:t>.</w:t>
      </w:r>
    </w:p>
    <w:p w14:paraId="0AFED1E4" w14:textId="77777777" w:rsidR="00724131" w:rsidRDefault="00823349">
      <w:pPr>
        <w:pStyle w:val="BodyText"/>
        <w:spacing w:before="172" w:line="280" w:lineRule="auto"/>
        <w:ind w:left="134" w:right="1319"/>
      </w:pPr>
      <w:r>
        <w:rPr>
          <w:color w:val="58595B"/>
          <w:spacing w:val="-4"/>
        </w:rPr>
        <w:t xml:space="preserve">We </w:t>
      </w:r>
      <w:r>
        <w:rPr>
          <w:color w:val="58595B"/>
          <w:spacing w:val="-3"/>
        </w:rPr>
        <w:t xml:space="preserve">consider </w:t>
      </w:r>
      <w:r>
        <w:rPr>
          <w:color w:val="58595B"/>
        </w:rPr>
        <w:t xml:space="preserve">it vital </w:t>
      </w:r>
      <w:r>
        <w:rPr>
          <w:color w:val="58595B"/>
          <w:spacing w:val="-3"/>
        </w:rPr>
        <w:t xml:space="preserve">that </w:t>
      </w:r>
      <w:r>
        <w:rPr>
          <w:color w:val="58595B"/>
        </w:rPr>
        <w:t xml:space="preserve">the </w:t>
      </w:r>
      <w:r>
        <w:rPr>
          <w:color w:val="58595B"/>
          <w:spacing w:val="-3"/>
        </w:rPr>
        <w:t xml:space="preserve">CEO attend all Board meetings, </w:t>
      </w:r>
      <w:r>
        <w:rPr>
          <w:color w:val="58595B"/>
        </w:rPr>
        <w:t xml:space="preserve">both to report to the </w:t>
      </w:r>
      <w:r>
        <w:rPr>
          <w:color w:val="58595B"/>
          <w:spacing w:val="-3"/>
        </w:rPr>
        <w:t xml:space="preserve">Board </w:t>
      </w:r>
      <w:r>
        <w:rPr>
          <w:color w:val="58595B"/>
        </w:rPr>
        <w:t xml:space="preserve">and to </w:t>
      </w:r>
      <w:r>
        <w:rPr>
          <w:color w:val="58595B"/>
          <w:spacing w:val="-3"/>
        </w:rPr>
        <w:t xml:space="preserve">ensure that </w:t>
      </w:r>
      <w:r>
        <w:rPr>
          <w:color w:val="58595B"/>
        </w:rPr>
        <w:t xml:space="preserve">the </w:t>
      </w:r>
      <w:r>
        <w:rPr>
          <w:color w:val="58595B"/>
          <w:spacing w:val="-9"/>
        </w:rPr>
        <w:t xml:space="preserve">EPA’s </w:t>
      </w:r>
      <w:r>
        <w:rPr>
          <w:color w:val="58595B"/>
          <w:spacing w:val="-3"/>
        </w:rPr>
        <w:t xml:space="preserve">operation </w:t>
      </w:r>
      <w:r>
        <w:rPr>
          <w:color w:val="58595B"/>
        </w:rPr>
        <w:t xml:space="preserve">is both </w:t>
      </w:r>
      <w:r>
        <w:rPr>
          <w:color w:val="58595B"/>
          <w:spacing w:val="-3"/>
        </w:rPr>
        <w:t xml:space="preserve">informed </w:t>
      </w:r>
      <w:r>
        <w:rPr>
          <w:color w:val="58595B"/>
          <w:spacing w:val="-4"/>
        </w:rPr>
        <w:t xml:space="preserve">by </w:t>
      </w:r>
      <w:r>
        <w:rPr>
          <w:color w:val="58595B"/>
        </w:rPr>
        <w:t xml:space="preserve">and </w:t>
      </w:r>
      <w:r>
        <w:rPr>
          <w:color w:val="58595B"/>
          <w:spacing w:val="-3"/>
        </w:rPr>
        <w:t xml:space="preserve">responsive </w:t>
      </w:r>
      <w:r>
        <w:rPr>
          <w:color w:val="58595B"/>
        </w:rPr>
        <w:t xml:space="preserve">to the </w:t>
      </w:r>
      <w:r>
        <w:rPr>
          <w:color w:val="58595B"/>
          <w:spacing w:val="-3"/>
        </w:rPr>
        <w:t xml:space="preserve">directions set </w:t>
      </w:r>
      <w:r>
        <w:rPr>
          <w:color w:val="58595B"/>
          <w:spacing w:val="-4"/>
        </w:rPr>
        <w:t xml:space="preserve">by </w:t>
      </w:r>
      <w:r>
        <w:rPr>
          <w:color w:val="58595B"/>
        </w:rPr>
        <w:t xml:space="preserve">the </w:t>
      </w:r>
      <w:r>
        <w:rPr>
          <w:color w:val="58595B"/>
          <w:spacing w:val="-3"/>
        </w:rPr>
        <w:t>Board.</w:t>
      </w:r>
    </w:p>
    <w:p w14:paraId="6CC6C096" w14:textId="77777777" w:rsidR="00724131" w:rsidRDefault="00724131">
      <w:pPr>
        <w:pStyle w:val="BodyText"/>
        <w:spacing w:before="10"/>
        <w:rPr>
          <w:sz w:val="19"/>
        </w:rPr>
      </w:pPr>
    </w:p>
    <w:p w14:paraId="1FD73381" w14:textId="77777777" w:rsidR="00724131" w:rsidRDefault="00823349">
      <w:pPr>
        <w:ind w:left="134" w:right="228"/>
        <w:rPr>
          <w:i/>
          <w:sz w:val="20"/>
        </w:rPr>
      </w:pPr>
      <w:r>
        <w:rPr>
          <w:i/>
          <w:color w:val="6D6E71"/>
          <w:sz w:val="20"/>
        </w:rPr>
        <w:t>Science and engineering expertise</w:t>
      </w:r>
    </w:p>
    <w:p w14:paraId="1DDF9CD4" w14:textId="77777777" w:rsidR="00724131" w:rsidRDefault="00823349">
      <w:pPr>
        <w:pStyle w:val="BodyText"/>
        <w:spacing w:before="125" w:line="280" w:lineRule="auto"/>
        <w:ind w:left="134" w:right="1578"/>
      </w:pPr>
      <w:r>
        <w:rPr>
          <w:color w:val="58595B"/>
        </w:rPr>
        <w:t>Board members provide the EPA with access to state, national and international expert networks. Specifying members with science/engineering and health qualifications or experience complements our proposals to enhance staff skills in the applied sciences area and to elevate science and health expertise to the organisation’s highest levels. We recognise the EPA already derives some of these benefits through the current engagements with members of the Science and Engineering Advisory Committee (established by the current Chairman) and consider that this is a strong indicator of the value of our proposed new Board arrangements.</w:t>
      </w:r>
    </w:p>
    <w:p w14:paraId="26903700" w14:textId="77777777" w:rsidR="00724131" w:rsidRDefault="00724131">
      <w:pPr>
        <w:spacing w:line="280" w:lineRule="auto"/>
        <w:sectPr w:rsidR="00724131">
          <w:pgSz w:w="11910" w:h="16840"/>
          <w:pgMar w:top="980" w:right="0" w:bottom="280" w:left="1680" w:header="788" w:footer="0" w:gutter="0"/>
          <w:cols w:space="720"/>
        </w:sectPr>
      </w:pPr>
    </w:p>
    <w:p w14:paraId="059AC781" w14:textId="77777777" w:rsidR="00724131" w:rsidRDefault="00724131">
      <w:pPr>
        <w:pStyle w:val="BodyText"/>
      </w:pPr>
    </w:p>
    <w:p w14:paraId="1DE464CD" w14:textId="77777777" w:rsidR="00724131" w:rsidRDefault="00724131">
      <w:pPr>
        <w:pStyle w:val="BodyText"/>
      </w:pPr>
    </w:p>
    <w:p w14:paraId="5DFBC425" w14:textId="77777777" w:rsidR="00724131" w:rsidRDefault="00724131">
      <w:pPr>
        <w:pStyle w:val="BodyText"/>
      </w:pPr>
    </w:p>
    <w:p w14:paraId="1EA097B6" w14:textId="77777777" w:rsidR="00724131" w:rsidRDefault="00724131">
      <w:pPr>
        <w:pStyle w:val="BodyText"/>
      </w:pPr>
    </w:p>
    <w:p w14:paraId="11E8D38C" w14:textId="77777777" w:rsidR="00724131" w:rsidRDefault="00724131">
      <w:pPr>
        <w:pStyle w:val="BodyText"/>
        <w:spacing w:before="8"/>
        <w:rPr>
          <w:sz w:val="17"/>
        </w:rPr>
      </w:pPr>
    </w:p>
    <w:p w14:paraId="2C085EB4" w14:textId="77777777" w:rsidR="00724131" w:rsidRDefault="00823349">
      <w:pPr>
        <w:pStyle w:val="BodyText"/>
        <w:spacing w:before="1"/>
        <w:ind w:left="1417" w:right="228"/>
      </w:pPr>
      <w:r>
        <w:rPr>
          <w:color w:val="58595B"/>
        </w:rPr>
        <w:t xml:space="preserve">The proposed Board composition will support the </w:t>
      </w:r>
      <w:r>
        <w:rPr>
          <w:color w:val="58595B"/>
          <w:spacing w:val="-7"/>
        </w:rPr>
        <w:t xml:space="preserve">EPA’s </w:t>
      </w:r>
      <w:r>
        <w:rPr>
          <w:color w:val="58595B"/>
        </w:rPr>
        <w:t>science-based regulatory role</w:t>
      </w:r>
      <w:r>
        <w:rPr>
          <w:color w:val="58595B"/>
          <w:spacing w:val="52"/>
        </w:rPr>
        <w:t xml:space="preserve"> </w:t>
      </w:r>
      <w:r>
        <w:rPr>
          <w:color w:val="58595B"/>
        </w:rPr>
        <w:t>via:</w:t>
      </w:r>
    </w:p>
    <w:p w14:paraId="5825E5BF" w14:textId="77777777" w:rsidR="00724131" w:rsidRDefault="00823349">
      <w:pPr>
        <w:pStyle w:val="ListParagraph"/>
        <w:numPr>
          <w:ilvl w:val="0"/>
          <w:numId w:val="27"/>
        </w:numPr>
        <w:tabs>
          <w:tab w:val="left" w:pos="1588"/>
        </w:tabs>
        <w:spacing w:before="153" w:line="280" w:lineRule="auto"/>
        <w:ind w:right="407" w:hanging="170"/>
        <w:rPr>
          <w:sz w:val="20"/>
        </w:rPr>
      </w:pPr>
      <w:r>
        <w:rPr>
          <w:color w:val="58595B"/>
          <w:sz w:val="20"/>
        </w:rPr>
        <w:t>stronger strategic direction and authorisation internally, including expert input and oversight of scientific and technical strategies, environmental standards and organisational</w:t>
      </w:r>
      <w:r>
        <w:rPr>
          <w:color w:val="58595B"/>
          <w:spacing w:val="12"/>
          <w:sz w:val="20"/>
        </w:rPr>
        <w:t xml:space="preserve"> </w:t>
      </w:r>
      <w:r>
        <w:rPr>
          <w:color w:val="58595B"/>
          <w:sz w:val="20"/>
        </w:rPr>
        <w:t>capabilities</w:t>
      </w:r>
    </w:p>
    <w:p w14:paraId="40EBBFBB" w14:textId="77777777" w:rsidR="00724131" w:rsidRDefault="00823349">
      <w:pPr>
        <w:pStyle w:val="ListParagraph"/>
        <w:numPr>
          <w:ilvl w:val="0"/>
          <w:numId w:val="27"/>
        </w:numPr>
        <w:tabs>
          <w:tab w:val="left" w:pos="1588"/>
        </w:tabs>
        <w:ind w:hanging="170"/>
        <w:rPr>
          <w:sz w:val="20"/>
        </w:rPr>
      </w:pPr>
      <w:r>
        <w:rPr>
          <w:color w:val="58595B"/>
          <w:sz w:val="20"/>
        </w:rPr>
        <w:t>enhanced influence within</w:t>
      </w:r>
      <w:r>
        <w:rPr>
          <w:color w:val="58595B"/>
          <w:spacing w:val="5"/>
          <w:sz w:val="20"/>
        </w:rPr>
        <w:t xml:space="preserve"> </w:t>
      </w:r>
      <w:r>
        <w:rPr>
          <w:color w:val="58595B"/>
          <w:sz w:val="20"/>
        </w:rPr>
        <w:t>government</w:t>
      </w:r>
    </w:p>
    <w:p w14:paraId="2F273FA1" w14:textId="77777777" w:rsidR="00724131" w:rsidRDefault="00823349">
      <w:pPr>
        <w:pStyle w:val="ListParagraph"/>
        <w:numPr>
          <w:ilvl w:val="0"/>
          <w:numId w:val="27"/>
        </w:numPr>
        <w:tabs>
          <w:tab w:val="left" w:pos="1588"/>
        </w:tabs>
        <w:spacing w:before="153"/>
        <w:ind w:hanging="170"/>
        <w:rPr>
          <w:sz w:val="20"/>
        </w:rPr>
      </w:pPr>
      <w:r>
        <w:rPr>
          <w:color w:val="58595B"/>
          <w:sz w:val="20"/>
        </w:rPr>
        <w:t xml:space="preserve">greater credibility and confidence in the </w:t>
      </w:r>
      <w:r>
        <w:rPr>
          <w:color w:val="58595B"/>
          <w:spacing w:val="-4"/>
          <w:sz w:val="20"/>
        </w:rPr>
        <w:t xml:space="preserve">EPA </w:t>
      </w:r>
      <w:r>
        <w:rPr>
          <w:color w:val="58595B"/>
          <w:sz w:val="20"/>
        </w:rPr>
        <w:t>from those subject to its</w:t>
      </w:r>
      <w:r>
        <w:rPr>
          <w:color w:val="58595B"/>
          <w:spacing w:val="26"/>
          <w:sz w:val="20"/>
        </w:rPr>
        <w:t xml:space="preserve"> </w:t>
      </w:r>
      <w:r>
        <w:rPr>
          <w:color w:val="58595B"/>
          <w:sz w:val="20"/>
        </w:rPr>
        <w:t>regulation</w:t>
      </w:r>
    </w:p>
    <w:p w14:paraId="0FC0BD09" w14:textId="77777777" w:rsidR="00724131" w:rsidRDefault="00823349">
      <w:pPr>
        <w:pStyle w:val="ListParagraph"/>
        <w:numPr>
          <w:ilvl w:val="0"/>
          <w:numId w:val="27"/>
        </w:numPr>
        <w:tabs>
          <w:tab w:val="left" w:pos="1588"/>
        </w:tabs>
        <w:spacing w:before="153"/>
        <w:ind w:hanging="170"/>
        <w:rPr>
          <w:sz w:val="20"/>
        </w:rPr>
      </w:pPr>
      <w:r>
        <w:rPr>
          <w:color w:val="58595B"/>
          <w:sz w:val="20"/>
        </w:rPr>
        <w:t>a more authoritative and trusted voice in the</w:t>
      </w:r>
      <w:r>
        <w:rPr>
          <w:color w:val="58595B"/>
          <w:spacing w:val="12"/>
          <w:sz w:val="20"/>
        </w:rPr>
        <w:t xml:space="preserve"> </w:t>
      </w:r>
      <w:r>
        <w:rPr>
          <w:color w:val="58595B"/>
          <w:sz w:val="20"/>
        </w:rPr>
        <w:t>community</w:t>
      </w:r>
    </w:p>
    <w:p w14:paraId="7020C8ED" w14:textId="77777777" w:rsidR="00724131" w:rsidRDefault="00823349">
      <w:pPr>
        <w:pStyle w:val="ListParagraph"/>
        <w:numPr>
          <w:ilvl w:val="0"/>
          <w:numId w:val="27"/>
        </w:numPr>
        <w:tabs>
          <w:tab w:val="left" w:pos="1588"/>
        </w:tabs>
        <w:spacing w:before="153" w:line="280" w:lineRule="auto"/>
        <w:ind w:right="501" w:hanging="170"/>
        <w:rPr>
          <w:sz w:val="20"/>
        </w:rPr>
      </w:pPr>
      <w:r>
        <w:rPr>
          <w:color w:val="58595B"/>
          <w:sz w:val="20"/>
        </w:rPr>
        <w:t>expanded expert networks within Victoria, nationally and internationally, with the potential to leverage others’</w:t>
      </w:r>
      <w:r>
        <w:rPr>
          <w:color w:val="58595B"/>
          <w:spacing w:val="-9"/>
          <w:sz w:val="20"/>
        </w:rPr>
        <w:t xml:space="preserve"> </w:t>
      </w:r>
      <w:r>
        <w:rPr>
          <w:color w:val="58595B"/>
          <w:sz w:val="20"/>
        </w:rPr>
        <w:t>knowledge.</w:t>
      </w:r>
    </w:p>
    <w:p w14:paraId="34C910F4" w14:textId="77777777" w:rsidR="00724131" w:rsidRDefault="00724131">
      <w:pPr>
        <w:pStyle w:val="BodyText"/>
        <w:spacing w:before="10"/>
        <w:rPr>
          <w:sz w:val="19"/>
        </w:rPr>
      </w:pPr>
    </w:p>
    <w:p w14:paraId="209C2700" w14:textId="77777777" w:rsidR="00724131" w:rsidRDefault="00823349">
      <w:pPr>
        <w:ind w:left="1417" w:right="228"/>
        <w:rPr>
          <w:i/>
          <w:sz w:val="20"/>
        </w:rPr>
      </w:pPr>
      <w:r>
        <w:rPr>
          <w:i/>
          <w:color w:val="6D6E71"/>
          <w:sz w:val="20"/>
        </w:rPr>
        <w:t>Health expertise</w:t>
      </w:r>
    </w:p>
    <w:p w14:paraId="2190F3FB" w14:textId="77777777" w:rsidR="00724131" w:rsidRDefault="00823349">
      <w:pPr>
        <w:pStyle w:val="BodyText"/>
        <w:spacing w:before="125" w:line="280" w:lineRule="auto"/>
        <w:ind w:left="1417" w:right="228"/>
      </w:pPr>
      <w:r>
        <w:rPr>
          <w:color w:val="58595B"/>
        </w:rPr>
        <w:t>We recommend the Minister for Health nominate one member of the EPA Board, with health qualifications or experience.</w:t>
      </w:r>
    </w:p>
    <w:p w14:paraId="50ECBAE0" w14:textId="77777777" w:rsidR="00724131" w:rsidRDefault="00823349">
      <w:pPr>
        <w:spacing w:before="172" w:line="280" w:lineRule="auto"/>
        <w:ind w:left="1984" w:right="817"/>
        <w:rPr>
          <w:sz w:val="20"/>
        </w:rPr>
      </w:pPr>
      <w:r>
        <w:rPr>
          <w:i/>
          <w:color w:val="231F20"/>
          <w:sz w:val="20"/>
        </w:rPr>
        <w:t xml:space="preserve">If the Victorian EPA is serious about strengthening its role in public health issues, it should add a health voice/expertise in its management and/or governance. Looking at the Victorian EPA’s organisational chart, there are no board members, executive officers, nor principal experts who hold public health or medical qualifications, and no health focus within its organisational structure. </w:t>
      </w:r>
      <w:r>
        <w:rPr>
          <w:color w:val="231F20"/>
          <w:sz w:val="20"/>
        </w:rPr>
        <w:t>(Doctors for the Environment Australia submission, p. 6)</w:t>
      </w:r>
    </w:p>
    <w:p w14:paraId="24CA0349" w14:textId="77777777" w:rsidR="00724131" w:rsidRDefault="00823349">
      <w:pPr>
        <w:pStyle w:val="BodyText"/>
        <w:spacing w:before="172"/>
        <w:ind w:left="1417" w:right="228"/>
      </w:pPr>
      <w:r>
        <w:rPr>
          <w:color w:val="58595B"/>
        </w:rPr>
        <w:t>This proposal supports the strengthened focus on the EPA’s role in protecting human health by:</w:t>
      </w:r>
    </w:p>
    <w:p w14:paraId="74ECCE2D" w14:textId="77777777" w:rsidR="00724131" w:rsidRDefault="00823349">
      <w:pPr>
        <w:pStyle w:val="ListParagraph"/>
        <w:numPr>
          <w:ilvl w:val="0"/>
          <w:numId w:val="27"/>
        </w:numPr>
        <w:tabs>
          <w:tab w:val="left" w:pos="1588"/>
        </w:tabs>
        <w:spacing w:before="153" w:line="280" w:lineRule="auto"/>
        <w:ind w:right="587" w:hanging="170"/>
        <w:rPr>
          <w:sz w:val="20"/>
        </w:rPr>
      </w:pPr>
      <w:r>
        <w:rPr>
          <w:color w:val="58595B"/>
          <w:sz w:val="20"/>
        </w:rPr>
        <w:t xml:space="preserve">providing strategic leadership for the enhanced public health functions and input into </w:t>
      </w:r>
      <w:r>
        <w:rPr>
          <w:color w:val="58595B"/>
          <w:spacing w:val="-7"/>
          <w:sz w:val="20"/>
        </w:rPr>
        <w:t xml:space="preserve">EPA’s </w:t>
      </w:r>
      <w:r>
        <w:rPr>
          <w:color w:val="58595B"/>
          <w:sz w:val="20"/>
        </w:rPr>
        <w:t>regulatory framework, as determined by the</w:t>
      </w:r>
      <w:r>
        <w:rPr>
          <w:color w:val="58595B"/>
          <w:spacing w:val="7"/>
          <w:sz w:val="20"/>
        </w:rPr>
        <w:t xml:space="preserve"> </w:t>
      </w:r>
      <w:r>
        <w:rPr>
          <w:color w:val="58595B"/>
          <w:sz w:val="20"/>
        </w:rPr>
        <w:t>Board</w:t>
      </w:r>
    </w:p>
    <w:p w14:paraId="3BAE7934" w14:textId="77777777" w:rsidR="00724131" w:rsidRDefault="00823349">
      <w:pPr>
        <w:pStyle w:val="ListParagraph"/>
        <w:numPr>
          <w:ilvl w:val="0"/>
          <w:numId w:val="27"/>
        </w:numPr>
        <w:tabs>
          <w:tab w:val="left" w:pos="1588"/>
        </w:tabs>
        <w:spacing w:line="280" w:lineRule="auto"/>
        <w:ind w:right="796" w:hanging="170"/>
        <w:rPr>
          <w:sz w:val="20"/>
        </w:rPr>
      </w:pPr>
      <w:r>
        <w:rPr>
          <w:color w:val="58595B"/>
          <w:sz w:val="20"/>
        </w:rPr>
        <w:t xml:space="preserve">formally recognising the important ongoing links between the work of the </w:t>
      </w:r>
      <w:r>
        <w:rPr>
          <w:color w:val="58595B"/>
          <w:spacing w:val="-4"/>
          <w:sz w:val="20"/>
        </w:rPr>
        <w:t xml:space="preserve">EPA </w:t>
      </w:r>
      <w:r>
        <w:rPr>
          <w:color w:val="58595B"/>
          <w:sz w:val="20"/>
        </w:rPr>
        <w:t>and of the health</w:t>
      </w:r>
      <w:r>
        <w:rPr>
          <w:color w:val="58595B"/>
          <w:spacing w:val="12"/>
          <w:sz w:val="20"/>
        </w:rPr>
        <w:t xml:space="preserve"> </w:t>
      </w:r>
      <w:r>
        <w:rPr>
          <w:color w:val="58595B"/>
          <w:sz w:val="20"/>
        </w:rPr>
        <w:t>portfolio.</w:t>
      </w:r>
    </w:p>
    <w:p w14:paraId="2F6C8640" w14:textId="77777777" w:rsidR="00724131" w:rsidRDefault="00823349">
      <w:pPr>
        <w:pStyle w:val="BodyText"/>
        <w:spacing w:before="172" w:line="280" w:lineRule="auto"/>
        <w:ind w:left="1417" w:right="163"/>
        <w:rPr>
          <w:sz w:val="11"/>
        </w:rPr>
      </w:pPr>
      <w:r>
        <w:rPr>
          <w:color w:val="58595B"/>
        </w:rPr>
        <w:t xml:space="preserve">This approach has precedence in other Victorian legislation where cross-portfolio interests must be represented in governance structures. For example, under the </w:t>
      </w:r>
      <w:r>
        <w:rPr>
          <w:i/>
          <w:color w:val="58595B"/>
        </w:rPr>
        <w:t>Mental Health Act 2014</w:t>
      </w:r>
      <w:r>
        <w:rPr>
          <w:color w:val="58595B"/>
        </w:rPr>
        <w:t>, the board of directors of the Victorian Institute of Forensic Mental Health include members nominated by the Attorney-General and the minister responsible for corrections.</w:t>
      </w:r>
      <w:r>
        <w:rPr>
          <w:color w:val="58595B"/>
          <w:position w:val="7"/>
          <w:sz w:val="11"/>
        </w:rPr>
        <w:t>44</w:t>
      </w:r>
    </w:p>
    <w:p w14:paraId="71670E3A" w14:textId="77777777" w:rsidR="00724131" w:rsidRDefault="00724131">
      <w:pPr>
        <w:pStyle w:val="BodyText"/>
        <w:spacing w:before="10"/>
        <w:rPr>
          <w:sz w:val="19"/>
        </w:rPr>
      </w:pPr>
    </w:p>
    <w:p w14:paraId="1999C421" w14:textId="77777777" w:rsidR="00724131" w:rsidRDefault="00823349">
      <w:pPr>
        <w:ind w:left="1417" w:right="228"/>
        <w:rPr>
          <w:i/>
          <w:sz w:val="20"/>
        </w:rPr>
      </w:pPr>
      <w:r>
        <w:rPr>
          <w:i/>
          <w:color w:val="6D6E71"/>
          <w:sz w:val="20"/>
        </w:rPr>
        <w:t>Science, Engineering and Health subcommittee</w:t>
      </w:r>
    </w:p>
    <w:p w14:paraId="3B05DF9C" w14:textId="77777777" w:rsidR="00724131" w:rsidRDefault="00823349">
      <w:pPr>
        <w:pStyle w:val="BodyText"/>
        <w:spacing w:before="125" w:line="280" w:lineRule="auto"/>
        <w:ind w:left="1417" w:right="368"/>
      </w:pPr>
      <w:r>
        <w:rPr>
          <w:color w:val="58595B"/>
        </w:rPr>
        <w:t>To ensure that high order technical expertise relevant to EPA’s regulatory task and advisory roles remains an enduring focus for the Board, we recommend the EPA (Establishment) Act should establish a Science, Engineering and Health subcommittee of the Board. In general, subcommittees of the Board are a matter for the Board to determine. However, in this case, we consider this subcommittee requires a legislated status.</w:t>
      </w:r>
    </w:p>
    <w:p w14:paraId="6B60314C" w14:textId="77777777" w:rsidR="00724131" w:rsidRDefault="00823349">
      <w:pPr>
        <w:pStyle w:val="BodyText"/>
        <w:spacing w:before="172" w:line="280" w:lineRule="auto"/>
        <w:ind w:left="1417" w:right="368"/>
      </w:pPr>
      <w:r>
        <w:rPr>
          <w:color w:val="58595B"/>
        </w:rPr>
        <w:t>The Science, Engineering and Health subcommittee will provide strategic advice on the EPA’s science, engineering and health functions. It should be chaired by the Board member with science qualifications or experience, and include in its membership the Board member with health qualifications or experience. The other members should comprise pre-eminent technical and scientific specialists, and the Chief Health Officer.</w:t>
      </w:r>
    </w:p>
    <w:p w14:paraId="64501157" w14:textId="77777777" w:rsidR="00724131" w:rsidRDefault="00724131">
      <w:pPr>
        <w:spacing w:line="280" w:lineRule="auto"/>
        <w:sectPr w:rsidR="00724131">
          <w:pgSz w:w="11910" w:h="16840"/>
          <w:pgMar w:top="980" w:right="1680" w:bottom="280" w:left="0" w:header="788" w:footer="0" w:gutter="0"/>
          <w:cols w:space="720"/>
        </w:sectPr>
      </w:pPr>
    </w:p>
    <w:p w14:paraId="6EB623A0" w14:textId="77777777" w:rsidR="00724131" w:rsidRDefault="00724131">
      <w:pPr>
        <w:pStyle w:val="BodyText"/>
      </w:pPr>
    </w:p>
    <w:p w14:paraId="5C8195FA" w14:textId="77777777" w:rsidR="00724131" w:rsidRDefault="00724131">
      <w:pPr>
        <w:pStyle w:val="BodyText"/>
      </w:pPr>
    </w:p>
    <w:p w14:paraId="7263848A" w14:textId="77777777" w:rsidR="00724131" w:rsidRDefault="00724131">
      <w:pPr>
        <w:pStyle w:val="BodyText"/>
      </w:pPr>
    </w:p>
    <w:p w14:paraId="6EE09179" w14:textId="77777777" w:rsidR="00724131" w:rsidRDefault="00724131">
      <w:pPr>
        <w:pStyle w:val="BodyText"/>
      </w:pPr>
    </w:p>
    <w:p w14:paraId="3839CC2A" w14:textId="77777777" w:rsidR="00724131" w:rsidRDefault="00724131">
      <w:pPr>
        <w:pStyle w:val="BodyText"/>
        <w:spacing w:before="8"/>
        <w:rPr>
          <w:sz w:val="17"/>
        </w:rPr>
      </w:pPr>
    </w:p>
    <w:p w14:paraId="1C5A2ED1" w14:textId="77777777" w:rsidR="00724131" w:rsidRDefault="00823349">
      <w:pPr>
        <w:pStyle w:val="ListParagraph"/>
        <w:numPr>
          <w:ilvl w:val="2"/>
          <w:numId w:val="28"/>
        </w:numPr>
        <w:tabs>
          <w:tab w:val="left" w:pos="789"/>
        </w:tabs>
        <w:spacing w:before="1"/>
        <w:ind w:left="788" w:hanging="654"/>
        <w:rPr>
          <w:sz w:val="20"/>
        </w:rPr>
      </w:pPr>
      <w:r>
        <w:rPr>
          <w:color w:val="0095A7"/>
          <w:sz w:val="20"/>
        </w:rPr>
        <w:t>Legislated functions for the</w:t>
      </w:r>
      <w:r>
        <w:rPr>
          <w:color w:val="0095A7"/>
          <w:spacing w:val="6"/>
          <w:sz w:val="20"/>
        </w:rPr>
        <w:t xml:space="preserve"> </w:t>
      </w:r>
      <w:r>
        <w:rPr>
          <w:color w:val="0095A7"/>
          <w:sz w:val="20"/>
        </w:rPr>
        <w:t>Board</w:t>
      </w:r>
    </w:p>
    <w:p w14:paraId="4AC2CD4F" w14:textId="77777777" w:rsidR="00724131" w:rsidRDefault="00823349">
      <w:pPr>
        <w:pStyle w:val="BodyText"/>
        <w:spacing w:before="153" w:line="280" w:lineRule="auto"/>
        <w:ind w:left="134" w:right="1547"/>
        <w:rPr>
          <w:sz w:val="11"/>
        </w:rPr>
      </w:pPr>
      <w:r>
        <w:rPr>
          <w:color w:val="58595B"/>
        </w:rPr>
        <w:t xml:space="preserve">The Board steers the </w:t>
      </w:r>
      <w:r>
        <w:rPr>
          <w:color w:val="58595B"/>
          <w:spacing w:val="-4"/>
        </w:rPr>
        <w:t xml:space="preserve">EPA </w:t>
      </w:r>
      <w:r>
        <w:rPr>
          <w:color w:val="58595B"/>
        </w:rPr>
        <w:t xml:space="preserve">on behalf of the Minister and must inform the Minister of major risks  to the </w:t>
      </w:r>
      <w:r>
        <w:rPr>
          <w:color w:val="58595B"/>
          <w:spacing w:val="-4"/>
        </w:rPr>
        <w:t xml:space="preserve">EPA </w:t>
      </w:r>
      <w:r>
        <w:rPr>
          <w:color w:val="58595B"/>
        </w:rPr>
        <w:t xml:space="preserve">and measures to address risks. The Board is responsible for its own effectiveness as a governing </w:t>
      </w:r>
      <w:r>
        <w:rPr>
          <w:color w:val="58595B"/>
          <w:spacing w:val="-3"/>
        </w:rPr>
        <w:t xml:space="preserve">body, </w:t>
      </w:r>
      <w:r>
        <w:rPr>
          <w:color w:val="58595B"/>
        </w:rPr>
        <w:t>subject to the obligations of Directors of public</w:t>
      </w:r>
      <w:r>
        <w:rPr>
          <w:color w:val="58595B"/>
          <w:spacing w:val="23"/>
        </w:rPr>
        <w:t xml:space="preserve"> </w:t>
      </w:r>
      <w:r>
        <w:rPr>
          <w:color w:val="58595B"/>
        </w:rPr>
        <w:t>entities.</w:t>
      </w:r>
      <w:r>
        <w:rPr>
          <w:color w:val="58595B"/>
          <w:position w:val="7"/>
          <w:sz w:val="11"/>
        </w:rPr>
        <w:t>45</w:t>
      </w:r>
    </w:p>
    <w:p w14:paraId="2E4B312F" w14:textId="77777777" w:rsidR="00724131" w:rsidRDefault="00823349">
      <w:pPr>
        <w:pStyle w:val="BodyText"/>
        <w:spacing w:before="172"/>
        <w:ind w:left="134" w:right="228"/>
      </w:pPr>
      <w:r>
        <w:rPr>
          <w:color w:val="58595B"/>
        </w:rPr>
        <w:t>We consider the EPA Board’s legislated functions should include:</w:t>
      </w:r>
    </w:p>
    <w:p w14:paraId="15AA979E" w14:textId="77777777" w:rsidR="00724131" w:rsidRDefault="00823349">
      <w:pPr>
        <w:pStyle w:val="ListParagraph"/>
        <w:numPr>
          <w:ilvl w:val="0"/>
          <w:numId w:val="31"/>
        </w:numPr>
        <w:tabs>
          <w:tab w:val="left" w:pos="305"/>
        </w:tabs>
        <w:spacing w:before="153" w:line="280" w:lineRule="auto"/>
        <w:ind w:right="1999" w:hanging="170"/>
        <w:rPr>
          <w:sz w:val="20"/>
        </w:rPr>
      </w:pPr>
      <w:r>
        <w:rPr>
          <w:color w:val="58595B"/>
          <w:sz w:val="20"/>
        </w:rPr>
        <w:t xml:space="preserve">determining the </w:t>
      </w:r>
      <w:r>
        <w:rPr>
          <w:color w:val="58595B"/>
          <w:spacing w:val="-7"/>
          <w:sz w:val="20"/>
        </w:rPr>
        <w:t xml:space="preserve">EPA’s </w:t>
      </w:r>
      <w:r>
        <w:rPr>
          <w:color w:val="58595B"/>
          <w:sz w:val="20"/>
        </w:rPr>
        <w:t>strategic direction, and overseeing strategic priorities (for example, through the Annual Plan and targets) and</w:t>
      </w:r>
      <w:r>
        <w:rPr>
          <w:color w:val="58595B"/>
          <w:spacing w:val="-6"/>
          <w:sz w:val="20"/>
        </w:rPr>
        <w:t xml:space="preserve"> </w:t>
      </w:r>
      <w:r>
        <w:rPr>
          <w:color w:val="58595B"/>
          <w:sz w:val="20"/>
        </w:rPr>
        <w:t>outcomes</w:t>
      </w:r>
    </w:p>
    <w:p w14:paraId="4C873D13" w14:textId="77777777" w:rsidR="00724131" w:rsidRDefault="00823349">
      <w:pPr>
        <w:pStyle w:val="ListParagraph"/>
        <w:numPr>
          <w:ilvl w:val="0"/>
          <w:numId w:val="31"/>
        </w:numPr>
        <w:tabs>
          <w:tab w:val="left" w:pos="305"/>
        </w:tabs>
        <w:spacing w:line="280" w:lineRule="auto"/>
        <w:ind w:right="1638" w:hanging="170"/>
        <w:rPr>
          <w:sz w:val="20"/>
        </w:rPr>
      </w:pPr>
      <w:r>
        <w:rPr>
          <w:color w:val="58595B"/>
          <w:sz w:val="20"/>
        </w:rPr>
        <w:t>overseeing the corporate performance of the EPA, including approving budgets and business plans and monitoring performance and financial</w:t>
      </w:r>
      <w:r>
        <w:rPr>
          <w:color w:val="58595B"/>
          <w:spacing w:val="23"/>
          <w:sz w:val="20"/>
        </w:rPr>
        <w:t xml:space="preserve"> </w:t>
      </w:r>
      <w:r>
        <w:rPr>
          <w:color w:val="58595B"/>
          <w:sz w:val="20"/>
        </w:rPr>
        <w:t>management</w:t>
      </w:r>
    </w:p>
    <w:p w14:paraId="7B3ECFF9" w14:textId="77777777" w:rsidR="00724131" w:rsidRDefault="00823349">
      <w:pPr>
        <w:pStyle w:val="ListParagraph"/>
        <w:numPr>
          <w:ilvl w:val="0"/>
          <w:numId w:val="31"/>
        </w:numPr>
        <w:tabs>
          <w:tab w:val="left" w:pos="305"/>
        </w:tabs>
        <w:ind w:hanging="170"/>
        <w:rPr>
          <w:sz w:val="20"/>
        </w:rPr>
      </w:pPr>
      <w:r>
        <w:rPr>
          <w:color w:val="58595B"/>
          <w:sz w:val="20"/>
        </w:rPr>
        <w:t>overseeing the discharge of the regulatory</w:t>
      </w:r>
      <w:r>
        <w:rPr>
          <w:color w:val="58595B"/>
          <w:spacing w:val="5"/>
          <w:sz w:val="20"/>
        </w:rPr>
        <w:t xml:space="preserve"> </w:t>
      </w:r>
      <w:r>
        <w:rPr>
          <w:color w:val="58595B"/>
          <w:sz w:val="20"/>
        </w:rPr>
        <w:t>approach</w:t>
      </w:r>
    </w:p>
    <w:p w14:paraId="33BD8E00" w14:textId="77777777" w:rsidR="00724131" w:rsidRDefault="00823349">
      <w:pPr>
        <w:pStyle w:val="ListParagraph"/>
        <w:numPr>
          <w:ilvl w:val="0"/>
          <w:numId w:val="31"/>
        </w:numPr>
        <w:tabs>
          <w:tab w:val="left" w:pos="305"/>
        </w:tabs>
        <w:spacing w:before="153"/>
        <w:ind w:hanging="170"/>
        <w:rPr>
          <w:sz w:val="20"/>
        </w:rPr>
      </w:pPr>
      <w:r>
        <w:rPr>
          <w:color w:val="58595B"/>
          <w:sz w:val="20"/>
        </w:rPr>
        <w:t>responding to, and reporting against, any statement of expectations from the</w:t>
      </w:r>
      <w:r>
        <w:rPr>
          <w:color w:val="58595B"/>
          <w:spacing w:val="1"/>
          <w:sz w:val="20"/>
        </w:rPr>
        <w:t xml:space="preserve"> </w:t>
      </w:r>
      <w:r>
        <w:rPr>
          <w:color w:val="58595B"/>
          <w:sz w:val="20"/>
        </w:rPr>
        <w:t>minister</w:t>
      </w:r>
    </w:p>
    <w:p w14:paraId="09FD6A4C" w14:textId="77777777" w:rsidR="00724131" w:rsidRDefault="00823349">
      <w:pPr>
        <w:pStyle w:val="ListParagraph"/>
        <w:numPr>
          <w:ilvl w:val="0"/>
          <w:numId w:val="31"/>
        </w:numPr>
        <w:tabs>
          <w:tab w:val="left" w:pos="305"/>
        </w:tabs>
        <w:spacing w:before="153"/>
        <w:ind w:hanging="170"/>
        <w:rPr>
          <w:sz w:val="20"/>
        </w:rPr>
      </w:pPr>
      <w:r>
        <w:rPr>
          <w:color w:val="58595B"/>
          <w:sz w:val="20"/>
        </w:rPr>
        <w:t>advising the minister and responding to requests from the</w:t>
      </w:r>
      <w:r>
        <w:rPr>
          <w:color w:val="58595B"/>
          <w:spacing w:val="-2"/>
          <w:sz w:val="20"/>
        </w:rPr>
        <w:t xml:space="preserve"> </w:t>
      </w:r>
      <w:r>
        <w:rPr>
          <w:color w:val="58595B"/>
          <w:sz w:val="20"/>
        </w:rPr>
        <w:t>minister</w:t>
      </w:r>
    </w:p>
    <w:p w14:paraId="59E3A659" w14:textId="77777777" w:rsidR="00724131" w:rsidRDefault="00823349">
      <w:pPr>
        <w:pStyle w:val="ListParagraph"/>
        <w:numPr>
          <w:ilvl w:val="0"/>
          <w:numId w:val="31"/>
        </w:numPr>
        <w:tabs>
          <w:tab w:val="left" w:pos="305"/>
        </w:tabs>
        <w:spacing w:before="153"/>
        <w:ind w:hanging="170"/>
        <w:rPr>
          <w:sz w:val="20"/>
        </w:rPr>
      </w:pPr>
      <w:r>
        <w:rPr>
          <w:color w:val="58595B"/>
          <w:sz w:val="20"/>
        </w:rPr>
        <w:t xml:space="preserve">appointing the CEO and monitoring the </w:t>
      </w:r>
      <w:r>
        <w:rPr>
          <w:color w:val="58595B"/>
          <w:spacing w:val="-3"/>
          <w:sz w:val="20"/>
        </w:rPr>
        <w:t>CEO’s</w:t>
      </w:r>
      <w:r>
        <w:rPr>
          <w:color w:val="58595B"/>
          <w:spacing w:val="21"/>
          <w:sz w:val="20"/>
        </w:rPr>
        <w:t xml:space="preserve"> </w:t>
      </w:r>
      <w:r>
        <w:rPr>
          <w:color w:val="58595B"/>
          <w:sz w:val="20"/>
        </w:rPr>
        <w:t>performance</w:t>
      </w:r>
    </w:p>
    <w:p w14:paraId="0D717BC7" w14:textId="77777777" w:rsidR="00724131" w:rsidRDefault="00823349">
      <w:pPr>
        <w:pStyle w:val="ListParagraph"/>
        <w:numPr>
          <w:ilvl w:val="0"/>
          <w:numId w:val="31"/>
        </w:numPr>
        <w:tabs>
          <w:tab w:val="left" w:pos="305"/>
        </w:tabs>
        <w:spacing w:before="153" w:line="280" w:lineRule="auto"/>
        <w:ind w:right="1716" w:hanging="170"/>
        <w:rPr>
          <w:sz w:val="20"/>
        </w:rPr>
      </w:pPr>
      <w:r>
        <w:rPr>
          <w:color w:val="58595B"/>
          <w:sz w:val="20"/>
        </w:rPr>
        <w:t xml:space="preserve">establishing subcommittees as required for good governance and appointing their members, and also members of the Science, Engineering and Health subcommittee </w:t>
      </w:r>
      <w:r>
        <w:rPr>
          <w:color w:val="58595B"/>
          <w:spacing w:val="-3"/>
          <w:sz w:val="20"/>
        </w:rPr>
        <w:t xml:space="preserve">(to </w:t>
      </w:r>
      <w:r>
        <w:rPr>
          <w:color w:val="58595B"/>
          <w:sz w:val="20"/>
        </w:rPr>
        <w:t>be established under</w:t>
      </w:r>
      <w:r>
        <w:rPr>
          <w:color w:val="58595B"/>
          <w:spacing w:val="-11"/>
          <w:sz w:val="20"/>
        </w:rPr>
        <w:t xml:space="preserve"> </w:t>
      </w:r>
      <w:r>
        <w:rPr>
          <w:color w:val="58595B"/>
          <w:sz w:val="20"/>
        </w:rPr>
        <w:t>legislation).</w:t>
      </w:r>
    </w:p>
    <w:p w14:paraId="55A633CB" w14:textId="77777777" w:rsidR="00724131" w:rsidRDefault="00724131">
      <w:pPr>
        <w:pStyle w:val="BodyText"/>
        <w:spacing w:before="10"/>
        <w:rPr>
          <w:sz w:val="19"/>
        </w:rPr>
      </w:pPr>
    </w:p>
    <w:p w14:paraId="641DDCEB" w14:textId="77777777" w:rsidR="00724131" w:rsidRDefault="00823349">
      <w:pPr>
        <w:ind w:left="134" w:right="228"/>
        <w:rPr>
          <w:i/>
          <w:sz w:val="20"/>
        </w:rPr>
      </w:pPr>
      <w:r>
        <w:rPr>
          <w:i/>
          <w:color w:val="6D6E71"/>
          <w:sz w:val="20"/>
        </w:rPr>
        <w:t>Clear differentiation of Board and CEO functions</w:t>
      </w:r>
    </w:p>
    <w:p w14:paraId="68B10BF8" w14:textId="77777777" w:rsidR="00724131" w:rsidRDefault="00823349">
      <w:pPr>
        <w:pStyle w:val="BodyText"/>
        <w:spacing w:before="125" w:line="280" w:lineRule="auto"/>
        <w:ind w:left="134" w:right="2052"/>
        <w:rPr>
          <w:sz w:val="11"/>
        </w:rPr>
      </w:pPr>
      <w:r>
        <w:rPr>
          <w:color w:val="58595B"/>
        </w:rPr>
        <w:t>The Board’s role is to provide strategic direction and oversight, including of the EPA’s management. But it does not participate in the organisation’s day-to-day management. That role sits with the CEO, who has primary accountability for employment of staff and for financial management.</w:t>
      </w:r>
      <w:r>
        <w:rPr>
          <w:color w:val="58595B"/>
          <w:position w:val="7"/>
          <w:sz w:val="11"/>
        </w:rPr>
        <w:t>46</w:t>
      </w:r>
    </w:p>
    <w:p w14:paraId="6B2518CF" w14:textId="77777777" w:rsidR="00724131" w:rsidRDefault="00823349">
      <w:pPr>
        <w:pStyle w:val="BodyText"/>
        <w:spacing w:before="172" w:line="280" w:lineRule="auto"/>
        <w:ind w:left="134" w:right="1438"/>
        <w:rPr>
          <w:sz w:val="11"/>
        </w:rPr>
      </w:pPr>
      <w:r>
        <w:rPr>
          <w:color w:val="58595B"/>
        </w:rPr>
        <w:t>We also propose the legislation assign all regulatory decision making functions to the CEO. While the Board will set the regulatory approach and oversee the CEO as the primary regulator, formal responsibility for regulatory decision making would rest with the CEO and through delegation arrangements to EPA staff (see section 19.6.1). This split of functions is consistent with the majority of Victorian public entities established outside departments.</w:t>
      </w:r>
      <w:r>
        <w:rPr>
          <w:color w:val="58595B"/>
          <w:position w:val="7"/>
          <w:sz w:val="11"/>
        </w:rPr>
        <w:t>47</w:t>
      </w:r>
    </w:p>
    <w:p w14:paraId="0935B6BD" w14:textId="77777777" w:rsidR="00724131" w:rsidRDefault="00823349">
      <w:pPr>
        <w:pStyle w:val="BodyText"/>
        <w:spacing w:before="172"/>
        <w:ind w:left="134" w:right="228"/>
      </w:pPr>
      <w:r>
        <w:rPr>
          <w:color w:val="58595B"/>
        </w:rPr>
        <w:t>A summary of our proposed governance structure for the EPA is at figure 19.1</w:t>
      </w:r>
    </w:p>
    <w:p w14:paraId="6CB015BF" w14:textId="77777777" w:rsidR="00724131" w:rsidRDefault="00724131">
      <w:pPr>
        <w:sectPr w:rsidR="00724131">
          <w:pgSz w:w="11910" w:h="16840"/>
          <w:pgMar w:top="980" w:right="0" w:bottom="280" w:left="1680" w:header="788" w:footer="0" w:gutter="0"/>
          <w:cols w:space="720"/>
        </w:sectPr>
      </w:pPr>
    </w:p>
    <w:p w14:paraId="3A3F3D38" w14:textId="77777777" w:rsidR="00724131" w:rsidRDefault="00724131">
      <w:pPr>
        <w:pStyle w:val="BodyText"/>
      </w:pPr>
    </w:p>
    <w:p w14:paraId="271C5880" w14:textId="77777777" w:rsidR="00724131" w:rsidRDefault="00724131">
      <w:pPr>
        <w:pStyle w:val="BodyText"/>
      </w:pPr>
    </w:p>
    <w:p w14:paraId="057BE119" w14:textId="77777777" w:rsidR="00724131" w:rsidRDefault="00724131">
      <w:pPr>
        <w:pStyle w:val="BodyText"/>
      </w:pPr>
    </w:p>
    <w:p w14:paraId="7C773134" w14:textId="77777777" w:rsidR="00724131" w:rsidRDefault="00724131">
      <w:pPr>
        <w:pStyle w:val="BodyText"/>
      </w:pPr>
    </w:p>
    <w:p w14:paraId="03A78FC8" w14:textId="77777777" w:rsidR="00724131" w:rsidRDefault="00724131">
      <w:pPr>
        <w:pStyle w:val="BodyText"/>
        <w:spacing w:before="8"/>
        <w:rPr>
          <w:sz w:val="17"/>
        </w:rPr>
      </w:pPr>
    </w:p>
    <w:p w14:paraId="4E4390BF" w14:textId="77777777" w:rsidR="00724131" w:rsidRDefault="00823349">
      <w:pPr>
        <w:pStyle w:val="BodyText"/>
        <w:spacing w:before="1"/>
        <w:ind w:left="1417" w:right="132"/>
      </w:pPr>
      <w:r>
        <w:rPr>
          <w:b/>
          <w:color w:val="0095A7"/>
        </w:rPr>
        <w:t xml:space="preserve">FIGURE 19.1 </w:t>
      </w:r>
      <w:r>
        <w:rPr>
          <w:color w:val="0095A7"/>
        </w:rPr>
        <w:t>PROPOSED LEGISLATED ELEMENTS OF EPA’S GOVERNANCE STRUCTURE</w:t>
      </w:r>
    </w:p>
    <w:p w14:paraId="1114C5DB" w14:textId="77777777" w:rsidR="00724131" w:rsidRDefault="00823349">
      <w:pPr>
        <w:pStyle w:val="BodyText"/>
        <w:rPr>
          <w:sz w:val="21"/>
        </w:rPr>
      </w:pPr>
      <w:r>
        <w:rPr>
          <w:noProof/>
        </w:rPr>
        <w:drawing>
          <wp:anchor distT="0" distB="0" distL="0" distR="0" simplePos="0" relativeHeight="1168" behindDoc="0" locked="0" layoutInCell="1" allowOverlap="1" wp14:anchorId="0C70E9AA" wp14:editId="62C0DF32">
            <wp:simplePos x="0" y="0"/>
            <wp:positionH relativeFrom="page">
              <wp:posOffset>899998</wp:posOffset>
            </wp:positionH>
            <wp:positionV relativeFrom="paragraph">
              <wp:posOffset>178482</wp:posOffset>
            </wp:positionV>
            <wp:extent cx="5429931" cy="7704963"/>
            <wp:effectExtent l="0" t="0" r="0" b="0"/>
            <wp:wrapTopAndBottom/>
            <wp:docPr id="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7.jpeg"/>
                    <pic:cNvPicPr/>
                  </pic:nvPicPr>
                  <pic:blipFill>
                    <a:blip r:embed="rId16" cstate="print"/>
                    <a:stretch>
                      <a:fillRect/>
                    </a:stretch>
                  </pic:blipFill>
                  <pic:spPr>
                    <a:xfrm>
                      <a:off x="0" y="0"/>
                      <a:ext cx="5429931" cy="7704963"/>
                    </a:xfrm>
                    <a:prstGeom prst="rect">
                      <a:avLst/>
                    </a:prstGeom>
                  </pic:spPr>
                </pic:pic>
              </a:graphicData>
            </a:graphic>
          </wp:anchor>
        </w:drawing>
      </w:r>
    </w:p>
    <w:p w14:paraId="64F72D8F" w14:textId="77777777" w:rsidR="00724131" w:rsidRDefault="00724131">
      <w:pPr>
        <w:rPr>
          <w:sz w:val="21"/>
        </w:rPr>
        <w:sectPr w:rsidR="00724131">
          <w:pgSz w:w="11910" w:h="16840"/>
          <w:pgMar w:top="980" w:right="1680" w:bottom="280" w:left="0" w:header="788" w:footer="0" w:gutter="0"/>
          <w:cols w:space="720"/>
        </w:sectPr>
      </w:pPr>
    </w:p>
    <w:p w14:paraId="799BC054" w14:textId="77777777" w:rsidR="00724131" w:rsidRDefault="00724131">
      <w:pPr>
        <w:pStyle w:val="BodyText"/>
      </w:pPr>
    </w:p>
    <w:p w14:paraId="672E609B" w14:textId="77777777" w:rsidR="00724131" w:rsidRDefault="00724131">
      <w:pPr>
        <w:pStyle w:val="BodyText"/>
      </w:pPr>
    </w:p>
    <w:p w14:paraId="793D1184" w14:textId="77777777" w:rsidR="00724131" w:rsidRDefault="00724131">
      <w:pPr>
        <w:pStyle w:val="BodyText"/>
      </w:pPr>
    </w:p>
    <w:p w14:paraId="36D5F4C8" w14:textId="77777777" w:rsidR="00724131" w:rsidRDefault="00724131">
      <w:pPr>
        <w:pStyle w:val="BodyText"/>
      </w:pPr>
    </w:p>
    <w:p w14:paraId="491C7200" w14:textId="77777777" w:rsidR="00724131" w:rsidRDefault="00823349">
      <w:pPr>
        <w:pStyle w:val="Heading3"/>
        <w:numPr>
          <w:ilvl w:val="1"/>
          <w:numId w:val="26"/>
        </w:numPr>
        <w:tabs>
          <w:tab w:val="left" w:pos="717"/>
        </w:tabs>
        <w:spacing w:before="196"/>
        <w:ind w:hanging="582"/>
      </w:pPr>
      <w:r>
        <w:rPr>
          <w:color w:val="0095A7"/>
        </w:rPr>
        <w:t>Administering the</w:t>
      </w:r>
      <w:r>
        <w:rPr>
          <w:color w:val="0095A7"/>
          <w:spacing w:val="17"/>
        </w:rPr>
        <w:t xml:space="preserve"> </w:t>
      </w:r>
      <w:r>
        <w:rPr>
          <w:color w:val="0095A7"/>
          <w:spacing w:val="-5"/>
        </w:rPr>
        <w:t>EPA</w:t>
      </w:r>
    </w:p>
    <w:p w14:paraId="634E3F91" w14:textId="77777777" w:rsidR="00724131" w:rsidRDefault="00823349">
      <w:pPr>
        <w:pStyle w:val="BodyText"/>
        <w:spacing w:before="145" w:line="280" w:lineRule="auto"/>
        <w:ind w:left="134" w:right="1465"/>
        <w:jc w:val="both"/>
      </w:pPr>
      <w:r>
        <w:rPr>
          <w:color w:val="58595B"/>
        </w:rPr>
        <w:t>We consider that formal accountability for regulatory decision making must be clarified as part of the governance reforms. This is the EPA’s core function and the legislation must clearly direct the organisation and the community on who should hold primary responsibility.</w:t>
      </w:r>
    </w:p>
    <w:p w14:paraId="4BE98826" w14:textId="77777777" w:rsidR="00724131" w:rsidRDefault="00823349">
      <w:pPr>
        <w:pStyle w:val="BodyText"/>
        <w:spacing w:before="172" w:line="280" w:lineRule="auto"/>
        <w:ind w:left="134" w:right="1495"/>
      </w:pPr>
      <w:r>
        <w:rPr>
          <w:color w:val="58595B"/>
        </w:rPr>
        <w:t>Under the current EP Act, this statutory role rests with the Chairman but all the powers, duties and functions of the EPA are delegated from the Chairman to the CEO and to other EPA officers. We recognise this delegation was established to separate the Chairman’s oversight functions (sitting with the Chairman) from regulatory decision making functions.</w:t>
      </w:r>
    </w:p>
    <w:p w14:paraId="5918F7EA" w14:textId="77777777" w:rsidR="00724131" w:rsidRDefault="00823349">
      <w:pPr>
        <w:pStyle w:val="BodyText"/>
        <w:spacing w:before="172" w:line="280" w:lineRule="auto"/>
        <w:ind w:left="134" w:right="1466"/>
        <w:jc w:val="both"/>
      </w:pPr>
      <w:r>
        <w:rPr>
          <w:color w:val="58595B"/>
        </w:rPr>
        <w:t>The new governance structure and proposed establishment legislation provides an opportunity to set out the formal responsibilities of the Chair and Board, and those of the CEO, in particular, the CEO’s responsibility as the primary regulator.</w:t>
      </w:r>
    </w:p>
    <w:p w14:paraId="2DEBAB3E" w14:textId="77777777" w:rsidR="00724131" w:rsidRDefault="00724131">
      <w:pPr>
        <w:pStyle w:val="BodyText"/>
        <w:spacing w:before="4"/>
        <w:rPr>
          <w:sz w:val="22"/>
        </w:rPr>
      </w:pPr>
    </w:p>
    <w:p w14:paraId="45153E31" w14:textId="77777777" w:rsidR="00724131" w:rsidRDefault="00823349">
      <w:pPr>
        <w:pStyle w:val="ListParagraph"/>
        <w:numPr>
          <w:ilvl w:val="2"/>
          <w:numId w:val="26"/>
        </w:numPr>
        <w:tabs>
          <w:tab w:val="left" w:pos="765"/>
        </w:tabs>
        <w:spacing w:before="0"/>
        <w:jc w:val="left"/>
        <w:rPr>
          <w:sz w:val="20"/>
        </w:rPr>
      </w:pPr>
      <w:r>
        <w:rPr>
          <w:color w:val="0095A7"/>
          <w:sz w:val="20"/>
        </w:rPr>
        <w:t>Primary regulator and</w:t>
      </w:r>
      <w:r>
        <w:rPr>
          <w:color w:val="0095A7"/>
          <w:spacing w:val="5"/>
          <w:sz w:val="20"/>
        </w:rPr>
        <w:t xml:space="preserve"> </w:t>
      </w:r>
      <w:r>
        <w:rPr>
          <w:color w:val="0095A7"/>
          <w:sz w:val="20"/>
        </w:rPr>
        <w:t>CEO</w:t>
      </w:r>
    </w:p>
    <w:p w14:paraId="5AFFC161" w14:textId="77777777" w:rsidR="00724131" w:rsidRDefault="00823349">
      <w:pPr>
        <w:pStyle w:val="BodyText"/>
        <w:spacing w:before="153"/>
        <w:ind w:left="134" w:right="228"/>
      </w:pPr>
      <w:r>
        <w:rPr>
          <w:color w:val="58595B"/>
        </w:rPr>
        <w:t>The CEO is appointed by, and accountable to the Board.</w:t>
      </w:r>
    </w:p>
    <w:p w14:paraId="20AA8F71" w14:textId="77777777" w:rsidR="00724131" w:rsidRDefault="00724131">
      <w:pPr>
        <w:pStyle w:val="BodyText"/>
        <w:spacing w:before="3"/>
        <w:rPr>
          <w:sz w:val="18"/>
        </w:rPr>
      </w:pPr>
    </w:p>
    <w:p w14:paraId="4A4D966D" w14:textId="77777777" w:rsidR="00724131" w:rsidRDefault="00823349">
      <w:pPr>
        <w:pStyle w:val="BodyText"/>
        <w:spacing w:line="280" w:lineRule="auto"/>
        <w:ind w:left="134" w:right="2127"/>
      </w:pPr>
      <w:r>
        <w:rPr>
          <w:color w:val="58595B"/>
        </w:rPr>
        <w:t>We recommend setting out the CEO’s functions in the proposed EPA (Establishment) Act. Providing a clear and separate accountability for regulatory decision making strengthens transparency and accountability.</w:t>
      </w:r>
    </w:p>
    <w:p w14:paraId="1D90AC2A" w14:textId="77777777" w:rsidR="00724131" w:rsidRDefault="00823349">
      <w:pPr>
        <w:pStyle w:val="BodyText"/>
        <w:spacing w:before="172"/>
        <w:ind w:left="134" w:right="228"/>
      </w:pPr>
      <w:r>
        <w:rPr>
          <w:color w:val="58595B"/>
        </w:rPr>
        <w:t>The CEO’s legislated functions should include:</w:t>
      </w:r>
    </w:p>
    <w:p w14:paraId="5229958F" w14:textId="77777777" w:rsidR="00724131" w:rsidRDefault="00823349">
      <w:pPr>
        <w:pStyle w:val="ListParagraph"/>
        <w:numPr>
          <w:ilvl w:val="0"/>
          <w:numId w:val="31"/>
        </w:numPr>
        <w:tabs>
          <w:tab w:val="left" w:pos="305"/>
        </w:tabs>
        <w:spacing w:before="153"/>
        <w:ind w:hanging="170"/>
        <w:rPr>
          <w:sz w:val="20"/>
        </w:rPr>
      </w:pPr>
      <w:r>
        <w:rPr>
          <w:color w:val="58595B"/>
          <w:sz w:val="20"/>
        </w:rPr>
        <w:t>primary responsibility for regulatory decision making, with a power of</w:t>
      </w:r>
      <w:r>
        <w:rPr>
          <w:color w:val="58595B"/>
          <w:spacing w:val="27"/>
          <w:sz w:val="20"/>
        </w:rPr>
        <w:t xml:space="preserve"> </w:t>
      </w:r>
      <w:r>
        <w:rPr>
          <w:color w:val="58595B"/>
          <w:sz w:val="20"/>
        </w:rPr>
        <w:t>delegation</w:t>
      </w:r>
    </w:p>
    <w:p w14:paraId="205B61AC" w14:textId="77777777" w:rsidR="00724131" w:rsidRDefault="00823349">
      <w:pPr>
        <w:pStyle w:val="ListParagraph"/>
        <w:numPr>
          <w:ilvl w:val="0"/>
          <w:numId w:val="31"/>
        </w:numPr>
        <w:tabs>
          <w:tab w:val="left" w:pos="305"/>
        </w:tabs>
        <w:spacing w:before="153"/>
        <w:ind w:hanging="170"/>
        <w:rPr>
          <w:sz w:val="20"/>
        </w:rPr>
      </w:pPr>
      <w:r>
        <w:rPr>
          <w:color w:val="58595B"/>
          <w:sz w:val="20"/>
        </w:rPr>
        <w:t>operational decision</w:t>
      </w:r>
      <w:r>
        <w:rPr>
          <w:color w:val="58595B"/>
          <w:spacing w:val="5"/>
          <w:sz w:val="20"/>
        </w:rPr>
        <w:t xml:space="preserve"> </w:t>
      </w:r>
      <w:r>
        <w:rPr>
          <w:color w:val="58595B"/>
          <w:sz w:val="20"/>
        </w:rPr>
        <w:t>making</w:t>
      </w:r>
    </w:p>
    <w:p w14:paraId="6CBECB57" w14:textId="77777777" w:rsidR="00724131" w:rsidRDefault="00823349">
      <w:pPr>
        <w:pStyle w:val="ListParagraph"/>
        <w:numPr>
          <w:ilvl w:val="0"/>
          <w:numId w:val="31"/>
        </w:numPr>
        <w:tabs>
          <w:tab w:val="left" w:pos="305"/>
        </w:tabs>
        <w:spacing w:before="153"/>
        <w:ind w:hanging="170"/>
        <w:rPr>
          <w:sz w:val="20"/>
        </w:rPr>
      </w:pPr>
      <w:r>
        <w:rPr>
          <w:color w:val="58595B"/>
          <w:sz w:val="20"/>
        </w:rPr>
        <w:t>ensuring Board decisions are implemented effectively and</w:t>
      </w:r>
      <w:r>
        <w:rPr>
          <w:color w:val="58595B"/>
          <w:spacing w:val="17"/>
          <w:sz w:val="20"/>
        </w:rPr>
        <w:t xml:space="preserve"> </w:t>
      </w:r>
      <w:r>
        <w:rPr>
          <w:color w:val="58595B"/>
          <w:sz w:val="20"/>
        </w:rPr>
        <w:t>efficiently</w:t>
      </w:r>
    </w:p>
    <w:p w14:paraId="6E8BA9DC" w14:textId="77777777" w:rsidR="00724131" w:rsidRDefault="00823349">
      <w:pPr>
        <w:pStyle w:val="ListParagraph"/>
        <w:numPr>
          <w:ilvl w:val="0"/>
          <w:numId w:val="31"/>
        </w:numPr>
        <w:tabs>
          <w:tab w:val="left" w:pos="305"/>
        </w:tabs>
        <w:spacing w:before="153"/>
        <w:ind w:hanging="170"/>
        <w:rPr>
          <w:sz w:val="20"/>
        </w:rPr>
      </w:pPr>
      <w:r>
        <w:rPr>
          <w:color w:val="58595B"/>
          <w:sz w:val="20"/>
        </w:rPr>
        <w:t>employing staff, including the Chief Environmental</w:t>
      </w:r>
      <w:r>
        <w:rPr>
          <w:color w:val="58595B"/>
          <w:spacing w:val="-4"/>
          <w:sz w:val="20"/>
        </w:rPr>
        <w:t xml:space="preserve"> </w:t>
      </w:r>
      <w:r>
        <w:rPr>
          <w:color w:val="58595B"/>
          <w:sz w:val="20"/>
        </w:rPr>
        <w:t>Scientist</w:t>
      </w:r>
    </w:p>
    <w:p w14:paraId="7F00546E" w14:textId="77777777" w:rsidR="00724131" w:rsidRDefault="00823349">
      <w:pPr>
        <w:pStyle w:val="ListParagraph"/>
        <w:numPr>
          <w:ilvl w:val="0"/>
          <w:numId w:val="31"/>
        </w:numPr>
        <w:tabs>
          <w:tab w:val="left" w:pos="305"/>
        </w:tabs>
        <w:spacing w:before="153"/>
        <w:ind w:hanging="170"/>
        <w:rPr>
          <w:sz w:val="20"/>
        </w:rPr>
      </w:pPr>
      <w:r>
        <w:rPr>
          <w:color w:val="58595B"/>
          <w:sz w:val="20"/>
        </w:rPr>
        <w:t>reporting to the Board on organisational</w:t>
      </w:r>
      <w:r>
        <w:rPr>
          <w:color w:val="58595B"/>
          <w:spacing w:val="28"/>
          <w:sz w:val="20"/>
        </w:rPr>
        <w:t xml:space="preserve"> </w:t>
      </w:r>
      <w:r>
        <w:rPr>
          <w:color w:val="58595B"/>
          <w:sz w:val="20"/>
        </w:rPr>
        <w:t>performance.</w:t>
      </w:r>
    </w:p>
    <w:p w14:paraId="4AB3F560" w14:textId="77777777" w:rsidR="00724131" w:rsidRDefault="00724131">
      <w:pPr>
        <w:pStyle w:val="BodyText"/>
        <w:spacing w:before="3"/>
        <w:rPr>
          <w:sz w:val="18"/>
        </w:rPr>
      </w:pPr>
    </w:p>
    <w:p w14:paraId="74D92FA0" w14:textId="77777777" w:rsidR="00724131" w:rsidRDefault="00823349">
      <w:pPr>
        <w:pStyle w:val="BodyText"/>
        <w:spacing w:line="280" w:lineRule="auto"/>
        <w:ind w:left="134" w:right="1680"/>
      </w:pPr>
      <w:r>
        <w:rPr>
          <w:color w:val="58595B"/>
        </w:rPr>
        <w:t>The CEO is accountable to the Board for organisational expenditure, operations and administration pursuant to the Board’s strategy, policies and legal requirements.</w:t>
      </w:r>
      <w:r>
        <w:rPr>
          <w:color w:val="58595B"/>
          <w:position w:val="7"/>
          <w:sz w:val="11"/>
        </w:rPr>
        <w:t xml:space="preserve">48 </w:t>
      </w:r>
      <w:r>
        <w:rPr>
          <w:color w:val="58595B"/>
        </w:rPr>
        <w:t>The CEO’s role is to manage the operations of the organisation and to provide a bridge between staff and the Board. The CEO implements Board policies and is responsible for achieving organisational outcomes and performance objectives.</w:t>
      </w:r>
    </w:p>
    <w:p w14:paraId="4B04FF77" w14:textId="77777777" w:rsidR="00724131" w:rsidRDefault="00724131">
      <w:pPr>
        <w:pStyle w:val="BodyText"/>
        <w:spacing w:before="10"/>
        <w:rPr>
          <w:sz w:val="19"/>
        </w:rPr>
      </w:pPr>
    </w:p>
    <w:p w14:paraId="19C95944" w14:textId="77777777" w:rsidR="00724131" w:rsidRDefault="00823349">
      <w:pPr>
        <w:ind w:left="134" w:right="228"/>
        <w:rPr>
          <w:i/>
          <w:sz w:val="20"/>
        </w:rPr>
      </w:pPr>
      <w:r>
        <w:rPr>
          <w:i/>
          <w:color w:val="6D6E71"/>
          <w:sz w:val="20"/>
        </w:rPr>
        <w:t>Requirement for science or engineering background</w:t>
      </w:r>
    </w:p>
    <w:p w14:paraId="5C7241CB" w14:textId="77777777" w:rsidR="00724131" w:rsidRDefault="00823349">
      <w:pPr>
        <w:pStyle w:val="BodyText"/>
        <w:spacing w:before="125" w:line="280" w:lineRule="auto"/>
        <w:ind w:left="134" w:right="1680"/>
      </w:pPr>
      <w:r>
        <w:rPr>
          <w:color w:val="58595B"/>
        </w:rPr>
        <w:t>We recommend the legislation specify that the person holding the position of CEO must have qualifications or experience in applied science or engineering. By doing so, the legislation embeds features that support the EPA as an effective science-based regulator – in this case, leadership by someone who understands the nature of the ‘business’. We do not expect, nor think it desirable, for the CEO to be a technical expert in a particular field. But the CEO must understand and be able to interpret to others (both within government and more broadly) technical issues about applying science and engineering to identify, assess, remediate and mitigate risk. The CEO must also be able to engage with and provide leadership to in-house experts and expert members of the Board.</w:t>
      </w:r>
    </w:p>
    <w:p w14:paraId="2652FC83" w14:textId="77777777" w:rsidR="00724131" w:rsidRDefault="00823349">
      <w:pPr>
        <w:pStyle w:val="BodyText"/>
        <w:spacing w:before="172" w:line="280" w:lineRule="auto"/>
        <w:ind w:left="134" w:right="1337"/>
      </w:pPr>
      <w:r>
        <w:rPr>
          <w:color w:val="58595B"/>
        </w:rPr>
        <w:t>The CEO is also the public face of the EPA and must be able to communicate with clarity and authority on these matters, including to provide advice and defend regulatory decisions.</w:t>
      </w:r>
    </w:p>
    <w:p w14:paraId="58ADF96B" w14:textId="77777777" w:rsidR="00724131" w:rsidRDefault="00724131">
      <w:pPr>
        <w:spacing w:line="280" w:lineRule="auto"/>
        <w:sectPr w:rsidR="00724131">
          <w:pgSz w:w="11910" w:h="16840"/>
          <w:pgMar w:top="980" w:right="0" w:bottom="280" w:left="1680" w:header="788" w:footer="0" w:gutter="0"/>
          <w:cols w:space="720"/>
        </w:sectPr>
      </w:pPr>
    </w:p>
    <w:p w14:paraId="254650D2" w14:textId="77777777" w:rsidR="00724131" w:rsidRDefault="00724131">
      <w:pPr>
        <w:pStyle w:val="BodyText"/>
      </w:pPr>
    </w:p>
    <w:p w14:paraId="15973EB1" w14:textId="77777777" w:rsidR="00724131" w:rsidRDefault="00724131">
      <w:pPr>
        <w:pStyle w:val="BodyText"/>
      </w:pPr>
    </w:p>
    <w:p w14:paraId="664CBAD4" w14:textId="77777777" w:rsidR="00724131" w:rsidRDefault="00724131">
      <w:pPr>
        <w:pStyle w:val="BodyText"/>
      </w:pPr>
    </w:p>
    <w:p w14:paraId="28A84F81" w14:textId="77777777" w:rsidR="00724131" w:rsidRDefault="00724131">
      <w:pPr>
        <w:pStyle w:val="BodyText"/>
      </w:pPr>
    </w:p>
    <w:p w14:paraId="5BFEBE56" w14:textId="77777777" w:rsidR="00724131" w:rsidRDefault="00724131">
      <w:pPr>
        <w:pStyle w:val="BodyText"/>
        <w:spacing w:before="8"/>
        <w:rPr>
          <w:sz w:val="17"/>
        </w:rPr>
      </w:pPr>
    </w:p>
    <w:p w14:paraId="56D8C51A" w14:textId="77777777" w:rsidR="00724131" w:rsidRDefault="00823349">
      <w:pPr>
        <w:spacing w:before="1"/>
        <w:ind w:left="1417" w:right="228"/>
        <w:rPr>
          <w:i/>
          <w:sz w:val="20"/>
        </w:rPr>
      </w:pPr>
      <w:r>
        <w:rPr>
          <w:i/>
          <w:color w:val="6D6E71"/>
          <w:sz w:val="20"/>
        </w:rPr>
        <w:t>Delegation of regulatory decision making</w:t>
      </w:r>
    </w:p>
    <w:p w14:paraId="550E6ACF" w14:textId="77777777" w:rsidR="00724131" w:rsidRDefault="00823349">
      <w:pPr>
        <w:pStyle w:val="BodyText"/>
        <w:spacing w:before="125" w:line="280" w:lineRule="auto"/>
        <w:ind w:left="1417" w:right="132"/>
      </w:pPr>
      <w:r>
        <w:rPr>
          <w:color w:val="58595B"/>
        </w:rPr>
        <w:t>We recognise many regulatory decision making functions must be formally delegated from the CEO to members of the EPA Executive and appropriate EPA officers. The EPA’s technical and scientific activities – including works approvals, licensing and enforcing pollution offences – need specialist input from experts across the EPA (and externally where required). Similarly, specialists also provide input for review proceedings at the Victorian Civil and Administrative Tribunal or criminal proceedings involving the EPA.</w:t>
      </w:r>
    </w:p>
    <w:p w14:paraId="25246469" w14:textId="77777777" w:rsidR="00724131" w:rsidRDefault="00823349">
      <w:pPr>
        <w:pStyle w:val="BodyText"/>
        <w:spacing w:before="172" w:line="280" w:lineRule="auto"/>
        <w:ind w:left="1417" w:right="369"/>
      </w:pPr>
      <w:r>
        <w:rPr>
          <w:color w:val="58595B"/>
        </w:rPr>
        <w:t xml:space="preserve">Regulatory decisions should be made at the appropriate level within the </w:t>
      </w:r>
      <w:r>
        <w:rPr>
          <w:color w:val="58595B"/>
          <w:spacing w:val="-7"/>
        </w:rPr>
        <w:t xml:space="preserve">EPA’s </w:t>
      </w:r>
      <w:r>
        <w:rPr>
          <w:color w:val="58595B"/>
        </w:rPr>
        <w:t>corporate structure, where the appropriate capability and knowledge of the relevant issue or problem sits. And decisions should be escalated based upon various risk factors, including consideration of potential public health and environmental impacts. But certain decisions must be retained by the person with primary accountability for regulatory decision making – the CEO. In short, while delegation can push decision making down within the organisation, appropriate</w:t>
      </w:r>
      <w:r>
        <w:rPr>
          <w:color w:val="58595B"/>
          <w:spacing w:val="11"/>
        </w:rPr>
        <w:t xml:space="preserve"> </w:t>
      </w:r>
      <w:r>
        <w:rPr>
          <w:color w:val="58595B"/>
        </w:rPr>
        <w:t>management</w:t>
      </w:r>
    </w:p>
    <w:p w14:paraId="002CE87D" w14:textId="77777777" w:rsidR="00724131" w:rsidRDefault="00823349">
      <w:pPr>
        <w:pStyle w:val="BodyText"/>
        <w:spacing w:before="2" w:line="280" w:lineRule="auto"/>
        <w:ind w:left="1417" w:right="132"/>
      </w:pPr>
      <w:r>
        <w:rPr>
          <w:color w:val="58595B"/>
        </w:rPr>
        <w:t>procedures should ensure that decision making is escalated, including to the CEO, in accordance with relevant risk factors.</w:t>
      </w:r>
    </w:p>
    <w:p w14:paraId="55DFBCCE" w14:textId="77777777" w:rsidR="00724131" w:rsidRDefault="00823349">
      <w:pPr>
        <w:pStyle w:val="BodyText"/>
        <w:spacing w:before="172" w:line="280" w:lineRule="auto"/>
        <w:ind w:left="1417" w:right="228"/>
      </w:pPr>
      <w:r>
        <w:rPr>
          <w:color w:val="58595B"/>
        </w:rPr>
        <w:t>There will also need to be consideration of how appropriate powers are provided to the local government environment protection officers (see chapter 18) and EPA’s arrangements for oversight of and accountability for these.</w:t>
      </w:r>
    </w:p>
    <w:p w14:paraId="035B09ED" w14:textId="77777777" w:rsidR="00724131" w:rsidRDefault="00823349">
      <w:pPr>
        <w:pStyle w:val="BodyText"/>
        <w:spacing w:before="172" w:line="280" w:lineRule="auto"/>
        <w:ind w:left="1417" w:right="163"/>
      </w:pPr>
      <w:r>
        <w:rPr>
          <w:color w:val="58595B"/>
        </w:rPr>
        <w:t>With all delegations, the CEO should retain the power to make a regulatory decision, including where there is potential for significant impacts on public health or the environment, the matter is particularly complex or novel, or where the matter has the potential to set a regulatory precedent. It needs to be clearly understood and communicated that ultimate accountability rests with the CEO as the primary regulatory decision maker.</w:t>
      </w:r>
    </w:p>
    <w:p w14:paraId="569877DA" w14:textId="77777777" w:rsidR="00724131" w:rsidRDefault="00724131">
      <w:pPr>
        <w:pStyle w:val="BodyText"/>
        <w:spacing w:before="4"/>
        <w:rPr>
          <w:sz w:val="22"/>
        </w:rPr>
      </w:pPr>
    </w:p>
    <w:p w14:paraId="323ACD39" w14:textId="77777777" w:rsidR="00724131" w:rsidRDefault="00823349">
      <w:pPr>
        <w:pStyle w:val="ListParagraph"/>
        <w:numPr>
          <w:ilvl w:val="2"/>
          <w:numId w:val="26"/>
        </w:numPr>
        <w:tabs>
          <w:tab w:val="left" w:pos="2071"/>
        </w:tabs>
        <w:spacing w:before="0"/>
        <w:ind w:left="2070" w:hanging="653"/>
        <w:jc w:val="left"/>
        <w:rPr>
          <w:sz w:val="20"/>
        </w:rPr>
      </w:pPr>
      <w:r>
        <w:rPr>
          <w:color w:val="0095A7"/>
          <w:sz w:val="20"/>
        </w:rPr>
        <w:t>Chief Environmental</w:t>
      </w:r>
      <w:r>
        <w:rPr>
          <w:color w:val="0095A7"/>
          <w:spacing w:val="-6"/>
          <w:sz w:val="20"/>
        </w:rPr>
        <w:t xml:space="preserve"> </w:t>
      </w:r>
      <w:r>
        <w:rPr>
          <w:color w:val="0095A7"/>
          <w:sz w:val="20"/>
        </w:rPr>
        <w:t>Scientist</w:t>
      </w:r>
    </w:p>
    <w:p w14:paraId="14DFD42F" w14:textId="77777777" w:rsidR="00724131" w:rsidRDefault="00823349">
      <w:pPr>
        <w:pStyle w:val="BodyText"/>
        <w:spacing w:before="153" w:line="280" w:lineRule="auto"/>
        <w:ind w:left="1417" w:right="184"/>
      </w:pPr>
      <w:r>
        <w:rPr>
          <w:color w:val="58595B"/>
        </w:rPr>
        <w:t xml:space="preserve">We recommend establishing a Chief Environmental Scientist as a statutory function, appointed </w:t>
      </w:r>
      <w:r>
        <w:rPr>
          <w:color w:val="58595B"/>
          <w:spacing w:val="-6"/>
        </w:rPr>
        <w:t xml:space="preserve">by, </w:t>
      </w:r>
      <w:r>
        <w:rPr>
          <w:color w:val="58595B"/>
        </w:rPr>
        <w:t xml:space="preserve">and reporting to, the CEO. The Chief Environmental Scientist will provide expertise at a senior level, and strengthen the </w:t>
      </w:r>
      <w:r>
        <w:rPr>
          <w:color w:val="58595B"/>
          <w:spacing w:val="-7"/>
        </w:rPr>
        <w:t xml:space="preserve">EPA’s </w:t>
      </w:r>
      <w:r>
        <w:rPr>
          <w:color w:val="58595B"/>
        </w:rPr>
        <w:t>authority and influence by supporting the CEO in engagement with government and external</w:t>
      </w:r>
      <w:r>
        <w:rPr>
          <w:color w:val="58595B"/>
          <w:spacing w:val="8"/>
        </w:rPr>
        <w:t xml:space="preserve"> </w:t>
      </w:r>
      <w:r>
        <w:rPr>
          <w:color w:val="58595B"/>
        </w:rPr>
        <w:t>parties.</w:t>
      </w:r>
    </w:p>
    <w:p w14:paraId="69DBC5B2" w14:textId="77777777" w:rsidR="00724131" w:rsidRDefault="00823349">
      <w:pPr>
        <w:pStyle w:val="BodyText"/>
        <w:spacing w:before="172" w:line="280" w:lineRule="auto"/>
        <w:ind w:left="1417" w:right="460"/>
      </w:pPr>
      <w:r>
        <w:rPr>
          <w:color w:val="58595B"/>
        </w:rPr>
        <w:t>We consider the role should be legislated to ensure transparency and consistency by securing the role into the future. We do not consider that it is appropriate or necessary for the Chief Environmental Scientist to have statutory powers</w:t>
      </w:r>
      <w:r>
        <w:rPr>
          <w:color w:val="58595B"/>
          <w:position w:val="7"/>
          <w:sz w:val="11"/>
        </w:rPr>
        <w:t xml:space="preserve">49  </w:t>
      </w:r>
      <w:r>
        <w:rPr>
          <w:color w:val="58595B"/>
        </w:rPr>
        <w:t>but the legislation should detail the scope of its advisory role. In particular, the Chief Environmental Scientist will liaise with the Science, Engineering and Health subcommittee of the Board, and should attend all meetings as an observer. The Chief Environmental Scientist will also liaise with the Chief Health</w:t>
      </w:r>
      <w:r>
        <w:rPr>
          <w:color w:val="58595B"/>
          <w:spacing w:val="-5"/>
        </w:rPr>
        <w:t xml:space="preserve"> </w:t>
      </w:r>
      <w:r>
        <w:rPr>
          <w:color w:val="58595B"/>
        </w:rPr>
        <w:t>Officer.</w:t>
      </w:r>
    </w:p>
    <w:p w14:paraId="2F3C2777" w14:textId="77777777" w:rsidR="00724131" w:rsidRDefault="00823349">
      <w:pPr>
        <w:pStyle w:val="BodyText"/>
        <w:spacing w:before="2"/>
        <w:ind w:left="1417" w:right="228"/>
      </w:pPr>
      <w:r>
        <w:rPr>
          <w:color w:val="58595B"/>
        </w:rPr>
        <w:t>Chapter 6 considers this role in more detail.</w:t>
      </w:r>
    </w:p>
    <w:p w14:paraId="31C2C5FD" w14:textId="77777777" w:rsidR="00724131" w:rsidRDefault="00724131">
      <w:pPr>
        <w:sectPr w:rsidR="00724131">
          <w:pgSz w:w="11910" w:h="16840"/>
          <w:pgMar w:top="980" w:right="1680" w:bottom="280" w:left="0" w:header="788" w:footer="0" w:gutter="0"/>
          <w:cols w:space="720"/>
        </w:sectPr>
      </w:pPr>
    </w:p>
    <w:p w14:paraId="183258DF" w14:textId="77777777" w:rsidR="00724131" w:rsidRDefault="00724131">
      <w:pPr>
        <w:pStyle w:val="BodyText"/>
      </w:pPr>
    </w:p>
    <w:p w14:paraId="5E88344F" w14:textId="77777777" w:rsidR="00724131" w:rsidRDefault="00724131">
      <w:pPr>
        <w:pStyle w:val="BodyText"/>
      </w:pPr>
    </w:p>
    <w:p w14:paraId="2A4B979D" w14:textId="77777777" w:rsidR="00724131" w:rsidRDefault="00724131">
      <w:pPr>
        <w:pStyle w:val="BodyText"/>
      </w:pPr>
    </w:p>
    <w:p w14:paraId="31041E81" w14:textId="77777777" w:rsidR="00724131" w:rsidRDefault="00724131">
      <w:pPr>
        <w:pStyle w:val="BodyText"/>
      </w:pPr>
    </w:p>
    <w:p w14:paraId="061304BF" w14:textId="77777777" w:rsidR="00724131" w:rsidRDefault="00823349">
      <w:pPr>
        <w:pStyle w:val="Heading3"/>
        <w:numPr>
          <w:ilvl w:val="1"/>
          <w:numId w:val="26"/>
        </w:numPr>
        <w:tabs>
          <w:tab w:val="left" w:pos="709"/>
        </w:tabs>
        <w:spacing w:before="196"/>
        <w:ind w:left="708" w:hanging="574"/>
      </w:pPr>
      <w:r>
        <w:rPr>
          <w:color w:val="0095A7"/>
        </w:rPr>
        <w:t>Public access to information – transparency, accountability and</w:t>
      </w:r>
      <w:r>
        <w:rPr>
          <w:color w:val="0095A7"/>
          <w:spacing w:val="52"/>
        </w:rPr>
        <w:t xml:space="preserve"> </w:t>
      </w:r>
      <w:r>
        <w:rPr>
          <w:color w:val="0095A7"/>
        </w:rPr>
        <w:t>evaluation</w:t>
      </w:r>
    </w:p>
    <w:p w14:paraId="22A9CA9C" w14:textId="77777777" w:rsidR="00724131" w:rsidRDefault="00823349">
      <w:pPr>
        <w:pStyle w:val="BodyText"/>
        <w:spacing w:before="145" w:line="280" w:lineRule="auto"/>
        <w:ind w:left="134" w:right="1337"/>
      </w:pPr>
      <w:r>
        <w:rPr>
          <w:color w:val="58595B"/>
        </w:rPr>
        <w:t>Best practice governance principles highlight the importance of transparency and accountability.</w:t>
      </w:r>
      <w:r>
        <w:rPr>
          <w:color w:val="58595B"/>
          <w:position w:val="7"/>
          <w:sz w:val="11"/>
        </w:rPr>
        <w:t xml:space="preserve">50 </w:t>
      </w:r>
      <w:r>
        <w:rPr>
          <w:color w:val="58595B"/>
        </w:rPr>
        <w:t>Our consultations and social research revealed that the community views information as critically important for accountability – for judging and trusting the EPA’s performance. As outlined</w:t>
      </w:r>
    </w:p>
    <w:p w14:paraId="66CE977D" w14:textId="77777777" w:rsidR="00724131" w:rsidRDefault="00823349">
      <w:pPr>
        <w:pStyle w:val="BodyText"/>
        <w:spacing w:before="2" w:line="280" w:lineRule="auto"/>
        <w:ind w:left="134" w:right="2238"/>
      </w:pPr>
      <w:r>
        <w:rPr>
          <w:color w:val="58595B"/>
        </w:rPr>
        <w:t>in chapter 3, stakeholders want the EPA of the future to be more transparent, responsive and communicative.</w:t>
      </w:r>
    </w:p>
    <w:p w14:paraId="1E9687EE" w14:textId="77777777" w:rsidR="00724131" w:rsidRDefault="00823349">
      <w:pPr>
        <w:pStyle w:val="BodyText"/>
        <w:spacing w:before="172" w:line="280" w:lineRule="auto"/>
        <w:ind w:left="134" w:right="1682"/>
      </w:pPr>
      <w:r>
        <w:rPr>
          <w:color w:val="58595B"/>
        </w:rPr>
        <w:t>From the point of view of government, the community and business, ‘comprehensive accountability and transparency measures actively support good behaviour and performance by the regulator’.</w:t>
      </w:r>
      <w:r>
        <w:rPr>
          <w:color w:val="58595B"/>
          <w:position w:val="7"/>
          <w:sz w:val="11"/>
        </w:rPr>
        <w:t xml:space="preserve">51  </w:t>
      </w:r>
      <w:r>
        <w:rPr>
          <w:color w:val="58595B"/>
        </w:rPr>
        <w:t xml:space="preserve">In this respect, the </w:t>
      </w:r>
      <w:r>
        <w:rPr>
          <w:color w:val="58595B"/>
          <w:spacing w:val="-7"/>
        </w:rPr>
        <w:t xml:space="preserve">EPA’s </w:t>
      </w:r>
      <w:r>
        <w:rPr>
          <w:color w:val="58595B"/>
        </w:rPr>
        <w:t>governance arrangements also need to keep  pace with changing business and community expectations, including about the manner and extent of engagement with regulators. Changing technology and a greater awareness of public health and environmental impacts arising from pollution and waste is placing more pressure on accountability and</w:t>
      </w:r>
      <w:r>
        <w:rPr>
          <w:color w:val="58595B"/>
          <w:spacing w:val="-3"/>
        </w:rPr>
        <w:t xml:space="preserve"> </w:t>
      </w:r>
      <w:r>
        <w:rPr>
          <w:color w:val="58595B"/>
        </w:rPr>
        <w:t>transparency.</w:t>
      </w:r>
    </w:p>
    <w:p w14:paraId="0FE9700F" w14:textId="77777777" w:rsidR="00724131" w:rsidRDefault="00823349">
      <w:pPr>
        <w:pStyle w:val="BodyText"/>
        <w:spacing w:before="172" w:line="280" w:lineRule="auto"/>
        <w:ind w:left="134" w:right="1337"/>
      </w:pPr>
      <w:r>
        <w:rPr>
          <w:color w:val="58595B"/>
        </w:rPr>
        <w:t>From the regulator’s point of view, increased transparency can have practical outcomes, through public understanding of the importance of environment protection,</w:t>
      </w:r>
      <w:r>
        <w:rPr>
          <w:color w:val="58595B"/>
          <w:position w:val="7"/>
          <w:sz w:val="11"/>
        </w:rPr>
        <w:t xml:space="preserve">52 </w:t>
      </w:r>
      <w:r>
        <w:rPr>
          <w:color w:val="58595B"/>
        </w:rPr>
        <w:t>and improved regulatory effectiveness, including through the following:</w:t>
      </w:r>
    </w:p>
    <w:p w14:paraId="097CA494" w14:textId="77777777" w:rsidR="00724131" w:rsidRDefault="00823349">
      <w:pPr>
        <w:spacing w:before="172" w:line="280" w:lineRule="auto"/>
        <w:ind w:left="701" w:right="1911"/>
        <w:rPr>
          <w:sz w:val="11"/>
        </w:rPr>
      </w:pPr>
      <w:r>
        <w:rPr>
          <w:i/>
          <w:color w:val="231F20"/>
          <w:sz w:val="20"/>
        </w:rPr>
        <w:t>Increasing the transparency of, and regulated entities’ confidence in, the regulatory regime, can be expected to increase the level of voluntary compliance.</w:t>
      </w:r>
      <w:r>
        <w:rPr>
          <w:color w:val="231F20"/>
          <w:position w:val="7"/>
          <w:sz w:val="11"/>
        </w:rPr>
        <w:t>53</w:t>
      </w:r>
    </w:p>
    <w:p w14:paraId="0DC26CED" w14:textId="77777777" w:rsidR="00724131" w:rsidRDefault="00823349">
      <w:pPr>
        <w:spacing w:before="172" w:line="280" w:lineRule="auto"/>
        <w:ind w:left="701" w:right="2227"/>
        <w:rPr>
          <w:sz w:val="11"/>
        </w:rPr>
      </w:pPr>
      <w:r>
        <w:rPr>
          <w:i/>
          <w:color w:val="231F20"/>
          <w:sz w:val="20"/>
        </w:rPr>
        <w:t>Transparency in the actions and decisions of regulators is beneficial for preventing reviews of decisions.</w:t>
      </w:r>
      <w:r>
        <w:rPr>
          <w:color w:val="231F20"/>
          <w:position w:val="7"/>
          <w:sz w:val="11"/>
        </w:rPr>
        <w:t>54</w:t>
      </w:r>
    </w:p>
    <w:p w14:paraId="76D98B8C" w14:textId="77777777" w:rsidR="00724131" w:rsidRDefault="00823349">
      <w:pPr>
        <w:pStyle w:val="BodyText"/>
        <w:spacing w:before="172" w:line="280" w:lineRule="auto"/>
        <w:ind w:left="134" w:right="1793"/>
      </w:pPr>
      <w:r>
        <w:rPr>
          <w:color w:val="58595B"/>
        </w:rPr>
        <w:t>Publication and reporting requirements are important for compliance with best practice principles of accountability, transparency and performance evaluation. The new legislated functions proposed for the EPA include both these elements – reporting and information provision, and evaluation (see chapter 5). These activities will become increasingly important with the introduction of a general duty (see chapter 12) and in response to changing community expectations.</w:t>
      </w:r>
    </w:p>
    <w:p w14:paraId="12CB76B1" w14:textId="77777777" w:rsidR="00724131" w:rsidRDefault="00823349">
      <w:pPr>
        <w:pStyle w:val="BodyText"/>
        <w:spacing w:before="172" w:line="280" w:lineRule="auto"/>
        <w:ind w:left="134" w:right="1337"/>
      </w:pPr>
      <w:r>
        <w:rPr>
          <w:color w:val="58595B"/>
        </w:rPr>
        <w:t xml:space="preserve">In addition to the annual reporting requirements of the </w:t>
      </w:r>
      <w:r>
        <w:rPr>
          <w:i/>
          <w:color w:val="58595B"/>
        </w:rPr>
        <w:t>Financial Management Act 1994</w:t>
      </w:r>
      <w:r>
        <w:rPr>
          <w:color w:val="58595B"/>
        </w:rPr>
        <w:t>, the EPA publishes an Annual Plan and an Annual Compliance Plan, which set out its priorities for the coming year, including compliance and enforcement priorities. They also set out performance measures that the EPA subsequently reports on in its Annual Report.</w:t>
      </w:r>
    </w:p>
    <w:p w14:paraId="22952F75" w14:textId="77777777" w:rsidR="00724131" w:rsidRDefault="00823349">
      <w:pPr>
        <w:pStyle w:val="BodyText"/>
        <w:spacing w:before="172" w:line="280" w:lineRule="auto"/>
        <w:ind w:left="134" w:right="1337"/>
      </w:pPr>
      <w:r>
        <w:rPr>
          <w:color w:val="58595B"/>
        </w:rPr>
        <w:t>We consider there is scope for expanded reporting and improved accessibility – including routine online updates. This approach measures EPA’s performance against objectives and provides information in the public interest. Generally, we support the following proposals from submissions:</w:t>
      </w:r>
    </w:p>
    <w:p w14:paraId="504A5619" w14:textId="77777777" w:rsidR="00724131" w:rsidRDefault="00823349">
      <w:pPr>
        <w:pStyle w:val="ListParagraph"/>
        <w:numPr>
          <w:ilvl w:val="0"/>
          <w:numId w:val="31"/>
        </w:numPr>
        <w:tabs>
          <w:tab w:val="left" w:pos="305"/>
        </w:tabs>
        <w:ind w:hanging="170"/>
        <w:rPr>
          <w:sz w:val="11"/>
        </w:rPr>
      </w:pPr>
      <w:r>
        <w:rPr>
          <w:color w:val="58595B"/>
          <w:sz w:val="20"/>
        </w:rPr>
        <w:t xml:space="preserve">Publish prosecution summaries and results and compliance information on the </w:t>
      </w:r>
      <w:r>
        <w:rPr>
          <w:color w:val="58595B"/>
          <w:spacing w:val="-4"/>
          <w:sz w:val="20"/>
        </w:rPr>
        <w:t>EPA</w:t>
      </w:r>
      <w:r>
        <w:rPr>
          <w:color w:val="58595B"/>
          <w:spacing w:val="30"/>
          <w:sz w:val="20"/>
        </w:rPr>
        <w:t xml:space="preserve"> </w:t>
      </w:r>
      <w:r>
        <w:rPr>
          <w:color w:val="58595B"/>
          <w:sz w:val="20"/>
        </w:rPr>
        <w:t>website</w:t>
      </w:r>
      <w:r>
        <w:rPr>
          <w:color w:val="58595B"/>
          <w:position w:val="7"/>
          <w:sz w:val="11"/>
        </w:rPr>
        <w:t>55</w:t>
      </w:r>
    </w:p>
    <w:p w14:paraId="4ED5D892" w14:textId="77777777" w:rsidR="00724131" w:rsidRDefault="00823349">
      <w:pPr>
        <w:pStyle w:val="ListParagraph"/>
        <w:numPr>
          <w:ilvl w:val="0"/>
          <w:numId w:val="31"/>
        </w:numPr>
        <w:tabs>
          <w:tab w:val="left" w:pos="305"/>
        </w:tabs>
        <w:spacing w:before="153" w:line="280" w:lineRule="auto"/>
        <w:ind w:right="1800" w:hanging="170"/>
        <w:rPr>
          <w:sz w:val="11"/>
        </w:rPr>
      </w:pPr>
      <w:r>
        <w:rPr>
          <w:color w:val="58595B"/>
          <w:sz w:val="20"/>
        </w:rPr>
        <w:t xml:space="preserve">Publish </w:t>
      </w:r>
      <w:r>
        <w:rPr>
          <w:color w:val="58595B"/>
          <w:spacing w:val="-4"/>
          <w:sz w:val="20"/>
        </w:rPr>
        <w:t xml:space="preserve">EPA </w:t>
      </w:r>
      <w:r>
        <w:rPr>
          <w:color w:val="58595B"/>
          <w:sz w:val="20"/>
        </w:rPr>
        <w:t xml:space="preserve">enforcement activities measured against </w:t>
      </w:r>
      <w:r>
        <w:rPr>
          <w:color w:val="58595B"/>
          <w:spacing w:val="-3"/>
          <w:sz w:val="20"/>
        </w:rPr>
        <w:t xml:space="preserve">key </w:t>
      </w:r>
      <w:r>
        <w:rPr>
          <w:color w:val="58595B"/>
          <w:sz w:val="20"/>
        </w:rPr>
        <w:t>performance indicators to ensure contaminated land/emergency/environmental issues are managed</w:t>
      </w:r>
      <w:r>
        <w:rPr>
          <w:color w:val="58595B"/>
          <w:spacing w:val="-8"/>
          <w:sz w:val="20"/>
        </w:rPr>
        <w:t xml:space="preserve"> </w:t>
      </w:r>
      <w:r>
        <w:rPr>
          <w:color w:val="58595B"/>
          <w:sz w:val="20"/>
        </w:rPr>
        <w:t>adequately.</w:t>
      </w:r>
      <w:r>
        <w:rPr>
          <w:color w:val="58595B"/>
          <w:position w:val="7"/>
          <w:sz w:val="11"/>
        </w:rPr>
        <w:t>56</w:t>
      </w:r>
    </w:p>
    <w:p w14:paraId="7CE22A8F" w14:textId="77777777" w:rsidR="00724131" w:rsidRDefault="00823349">
      <w:pPr>
        <w:pStyle w:val="BodyText"/>
        <w:spacing w:before="172" w:line="280" w:lineRule="auto"/>
        <w:ind w:left="134" w:right="1337"/>
      </w:pPr>
      <w:r>
        <w:rPr>
          <w:color w:val="58595B"/>
        </w:rPr>
        <w:t>Our proposed legislated functions for the EPA will include specific functions to improve accountability and transparency (see chapter 5), including to:</w:t>
      </w:r>
    </w:p>
    <w:p w14:paraId="0B87A1C5" w14:textId="77777777" w:rsidR="00724131" w:rsidRDefault="00823349">
      <w:pPr>
        <w:pStyle w:val="ListParagraph"/>
        <w:numPr>
          <w:ilvl w:val="0"/>
          <w:numId w:val="31"/>
        </w:numPr>
        <w:tabs>
          <w:tab w:val="left" w:pos="305"/>
        </w:tabs>
        <w:spacing w:line="280" w:lineRule="auto"/>
        <w:ind w:right="1611" w:hanging="170"/>
        <w:rPr>
          <w:sz w:val="20"/>
        </w:rPr>
      </w:pPr>
      <w:r>
        <w:rPr>
          <w:color w:val="58595B"/>
          <w:sz w:val="20"/>
        </w:rPr>
        <w:t>report to, educate and engage with the community on managing risks and the condition of the environment;</w:t>
      </w:r>
      <w:r>
        <w:rPr>
          <w:color w:val="58595B"/>
          <w:spacing w:val="-6"/>
          <w:sz w:val="20"/>
        </w:rPr>
        <w:t xml:space="preserve"> </w:t>
      </w:r>
      <w:r>
        <w:rPr>
          <w:color w:val="58595B"/>
          <w:sz w:val="20"/>
        </w:rPr>
        <w:t>and</w:t>
      </w:r>
    </w:p>
    <w:p w14:paraId="6D55B2BE" w14:textId="77777777" w:rsidR="00724131" w:rsidRDefault="00823349">
      <w:pPr>
        <w:pStyle w:val="ListParagraph"/>
        <w:numPr>
          <w:ilvl w:val="0"/>
          <w:numId w:val="31"/>
        </w:numPr>
        <w:tabs>
          <w:tab w:val="left" w:pos="305"/>
        </w:tabs>
        <w:ind w:hanging="170"/>
        <w:rPr>
          <w:sz w:val="20"/>
        </w:rPr>
      </w:pPr>
      <w:r>
        <w:rPr>
          <w:color w:val="58595B"/>
          <w:sz w:val="20"/>
        </w:rPr>
        <w:t>evaluate the effectiveness of regulatory</w:t>
      </w:r>
      <w:r>
        <w:rPr>
          <w:color w:val="58595B"/>
          <w:spacing w:val="4"/>
          <w:sz w:val="20"/>
        </w:rPr>
        <w:t xml:space="preserve"> </w:t>
      </w:r>
      <w:r>
        <w:rPr>
          <w:color w:val="58595B"/>
          <w:sz w:val="20"/>
        </w:rPr>
        <w:t>interventions.</w:t>
      </w:r>
    </w:p>
    <w:p w14:paraId="0BB71B5D" w14:textId="77777777" w:rsidR="00724131" w:rsidRDefault="00724131">
      <w:pPr>
        <w:rPr>
          <w:sz w:val="20"/>
        </w:rPr>
        <w:sectPr w:rsidR="00724131">
          <w:pgSz w:w="11910" w:h="16840"/>
          <w:pgMar w:top="980" w:right="0" w:bottom="280" w:left="1680" w:header="788" w:footer="0" w:gutter="0"/>
          <w:cols w:space="720"/>
        </w:sectPr>
      </w:pPr>
    </w:p>
    <w:p w14:paraId="0AA1677A" w14:textId="77777777" w:rsidR="00724131" w:rsidRDefault="00724131">
      <w:pPr>
        <w:pStyle w:val="BodyText"/>
      </w:pPr>
    </w:p>
    <w:p w14:paraId="6D0B58A2" w14:textId="77777777" w:rsidR="00724131" w:rsidRDefault="00724131">
      <w:pPr>
        <w:pStyle w:val="BodyText"/>
      </w:pPr>
    </w:p>
    <w:p w14:paraId="67542A39" w14:textId="77777777" w:rsidR="00724131" w:rsidRDefault="00724131">
      <w:pPr>
        <w:pStyle w:val="BodyText"/>
      </w:pPr>
    </w:p>
    <w:p w14:paraId="22E4B1CA" w14:textId="77777777" w:rsidR="00724131" w:rsidRDefault="00724131">
      <w:pPr>
        <w:pStyle w:val="BodyText"/>
      </w:pPr>
    </w:p>
    <w:p w14:paraId="3A854722" w14:textId="77777777" w:rsidR="00724131" w:rsidRDefault="00823349">
      <w:pPr>
        <w:pStyle w:val="Heading3"/>
        <w:spacing w:before="196"/>
        <w:ind w:right="228"/>
      </w:pPr>
      <w:r>
        <w:rPr>
          <w:color w:val="0095A7"/>
        </w:rPr>
        <w:t>Recommendations</w:t>
      </w:r>
    </w:p>
    <w:p w14:paraId="2606B866" w14:textId="77777777" w:rsidR="00724131" w:rsidRDefault="00054426">
      <w:pPr>
        <w:pStyle w:val="BodyText"/>
        <w:rPr>
          <w:sz w:val="23"/>
        </w:rPr>
      </w:pPr>
      <w:r>
        <w:pict w14:anchorId="1C3F6319">
          <v:shape id="_x0000_s1050" type="#_x0000_t202" style="position:absolute;margin-left:70.85pt;margin-top:14.45pt;width:432.7pt;height:498.55pt;z-index:1192;mso-wrap-distance-left:0;mso-wrap-distance-right:0;mso-position-horizontal-relative:page" fillcolor="#eff6f0" stroked="f">
            <v:textbox inset="0,0,0,0">
              <w:txbxContent>
                <w:p w14:paraId="2B1B849D" w14:textId="77777777" w:rsidR="00724131" w:rsidRDefault="00823349">
                  <w:pPr>
                    <w:spacing w:before="128"/>
                    <w:ind w:left="170" w:right="232"/>
                    <w:rPr>
                      <w:b/>
                      <w:sz w:val="20"/>
                    </w:rPr>
                  </w:pPr>
                  <w:r>
                    <w:rPr>
                      <w:b/>
                      <w:color w:val="808285"/>
                      <w:sz w:val="20"/>
                    </w:rPr>
                    <w:t>RECOMMENDATION 19.1</w:t>
                  </w:r>
                </w:p>
                <w:p w14:paraId="59BB3315" w14:textId="77777777" w:rsidR="00724131" w:rsidRDefault="00823349">
                  <w:pPr>
                    <w:pStyle w:val="BodyText"/>
                    <w:spacing w:before="153" w:line="280" w:lineRule="auto"/>
                    <w:ind w:left="170" w:right="105"/>
                  </w:pPr>
                  <w:r>
                    <w:rPr>
                      <w:color w:val="58595B"/>
                      <w:spacing w:val="-3"/>
                    </w:rPr>
                    <w:t xml:space="preserve">Establish </w:t>
                  </w:r>
                  <w:r>
                    <w:rPr>
                      <w:color w:val="58595B"/>
                    </w:rPr>
                    <w:t xml:space="preserve">the </w:t>
                  </w:r>
                  <w:r>
                    <w:rPr>
                      <w:color w:val="58595B"/>
                      <w:spacing w:val="-6"/>
                    </w:rPr>
                    <w:t xml:space="preserve">EPA </w:t>
                  </w:r>
                  <w:r>
                    <w:rPr>
                      <w:color w:val="58595B"/>
                    </w:rPr>
                    <w:t xml:space="preserve">as an </w:t>
                  </w:r>
                  <w:r>
                    <w:rPr>
                      <w:color w:val="58595B"/>
                      <w:spacing w:val="-3"/>
                    </w:rPr>
                    <w:t xml:space="preserve">independent </w:t>
                  </w:r>
                  <w:r>
                    <w:rPr>
                      <w:color w:val="58595B"/>
                      <w:spacing w:val="-2"/>
                    </w:rPr>
                    <w:t xml:space="preserve">statutory </w:t>
                  </w:r>
                  <w:r>
                    <w:rPr>
                      <w:color w:val="58595B"/>
                    </w:rPr>
                    <w:t xml:space="preserve">authority with a </w:t>
                  </w:r>
                  <w:r>
                    <w:rPr>
                      <w:color w:val="58595B"/>
                      <w:spacing w:val="-3"/>
                    </w:rPr>
                    <w:t xml:space="preserve">Board </w:t>
                  </w:r>
                  <w:r>
                    <w:rPr>
                      <w:color w:val="58595B"/>
                    </w:rPr>
                    <w:t xml:space="preserve">as the </w:t>
                  </w:r>
                  <w:r>
                    <w:rPr>
                      <w:color w:val="58595B"/>
                      <w:spacing w:val="-3"/>
                    </w:rPr>
                    <w:t xml:space="preserve">governing </w:t>
                  </w:r>
                  <w:r>
                    <w:rPr>
                      <w:color w:val="58595B"/>
                    </w:rPr>
                    <w:t xml:space="preserve">body </w:t>
                  </w:r>
                  <w:r>
                    <w:rPr>
                      <w:color w:val="58595B"/>
                      <w:spacing w:val="-3"/>
                    </w:rPr>
                    <w:t xml:space="preserve">that has </w:t>
                  </w:r>
                  <w:r>
                    <w:rPr>
                      <w:color w:val="58595B"/>
                    </w:rPr>
                    <w:t xml:space="preserve">the </w:t>
                  </w:r>
                  <w:r>
                    <w:rPr>
                      <w:color w:val="58595B"/>
                      <w:spacing w:val="-3"/>
                    </w:rPr>
                    <w:t xml:space="preserve">following legislated features, </w:t>
                  </w:r>
                  <w:r>
                    <w:rPr>
                      <w:color w:val="58595B"/>
                    </w:rPr>
                    <w:t xml:space="preserve">to be </w:t>
                  </w:r>
                  <w:r>
                    <w:rPr>
                      <w:color w:val="58595B"/>
                      <w:spacing w:val="-3"/>
                    </w:rPr>
                    <w:t xml:space="preserve">legislated </w:t>
                  </w:r>
                  <w:r>
                    <w:rPr>
                      <w:color w:val="58595B"/>
                    </w:rPr>
                    <w:t xml:space="preserve">as part of the </w:t>
                  </w:r>
                  <w:r>
                    <w:rPr>
                      <w:color w:val="58595B"/>
                      <w:spacing w:val="-6"/>
                    </w:rPr>
                    <w:t xml:space="preserve">EPA </w:t>
                  </w:r>
                  <w:r>
                    <w:rPr>
                      <w:color w:val="58595B"/>
                      <w:spacing w:val="-4"/>
                    </w:rPr>
                    <w:t xml:space="preserve">(Establishment) </w:t>
                  </w:r>
                  <w:r>
                    <w:rPr>
                      <w:color w:val="58595B"/>
                    </w:rPr>
                    <w:t>Act:</w:t>
                  </w:r>
                </w:p>
                <w:p w14:paraId="7DA3815F" w14:textId="77777777" w:rsidR="00724131" w:rsidRDefault="00823349">
                  <w:pPr>
                    <w:pStyle w:val="ListParagraph"/>
                    <w:numPr>
                      <w:ilvl w:val="0"/>
                      <w:numId w:val="25"/>
                    </w:numPr>
                    <w:tabs>
                      <w:tab w:val="left" w:pos="511"/>
                    </w:tabs>
                    <w:spacing w:before="172" w:line="280" w:lineRule="auto"/>
                    <w:ind w:right="1053" w:hanging="340"/>
                    <w:rPr>
                      <w:sz w:val="20"/>
                    </w:rPr>
                  </w:pPr>
                  <w:r>
                    <w:rPr>
                      <w:color w:val="58595B"/>
                      <w:sz w:val="20"/>
                    </w:rPr>
                    <w:t>appointed by the Governor in Council on the recommendation of the Minister for Environment, Climate Change and</w:t>
                  </w:r>
                  <w:r>
                    <w:rPr>
                      <w:color w:val="58595B"/>
                      <w:spacing w:val="-16"/>
                      <w:sz w:val="20"/>
                    </w:rPr>
                    <w:t xml:space="preserve"> </w:t>
                  </w:r>
                  <w:r>
                    <w:rPr>
                      <w:color w:val="58595B"/>
                      <w:sz w:val="20"/>
                    </w:rPr>
                    <w:t>Water</w:t>
                  </w:r>
                </w:p>
                <w:p w14:paraId="04A70410" w14:textId="77777777" w:rsidR="00724131" w:rsidRDefault="00823349">
                  <w:pPr>
                    <w:pStyle w:val="ListParagraph"/>
                    <w:numPr>
                      <w:ilvl w:val="0"/>
                      <w:numId w:val="25"/>
                    </w:numPr>
                    <w:tabs>
                      <w:tab w:val="left" w:pos="511"/>
                    </w:tabs>
                    <w:spacing w:before="172"/>
                    <w:ind w:hanging="340"/>
                    <w:rPr>
                      <w:sz w:val="20"/>
                    </w:rPr>
                  </w:pPr>
                  <w:r>
                    <w:rPr>
                      <w:color w:val="58595B"/>
                      <w:sz w:val="20"/>
                    </w:rPr>
                    <w:t>comprising seven members</w:t>
                  </w:r>
                  <w:r>
                    <w:rPr>
                      <w:color w:val="58595B"/>
                      <w:spacing w:val="-1"/>
                      <w:sz w:val="20"/>
                    </w:rPr>
                    <w:t xml:space="preserve"> </w:t>
                  </w:r>
                  <w:r>
                    <w:rPr>
                      <w:color w:val="58595B"/>
                      <w:sz w:val="20"/>
                    </w:rPr>
                    <w:t>including:</w:t>
                  </w:r>
                </w:p>
                <w:p w14:paraId="165398AE" w14:textId="77777777" w:rsidR="00724131" w:rsidRDefault="00724131">
                  <w:pPr>
                    <w:pStyle w:val="BodyText"/>
                    <w:spacing w:before="3"/>
                    <w:rPr>
                      <w:sz w:val="18"/>
                    </w:rPr>
                  </w:pPr>
                </w:p>
                <w:p w14:paraId="20150DE6" w14:textId="77777777" w:rsidR="00724131" w:rsidRDefault="00823349">
                  <w:pPr>
                    <w:pStyle w:val="ListParagraph"/>
                    <w:numPr>
                      <w:ilvl w:val="1"/>
                      <w:numId w:val="25"/>
                    </w:numPr>
                    <w:tabs>
                      <w:tab w:val="left" w:pos="851"/>
                    </w:tabs>
                    <w:spacing w:before="0"/>
                    <w:ind w:hanging="340"/>
                    <w:rPr>
                      <w:sz w:val="20"/>
                    </w:rPr>
                  </w:pPr>
                  <w:r>
                    <w:rPr>
                      <w:color w:val="58595B"/>
                      <w:sz w:val="20"/>
                    </w:rPr>
                    <w:t>a member with qualifications or experience in science or</w:t>
                  </w:r>
                  <w:r>
                    <w:rPr>
                      <w:color w:val="58595B"/>
                      <w:spacing w:val="24"/>
                      <w:sz w:val="20"/>
                    </w:rPr>
                    <w:t xml:space="preserve"> </w:t>
                  </w:r>
                  <w:r>
                    <w:rPr>
                      <w:color w:val="58595B"/>
                      <w:sz w:val="20"/>
                    </w:rPr>
                    <w:t>engineering</w:t>
                  </w:r>
                </w:p>
                <w:p w14:paraId="62C2FD5B" w14:textId="77777777" w:rsidR="00724131" w:rsidRDefault="00724131">
                  <w:pPr>
                    <w:pStyle w:val="BodyText"/>
                    <w:spacing w:before="3"/>
                    <w:rPr>
                      <w:sz w:val="18"/>
                    </w:rPr>
                  </w:pPr>
                </w:p>
                <w:p w14:paraId="6D7E6CDD" w14:textId="77777777" w:rsidR="00724131" w:rsidRDefault="00823349">
                  <w:pPr>
                    <w:pStyle w:val="ListParagraph"/>
                    <w:numPr>
                      <w:ilvl w:val="1"/>
                      <w:numId w:val="25"/>
                    </w:numPr>
                    <w:tabs>
                      <w:tab w:val="left" w:pos="851"/>
                    </w:tabs>
                    <w:spacing w:before="0" w:line="280" w:lineRule="auto"/>
                    <w:ind w:right="498" w:hanging="340"/>
                    <w:rPr>
                      <w:sz w:val="20"/>
                    </w:rPr>
                  </w:pPr>
                  <w:r>
                    <w:rPr>
                      <w:color w:val="58595B"/>
                      <w:sz w:val="20"/>
                    </w:rPr>
                    <w:t>a member with qualifications or experience in health, as nominated by the Minister for</w:t>
                  </w:r>
                  <w:r>
                    <w:rPr>
                      <w:color w:val="58595B"/>
                      <w:spacing w:val="2"/>
                      <w:sz w:val="20"/>
                    </w:rPr>
                    <w:t xml:space="preserve"> </w:t>
                  </w:r>
                  <w:r>
                    <w:rPr>
                      <w:color w:val="58595B"/>
                      <w:sz w:val="20"/>
                    </w:rPr>
                    <w:t>Health</w:t>
                  </w:r>
                </w:p>
                <w:p w14:paraId="26234E33" w14:textId="77777777" w:rsidR="00724131" w:rsidRDefault="00823349">
                  <w:pPr>
                    <w:pStyle w:val="ListParagraph"/>
                    <w:numPr>
                      <w:ilvl w:val="0"/>
                      <w:numId w:val="25"/>
                    </w:numPr>
                    <w:tabs>
                      <w:tab w:val="left" w:pos="511"/>
                    </w:tabs>
                    <w:spacing w:before="172"/>
                    <w:ind w:hanging="340"/>
                    <w:rPr>
                      <w:sz w:val="20"/>
                    </w:rPr>
                  </w:pPr>
                  <w:r>
                    <w:rPr>
                      <w:color w:val="58595B"/>
                      <w:sz w:val="20"/>
                    </w:rPr>
                    <w:t>with functions</w:t>
                  </w:r>
                  <w:r>
                    <w:rPr>
                      <w:color w:val="58595B"/>
                      <w:spacing w:val="9"/>
                      <w:sz w:val="20"/>
                    </w:rPr>
                    <w:t xml:space="preserve"> </w:t>
                  </w:r>
                  <w:r>
                    <w:rPr>
                      <w:color w:val="58595B"/>
                      <w:spacing w:val="-3"/>
                      <w:sz w:val="20"/>
                    </w:rPr>
                    <w:t>to:</w:t>
                  </w:r>
                </w:p>
                <w:p w14:paraId="337BD45E" w14:textId="77777777" w:rsidR="00724131" w:rsidRDefault="00724131">
                  <w:pPr>
                    <w:pStyle w:val="BodyText"/>
                    <w:spacing w:before="3"/>
                    <w:rPr>
                      <w:sz w:val="18"/>
                    </w:rPr>
                  </w:pPr>
                </w:p>
                <w:p w14:paraId="308EEBD2" w14:textId="77777777" w:rsidR="00724131" w:rsidRDefault="00823349">
                  <w:pPr>
                    <w:pStyle w:val="ListParagraph"/>
                    <w:numPr>
                      <w:ilvl w:val="1"/>
                      <w:numId w:val="25"/>
                    </w:numPr>
                    <w:tabs>
                      <w:tab w:val="left" w:pos="851"/>
                    </w:tabs>
                    <w:spacing w:before="0"/>
                    <w:ind w:hanging="340"/>
                    <w:rPr>
                      <w:sz w:val="20"/>
                    </w:rPr>
                  </w:pPr>
                  <w:r>
                    <w:rPr>
                      <w:color w:val="58595B"/>
                      <w:sz w:val="20"/>
                    </w:rPr>
                    <w:t xml:space="preserve">determine the </w:t>
                  </w:r>
                  <w:r>
                    <w:rPr>
                      <w:color w:val="58595B"/>
                      <w:spacing w:val="-7"/>
                      <w:sz w:val="20"/>
                    </w:rPr>
                    <w:t xml:space="preserve">EPA’s </w:t>
                  </w:r>
                  <w:r>
                    <w:rPr>
                      <w:color w:val="58595B"/>
                      <w:sz w:val="20"/>
                    </w:rPr>
                    <w:t>strategic</w:t>
                  </w:r>
                  <w:r>
                    <w:rPr>
                      <w:color w:val="58595B"/>
                      <w:spacing w:val="17"/>
                      <w:sz w:val="20"/>
                    </w:rPr>
                    <w:t xml:space="preserve"> </w:t>
                  </w:r>
                  <w:r>
                    <w:rPr>
                      <w:color w:val="58595B"/>
                      <w:sz w:val="20"/>
                    </w:rPr>
                    <w:t>direction</w:t>
                  </w:r>
                </w:p>
                <w:p w14:paraId="75F9B0AD" w14:textId="77777777" w:rsidR="00724131" w:rsidRDefault="00724131">
                  <w:pPr>
                    <w:pStyle w:val="BodyText"/>
                    <w:spacing w:before="3"/>
                    <w:rPr>
                      <w:sz w:val="18"/>
                    </w:rPr>
                  </w:pPr>
                </w:p>
                <w:p w14:paraId="06FBD171" w14:textId="77777777" w:rsidR="00724131" w:rsidRDefault="00823349">
                  <w:pPr>
                    <w:pStyle w:val="ListParagraph"/>
                    <w:numPr>
                      <w:ilvl w:val="1"/>
                      <w:numId w:val="25"/>
                    </w:numPr>
                    <w:tabs>
                      <w:tab w:val="left" w:pos="851"/>
                    </w:tabs>
                    <w:spacing w:before="0"/>
                    <w:ind w:hanging="340"/>
                    <w:rPr>
                      <w:sz w:val="20"/>
                    </w:rPr>
                  </w:pPr>
                  <w:r>
                    <w:rPr>
                      <w:color w:val="58595B"/>
                      <w:sz w:val="20"/>
                    </w:rPr>
                    <w:t xml:space="preserve">provide oversight of the </w:t>
                  </w:r>
                  <w:r>
                    <w:rPr>
                      <w:color w:val="58595B"/>
                      <w:spacing w:val="-7"/>
                      <w:sz w:val="20"/>
                    </w:rPr>
                    <w:t xml:space="preserve">EPA’s </w:t>
                  </w:r>
                  <w:r>
                    <w:rPr>
                      <w:color w:val="58595B"/>
                      <w:sz w:val="20"/>
                    </w:rPr>
                    <w:t>corporate</w:t>
                  </w:r>
                  <w:r>
                    <w:rPr>
                      <w:color w:val="58595B"/>
                      <w:spacing w:val="27"/>
                      <w:sz w:val="20"/>
                    </w:rPr>
                    <w:t xml:space="preserve"> </w:t>
                  </w:r>
                  <w:r>
                    <w:rPr>
                      <w:color w:val="58595B"/>
                      <w:sz w:val="20"/>
                    </w:rPr>
                    <w:t>performance</w:t>
                  </w:r>
                </w:p>
                <w:p w14:paraId="059E8172" w14:textId="77777777" w:rsidR="00724131" w:rsidRDefault="00724131">
                  <w:pPr>
                    <w:pStyle w:val="BodyText"/>
                    <w:spacing w:before="3"/>
                    <w:rPr>
                      <w:sz w:val="18"/>
                    </w:rPr>
                  </w:pPr>
                </w:p>
                <w:p w14:paraId="2CD89808" w14:textId="77777777" w:rsidR="00724131" w:rsidRDefault="00823349">
                  <w:pPr>
                    <w:pStyle w:val="ListParagraph"/>
                    <w:numPr>
                      <w:ilvl w:val="1"/>
                      <w:numId w:val="25"/>
                    </w:numPr>
                    <w:tabs>
                      <w:tab w:val="left" w:pos="851"/>
                    </w:tabs>
                    <w:spacing w:before="0"/>
                    <w:ind w:hanging="340"/>
                    <w:rPr>
                      <w:sz w:val="20"/>
                    </w:rPr>
                  </w:pPr>
                  <w:r>
                    <w:rPr>
                      <w:color w:val="58595B"/>
                      <w:sz w:val="20"/>
                    </w:rPr>
                    <w:t xml:space="preserve">provide oversight of the discharge of the </w:t>
                  </w:r>
                  <w:r>
                    <w:rPr>
                      <w:color w:val="58595B"/>
                      <w:spacing w:val="-7"/>
                      <w:sz w:val="20"/>
                    </w:rPr>
                    <w:t xml:space="preserve">EPA’s </w:t>
                  </w:r>
                  <w:r>
                    <w:rPr>
                      <w:color w:val="58595B"/>
                      <w:sz w:val="20"/>
                    </w:rPr>
                    <w:t>regulatory</w:t>
                  </w:r>
                  <w:r>
                    <w:rPr>
                      <w:color w:val="58595B"/>
                      <w:spacing w:val="12"/>
                      <w:sz w:val="20"/>
                    </w:rPr>
                    <w:t xml:space="preserve"> </w:t>
                  </w:r>
                  <w:r>
                    <w:rPr>
                      <w:color w:val="58595B"/>
                      <w:sz w:val="20"/>
                    </w:rPr>
                    <w:t>approach</w:t>
                  </w:r>
                </w:p>
                <w:p w14:paraId="0C4D256E" w14:textId="77777777" w:rsidR="00724131" w:rsidRDefault="00724131">
                  <w:pPr>
                    <w:pStyle w:val="BodyText"/>
                    <w:spacing w:before="3"/>
                    <w:rPr>
                      <w:sz w:val="18"/>
                    </w:rPr>
                  </w:pPr>
                </w:p>
                <w:p w14:paraId="06A19B1F" w14:textId="77777777" w:rsidR="00724131" w:rsidRDefault="00823349">
                  <w:pPr>
                    <w:pStyle w:val="ListParagraph"/>
                    <w:numPr>
                      <w:ilvl w:val="1"/>
                      <w:numId w:val="25"/>
                    </w:numPr>
                    <w:tabs>
                      <w:tab w:val="left" w:pos="851"/>
                    </w:tabs>
                    <w:spacing w:before="0"/>
                    <w:ind w:hanging="340"/>
                    <w:rPr>
                      <w:sz w:val="20"/>
                    </w:rPr>
                  </w:pPr>
                  <w:r>
                    <w:rPr>
                      <w:color w:val="58595B"/>
                      <w:sz w:val="20"/>
                    </w:rPr>
                    <w:t>respond to, and report against, any statement of expectations from the</w:t>
                  </w:r>
                  <w:r>
                    <w:rPr>
                      <w:color w:val="58595B"/>
                      <w:spacing w:val="1"/>
                      <w:sz w:val="20"/>
                    </w:rPr>
                    <w:t xml:space="preserve"> </w:t>
                  </w:r>
                  <w:r>
                    <w:rPr>
                      <w:color w:val="58595B"/>
                      <w:sz w:val="20"/>
                    </w:rPr>
                    <w:t>minister</w:t>
                  </w:r>
                </w:p>
                <w:p w14:paraId="00C8A38C" w14:textId="77777777" w:rsidR="00724131" w:rsidRDefault="00724131">
                  <w:pPr>
                    <w:pStyle w:val="BodyText"/>
                    <w:spacing w:before="3"/>
                    <w:rPr>
                      <w:sz w:val="18"/>
                    </w:rPr>
                  </w:pPr>
                </w:p>
                <w:p w14:paraId="2C36D693" w14:textId="77777777" w:rsidR="00724131" w:rsidRDefault="00823349">
                  <w:pPr>
                    <w:pStyle w:val="ListParagraph"/>
                    <w:numPr>
                      <w:ilvl w:val="1"/>
                      <w:numId w:val="25"/>
                    </w:numPr>
                    <w:tabs>
                      <w:tab w:val="left" w:pos="851"/>
                    </w:tabs>
                    <w:spacing w:before="0"/>
                    <w:ind w:hanging="340"/>
                    <w:rPr>
                      <w:sz w:val="20"/>
                    </w:rPr>
                  </w:pPr>
                  <w:r>
                    <w:rPr>
                      <w:color w:val="58595B"/>
                      <w:sz w:val="20"/>
                    </w:rPr>
                    <w:t>provide advice to the minister and respond to requests from the</w:t>
                  </w:r>
                  <w:r>
                    <w:rPr>
                      <w:color w:val="58595B"/>
                      <w:spacing w:val="-1"/>
                      <w:sz w:val="20"/>
                    </w:rPr>
                    <w:t xml:space="preserve"> </w:t>
                  </w:r>
                  <w:r>
                    <w:rPr>
                      <w:color w:val="58595B"/>
                      <w:sz w:val="20"/>
                    </w:rPr>
                    <w:t>minister</w:t>
                  </w:r>
                </w:p>
                <w:p w14:paraId="4ED29F64" w14:textId="77777777" w:rsidR="00724131" w:rsidRDefault="00724131">
                  <w:pPr>
                    <w:pStyle w:val="BodyText"/>
                    <w:spacing w:before="3"/>
                    <w:rPr>
                      <w:sz w:val="18"/>
                    </w:rPr>
                  </w:pPr>
                </w:p>
                <w:p w14:paraId="0139AA71" w14:textId="77777777" w:rsidR="00724131" w:rsidRDefault="00823349">
                  <w:pPr>
                    <w:pStyle w:val="ListParagraph"/>
                    <w:numPr>
                      <w:ilvl w:val="1"/>
                      <w:numId w:val="25"/>
                    </w:numPr>
                    <w:tabs>
                      <w:tab w:val="left" w:pos="851"/>
                    </w:tabs>
                    <w:spacing w:before="0" w:line="280" w:lineRule="auto"/>
                    <w:ind w:right="1795" w:hanging="340"/>
                    <w:rPr>
                      <w:sz w:val="20"/>
                    </w:rPr>
                  </w:pPr>
                  <w:r>
                    <w:rPr>
                      <w:color w:val="58595B"/>
                      <w:sz w:val="20"/>
                    </w:rPr>
                    <w:t xml:space="preserve">appoint the Chief Executive </w:t>
                  </w:r>
                  <w:r>
                    <w:rPr>
                      <w:color w:val="58595B"/>
                      <w:spacing w:val="2"/>
                      <w:sz w:val="20"/>
                    </w:rPr>
                    <w:t xml:space="preserve">Officer </w:t>
                  </w:r>
                  <w:r>
                    <w:rPr>
                      <w:color w:val="58595B"/>
                      <w:sz w:val="20"/>
                    </w:rPr>
                    <w:t>and monitor the Chief Executive Officer’s</w:t>
                  </w:r>
                  <w:r>
                    <w:rPr>
                      <w:color w:val="58595B"/>
                      <w:spacing w:val="30"/>
                      <w:sz w:val="20"/>
                    </w:rPr>
                    <w:t xml:space="preserve"> </w:t>
                  </w:r>
                  <w:r>
                    <w:rPr>
                      <w:color w:val="58595B"/>
                      <w:sz w:val="20"/>
                    </w:rPr>
                    <w:t>performance</w:t>
                  </w:r>
                </w:p>
                <w:p w14:paraId="1C4C6A73" w14:textId="77777777" w:rsidR="00724131" w:rsidRDefault="00823349">
                  <w:pPr>
                    <w:pStyle w:val="ListParagraph"/>
                    <w:numPr>
                      <w:ilvl w:val="1"/>
                      <w:numId w:val="25"/>
                    </w:numPr>
                    <w:tabs>
                      <w:tab w:val="left" w:pos="851"/>
                    </w:tabs>
                    <w:spacing w:before="172" w:line="280" w:lineRule="auto"/>
                    <w:ind w:right="190" w:hanging="340"/>
                    <w:rPr>
                      <w:sz w:val="20"/>
                    </w:rPr>
                  </w:pPr>
                  <w:r>
                    <w:rPr>
                      <w:color w:val="58595B"/>
                      <w:sz w:val="20"/>
                    </w:rPr>
                    <w:t>establish subcommittees as required for good governance and appoint their members and also members of the Science, Engineering and Health</w:t>
                  </w:r>
                  <w:r>
                    <w:rPr>
                      <w:color w:val="58595B"/>
                      <w:spacing w:val="14"/>
                      <w:sz w:val="20"/>
                    </w:rPr>
                    <w:t xml:space="preserve"> </w:t>
                  </w:r>
                  <w:r>
                    <w:rPr>
                      <w:color w:val="58595B"/>
                      <w:sz w:val="20"/>
                    </w:rPr>
                    <w:t>subcommittee</w:t>
                  </w:r>
                </w:p>
                <w:p w14:paraId="3A9C7680" w14:textId="77777777" w:rsidR="00724131" w:rsidRDefault="00823349">
                  <w:pPr>
                    <w:pStyle w:val="ListParagraph"/>
                    <w:numPr>
                      <w:ilvl w:val="0"/>
                      <w:numId w:val="25"/>
                    </w:numPr>
                    <w:tabs>
                      <w:tab w:val="left" w:pos="511"/>
                    </w:tabs>
                    <w:spacing w:before="172"/>
                    <w:ind w:hanging="340"/>
                    <w:rPr>
                      <w:sz w:val="20"/>
                    </w:rPr>
                  </w:pPr>
                  <w:r>
                    <w:rPr>
                      <w:color w:val="58595B"/>
                      <w:sz w:val="20"/>
                    </w:rPr>
                    <w:t>a Science, Engineering and Health subcommittee of the Board that</w:t>
                  </w:r>
                  <w:r>
                    <w:rPr>
                      <w:color w:val="58595B"/>
                      <w:spacing w:val="8"/>
                      <w:sz w:val="20"/>
                    </w:rPr>
                    <w:t xml:space="preserve"> </w:t>
                  </w:r>
                  <w:r>
                    <w:rPr>
                      <w:color w:val="58595B"/>
                      <w:sz w:val="20"/>
                    </w:rPr>
                    <w:t>is:</w:t>
                  </w:r>
                </w:p>
                <w:p w14:paraId="1F7ADEBC" w14:textId="77777777" w:rsidR="00724131" w:rsidRDefault="00724131">
                  <w:pPr>
                    <w:pStyle w:val="BodyText"/>
                    <w:spacing w:before="3"/>
                    <w:rPr>
                      <w:sz w:val="18"/>
                    </w:rPr>
                  </w:pPr>
                </w:p>
                <w:p w14:paraId="47BFA65E" w14:textId="77777777" w:rsidR="00724131" w:rsidRDefault="00823349">
                  <w:pPr>
                    <w:pStyle w:val="ListParagraph"/>
                    <w:numPr>
                      <w:ilvl w:val="1"/>
                      <w:numId w:val="25"/>
                    </w:numPr>
                    <w:tabs>
                      <w:tab w:val="left" w:pos="851"/>
                    </w:tabs>
                    <w:spacing w:before="0"/>
                    <w:ind w:hanging="340"/>
                    <w:rPr>
                      <w:sz w:val="20"/>
                    </w:rPr>
                  </w:pPr>
                  <w:r>
                    <w:rPr>
                      <w:color w:val="58595B"/>
                      <w:sz w:val="20"/>
                    </w:rPr>
                    <w:t>appointed by the</w:t>
                  </w:r>
                  <w:r>
                    <w:rPr>
                      <w:color w:val="58595B"/>
                      <w:spacing w:val="-3"/>
                      <w:sz w:val="20"/>
                    </w:rPr>
                    <w:t xml:space="preserve"> </w:t>
                  </w:r>
                  <w:r>
                    <w:rPr>
                      <w:color w:val="58595B"/>
                      <w:sz w:val="20"/>
                    </w:rPr>
                    <w:t>Board</w:t>
                  </w:r>
                </w:p>
                <w:p w14:paraId="1E5E3659" w14:textId="77777777" w:rsidR="00724131" w:rsidRDefault="00724131">
                  <w:pPr>
                    <w:pStyle w:val="BodyText"/>
                    <w:spacing w:before="3"/>
                    <w:rPr>
                      <w:sz w:val="18"/>
                    </w:rPr>
                  </w:pPr>
                </w:p>
                <w:p w14:paraId="1F57B1C7" w14:textId="77777777" w:rsidR="00724131" w:rsidRDefault="00823349">
                  <w:pPr>
                    <w:pStyle w:val="ListParagraph"/>
                    <w:numPr>
                      <w:ilvl w:val="1"/>
                      <w:numId w:val="25"/>
                    </w:numPr>
                    <w:tabs>
                      <w:tab w:val="left" w:pos="851"/>
                    </w:tabs>
                    <w:spacing w:before="0"/>
                    <w:ind w:hanging="340"/>
                    <w:rPr>
                      <w:sz w:val="20"/>
                    </w:rPr>
                  </w:pPr>
                  <w:r>
                    <w:rPr>
                      <w:color w:val="58595B"/>
                      <w:sz w:val="20"/>
                    </w:rPr>
                    <w:t>chaired by a Board member with science or engineering qualifications and</w:t>
                  </w:r>
                  <w:r>
                    <w:rPr>
                      <w:color w:val="58595B"/>
                      <w:spacing w:val="22"/>
                      <w:sz w:val="20"/>
                    </w:rPr>
                    <w:t xml:space="preserve"> </w:t>
                  </w:r>
                  <w:r>
                    <w:rPr>
                      <w:color w:val="58595B"/>
                      <w:sz w:val="20"/>
                    </w:rPr>
                    <w:t>experience</w:t>
                  </w:r>
                </w:p>
                <w:p w14:paraId="024BD0AD" w14:textId="77777777" w:rsidR="00724131" w:rsidRDefault="00724131">
                  <w:pPr>
                    <w:pStyle w:val="BodyText"/>
                    <w:spacing w:before="3"/>
                    <w:rPr>
                      <w:sz w:val="18"/>
                    </w:rPr>
                  </w:pPr>
                </w:p>
                <w:p w14:paraId="319124DC" w14:textId="77777777" w:rsidR="00724131" w:rsidRDefault="00823349">
                  <w:pPr>
                    <w:pStyle w:val="ListParagraph"/>
                    <w:numPr>
                      <w:ilvl w:val="1"/>
                      <w:numId w:val="25"/>
                    </w:numPr>
                    <w:tabs>
                      <w:tab w:val="left" w:pos="851"/>
                    </w:tabs>
                    <w:spacing w:before="0" w:line="280" w:lineRule="auto"/>
                    <w:ind w:right="247" w:hanging="340"/>
                    <w:rPr>
                      <w:sz w:val="20"/>
                    </w:rPr>
                  </w:pPr>
                  <w:r>
                    <w:rPr>
                      <w:color w:val="58595B"/>
                      <w:spacing w:val="-4"/>
                      <w:sz w:val="20"/>
                    </w:rPr>
                    <w:t xml:space="preserve">comprising members </w:t>
                  </w:r>
                  <w:r>
                    <w:rPr>
                      <w:color w:val="58595B"/>
                      <w:spacing w:val="-3"/>
                      <w:sz w:val="20"/>
                    </w:rPr>
                    <w:t xml:space="preserve">of the </w:t>
                  </w:r>
                  <w:r>
                    <w:rPr>
                      <w:color w:val="58595B"/>
                      <w:spacing w:val="-4"/>
                      <w:sz w:val="20"/>
                    </w:rPr>
                    <w:t xml:space="preserve">Board with </w:t>
                  </w:r>
                  <w:r>
                    <w:rPr>
                      <w:color w:val="58595B"/>
                      <w:spacing w:val="-5"/>
                      <w:sz w:val="20"/>
                    </w:rPr>
                    <w:t xml:space="preserve">science/engineering </w:t>
                  </w:r>
                  <w:r>
                    <w:rPr>
                      <w:color w:val="58595B"/>
                      <w:spacing w:val="-4"/>
                      <w:sz w:val="20"/>
                    </w:rPr>
                    <w:t xml:space="preserve">and </w:t>
                  </w:r>
                  <w:r>
                    <w:rPr>
                      <w:color w:val="58595B"/>
                      <w:spacing w:val="-5"/>
                      <w:sz w:val="20"/>
                    </w:rPr>
                    <w:t xml:space="preserve">health </w:t>
                  </w:r>
                  <w:r>
                    <w:rPr>
                      <w:color w:val="58595B"/>
                      <w:spacing w:val="-4"/>
                      <w:sz w:val="20"/>
                    </w:rPr>
                    <w:t xml:space="preserve">expertise and also </w:t>
                  </w:r>
                  <w:r>
                    <w:rPr>
                      <w:color w:val="58595B"/>
                      <w:spacing w:val="-5"/>
                      <w:sz w:val="20"/>
                    </w:rPr>
                    <w:t xml:space="preserve">external </w:t>
                  </w:r>
                  <w:r>
                    <w:rPr>
                      <w:color w:val="58595B"/>
                      <w:spacing w:val="-4"/>
                      <w:sz w:val="20"/>
                    </w:rPr>
                    <w:t xml:space="preserve">scientific, </w:t>
                  </w:r>
                  <w:r>
                    <w:rPr>
                      <w:color w:val="58595B"/>
                      <w:spacing w:val="-5"/>
                      <w:sz w:val="20"/>
                    </w:rPr>
                    <w:t xml:space="preserve">engineering </w:t>
                  </w:r>
                  <w:r>
                    <w:rPr>
                      <w:color w:val="58595B"/>
                      <w:spacing w:val="-4"/>
                      <w:sz w:val="20"/>
                    </w:rPr>
                    <w:t xml:space="preserve">and </w:t>
                  </w:r>
                  <w:r>
                    <w:rPr>
                      <w:color w:val="58595B"/>
                      <w:spacing w:val="-5"/>
                      <w:sz w:val="20"/>
                    </w:rPr>
                    <w:t xml:space="preserve">health </w:t>
                  </w:r>
                  <w:r>
                    <w:rPr>
                      <w:color w:val="58595B"/>
                      <w:spacing w:val="-4"/>
                      <w:sz w:val="20"/>
                    </w:rPr>
                    <w:t xml:space="preserve">experts, </w:t>
                  </w:r>
                  <w:r>
                    <w:rPr>
                      <w:color w:val="58595B"/>
                      <w:spacing w:val="-5"/>
                      <w:sz w:val="20"/>
                    </w:rPr>
                    <w:t xml:space="preserve">including Victoria’s Chief </w:t>
                  </w:r>
                  <w:r>
                    <w:rPr>
                      <w:color w:val="58595B"/>
                      <w:spacing w:val="-4"/>
                      <w:sz w:val="20"/>
                    </w:rPr>
                    <w:t>Health</w:t>
                  </w:r>
                  <w:r>
                    <w:rPr>
                      <w:color w:val="58595B"/>
                      <w:spacing w:val="-18"/>
                      <w:sz w:val="20"/>
                    </w:rPr>
                    <w:t xml:space="preserve"> </w:t>
                  </w:r>
                  <w:r>
                    <w:rPr>
                      <w:color w:val="58595B"/>
                      <w:spacing w:val="-3"/>
                      <w:sz w:val="20"/>
                    </w:rPr>
                    <w:t>Officer</w:t>
                  </w:r>
                </w:p>
                <w:p w14:paraId="283FE59D" w14:textId="77777777" w:rsidR="00724131" w:rsidRDefault="00823349">
                  <w:pPr>
                    <w:pStyle w:val="ListParagraph"/>
                    <w:numPr>
                      <w:ilvl w:val="1"/>
                      <w:numId w:val="25"/>
                    </w:numPr>
                    <w:tabs>
                      <w:tab w:val="left" w:pos="851"/>
                    </w:tabs>
                    <w:spacing w:before="172"/>
                    <w:ind w:hanging="340"/>
                    <w:rPr>
                      <w:sz w:val="20"/>
                    </w:rPr>
                  </w:pPr>
                  <w:r>
                    <w:rPr>
                      <w:color w:val="58595B"/>
                      <w:sz w:val="20"/>
                    </w:rPr>
                    <w:t>to advise the</w:t>
                  </w:r>
                  <w:r>
                    <w:rPr>
                      <w:color w:val="58595B"/>
                      <w:spacing w:val="-2"/>
                      <w:sz w:val="20"/>
                    </w:rPr>
                    <w:t xml:space="preserve"> </w:t>
                  </w:r>
                  <w:r>
                    <w:rPr>
                      <w:color w:val="58595B"/>
                      <w:sz w:val="20"/>
                    </w:rPr>
                    <w:t>Board.</w:t>
                  </w:r>
                </w:p>
              </w:txbxContent>
            </v:textbox>
            <w10:wrap type="topAndBottom" anchorx="page"/>
          </v:shape>
        </w:pict>
      </w:r>
      <w:r>
        <w:pict w14:anchorId="46C97911">
          <v:shape id="_x0000_s1049" type="#_x0000_t202" style="position:absolute;margin-left:70.85pt;margin-top:524.3pt;width:432.7pt;height:136.5pt;z-index:1216;mso-wrap-distance-left:0;mso-wrap-distance-right:0;mso-position-horizontal-relative:page" fillcolor="#eff6f0" stroked="f">
            <v:textbox inset="0,0,0,0">
              <w:txbxContent>
                <w:p w14:paraId="7F038E7E" w14:textId="77777777" w:rsidR="00724131" w:rsidRDefault="00823349">
                  <w:pPr>
                    <w:spacing w:before="128"/>
                    <w:ind w:left="170" w:right="232"/>
                    <w:rPr>
                      <w:b/>
                      <w:sz w:val="20"/>
                    </w:rPr>
                  </w:pPr>
                  <w:r>
                    <w:rPr>
                      <w:b/>
                      <w:color w:val="808285"/>
                      <w:sz w:val="20"/>
                    </w:rPr>
                    <w:t>RECOMMENDATION 19.2</w:t>
                  </w:r>
                </w:p>
                <w:p w14:paraId="467E6C70" w14:textId="77777777" w:rsidR="00724131" w:rsidRDefault="00823349">
                  <w:pPr>
                    <w:pStyle w:val="BodyText"/>
                    <w:spacing w:before="153" w:line="280" w:lineRule="auto"/>
                    <w:ind w:left="170" w:right="232"/>
                  </w:pPr>
                  <w:r>
                    <w:rPr>
                      <w:color w:val="58595B"/>
                    </w:rPr>
                    <w:t>Establish the Chief Executive Officer of the EPA as a legislated position under the EPA (Establishment) Act:</w:t>
                  </w:r>
                </w:p>
                <w:p w14:paraId="7B12D77B" w14:textId="77777777" w:rsidR="00724131" w:rsidRDefault="00823349">
                  <w:pPr>
                    <w:pStyle w:val="ListParagraph"/>
                    <w:numPr>
                      <w:ilvl w:val="0"/>
                      <w:numId w:val="24"/>
                    </w:numPr>
                    <w:tabs>
                      <w:tab w:val="left" w:pos="511"/>
                    </w:tabs>
                    <w:spacing w:before="172"/>
                    <w:ind w:hanging="340"/>
                    <w:rPr>
                      <w:sz w:val="20"/>
                    </w:rPr>
                  </w:pPr>
                  <w:r>
                    <w:rPr>
                      <w:color w:val="58595B"/>
                      <w:sz w:val="20"/>
                    </w:rPr>
                    <w:t>appointed by the</w:t>
                  </w:r>
                  <w:r>
                    <w:rPr>
                      <w:color w:val="58595B"/>
                      <w:spacing w:val="-3"/>
                      <w:sz w:val="20"/>
                    </w:rPr>
                    <w:t xml:space="preserve"> </w:t>
                  </w:r>
                  <w:r>
                    <w:rPr>
                      <w:color w:val="58595B"/>
                      <w:sz w:val="20"/>
                    </w:rPr>
                    <w:t>Board</w:t>
                  </w:r>
                </w:p>
                <w:p w14:paraId="1CE17EE0" w14:textId="77777777" w:rsidR="00724131" w:rsidRDefault="00724131">
                  <w:pPr>
                    <w:pStyle w:val="BodyText"/>
                    <w:spacing w:before="3"/>
                    <w:rPr>
                      <w:sz w:val="18"/>
                    </w:rPr>
                  </w:pPr>
                </w:p>
                <w:p w14:paraId="11CD0E27" w14:textId="77777777" w:rsidR="00724131" w:rsidRDefault="00823349">
                  <w:pPr>
                    <w:pStyle w:val="ListParagraph"/>
                    <w:numPr>
                      <w:ilvl w:val="0"/>
                      <w:numId w:val="24"/>
                    </w:numPr>
                    <w:tabs>
                      <w:tab w:val="left" w:pos="511"/>
                    </w:tabs>
                    <w:spacing w:before="0"/>
                    <w:ind w:hanging="340"/>
                    <w:rPr>
                      <w:sz w:val="20"/>
                    </w:rPr>
                  </w:pPr>
                  <w:r>
                    <w:rPr>
                      <w:color w:val="58595B"/>
                      <w:sz w:val="20"/>
                    </w:rPr>
                    <w:t>with applied science or engineering qualifications or</w:t>
                  </w:r>
                  <w:r>
                    <w:rPr>
                      <w:color w:val="58595B"/>
                      <w:spacing w:val="25"/>
                      <w:sz w:val="20"/>
                    </w:rPr>
                    <w:t xml:space="preserve"> </w:t>
                  </w:r>
                  <w:r>
                    <w:rPr>
                      <w:color w:val="58595B"/>
                      <w:sz w:val="20"/>
                    </w:rPr>
                    <w:t>experience</w:t>
                  </w:r>
                </w:p>
                <w:p w14:paraId="02A4992E" w14:textId="77777777" w:rsidR="00724131" w:rsidRDefault="00724131">
                  <w:pPr>
                    <w:pStyle w:val="BodyText"/>
                    <w:spacing w:before="3"/>
                    <w:rPr>
                      <w:sz w:val="18"/>
                    </w:rPr>
                  </w:pPr>
                </w:p>
                <w:p w14:paraId="7F953739" w14:textId="77777777" w:rsidR="00724131" w:rsidRDefault="00823349">
                  <w:pPr>
                    <w:pStyle w:val="ListParagraph"/>
                    <w:numPr>
                      <w:ilvl w:val="0"/>
                      <w:numId w:val="24"/>
                    </w:numPr>
                    <w:tabs>
                      <w:tab w:val="left" w:pos="511"/>
                    </w:tabs>
                    <w:spacing w:before="0" w:line="280" w:lineRule="auto"/>
                    <w:ind w:right="394" w:hanging="340"/>
                    <w:rPr>
                      <w:sz w:val="20"/>
                    </w:rPr>
                  </w:pPr>
                  <w:r>
                    <w:rPr>
                      <w:color w:val="58595B"/>
                      <w:sz w:val="20"/>
                    </w:rPr>
                    <w:t>with responsibility for regulatory and operational decision making, and for the corporate performance and administration of the EPA, including the appointment of</w:t>
                  </w:r>
                  <w:r>
                    <w:rPr>
                      <w:color w:val="58595B"/>
                      <w:spacing w:val="10"/>
                      <w:sz w:val="20"/>
                    </w:rPr>
                    <w:t xml:space="preserve"> </w:t>
                  </w:r>
                  <w:r>
                    <w:rPr>
                      <w:color w:val="58595B"/>
                      <w:sz w:val="20"/>
                    </w:rPr>
                    <w:t>staff.</w:t>
                  </w:r>
                </w:p>
              </w:txbxContent>
            </v:textbox>
            <w10:wrap type="topAndBottom" anchorx="page"/>
          </v:shape>
        </w:pict>
      </w:r>
    </w:p>
    <w:p w14:paraId="6ADCDABF" w14:textId="77777777" w:rsidR="00724131" w:rsidRDefault="00724131">
      <w:pPr>
        <w:pStyle w:val="BodyText"/>
        <w:spacing w:before="3"/>
        <w:rPr>
          <w:sz w:val="16"/>
        </w:rPr>
      </w:pPr>
    </w:p>
    <w:p w14:paraId="35C0CC58" w14:textId="77777777" w:rsidR="00724131" w:rsidRDefault="00724131">
      <w:pPr>
        <w:rPr>
          <w:sz w:val="16"/>
        </w:rPr>
        <w:sectPr w:rsidR="00724131">
          <w:headerReference w:type="even" r:id="rId17"/>
          <w:headerReference w:type="default" r:id="rId18"/>
          <w:pgSz w:w="11910" w:h="16840"/>
          <w:pgMar w:top="980" w:right="1680" w:bottom="280" w:left="0" w:header="788" w:footer="0" w:gutter="0"/>
          <w:cols w:space="720"/>
        </w:sectPr>
      </w:pPr>
    </w:p>
    <w:p w14:paraId="406C28A8" w14:textId="77777777" w:rsidR="00724131" w:rsidRDefault="00724131">
      <w:pPr>
        <w:pStyle w:val="BodyText"/>
      </w:pPr>
    </w:p>
    <w:p w14:paraId="106082F6" w14:textId="77777777" w:rsidR="00724131" w:rsidRDefault="00724131">
      <w:pPr>
        <w:pStyle w:val="BodyText"/>
      </w:pPr>
    </w:p>
    <w:p w14:paraId="618CC73F" w14:textId="77777777" w:rsidR="00724131" w:rsidRDefault="00724131">
      <w:pPr>
        <w:pStyle w:val="BodyText"/>
      </w:pPr>
    </w:p>
    <w:p w14:paraId="70C49858" w14:textId="77777777" w:rsidR="00724131" w:rsidRDefault="00724131">
      <w:pPr>
        <w:pStyle w:val="BodyText"/>
      </w:pPr>
    </w:p>
    <w:p w14:paraId="41156DB7" w14:textId="77777777" w:rsidR="00724131" w:rsidRDefault="00724131">
      <w:pPr>
        <w:pStyle w:val="BodyText"/>
        <w:spacing w:before="4"/>
        <w:rPr>
          <w:sz w:val="13"/>
        </w:rPr>
      </w:pPr>
    </w:p>
    <w:p w14:paraId="6E1EE829" w14:textId="77777777" w:rsidR="00724131" w:rsidRDefault="00054426">
      <w:pPr>
        <w:pStyle w:val="BodyText"/>
        <w:spacing w:line="20" w:lineRule="exact"/>
        <w:ind w:left="129"/>
        <w:rPr>
          <w:sz w:val="2"/>
        </w:rPr>
      </w:pPr>
      <w:r>
        <w:rPr>
          <w:sz w:val="2"/>
        </w:rPr>
      </w:r>
      <w:r>
        <w:rPr>
          <w:sz w:val="2"/>
        </w:rPr>
        <w:pict w14:anchorId="5487A084">
          <v:group id="_x0000_s1047" style="width:434.25pt;height:.5pt;mso-position-horizontal-relative:char;mso-position-vertical-relative:line" coordsize="8685,10">
            <v:line id="_x0000_s1048" style="position:absolute" from="5,5" to="8679,5" strokecolor="#58595b" strokeweight=".5pt"/>
            <w10:wrap type="none"/>
            <w10:anchorlock/>
          </v:group>
        </w:pict>
      </w:r>
    </w:p>
    <w:p w14:paraId="32BD4F34" w14:textId="77777777" w:rsidR="00724131" w:rsidRDefault="00724131">
      <w:pPr>
        <w:spacing w:line="20" w:lineRule="exact"/>
        <w:rPr>
          <w:sz w:val="2"/>
        </w:rPr>
        <w:sectPr w:rsidR="00724131">
          <w:pgSz w:w="11910" w:h="16840"/>
          <w:pgMar w:top="980" w:right="0" w:bottom="280" w:left="1680" w:header="788" w:footer="0" w:gutter="0"/>
          <w:cols w:space="720"/>
        </w:sectPr>
      </w:pPr>
    </w:p>
    <w:p w14:paraId="23943D5B" w14:textId="77777777" w:rsidR="00724131" w:rsidRDefault="00823349">
      <w:pPr>
        <w:pStyle w:val="ListParagraph"/>
        <w:numPr>
          <w:ilvl w:val="0"/>
          <w:numId w:val="23"/>
        </w:numPr>
        <w:tabs>
          <w:tab w:val="left" w:pos="418"/>
        </w:tabs>
        <w:spacing w:before="47" w:line="242" w:lineRule="auto"/>
        <w:ind w:right="371" w:hanging="283"/>
        <w:rPr>
          <w:sz w:val="12"/>
        </w:rPr>
      </w:pPr>
      <w:r>
        <w:rPr>
          <w:color w:val="58595B"/>
          <w:sz w:val="12"/>
        </w:rPr>
        <w:lastRenderedPageBreak/>
        <w:t xml:space="preserve">OECD 2014, </w:t>
      </w:r>
      <w:r>
        <w:rPr>
          <w:i/>
          <w:color w:val="58595B"/>
          <w:sz w:val="12"/>
        </w:rPr>
        <w:t>The governance of regulators</w:t>
      </w:r>
      <w:r>
        <w:rPr>
          <w:color w:val="58595B"/>
          <w:sz w:val="12"/>
        </w:rPr>
        <w:t xml:space="preserve">, OECD Best Practice Principles for Regulatory Policy, OECD Publishing, p.  </w:t>
      </w:r>
      <w:r>
        <w:rPr>
          <w:color w:val="58595B"/>
          <w:spacing w:val="4"/>
          <w:sz w:val="12"/>
        </w:rPr>
        <w:t xml:space="preserve"> </w:t>
      </w:r>
      <w:r>
        <w:rPr>
          <w:color w:val="58595B"/>
          <w:spacing w:val="-5"/>
          <w:sz w:val="12"/>
        </w:rPr>
        <w:t>17.</w:t>
      </w:r>
    </w:p>
    <w:p w14:paraId="0902A022" w14:textId="210C1190" w:rsidR="00724131" w:rsidRDefault="00823349">
      <w:pPr>
        <w:pStyle w:val="ListParagraph"/>
        <w:numPr>
          <w:ilvl w:val="0"/>
          <w:numId w:val="23"/>
        </w:numPr>
        <w:tabs>
          <w:tab w:val="left" w:pos="418"/>
        </w:tabs>
        <w:spacing w:before="29" w:line="242" w:lineRule="auto"/>
        <w:ind w:right="268" w:hanging="283"/>
        <w:rPr>
          <w:sz w:val="12"/>
        </w:rPr>
      </w:pPr>
      <w:r>
        <w:rPr>
          <w:color w:val="58595B"/>
          <w:sz w:val="12"/>
        </w:rPr>
        <w:t xml:space="preserve">OECD 2014, </w:t>
      </w:r>
      <w:r>
        <w:rPr>
          <w:i/>
          <w:color w:val="58595B"/>
          <w:sz w:val="12"/>
        </w:rPr>
        <w:t>The governance of regulators</w:t>
      </w:r>
      <w:r>
        <w:rPr>
          <w:color w:val="58595B"/>
          <w:sz w:val="12"/>
        </w:rPr>
        <w:t xml:space="preserve">, OECD Best Practice Principles for Regulatory Policy, OECD Publishing; Government of </w:t>
      </w:r>
      <w:r>
        <w:rPr>
          <w:color w:val="58595B"/>
          <w:spacing w:val="2"/>
          <w:sz w:val="12"/>
        </w:rPr>
        <w:t xml:space="preserve">Victoria </w:t>
      </w:r>
      <w:r>
        <w:rPr>
          <w:color w:val="58595B"/>
          <w:sz w:val="12"/>
        </w:rPr>
        <w:t xml:space="preserve">2010, </w:t>
      </w:r>
      <w:r>
        <w:rPr>
          <w:i/>
          <w:color w:val="58595B"/>
          <w:sz w:val="12"/>
        </w:rPr>
        <w:t>Improving governance of regulators: principles and guidelines</w:t>
      </w:r>
      <w:r>
        <w:rPr>
          <w:color w:val="58595B"/>
          <w:sz w:val="12"/>
        </w:rPr>
        <w:t>, Melbourne.</w:t>
      </w:r>
    </w:p>
    <w:p w14:paraId="44C5E42F" w14:textId="2E8EB9D9" w:rsidR="00724131" w:rsidRDefault="00823349">
      <w:pPr>
        <w:pStyle w:val="ListParagraph"/>
        <w:numPr>
          <w:ilvl w:val="0"/>
          <w:numId w:val="23"/>
        </w:numPr>
        <w:tabs>
          <w:tab w:val="left" w:pos="418"/>
        </w:tabs>
        <w:spacing w:before="29" w:line="242" w:lineRule="auto"/>
        <w:ind w:right="24" w:hanging="283"/>
        <w:rPr>
          <w:sz w:val="12"/>
        </w:rPr>
      </w:pPr>
      <w:r>
        <w:rPr>
          <w:color w:val="58595B"/>
          <w:sz w:val="12"/>
        </w:rPr>
        <w:t xml:space="preserve">For example, </w:t>
      </w:r>
      <w:r>
        <w:rPr>
          <w:color w:val="58595B"/>
          <w:spacing w:val="2"/>
          <w:sz w:val="12"/>
        </w:rPr>
        <w:t xml:space="preserve">Victorian </w:t>
      </w:r>
      <w:r>
        <w:rPr>
          <w:color w:val="58595B"/>
          <w:sz w:val="12"/>
        </w:rPr>
        <w:t xml:space="preserve">Auditor-General’s </w:t>
      </w:r>
      <w:r>
        <w:rPr>
          <w:color w:val="58595B"/>
          <w:spacing w:val="3"/>
          <w:sz w:val="12"/>
        </w:rPr>
        <w:t xml:space="preserve">Office, </w:t>
      </w:r>
      <w:r>
        <w:rPr>
          <w:color w:val="58595B"/>
          <w:sz w:val="12"/>
        </w:rPr>
        <w:t xml:space="preserve">Ombudsman </w:t>
      </w:r>
      <w:r>
        <w:rPr>
          <w:color w:val="58595B"/>
          <w:spacing w:val="2"/>
          <w:sz w:val="12"/>
        </w:rPr>
        <w:t xml:space="preserve">Victoria, Victorian </w:t>
      </w:r>
      <w:r>
        <w:rPr>
          <w:color w:val="58595B"/>
          <w:sz w:val="12"/>
        </w:rPr>
        <w:t xml:space="preserve">Commissioner for Privacy and Data Protection, </w:t>
      </w:r>
      <w:r>
        <w:rPr>
          <w:color w:val="58595B"/>
          <w:spacing w:val="2"/>
          <w:sz w:val="12"/>
        </w:rPr>
        <w:t xml:space="preserve">Victorian </w:t>
      </w:r>
      <w:r w:rsidR="00371CFF">
        <w:rPr>
          <w:color w:val="58595B"/>
          <w:sz w:val="12"/>
        </w:rPr>
        <w:t xml:space="preserve">Public </w:t>
      </w:r>
      <w:r>
        <w:rPr>
          <w:color w:val="58595B"/>
          <w:sz w:val="12"/>
        </w:rPr>
        <w:t>Sector</w:t>
      </w:r>
      <w:r>
        <w:rPr>
          <w:color w:val="58595B"/>
          <w:spacing w:val="3"/>
          <w:sz w:val="12"/>
        </w:rPr>
        <w:t xml:space="preserve"> </w:t>
      </w:r>
      <w:r>
        <w:rPr>
          <w:color w:val="58595B"/>
          <w:sz w:val="12"/>
        </w:rPr>
        <w:t>Commissioner.</w:t>
      </w:r>
    </w:p>
    <w:p w14:paraId="76CFC2E0" w14:textId="19FC8E2E" w:rsidR="00724131" w:rsidRDefault="00823349">
      <w:pPr>
        <w:pStyle w:val="ListParagraph"/>
        <w:numPr>
          <w:ilvl w:val="0"/>
          <w:numId w:val="23"/>
        </w:numPr>
        <w:tabs>
          <w:tab w:val="left" w:pos="418"/>
        </w:tabs>
        <w:spacing w:before="29" w:line="242" w:lineRule="auto"/>
        <w:ind w:right="95" w:hanging="283"/>
        <w:rPr>
          <w:sz w:val="12"/>
        </w:rPr>
      </w:pPr>
      <w:r>
        <w:rPr>
          <w:color w:val="58595B"/>
          <w:sz w:val="12"/>
        </w:rPr>
        <w:t xml:space="preserve">Under the </w:t>
      </w:r>
      <w:r>
        <w:rPr>
          <w:i/>
          <w:color w:val="58595B"/>
          <w:sz w:val="12"/>
        </w:rPr>
        <w:t xml:space="preserve">Public Administration Act </w:t>
      </w:r>
      <w:r>
        <w:rPr>
          <w:i/>
          <w:color w:val="58595B"/>
          <w:spacing w:val="3"/>
          <w:sz w:val="12"/>
        </w:rPr>
        <w:t xml:space="preserve">2004 </w:t>
      </w:r>
      <w:r w:rsidR="002E245C">
        <w:rPr>
          <w:color w:val="58595B"/>
          <w:sz w:val="12"/>
        </w:rPr>
        <w:t xml:space="preserve">and the Public Sector Code </w:t>
      </w:r>
      <w:r>
        <w:rPr>
          <w:color w:val="58595B"/>
          <w:sz w:val="12"/>
        </w:rPr>
        <w:t>of</w:t>
      </w:r>
      <w:r>
        <w:rPr>
          <w:color w:val="58595B"/>
          <w:spacing w:val="16"/>
          <w:sz w:val="12"/>
        </w:rPr>
        <w:t xml:space="preserve"> </w:t>
      </w:r>
      <w:r>
        <w:rPr>
          <w:color w:val="58595B"/>
          <w:sz w:val="12"/>
        </w:rPr>
        <w:t>Conduct.</w:t>
      </w:r>
    </w:p>
    <w:p w14:paraId="1B74097B" w14:textId="670A88F1" w:rsidR="00724131" w:rsidRDefault="00823349">
      <w:pPr>
        <w:pStyle w:val="ListParagraph"/>
        <w:numPr>
          <w:ilvl w:val="0"/>
          <w:numId w:val="23"/>
        </w:numPr>
        <w:tabs>
          <w:tab w:val="left" w:pos="418"/>
        </w:tabs>
        <w:spacing w:before="29" w:line="242" w:lineRule="auto"/>
        <w:ind w:right="103" w:hanging="283"/>
        <w:rPr>
          <w:sz w:val="12"/>
        </w:rPr>
      </w:pPr>
      <w:r>
        <w:rPr>
          <w:color w:val="58595B"/>
          <w:sz w:val="12"/>
        </w:rPr>
        <w:t xml:space="preserve">Under the </w:t>
      </w:r>
      <w:r>
        <w:rPr>
          <w:i/>
          <w:color w:val="58595B"/>
          <w:sz w:val="12"/>
        </w:rPr>
        <w:t>Financial Management Act 1994</w:t>
      </w:r>
      <w:r>
        <w:rPr>
          <w:color w:val="58595B"/>
          <w:sz w:val="12"/>
        </w:rPr>
        <w:t xml:space="preserve">, standing directions of the Minister for Finance and the </w:t>
      </w:r>
      <w:r>
        <w:rPr>
          <w:i/>
          <w:color w:val="58595B"/>
          <w:sz w:val="12"/>
        </w:rPr>
        <w:t>Audit Act 1994</w:t>
      </w:r>
      <w:r>
        <w:rPr>
          <w:color w:val="58595B"/>
          <w:sz w:val="12"/>
        </w:rPr>
        <w:t>.</w:t>
      </w:r>
    </w:p>
    <w:p w14:paraId="4D9C8222" w14:textId="1A347845" w:rsidR="00724131" w:rsidRDefault="00823349">
      <w:pPr>
        <w:pStyle w:val="ListParagraph"/>
        <w:numPr>
          <w:ilvl w:val="0"/>
          <w:numId w:val="23"/>
        </w:numPr>
        <w:tabs>
          <w:tab w:val="left" w:pos="418"/>
        </w:tabs>
        <w:spacing w:before="29" w:line="242" w:lineRule="auto"/>
        <w:ind w:right="167" w:hanging="283"/>
        <w:rPr>
          <w:sz w:val="12"/>
        </w:rPr>
      </w:pPr>
      <w:r>
        <w:rPr>
          <w:color w:val="58595B"/>
          <w:sz w:val="12"/>
        </w:rPr>
        <w:t xml:space="preserve">For example, </w:t>
      </w:r>
      <w:r>
        <w:rPr>
          <w:i/>
          <w:color w:val="58595B"/>
          <w:sz w:val="12"/>
        </w:rPr>
        <w:t>Public Records Act 1973</w:t>
      </w:r>
      <w:r>
        <w:rPr>
          <w:color w:val="58595B"/>
          <w:sz w:val="12"/>
        </w:rPr>
        <w:t xml:space="preserve">, </w:t>
      </w:r>
      <w:r>
        <w:rPr>
          <w:i/>
          <w:color w:val="58595B"/>
          <w:sz w:val="12"/>
        </w:rPr>
        <w:t>Freedom of Information Act 1982</w:t>
      </w:r>
      <w:r>
        <w:rPr>
          <w:color w:val="58595B"/>
          <w:sz w:val="12"/>
        </w:rPr>
        <w:t xml:space="preserve">, </w:t>
      </w:r>
      <w:r>
        <w:rPr>
          <w:i/>
          <w:color w:val="58595B"/>
          <w:sz w:val="12"/>
        </w:rPr>
        <w:t>Protected Disclosure Act 2012</w:t>
      </w:r>
      <w:r>
        <w:rPr>
          <w:color w:val="58595B"/>
          <w:sz w:val="12"/>
        </w:rPr>
        <w:t xml:space="preserve">, </w:t>
      </w:r>
      <w:r>
        <w:rPr>
          <w:i/>
          <w:color w:val="58595B"/>
          <w:sz w:val="12"/>
        </w:rPr>
        <w:t xml:space="preserve">Equal </w:t>
      </w:r>
      <w:r>
        <w:rPr>
          <w:i/>
          <w:color w:val="58595B"/>
          <w:spacing w:val="2"/>
          <w:sz w:val="12"/>
        </w:rPr>
        <w:t xml:space="preserve">Opportunity </w:t>
      </w:r>
      <w:r>
        <w:rPr>
          <w:i/>
          <w:color w:val="58595B"/>
          <w:sz w:val="12"/>
        </w:rPr>
        <w:t>Act 2010</w:t>
      </w:r>
      <w:r>
        <w:rPr>
          <w:color w:val="58595B"/>
          <w:sz w:val="12"/>
        </w:rPr>
        <w:t xml:space="preserve">, </w:t>
      </w:r>
      <w:r>
        <w:rPr>
          <w:i/>
          <w:color w:val="58595B"/>
          <w:sz w:val="12"/>
        </w:rPr>
        <w:t xml:space="preserve">Occupational Health and Safety Act </w:t>
      </w:r>
      <w:r>
        <w:rPr>
          <w:i/>
          <w:color w:val="58595B"/>
          <w:spacing w:val="3"/>
          <w:sz w:val="12"/>
        </w:rPr>
        <w:t xml:space="preserve">2004 </w:t>
      </w:r>
      <w:r>
        <w:rPr>
          <w:color w:val="58595B"/>
          <w:sz w:val="12"/>
        </w:rPr>
        <w:t xml:space="preserve">and the </w:t>
      </w:r>
      <w:r>
        <w:rPr>
          <w:i/>
          <w:color w:val="58595B"/>
          <w:spacing w:val="2"/>
          <w:sz w:val="12"/>
        </w:rPr>
        <w:t xml:space="preserve">Charter </w:t>
      </w:r>
      <w:r>
        <w:rPr>
          <w:i/>
          <w:color w:val="58595B"/>
          <w:sz w:val="12"/>
        </w:rPr>
        <w:t xml:space="preserve">of Human Rights and Responsibilities Act </w:t>
      </w:r>
      <w:r>
        <w:rPr>
          <w:i/>
          <w:color w:val="58595B"/>
          <w:spacing w:val="2"/>
          <w:sz w:val="12"/>
        </w:rPr>
        <w:t>2006</w:t>
      </w:r>
      <w:r>
        <w:rPr>
          <w:color w:val="58595B"/>
          <w:spacing w:val="2"/>
          <w:sz w:val="12"/>
        </w:rPr>
        <w:t>.</w:t>
      </w:r>
    </w:p>
    <w:p w14:paraId="08393303" w14:textId="69F6A610" w:rsidR="00724131" w:rsidRDefault="00823349">
      <w:pPr>
        <w:pStyle w:val="ListParagraph"/>
        <w:numPr>
          <w:ilvl w:val="0"/>
          <w:numId w:val="23"/>
        </w:numPr>
        <w:tabs>
          <w:tab w:val="left" w:pos="418"/>
        </w:tabs>
        <w:spacing w:before="29" w:line="242" w:lineRule="auto"/>
        <w:ind w:right="91" w:hanging="283"/>
        <w:rPr>
          <w:sz w:val="12"/>
        </w:rPr>
      </w:pPr>
      <w:r>
        <w:rPr>
          <w:color w:val="58595B"/>
          <w:spacing w:val="2"/>
          <w:sz w:val="12"/>
        </w:rPr>
        <w:t xml:space="preserve">Victorian </w:t>
      </w:r>
      <w:r>
        <w:rPr>
          <w:color w:val="58595B"/>
          <w:sz w:val="12"/>
        </w:rPr>
        <w:t xml:space="preserve">Public </w:t>
      </w:r>
      <w:r>
        <w:rPr>
          <w:color w:val="58595B"/>
          <w:spacing w:val="2"/>
          <w:sz w:val="12"/>
        </w:rPr>
        <w:t xml:space="preserve">Service </w:t>
      </w:r>
      <w:r>
        <w:rPr>
          <w:color w:val="58595B"/>
          <w:sz w:val="12"/>
        </w:rPr>
        <w:t>Commission</w:t>
      </w:r>
      <w:hyperlink r:id="rId19">
        <w:r>
          <w:rPr>
            <w:color w:val="58595B"/>
            <w:sz w:val="12"/>
          </w:rPr>
          <w:t>, http://vpsc.vic.gov.au/,</w:t>
        </w:r>
      </w:hyperlink>
      <w:r>
        <w:rPr>
          <w:color w:val="58595B"/>
          <w:sz w:val="12"/>
        </w:rPr>
        <w:t xml:space="preserve"> for example, </w:t>
      </w:r>
      <w:r>
        <w:rPr>
          <w:color w:val="58595B"/>
          <w:spacing w:val="2"/>
          <w:sz w:val="12"/>
        </w:rPr>
        <w:t xml:space="preserve">Gifts, Benefits </w:t>
      </w:r>
      <w:r>
        <w:rPr>
          <w:color w:val="58595B"/>
          <w:sz w:val="12"/>
        </w:rPr>
        <w:t xml:space="preserve">and </w:t>
      </w:r>
      <w:r>
        <w:rPr>
          <w:color w:val="58595B"/>
          <w:spacing w:val="2"/>
          <w:sz w:val="12"/>
        </w:rPr>
        <w:t xml:space="preserve">Hospitality </w:t>
      </w:r>
      <w:r>
        <w:rPr>
          <w:color w:val="58595B"/>
          <w:sz w:val="12"/>
        </w:rPr>
        <w:t xml:space="preserve">Policy; </w:t>
      </w:r>
      <w:r>
        <w:rPr>
          <w:color w:val="58595B"/>
          <w:spacing w:val="2"/>
          <w:sz w:val="12"/>
        </w:rPr>
        <w:t xml:space="preserve">Victorian </w:t>
      </w:r>
      <w:r>
        <w:rPr>
          <w:color w:val="58595B"/>
          <w:sz w:val="12"/>
        </w:rPr>
        <w:t xml:space="preserve">Government Risk Management Framework, </w:t>
      </w:r>
      <w:r>
        <w:rPr>
          <w:color w:val="58595B"/>
          <w:spacing w:val="2"/>
          <w:sz w:val="12"/>
        </w:rPr>
        <w:t xml:space="preserve">Conflict </w:t>
      </w:r>
      <w:r>
        <w:rPr>
          <w:color w:val="58595B"/>
          <w:sz w:val="12"/>
        </w:rPr>
        <w:t>of Interest Policy; Policy on Executive Remuneration for Public Entities.</w:t>
      </w:r>
    </w:p>
    <w:p w14:paraId="1566B9B5" w14:textId="364D9A17" w:rsidR="00724131" w:rsidRDefault="00823349">
      <w:pPr>
        <w:pStyle w:val="ListParagraph"/>
        <w:numPr>
          <w:ilvl w:val="0"/>
          <w:numId w:val="23"/>
        </w:numPr>
        <w:tabs>
          <w:tab w:val="left" w:pos="418"/>
        </w:tabs>
        <w:spacing w:before="29" w:line="242" w:lineRule="auto"/>
        <w:ind w:right="268" w:hanging="283"/>
        <w:rPr>
          <w:sz w:val="12"/>
        </w:rPr>
      </w:pPr>
      <w:r>
        <w:rPr>
          <w:color w:val="58595B"/>
          <w:sz w:val="12"/>
        </w:rPr>
        <w:t xml:space="preserve">OECD 2014, </w:t>
      </w:r>
      <w:r>
        <w:rPr>
          <w:i/>
          <w:color w:val="58595B"/>
          <w:sz w:val="12"/>
        </w:rPr>
        <w:t>The governance of regulators</w:t>
      </w:r>
      <w:r>
        <w:rPr>
          <w:color w:val="58595B"/>
          <w:sz w:val="12"/>
        </w:rPr>
        <w:t xml:space="preserve">, OECD Best Practice Principles for Regulatory Policy, OECD Publishing; Government of </w:t>
      </w:r>
      <w:r>
        <w:rPr>
          <w:color w:val="58595B"/>
          <w:spacing w:val="2"/>
          <w:sz w:val="12"/>
        </w:rPr>
        <w:t xml:space="preserve">Victoria </w:t>
      </w:r>
      <w:r>
        <w:rPr>
          <w:color w:val="58595B"/>
          <w:sz w:val="12"/>
        </w:rPr>
        <w:t xml:space="preserve">2010, </w:t>
      </w:r>
      <w:r>
        <w:rPr>
          <w:i/>
          <w:color w:val="58595B"/>
          <w:sz w:val="12"/>
        </w:rPr>
        <w:t>Improving governance of regulators: principles and guidelines</w:t>
      </w:r>
      <w:r>
        <w:rPr>
          <w:color w:val="58595B"/>
          <w:sz w:val="12"/>
        </w:rPr>
        <w:t>, Melbourne.</w:t>
      </w:r>
    </w:p>
    <w:p w14:paraId="20EF1066" w14:textId="77777777" w:rsidR="00724131" w:rsidRDefault="00823349">
      <w:pPr>
        <w:pStyle w:val="ListParagraph"/>
        <w:numPr>
          <w:ilvl w:val="0"/>
          <w:numId w:val="23"/>
        </w:numPr>
        <w:tabs>
          <w:tab w:val="left" w:pos="418"/>
        </w:tabs>
        <w:spacing w:before="29" w:line="242" w:lineRule="auto"/>
        <w:ind w:right="120" w:hanging="283"/>
        <w:rPr>
          <w:sz w:val="12"/>
        </w:rPr>
      </w:pPr>
      <w:r>
        <w:rPr>
          <w:color w:val="58595B"/>
          <w:sz w:val="12"/>
        </w:rPr>
        <w:t xml:space="preserve">OECD 2014, </w:t>
      </w:r>
      <w:r>
        <w:rPr>
          <w:i/>
          <w:color w:val="58595B"/>
          <w:sz w:val="12"/>
        </w:rPr>
        <w:t>The governance of regulators</w:t>
      </w:r>
      <w:r>
        <w:rPr>
          <w:color w:val="58595B"/>
          <w:sz w:val="12"/>
        </w:rPr>
        <w:t xml:space="preserve">, OECD Best Practice Principles for Regulatory Policy, OECD Publishing, p. 15; </w:t>
      </w:r>
      <w:r>
        <w:rPr>
          <w:color w:val="58595B"/>
          <w:spacing w:val="2"/>
          <w:sz w:val="12"/>
        </w:rPr>
        <w:t xml:space="preserve">Victorian </w:t>
      </w:r>
      <w:r>
        <w:rPr>
          <w:color w:val="58595B"/>
          <w:sz w:val="12"/>
        </w:rPr>
        <w:t xml:space="preserve">Government 2010, </w:t>
      </w:r>
      <w:r>
        <w:rPr>
          <w:i/>
          <w:color w:val="58595B"/>
          <w:sz w:val="12"/>
        </w:rPr>
        <w:t>Improving governance of regulators: principles and guidelines</w:t>
      </w:r>
      <w:r>
        <w:rPr>
          <w:color w:val="58595B"/>
          <w:sz w:val="12"/>
        </w:rPr>
        <w:t>, Melbourne, p.</w:t>
      </w:r>
      <w:r>
        <w:rPr>
          <w:color w:val="58595B"/>
          <w:spacing w:val="-2"/>
          <w:sz w:val="12"/>
        </w:rPr>
        <w:t xml:space="preserve"> </w:t>
      </w:r>
      <w:r>
        <w:rPr>
          <w:color w:val="58595B"/>
          <w:sz w:val="12"/>
        </w:rPr>
        <w:t>1.</w:t>
      </w:r>
    </w:p>
    <w:p w14:paraId="0E54E303" w14:textId="77777777" w:rsidR="00724131" w:rsidRDefault="00823349">
      <w:pPr>
        <w:pStyle w:val="ListParagraph"/>
        <w:numPr>
          <w:ilvl w:val="0"/>
          <w:numId w:val="23"/>
        </w:numPr>
        <w:tabs>
          <w:tab w:val="left" w:pos="418"/>
        </w:tabs>
        <w:spacing w:before="29" w:line="242" w:lineRule="auto"/>
        <w:ind w:right="79" w:hanging="283"/>
        <w:rPr>
          <w:sz w:val="12"/>
        </w:rPr>
      </w:pPr>
      <w:r>
        <w:rPr>
          <w:color w:val="58595B"/>
          <w:sz w:val="12"/>
        </w:rPr>
        <w:t xml:space="preserve">The Strategy Shop 2015, </w:t>
      </w:r>
      <w:r>
        <w:rPr>
          <w:i/>
          <w:color w:val="58595B"/>
          <w:spacing w:val="2"/>
          <w:sz w:val="12"/>
        </w:rPr>
        <w:t xml:space="preserve">Report </w:t>
      </w:r>
      <w:r>
        <w:rPr>
          <w:i/>
          <w:color w:val="58595B"/>
          <w:sz w:val="12"/>
        </w:rPr>
        <w:t>on submissions to 2015 EPA Inquiry</w:t>
      </w:r>
      <w:r>
        <w:rPr>
          <w:color w:val="58595B"/>
          <w:sz w:val="12"/>
        </w:rPr>
        <w:t>, Melbourne, December, p.</w:t>
      </w:r>
      <w:r>
        <w:rPr>
          <w:color w:val="58595B"/>
          <w:spacing w:val="32"/>
          <w:sz w:val="12"/>
        </w:rPr>
        <w:t xml:space="preserve"> </w:t>
      </w:r>
      <w:r>
        <w:rPr>
          <w:color w:val="58595B"/>
          <w:spacing w:val="2"/>
          <w:sz w:val="12"/>
        </w:rPr>
        <w:t>68.</w:t>
      </w:r>
    </w:p>
    <w:p w14:paraId="6995A847" w14:textId="347C7986" w:rsidR="00724131" w:rsidRDefault="00823349">
      <w:pPr>
        <w:pStyle w:val="ListParagraph"/>
        <w:numPr>
          <w:ilvl w:val="0"/>
          <w:numId w:val="23"/>
        </w:numPr>
        <w:tabs>
          <w:tab w:val="left" w:pos="418"/>
        </w:tabs>
        <w:spacing w:before="29"/>
        <w:ind w:hanging="283"/>
        <w:rPr>
          <w:sz w:val="12"/>
        </w:rPr>
      </w:pPr>
      <w:r>
        <w:rPr>
          <w:color w:val="58595B"/>
          <w:sz w:val="12"/>
        </w:rPr>
        <w:t xml:space="preserve">Section 8, </w:t>
      </w:r>
      <w:r>
        <w:rPr>
          <w:i/>
          <w:color w:val="58595B"/>
          <w:sz w:val="12"/>
        </w:rPr>
        <w:t>Environment Protection Act 1970</w:t>
      </w:r>
      <w:r>
        <w:rPr>
          <w:color w:val="58595B"/>
          <w:sz w:val="12"/>
        </w:rPr>
        <w:t>.</w:t>
      </w:r>
    </w:p>
    <w:p w14:paraId="2D65A2DB" w14:textId="77777777" w:rsidR="00724131" w:rsidRDefault="00823349">
      <w:pPr>
        <w:pStyle w:val="ListParagraph"/>
        <w:numPr>
          <w:ilvl w:val="0"/>
          <w:numId w:val="23"/>
        </w:numPr>
        <w:tabs>
          <w:tab w:val="left" w:pos="418"/>
        </w:tabs>
        <w:spacing w:before="30" w:line="242" w:lineRule="auto"/>
        <w:ind w:right="417" w:hanging="283"/>
        <w:rPr>
          <w:sz w:val="12"/>
        </w:rPr>
      </w:pPr>
      <w:r>
        <w:rPr>
          <w:color w:val="58595B"/>
          <w:sz w:val="12"/>
        </w:rPr>
        <w:t xml:space="preserve">EPA </w:t>
      </w:r>
      <w:r>
        <w:rPr>
          <w:color w:val="58595B"/>
          <w:spacing w:val="2"/>
          <w:sz w:val="12"/>
        </w:rPr>
        <w:t xml:space="preserve">Victoria </w:t>
      </w:r>
      <w:r>
        <w:rPr>
          <w:color w:val="58595B"/>
          <w:sz w:val="12"/>
        </w:rPr>
        <w:t xml:space="preserve">2015, </w:t>
      </w:r>
      <w:r>
        <w:rPr>
          <w:i/>
          <w:color w:val="58595B"/>
          <w:sz w:val="12"/>
        </w:rPr>
        <w:t>EPA Governance Charter</w:t>
      </w:r>
      <w:r>
        <w:rPr>
          <w:color w:val="58595B"/>
          <w:sz w:val="12"/>
        </w:rPr>
        <w:t>, Melbourne, June, pp.</w:t>
      </w:r>
      <w:r>
        <w:rPr>
          <w:color w:val="58595B"/>
          <w:spacing w:val="-3"/>
          <w:sz w:val="12"/>
        </w:rPr>
        <w:t xml:space="preserve"> </w:t>
      </w:r>
      <w:r>
        <w:rPr>
          <w:color w:val="58595B"/>
          <w:sz w:val="12"/>
        </w:rPr>
        <w:t>6–11.</w:t>
      </w:r>
    </w:p>
    <w:p w14:paraId="2F257716" w14:textId="77777777" w:rsidR="00724131" w:rsidRDefault="00823349">
      <w:pPr>
        <w:pStyle w:val="ListParagraph"/>
        <w:numPr>
          <w:ilvl w:val="0"/>
          <w:numId w:val="23"/>
        </w:numPr>
        <w:tabs>
          <w:tab w:val="left" w:pos="418"/>
        </w:tabs>
        <w:spacing w:before="29"/>
        <w:ind w:hanging="283"/>
        <w:rPr>
          <w:sz w:val="12"/>
        </w:rPr>
      </w:pPr>
      <w:r>
        <w:rPr>
          <w:color w:val="58595B"/>
          <w:sz w:val="12"/>
        </w:rPr>
        <w:t xml:space="preserve">EPA </w:t>
      </w:r>
      <w:r>
        <w:rPr>
          <w:color w:val="58595B"/>
          <w:spacing w:val="2"/>
          <w:sz w:val="12"/>
        </w:rPr>
        <w:t xml:space="preserve">Victoria </w:t>
      </w:r>
      <w:r>
        <w:rPr>
          <w:color w:val="58595B"/>
          <w:sz w:val="12"/>
        </w:rPr>
        <w:t xml:space="preserve">2015, </w:t>
      </w:r>
      <w:r>
        <w:rPr>
          <w:i/>
          <w:color w:val="58595B"/>
          <w:sz w:val="12"/>
        </w:rPr>
        <w:t>EPA Governance Charter</w:t>
      </w:r>
      <w:r>
        <w:rPr>
          <w:color w:val="58595B"/>
          <w:sz w:val="12"/>
        </w:rPr>
        <w:t xml:space="preserve">, Melbourne, June p. </w:t>
      </w:r>
      <w:r>
        <w:rPr>
          <w:color w:val="58595B"/>
          <w:spacing w:val="15"/>
          <w:sz w:val="12"/>
        </w:rPr>
        <w:t xml:space="preserve"> </w:t>
      </w:r>
      <w:r>
        <w:rPr>
          <w:color w:val="58595B"/>
          <w:sz w:val="12"/>
        </w:rPr>
        <w:t>6.</w:t>
      </w:r>
    </w:p>
    <w:p w14:paraId="4B56646D" w14:textId="77777777" w:rsidR="00724131" w:rsidRDefault="00823349">
      <w:pPr>
        <w:pStyle w:val="ListParagraph"/>
        <w:numPr>
          <w:ilvl w:val="0"/>
          <w:numId w:val="23"/>
        </w:numPr>
        <w:tabs>
          <w:tab w:val="left" w:pos="418"/>
        </w:tabs>
        <w:spacing w:before="30" w:line="242" w:lineRule="auto"/>
        <w:ind w:right="371" w:hanging="283"/>
        <w:rPr>
          <w:sz w:val="12"/>
        </w:rPr>
      </w:pPr>
      <w:r>
        <w:rPr>
          <w:color w:val="58595B"/>
          <w:sz w:val="12"/>
        </w:rPr>
        <w:t xml:space="preserve">OECD 2014, </w:t>
      </w:r>
      <w:r>
        <w:rPr>
          <w:i/>
          <w:color w:val="58595B"/>
          <w:sz w:val="12"/>
        </w:rPr>
        <w:t>The governance of regulators</w:t>
      </w:r>
      <w:r>
        <w:rPr>
          <w:color w:val="58595B"/>
          <w:sz w:val="12"/>
        </w:rPr>
        <w:t xml:space="preserve">, OECD Best Practice Principles for Regulatory Policy, OECD Publishing, p.  </w:t>
      </w:r>
      <w:r>
        <w:rPr>
          <w:color w:val="58595B"/>
          <w:spacing w:val="5"/>
          <w:sz w:val="12"/>
        </w:rPr>
        <w:t xml:space="preserve"> </w:t>
      </w:r>
      <w:r>
        <w:rPr>
          <w:color w:val="58595B"/>
          <w:sz w:val="12"/>
        </w:rPr>
        <w:t>16.</w:t>
      </w:r>
    </w:p>
    <w:p w14:paraId="4C5796D8" w14:textId="7BAD7656" w:rsidR="00724131" w:rsidRDefault="00823349">
      <w:pPr>
        <w:pStyle w:val="ListParagraph"/>
        <w:numPr>
          <w:ilvl w:val="0"/>
          <w:numId w:val="23"/>
        </w:numPr>
        <w:tabs>
          <w:tab w:val="left" w:pos="418"/>
        </w:tabs>
        <w:spacing w:before="29" w:line="242" w:lineRule="auto"/>
        <w:ind w:right="340" w:hanging="283"/>
        <w:rPr>
          <w:sz w:val="12"/>
        </w:rPr>
      </w:pPr>
      <w:r>
        <w:rPr>
          <w:color w:val="58595B"/>
          <w:spacing w:val="2"/>
          <w:sz w:val="12"/>
        </w:rPr>
        <w:t xml:space="preserve">Victorian </w:t>
      </w:r>
      <w:r>
        <w:rPr>
          <w:color w:val="58595B"/>
          <w:sz w:val="12"/>
        </w:rPr>
        <w:t xml:space="preserve">Government 2010, </w:t>
      </w:r>
      <w:r>
        <w:rPr>
          <w:i/>
          <w:color w:val="58595B"/>
          <w:sz w:val="12"/>
        </w:rPr>
        <w:t>Improving govern</w:t>
      </w:r>
      <w:r w:rsidR="00371CFF">
        <w:rPr>
          <w:i/>
          <w:color w:val="58595B"/>
          <w:sz w:val="12"/>
        </w:rPr>
        <w:t xml:space="preserve">ance of regulators: principles and </w:t>
      </w:r>
      <w:r>
        <w:rPr>
          <w:i/>
          <w:color w:val="58595B"/>
          <w:sz w:val="12"/>
        </w:rPr>
        <w:t>guidelines</w:t>
      </w:r>
      <w:r>
        <w:rPr>
          <w:color w:val="58595B"/>
          <w:sz w:val="12"/>
        </w:rPr>
        <w:t>,</w:t>
      </w:r>
      <w:r>
        <w:rPr>
          <w:color w:val="58595B"/>
          <w:spacing w:val="-7"/>
          <w:sz w:val="12"/>
        </w:rPr>
        <w:t xml:space="preserve"> </w:t>
      </w:r>
      <w:r>
        <w:rPr>
          <w:color w:val="58595B"/>
          <w:sz w:val="12"/>
        </w:rPr>
        <w:t>Melbourne.</w:t>
      </w:r>
    </w:p>
    <w:p w14:paraId="5742AFDD" w14:textId="2C504628" w:rsidR="00724131" w:rsidRDefault="00823349">
      <w:pPr>
        <w:pStyle w:val="ListParagraph"/>
        <w:numPr>
          <w:ilvl w:val="0"/>
          <w:numId w:val="23"/>
        </w:numPr>
        <w:tabs>
          <w:tab w:val="left" w:pos="418"/>
        </w:tabs>
        <w:spacing w:before="29" w:line="242" w:lineRule="auto"/>
        <w:ind w:right="62" w:hanging="283"/>
        <w:rPr>
          <w:sz w:val="12"/>
        </w:rPr>
      </w:pPr>
      <w:r>
        <w:rPr>
          <w:color w:val="58595B"/>
          <w:sz w:val="12"/>
        </w:rPr>
        <w:t xml:space="preserve">OECD 2014, </w:t>
      </w:r>
      <w:r>
        <w:rPr>
          <w:i/>
          <w:color w:val="58595B"/>
          <w:sz w:val="12"/>
        </w:rPr>
        <w:t>The governance of regulators</w:t>
      </w:r>
      <w:r>
        <w:rPr>
          <w:color w:val="58595B"/>
          <w:sz w:val="12"/>
        </w:rPr>
        <w:t>, OECD Best Practice Principles for Regulatory Policy, OECD Publishing, p. 30; Government</w:t>
      </w:r>
      <w:r w:rsidR="002E245C">
        <w:rPr>
          <w:color w:val="58595B"/>
          <w:sz w:val="12"/>
        </w:rPr>
        <w:br/>
      </w:r>
      <w:r>
        <w:rPr>
          <w:color w:val="58595B"/>
          <w:sz w:val="12"/>
        </w:rPr>
        <w:t xml:space="preserve">of </w:t>
      </w:r>
      <w:r>
        <w:rPr>
          <w:color w:val="58595B"/>
          <w:spacing w:val="2"/>
          <w:sz w:val="12"/>
        </w:rPr>
        <w:t xml:space="preserve">Victoria </w:t>
      </w:r>
      <w:r>
        <w:rPr>
          <w:color w:val="58595B"/>
          <w:sz w:val="12"/>
        </w:rPr>
        <w:t xml:space="preserve">2010, </w:t>
      </w:r>
      <w:r>
        <w:rPr>
          <w:i/>
          <w:color w:val="58595B"/>
          <w:sz w:val="12"/>
        </w:rPr>
        <w:t>Improving governance of regulators: principles and guidelines</w:t>
      </w:r>
      <w:r>
        <w:rPr>
          <w:color w:val="58595B"/>
          <w:sz w:val="12"/>
        </w:rPr>
        <w:t>, Melbourne, p.</w:t>
      </w:r>
      <w:r>
        <w:rPr>
          <w:color w:val="58595B"/>
          <w:spacing w:val="-16"/>
          <w:sz w:val="12"/>
        </w:rPr>
        <w:t xml:space="preserve"> </w:t>
      </w:r>
      <w:r>
        <w:rPr>
          <w:color w:val="58595B"/>
          <w:sz w:val="12"/>
        </w:rPr>
        <w:t>18.</w:t>
      </w:r>
    </w:p>
    <w:p w14:paraId="3461917E" w14:textId="03CA126E" w:rsidR="00724131" w:rsidRDefault="00823349">
      <w:pPr>
        <w:pStyle w:val="ListParagraph"/>
        <w:numPr>
          <w:ilvl w:val="0"/>
          <w:numId w:val="23"/>
        </w:numPr>
        <w:tabs>
          <w:tab w:val="left" w:pos="418"/>
        </w:tabs>
        <w:spacing w:before="29" w:line="242" w:lineRule="auto"/>
        <w:ind w:right="62" w:hanging="283"/>
        <w:rPr>
          <w:sz w:val="12"/>
        </w:rPr>
      </w:pPr>
      <w:r>
        <w:rPr>
          <w:color w:val="58595B"/>
          <w:sz w:val="12"/>
        </w:rPr>
        <w:t xml:space="preserve">OECD 2014, </w:t>
      </w:r>
      <w:r>
        <w:rPr>
          <w:i/>
          <w:color w:val="58595B"/>
          <w:sz w:val="12"/>
        </w:rPr>
        <w:t>The governance of regulators</w:t>
      </w:r>
      <w:r>
        <w:rPr>
          <w:color w:val="58595B"/>
          <w:sz w:val="12"/>
        </w:rPr>
        <w:t>, OECD Best Practice Principles for Regulatory Policy, OECD Publishing, p. 98; Government</w:t>
      </w:r>
      <w:r w:rsidR="002E245C">
        <w:rPr>
          <w:color w:val="58595B"/>
          <w:sz w:val="12"/>
        </w:rPr>
        <w:br/>
      </w:r>
      <w:r>
        <w:rPr>
          <w:color w:val="58595B"/>
          <w:sz w:val="12"/>
        </w:rPr>
        <w:t xml:space="preserve">of </w:t>
      </w:r>
      <w:r>
        <w:rPr>
          <w:color w:val="58595B"/>
          <w:spacing w:val="2"/>
          <w:sz w:val="12"/>
        </w:rPr>
        <w:t xml:space="preserve">Victoria </w:t>
      </w:r>
      <w:r>
        <w:rPr>
          <w:color w:val="58595B"/>
          <w:sz w:val="12"/>
        </w:rPr>
        <w:t xml:space="preserve">2010, </w:t>
      </w:r>
      <w:r>
        <w:rPr>
          <w:i/>
          <w:color w:val="58595B"/>
          <w:sz w:val="12"/>
        </w:rPr>
        <w:t>Improving governance of regulators: principles and guidelines</w:t>
      </w:r>
      <w:r>
        <w:rPr>
          <w:color w:val="58595B"/>
          <w:sz w:val="12"/>
        </w:rPr>
        <w:t xml:space="preserve">, Melbourne, pp. </w:t>
      </w:r>
      <w:r>
        <w:rPr>
          <w:color w:val="58595B"/>
          <w:spacing w:val="9"/>
          <w:sz w:val="12"/>
        </w:rPr>
        <w:t xml:space="preserve"> </w:t>
      </w:r>
      <w:r>
        <w:rPr>
          <w:color w:val="58595B"/>
          <w:spacing w:val="4"/>
          <w:sz w:val="12"/>
        </w:rPr>
        <w:t>54–8.</w:t>
      </w:r>
    </w:p>
    <w:p w14:paraId="1E17714E" w14:textId="77777777" w:rsidR="00724131" w:rsidRDefault="00823349">
      <w:pPr>
        <w:pStyle w:val="ListParagraph"/>
        <w:numPr>
          <w:ilvl w:val="0"/>
          <w:numId w:val="23"/>
        </w:numPr>
        <w:tabs>
          <w:tab w:val="left" w:pos="418"/>
        </w:tabs>
        <w:spacing w:before="29" w:line="242" w:lineRule="auto"/>
        <w:ind w:right="371" w:hanging="283"/>
        <w:rPr>
          <w:sz w:val="12"/>
        </w:rPr>
      </w:pPr>
      <w:r>
        <w:rPr>
          <w:color w:val="58595B"/>
          <w:sz w:val="12"/>
        </w:rPr>
        <w:t xml:space="preserve">OECD 2014, </w:t>
      </w:r>
      <w:r>
        <w:rPr>
          <w:i/>
          <w:color w:val="58595B"/>
          <w:sz w:val="12"/>
        </w:rPr>
        <w:t>The governance of regulators</w:t>
      </w:r>
      <w:r>
        <w:rPr>
          <w:color w:val="58595B"/>
          <w:sz w:val="12"/>
        </w:rPr>
        <w:t xml:space="preserve">, OECD Best Practice Principles for Regulatory Policy, OECD Publishing, p.  </w:t>
      </w:r>
      <w:r>
        <w:rPr>
          <w:color w:val="58595B"/>
          <w:spacing w:val="7"/>
          <w:sz w:val="12"/>
        </w:rPr>
        <w:t xml:space="preserve"> </w:t>
      </w:r>
      <w:r>
        <w:rPr>
          <w:color w:val="58595B"/>
          <w:sz w:val="12"/>
        </w:rPr>
        <w:t>49.</w:t>
      </w:r>
    </w:p>
    <w:p w14:paraId="046291B6" w14:textId="77777777" w:rsidR="00724131" w:rsidRDefault="00823349">
      <w:pPr>
        <w:pStyle w:val="ListParagraph"/>
        <w:numPr>
          <w:ilvl w:val="0"/>
          <w:numId w:val="23"/>
        </w:numPr>
        <w:tabs>
          <w:tab w:val="left" w:pos="418"/>
        </w:tabs>
        <w:spacing w:before="29" w:line="242" w:lineRule="auto"/>
        <w:ind w:right="371" w:hanging="283"/>
        <w:rPr>
          <w:sz w:val="12"/>
        </w:rPr>
      </w:pPr>
      <w:r>
        <w:rPr>
          <w:color w:val="58595B"/>
          <w:sz w:val="12"/>
        </w:rPr>
        <w:t xml:space="preserve">OECD 2014, </w:t>
      </w:r>
      <w:r>
        <w:rPr>
          <w:i/>
          <w:color w:val="58595B"/>
          <w:sz w:val="12"/>
        </w:rPr>
        <w:t>The governance of regulators</w:t>
      </w:r>
      <w:r>
        <w:rPr>
          <w:color w:val="58595B"/>
          <w:sz w:val="12"/>
        </w:rPr>
        <w:t xml:space="preserve">, OECD Best Practice Principles for Regulatory Policy, OECD Publishing, p.  </w:t>
      </w:r>
      <w:r>
        <w:rPr>
          <w:color w:val="58595B"/>
          <w:spacing w:val="7"/>
          <w:sz w:val="12"/>
        </w:rPr>
        <w:t xml:space="preserve"> </w:t>
      </w:r>
      <w:r>
        <w:rPr>
          <w:color w:val="58595B"/>
          <w:sz w:val="12"/>
        </w:rPr>
        <w:t>72.</w:t>
      </w:r>
    </w:p>
    <w:p w14:paraId="547C9476" w14:textId="77777777" w:rsidR="00724131" w:rsidRDefault="00823349">
      <w:pPr>
        <w:pStyle w:val="ListParagraph"/>
        <w:numPr>
          <w:ilvl w:val="0"/>
          <w:numId w:val="23"/>
        </w:numPr>
        <w:tabs>
          <w:tab w:val="left" w:pos="418"/>
        </w:tabs>
        <w:spacing w:before="29" w:line="242" w:lineRule="auto"/>
        <w:ind w:right="371" w:hanging="283"/>
        <w:rPr>
          <w:sz w:val="12"/>
        </w:rPr>
      </w:pPr>
      <w:r>
        <w:rPr>
          <w:color w:val="58595B"/>
          <w:sz w:val="12"/>
        </w:rPr>
        <w:t xml:space="preserve">OECD 2014, </w:t>
      </w:r>
      <w:r>
        <w:rPr>
          <w:i/>
          <w:color w:val="58595B"/>
          <w:sz w:val="12"/>
        </w:rPr>
        <w:t>The governance of regulators</w:t>
      </w:r>
      <w:r>
        <w:rPr>
          <w:color w:val="58595B"/>
          <w:sz w:val="12"/>
        </w:rPr>
        <w:t xml:space="preserve">, OECD Best Practice Principles for Regulatory Policy, OECD Publishing, p.  </w:t>
      </w:r>
      <w:r>
        <w:rPr>
          <w:color w:val="58595B"/>
          <w:spacing w:val="8"/>
          <w:sz w:val="12"/>
        </w:rPr>
        <w:t xml:space="preserve"> </w:t>
      </w:r>
      <w:r>
        <w:rPr>
          <w:color w:val="58595B"/>
          <w:sz w:val="12"/>
        </w:rPr>
        <w:t>69.</w:t>
      </w:r>
    </w:p>
    <w:p w14:paraId="4A584630" w14:textId="77777777" w:rsidR="00724131" w:rsidRDefault="00823349">
      <w:pPr>
        <w:pStyle w:val="ListParagraph"/>
        <w:numPr>
          <w:ilvl w:val="0"/>
          <w:numId w:val="23"/>
        </w:numPr>
        <w:tabs>
          <w:tab w:val="left" w:pos="418"/>
        </w:tabs>
        <w:spacing w:before="29" w:line="242" w:lineRule="auto"/>
        <w:ind w:right="274" w:hanging="283"/>
        <w:rPr>
          <w:sz w:val="12"/>
        </w:rPr>
      </w:pPr>
      <w:r>
        <w:rPr>
          <w:color w:val="58595B"/>
          <w:sz w:val="12"/>
        </w:rPr>
        <w:t xml:space="preserve">Government of </w:t>
      </w:r>
      <w:r>
        <w:rPr>
          <w:color w:val="58595B"/>
          <w:spacing w:val="2"/>
          <w:sz w:val="12"/>
        </w:rPr>
        <w:t xml:space="preserve">Victoria </w:t>
      </w:r>
      <w:r>
        <w:rPr>
          <w:color w:val="58595B"/>
          <w:sz w:val="12"/>
        </w:rPr>
        <w:t xml:space="preserve">2010, </w:t>
      </w:r>
      <w:r>
        <w:rPr>
          <w:i/>
          <w:color w:val="58595B"/>
          <w:sz w:val="12"/>
        </w:rPr>
        <w:t>Improving governance of regulators: principles and guidelines</w:t>
      </w:r>
      <w:r>
        <w:rPr>
          <w:color w:val="58595B"/>
          <w:sz w:val="12"/>
        </w:rPr>
        <w:t xml:space="preserve">, Melbourne, p. </w:t>
      </w:r>
      <w:r>
        <w:rPr>
          <w:color w:val="58595B"/>
          <w:spacing w:val="28"/>
          <w:sz w:val="12"/>
        </w:rPr>
        <w:t xml:space="preserve"> </w:t>
      </w:r>
      <w:r>
        <w:rPr>
          <w:color w:val="58595B"/>
          <w:spacing w:val="-4"/>
          <w:sz w:val="12"/>
        </w:rPr>
        <w:t>37.</w:t>
      </w:r>
    </w:p>
    <w:p w14:paraId="378978AE" w14:textId="77777777" w:rsidR="00724131" w:rsidRDefault="00823349">
      <w:pPr>
        <w:pStyle w:val="ListParagraph"/>
        <w:numPr>
          <w:ilvl w:val="0"/>
          <w:numId w:val="23"/>
        </w:numPr>
        <w:tabs>
          <w:tab w:val="left" w:pos="418"/>
        </w:tabs>
        <w:spacing w:before="29" w:line="242" w:lineRule="auto"/>
        <w:ind w:right="371" w:hanging="283"/>
        <w:rPr>
          <w:sz w:val="12"/>
        </w:rPr>
      </w:pPr>
      <w:r>
        <w:rPr>
          <w:color w:val="58595B"/>
          <w:sz w:val="12"/>
        </w:rPr>
        <w:t xml:space="preserve">OECD 2014, </w:t>
      </w:r>
      <w:r>
        <w:rPr>
          <w:i/>
          <w:color w:val="58595B"/>
          <w:sz w:val="12"/>
        </w:rPr>
        <w:t>The governance of regulators</w:t>
      </w:r>
      <w:r>
        <w:rPr>
          <w:color w:val="58595B"/>
          <w:sz w:val="12"/>
        </w:rPr>
        <w:t xml:space="preserve">, OECD Best Practice Principles for Regulatory Policy, OECD Publishing, p.  </w:t>
      </w:r>
      <w:r>
        <w:rPr>
          <w:color w:val="58595B"/>
          <w:spacing w:val="10"/>
          <w:sz w:val="12"/>
        </w:rPr>
        <w:t xml:space="preserve"> </w:t>
      </w:r>
      <w:r>
        <w:rPr>
          <w:color w:val="58595B"/>
          <w:sz w:val="12"/>
        </w:rPr>
        <w:t>54.</w:t>
      </w:r>
    </w:p>
    <w:p w14:paraId="2FE76B80" w14:textId="634FF094" w:rsidR="00724131" w:rsidRDefault="00823349">
      <w:pPr>
        <w:pStyle w:val="ListParagraph"/>
        <w:numPr>
          <w:ilvl w:val="0"/>
          <w:numId w:val="23"/>
        </w:numPr>
        <w:tabs>
          <w:tab w:val="left" w:pos="418"/>
        </w:tabs>
        <w:spacing w:before="29" w:line="242" w:lineRule="auto"/>
        <w:ind w:right="64" w:hanging="283"/>
        <w:rPr>
          <w:sz w:val="12"/>
        </w:rPr>
      </w:pPr>
      <w:r>
        <w:rPr>
          <w:color w:val="58595B"/>
          <w:sz w:val="12"/>
        </w:rPr>
        <w:t xml:space="preserve">OECD 2014, </w:t>
      </w:r>
      <w:r>
        <w:rPr>
          <w:i/>
          <w:color w:val="58595B"/>
          <w:sz w:val="12"/>
        </w:rPr>
        <w:t>The governance of regulators</w:t>
      </w:r>
      <w:r>
        <w:rPr>
          <w:color w:val="58595B"/>
          <w:sz w:val="12"/>
        </w:rPr>
        <w:t>, OECD Best Practice Principles for Regulatory Policy, OECD Publishing, p. 79; Government</w:t>
      </w:r>
      <w:r w:rsidR="002E245C">
        <w:rPr>
          <w:color w:val="58595B"/>
          <w:sz w:val="12"/>
        </w:rPr>
        <w:br/>
      </w:r>
      <w:r>
        <w:rPr>
          <w:color w:val="58595B"/>
          <w:sz w:val="12"/>
        </w:rPr>
        <w:t xml:space="preserve">of </w:t>
      </w:r>
      <w:r>
        <w:rPr>
          <w:color w:val="58595B"/>
          <w:spacing w:val="2"/>
          <w:sz w:val="12"/>
        </w:rPr>
        <w:t xml:space="preserve">Victoria </w:t>
      </w:r>
      <w:r>
        <w:rPr>
          <w:color w:val="58595B"/>
          <w:sz w:val="12"/>
        </w:rPr>
        <w:t xml:space="preserve">2010, </w:t>
      </w:r>
      <w:r>
        <w:rPr>
          <w:i/>
          <w:color w:val="58595B"/>
          <w:sz w:val="12"/>
        </w:rPr>
        <w:t>Improving governance of regulators: principles and guidelines</w:t>
      </w:r>
      <w:r>
        <w:rPr>
          <w:color w:val="58595B"/>
          <w:sz w:val="12"/>
        </w:rPr>
        <w:t xml:space="preserve">, Melbourne, pp. </w:t>
      </w:r>
      <w:r>
        <w:rPr>
          <w:color w:val="58595B"/>
          <w:spacing w:val="9"/>
          <w:sz w:val="12"/>
        </w:rPr>
        <w:t xml:space="preserve"> </w:t>
      </w:r>
      <w:r>
        <w:rPr>
          <w:color w:val="58595B"/>
          <w:spacing w:val="4"/>
          <w:sz w:val="12"/>
        </w:rPr>
        <w:t>44–8.</w:t>
      </w:r>
    </w:p>
    <w:p w14:paraId="5C13E17E" w14:textId="3A47EB0C" w:rsidR="00724131" w:rsidRDefault="00823349">
      <w:pPr>
        <w:pStyle w:val="ListParagraph"/>
        <w:numPr>
          <w:ilvl w:val="0"/>
          <w:numId w:val="23"/>
        </w:numPr>
        <w:tabs>
          <w:tab w:val="left" w:pos="418"/>
        </w:tabs>
        <w:spacing w:before="29" w:line="242" w:lineRule="auto"/>
        <w:ind w:hanging="283"/>
        <w:rPr>
          <w:sz w:val="12"/>
        </w:rPr>
      </w:pPr>
      <w:r>
        <w:rPr>
          <w:color w:val="58595B"/>
          <w:sz w:val="12"/>
        </w:rPr>
        <w:t xml:space="preserve">OECD 2014, </w:t>
      </w:r>
      <w:r>
        <w:rPr>
          <w:i/>
          <w:color w:val="58595B"/>
          <w:sz w:val="12"/>
        </w:rPr>
        <w:t>The governance of regulators</w:t>
      </w:r>
      <w:r>
        <w:rPr>
          <w:color w:val="58595B"/>
          <w:sz w:val="12"/>
        </w:rPr>
        <w:t>, OECD Best Practice Principles for Regulatory Policy, OECD Publishing, p. 105; Government</w:t>
      </w:r>
      <w:r w:rsidR="002E245C">
        <w:rPr>
          <w:color w:val="58595B"/>
          <w:sz w:val="12"/>
        </w:rPr>
        <w:br/>
      </w:r>
      <w:r>
        <w:rPr>
          <w:color w:val="58595B"/>
          <w:sz w:val="12"/>
        </w:rPr>
        <w:t xml:space="preserve">of </w:t>
      </w:r>
      <w:r>
        <w:rPr>
          <w:color w:val="58595B"/>
          <w:spacing w:val="2"/>
          <w:sz w:val="12"/>
        </w:rPr>
        <w:t xml:space="preserve">Victoria </w:t>
      </w:r>
      <w:r>
        <w:rPr>
          <w:color w:val="58595B"/>
          <w:sz w:val="12"/>
        </w:rPr>
        <w:t xml:space="preserve">2010, </w:t>
      </w:r>
      <w:r>
        <w:rPr>
          <w:i/>
          <w:color w:val="58595B"/>
          <w:sz w:val="12"/>
        </w:rPr>
        <w:t>Improving governance of regulators: principles and guidelines</w:t>
      </w:r>
      <w:r>
        <w:rPr>
          <w:color w:val="58595B"/>
          <w:sz w:val="12"/>
        </w:rPr>
        <w:t xml:space="preserve">, Melbourne, pp. </w:t>
      </w:r>
      <w:r>
        <w:rPr>
          <w:color w:val="58595B"/>
          <w:spacing w:val="9"/>
          <w:sz w:val="12"/>
        </w:rPr>
        <w:t xml:space="preserve"> </w:t>
      </w:r>
      <w:r>
        <w:rPr>
          <w:color w:val="58595B"/>
          <w:sz w:val="12"/>
        </w:rPr>
        <w:t>44–7.</w:t>
      </w:r>
    </w:p>
    <w:p w14:paraId="01BE905E" w14:textId="77777777" w:rsidR="00724131" w:rsidRDefault="00823349">
      <w:pPr>
        <w:pStyle w:val="ListParagraph"/>
        <w:numPr>
          <w:ilvl w:val="0"/>
          <w:numId w:val="23"/>
        </w:numPr>
        <w:tabs>
          <w:tab w:val="left" w:pos="418"/>
        </w:tabs>
        <w:spacing w:before="29" w:line="242" w:lineRule="auto"/>
        <w:ind w:right="371" w:hanging="283"/>
        <w:rPr>
          <w:sz w:val="12"/>
        </w:rPr>
      </w:pPr>
      <w:r>
        <w:rPr>
          <w:color w:val="58595B"/>
          <w:sz w:val="12"/>
        </w:rPr>
        <w:t xml:space="preserve">OECD 2014, </w:t>
      </w:r>
      <w:r>
        <w:rPr>
          <w:i/>
          <w:color w:val="58595B"/>
          <w:sz w:val="12"/>
        </w:rPr>
        <w:t>The governance of regulators</w:t>
      </w:r>
      <w:r>
        <w:rPr>
          <w:color w:val="58595B"/>
          <w:sz w:val="12"/>
        </w:rPr>
        <w:t xml:space="preserve">, OECD Best Practice Principles for Regulatory Policy, OECD Publishing, p.  </w:t>
      </w:r>
      <w:r>
        <w:rPr>
          <w:color w:val="58595B"/>
          <w:spacing w:val="4"/>
          <w:sz w:val="12"/>
        </w:rPr>
        <w:t xml:space="preserve"> </w:t>
      </w:r>
      <w:r>
        <w:rPr>
          <w:color w:val="58595B"/>
          <w:sz w:val="12"/>
        </w:rPr>
        <w:t>15.</w:t>
      </w:r>
    </w:p>
    <w:p w14:paraId="06B527B7" w14:textId="77777777" w:rsidR="00724131" w:rsidRDefault="00823349">
      <w:pPr>
        <w:pStyle w:val="ListParagraph"/>
        <w:numPr>
          <w:ilvl w:val="0"/>
          <w:numId w:val="23"/>
        </w:numPr>
        <w:tabs>
          <w:tab w:val="left" w:pos="418"/>
        </w:tabs>
        <w:spacing w:before="29" w:line="242" w:lineRule="auto"/>
        <w:ind w:right="371" w:hanging="283"/>
        <w:rPr>
          <w:sz w:val="12"/>
        </w:rPr>
      </w:pPr>
      <w:r>
        <w:rPr>
          <w:color w:val="58595B"/>
          <w:sz w:val="12"/>
        </w:rPr>
        <w:t xml:space="preserve">OECD 2014, </w:t>
      </w:r>
      <w:r>
        <w:rPr>
          <w:i/>
          <w:color w:val="58595B"/>
          <w:sz w:val="12"/>
        </w:rPr>
        <w:t>The governance of regulators</w:t>
      </w:r>
      <w:r>
        <w:rPr>
          <w:color w:val="58595B"/>
          <w:sz w:val="12"/>
        </w:rPr>
        <w:t xml:space="preserve">, OECD Best Practice Principles for Regulatory Policy, OECD Publishing, p.  </w:t>
      </w:r>
      <w:r>
        <w:rPr>
          <w:color w:val="58595B"/>
          <w:spacing w:val="4"/>
          <w:sz w:val="12"/>
        </w:rPr>
        <w:t xml:space="preserve"> </w:t>
      </w:r>
      <w:r>
        <w:rPr>
          <w:color w:val="58595B"/>
          <w:spacing w:val="-4"/>
          <w:sz w:val="12"/>
        </w:rPr>
        <w:t>47.</w:t>
      </w:r>
    </w:p>
    <w:p w14:paraId="6EC1487C" w14:textId="77777777" w:rsidR="00724131" w:rsidRDefault="00823349">
      <w:pPr>
        <w:pStyle w:val="ListParagraph"/>
        <w:numPr>
          <w:ilvl w:val="0"/>
          <w:numId w:val="23"/>
        </w:numPr>
        <w:tabs>
          <w:tab w:val="left" w:pos="418"/>
        </w:tabs>
        <w:spacing w:before="29" w:line="242" w:lineRule="auto"/>
        <w:ind w:right="371" w:hanging="283"/>
        <w:rPr>
          <w:sz w:val="12"/>
        </w:rPr>
      </w:pPr>
      <w:r>
        <w:rPr>
          <w:color w:val="58595B"/>
          <w:sz w:val="12"/>
        </w:rPr>
        <w:t xml:space="preserve">OECD 2014, </w:t>
      </w:r>
      <w:r>
        <w:rPr>
          <w:i/>
          <w:color w:val="58595B"/>
          <w:sz w:val="12"/>
        </w:rPr>
        <w:t>The governance of regulators</w:t>
      </w:r>
      <w:r>
        <w:rPr>
          <w:color w:val="58595B"/>
          <w:sz w:val="12"/>
        </w:rPr>
        <w:t xml:space="preserve">, OECD Best Practice Principles for Regulatory Policy, OECD Publishing, p.  </w:t>
      </w:r>
      <w:r>
        <w:rPr>
          <w:color w:val="58595B"/>
          <w:spacing w:val="7"/>
          <w:sz w:val="12"/>
        </w:rPr>
        <w:t xml:space="preserve"> </w:t>
      </w:r>
      <w:r>
        <w:rPr>
          <w:color w:val="58595B"/>
          <w:sz w:val="12"/>
        </w:rPr>
        <w:t>49.</w:t>
      </w:r>
    </w:p>
    <w:p w14:paraId="0806A5F1" w14:textId="77777777" w:rsidR="00724131" w:rsidRDefault="00823349">
      <w:pPr>
        <w:pStyle w:val="ListParagraph"/>
        <w:numPr>
          <w:ilvl w:val="0"/>
          <w:numId w:val="23"/>
        </w:numPr>
        <w:tabs>
          <w:tab w:val="left" w:pos="418"/>
        </w:tabs>
        <w:spacing w:before="29" w:line="242" w:lineRule="auto"/>
        <w:ind w:right="188" w:hanging="283"/>
        <w:rPr>
          <w:sz w:val="12"/>
        </w:rPr>
      </w:pPr>
      <w:r>
        <w:rPr>
          <w:color w:val="58595B"/>
          <w:sz w:val="12"/>
        </w:rPr>
        <w:t xml:space="preserve">For example, </w:t>
      </w:r>
      <w:r>
        <w:rPr>
          <w:color w:val="58595B"/>
          <w:spacing w:val="2"/>
          <w:sz w:val="12"/>
        </w:rPr>
        <w:t xml:space="preserve">Country </w:t>
      </w:r>
      <w:r>
        <w:rPr>
          <w:color w:val="58595B"/>
          <w:sz w:val="12"/>
        </w:rPr>
        <w:t>Fire Authority’s Fiskville training facility http:// apps.epa.vic.gov.au/EnvAuditFiles/53V/71740-1/71740-1_c.pdf (accessed 23 March</w:t>
      </w:r>
      <w:r>
        <w:rPr>
          <w:color w:val="58595B"/>
          <w:spacing w:val="24"/>
          <w:sz w:val="12"/>
        </w:rPr>
        <w:t xml:space="preserve"> </w:t>
      </w:r>
      <w:r>
        <w:rPr>
          <w:color w:val="58595B"/>
          <w:sz w:val="12"/>
        </w:rPr>
        <w:t>2016).</w:t>
      </w:r>
    </w:p>
    <w:p w14:paraId="0218BE49" w14:textId="48A1C50A" w:rsidR="00724131" w:rsidRDefault="00823349">
      <w:pPr>
        <w:pStyle w:val="ListParagraph"/>
        <w:numPr>
          <w:ilvl w:val="0"/>
          <w:numId w:val="23"/>
        </w:numPr>
        <w:tabs>
          <w:tab w:val="left" w:pos="418"/>
        </w:tabs>
        <w:spacing w:before="29" w:line="242" w:lineRule="auto"/>
        <w:ind w:right="39" w:hanging="283"/>
        <w:rPr>
          <w:sz w:val="12"/>
        </w:rPr>
      </w:pPr>
      <w:r>
        <w:rPr>
          <w:color w:val="58595B"/>
          <w:sz w:val="12"/>
        </w:rPr>
        <w:t>For example, Wonthaggi desalination plant</w:t>
      </w:r>
      <w:hyperlink r:id="rId20">
        <w:r>
          <w:rPr>
            <w:color w:val="58595B"/>
            <w:sz w:val="12"/>
          </w:rPr>
          <w:t>, http://www.epa.vic.gov.au/</w:t>
        </w:r>
      </w:hyperlink>
      <w:r>
        <w:rPr>
          <w:color w:val="58595B"/>
          <w:sz w:val="12"/>
        </w:rPr>
        <w:t xml:space="preserve"> </w:t>
      </w:r>
      <w:r>
        <w:rPr>
          <w:color w:val="58595B"/>
          <w:spacing w:val="2"/>
          <w:sz w:val="12"/>
        </w:rPr>
        <w:t xml:space="preserve">our-work/current-issues/water-quality/~/media/Files/projects/Docs/ WA64404-Desalination-plant.pdf </w:t>
      </w:r>
      <w:r>
        <w:rPr>
          <w:color w:val="58595B"/>
          <w:sz w:val="12"/>
        </w:rPr>
        <w:t>(accessed 23 March 2016).</w:t>
      </w:r>
    </w:p>
    <w:p w14:paraId="0A489EAF" w14:textId="0110FDF5" w:rsidR="00724131" w:rsidRDefault="00823349">
      <w:pPr>
        <w:pStyle w:val="ListParagraph"/>
        <w:numPr>
          <w:ilvl w:val="0"/>
          <w:numId w:val="23"/>
        </w:numPr>
        <w:tabs>
          <w:tab w:val="left" w:pos="418"/>
        </w:tabs>
        <w:spacing w:before="29"/>
        <w:ind w:hanging="283"/>
        <w:rPr>
          <w:sz w:val="12"/>
        </w:rPr>
      </w:pPr>
      <w:r>
        <w:rPr>
          <w:color w:val="58595B"/>
          <w:sz w:val="12"/>
        </w:rPr>
        <w:t xml:space="preserve">Section 5, </w:t>
      </w:r>
      <w:r>
        <w:rPr>
          <w:i/>
          <w:color w:val="58595B"/>
          <w:sz w:val="12"/>
        </w:rPr>
        <w:t xml:space="preserve">Public Administration Act </w:t>
      </w:r>
      <w:r>
        <w:rPr>
          <w:i/>
          <w:color w:val="58595B"/>
          <w:spacing w:val="2"/>
          <w:sz w:val="12"/>
        </w:rPr>
        <w:t>2004</w:t>
      </w:r>
      <w:r>
        <w:rPr>
          <w:color w:val="58595B"/>
          <w:spacing w:val="2"/>
          <w:sz w:val="12"/>
        </w:rPr>
        <w:t>.</w:t>
      </w:r>
    </w:p>
    <w:p w14:paraId="1EFC60D7" w14:textId="77777777" w:rsidR="00724131" w:rsidRDefault="00823349">
      <w:pPr>
        <w:pStyle w:val="ListParagraph"/>
        <w:numPr>
          <w:ilvl w:val="0"/>
          <w:numId w:val="23"/>
        </w:numPr>
        <w:tabs>
          <w:tab w:val="left" w:pos="418"/>
        </w:tabs>
        <w:spacing w:before="30" w:line="242" w:lineRule="auto"/>
        <w:ind w:right="195" w:hanging="283"/>
        <w:rPr>
          <w:sz w:val="12"/>
        </w:rPr>
      </w:pPr>
      <w:r>
        <w:rPr>
          <w:color w:val="58595B"/>
          <w:spacing w:val="2"/>
          <w:sz w:val="12"/>
        </w:rPr>
        <w:t xml:space="preserve">Victorian </w:t>
      </w:r>
      <w:r>
        <w:rPr>
          <w:color w:val="58595B"/>
          <w:sz w:val="12"/>
        </w:rPr>
        <w:t xml:space="preserve">Public Sector Commission, </w:t>
      </w:r>
      <w:r>
        <w:rPr>
          <w:i/>
          <w:color w:val="58595B"/>
          <w:sz w:val="12"/>
        </w:rPr>
        <w:t>Employment arrangements for public entities</w:t>
      </w:r>
      <w:r>
        <w:rPr>
          <w:color w:val="58595B"/>
          <w:sz w:val="12"/>
        </w:rPr>
        <w:t>, p.</w:t>
      </w:r>
      <w:r>
        <w:rPr>
          <w:color w:val="58595B"/>
          <w:spacing w:val="20"/>
          <w:sz w:val="12"/>
        </w:rPr>
        <w:t xml:space="preserve"> </w:t>
      </w:r>
      <w:r>
        <w:rPr>
          <w:color w:val="58595B"/>
          <w:sz w:val="12"/>
        </w:rPr>
        <w:t>12.</w:t>
      </w:r>
    </w:p>
    <w:p w14:paraId="531BEA97" w14:textId="77777777" w:rsidR="00724131" w:rsidRDefault="00823349">
      <w:pPr>
        <w:pStyle w:val="ListParagraph"/>
        <w:numPr>
          <w:ilvl w:val="0"/>
          <w:numId w:val="23"/>
        </w:numPr>
        <w:tabs>
          <w:tab w:val="left" w:pos="418"/>
        </w:tabs>
        <w:spacing w:before="29" w:line="242" w:lineRule="auto"/>
        <w:ind w:right="371" w:hanging="283"/>
        <w:rPr>
          <w:sz w:val="12"/>
        </w:rPr>
      </w:pPr>
      <w:r>
        <w:rPr>
          <w:color w:val="58595B"/>
          <w:sz w:val="12"/>
        </w:rPr>
        <w:t xml:space="preserve">OECD 2014, </w:t>
      </w:r>
      <w:r>
        <w:rPr>
          <w:i/>
          <w:color w:val="58595B"/>
          <w:sz w:val="12"/>
        </w:rPr>
        <w:t>The governance of regulators</w:t>
      </w:r>
      <w:r>
        <w:rPr>
          <w:color w:val="58595B"/>
          <w:sz w:val="12"/>
        </w:rPr>
        <w:t xml:space="preserve">, OECD Best Practice Principles for Regulatory Policy, OECD Publishing, p. </w:t>
      </w:r>
      <w:r>
        <w:rPr>
          <w:color w:val="58595B"/>
          <w:spacing w:val="32"/>
          <w:sz w:val="12"/>
        </w:rPr>
        <w:t xml:space="preserve"> </w:t>
      </w:r>
      <w:r>
        <w:rPr>
          <w:color w:val="58595B"/>
          <w:sz w:val="12"/>
        </w:rPr>
        <w:t>81.</w:t>
      </w:r>
    </w:p>
    <w:p w14:paraId="71039348" w14:textId="77777777" w:rsidR="00724131" w:rsidRDefault="00823349">
      <w:pPr>
        <w:pStyle w:val="ListParagraph"/>
        <w:numPr>
          <w:ilvl w:val="0"/>
          <w:numId w:val="23"/>
        </w:numPr>
        <w:tabs>
          <w:tab w:val="left" w:pos="418"/>
        </w:tabs>
        <w:spacing w:before="29" w:line="242" w:lineRule="auto"/>
        <w:ind w:right="340" w:hanging="283"/>
        <w:rPr>
          <w:sz w:val="12"/>
        </w:rPr>
      </w:pPr>
      <w:r>
        <w:rPr>
          <w:color w:val="58595B"/>
          <w:spacing w:val="2"/>
          <w:sz w:val="12"/>
        </w:rPr>
        <w:t xml:space="preserve">Victorian </w:t>
      </w:r>
      <w:r>
        <w:rPr>
          <w:color w:val="58595B"/>
          <w:sz w:val="12"/>
        </w:rPr>
        <w:t xml:space="preserve">Government 2010, </w:t>
      </w:r>
      <w:r>
        <w:rPr>
          <w:i/>
          <w:color w:val="58595B"/>
          <w:sz w:val="12"/>
        </w:rPr>
        <w:t>Improving governance of regulators: principles and guidelines</w:t>
      </w:r>
      <w:r>
        <w:rPr>
          <w:color w:val="58595B"/>
          <w:sz w:val="12"/>
        </w:rPr>
        <w:t xml:space="preserve">, Melbourne, p. 26 and  </w:t>
      </w:r>
      <w:r>
        <w:rPr>
          <w:color w:val="58595B"/>
          <w:spacing w:val="3"/>
          <w:sz w:val="12"/>
        </w:rPr>
        <w:t xml:space="preserve"> </w:t>
      </w:r>
      <w:r>
        <w:rPr>
          <w:color w:val="58595B"/>
          <w:sz w:val="12"/>
        </w:rPr>
        <w:t>p.6.</w:t>
      </w:r>
    </w:p>
    <w:p w14:paraId="31363362" w14:textId="76028673" w:rsidR="00724131" w:rsidRDefault="00823349">
      <w:pPr>
        <w:pStyle w:val="ListParagraph"/>
        <w:numPr>
          <w:ilvl w:val="0"/>
          <w:numId w:val="23"/>
        </w:numPr>
        <w:tabs>
          <w:tab w:val="left" w:pos="418"/>
        </w:tabs>
        <w:spacing w:before="29" w:line="242" w:lineRule="auto"/>
        <w:ind w:right="213" w:hanging="283"/>
        <w:rPr>
          <w:sz w:val="12"/>
        </w:rPr>
      </w:pPr>
      <w:r>
        <w:rPr>
          <w:color w:val="58595B"/>
          <w:sz w:val="12"/>
        </w:rPr>
        <w:t xml:space="preserve">OECD 2014, </w:t>
      </w:r>
      <w:r>
        <w:rPr>
          <w:i/>
          <w:color w:val="58595B"/>
          <w:sz w:val="12"/>
        </w:rPr>
        <w:t>The governance of regulators</w:t>
      </w:r>
      <w:r>
        <w:rPr>
          <w:color w:val="58595B"/>
          <w:sz w:val="12"/>
        </w:rPr>
        <w:t xml:space="preserve">, OECD Best Practice Principles for Regulatory Policy, OECD Publishing, pp. </w:t>
      </w:r>
      <w:r>
        <w:rPr>
          <w:color w:val="58595B"/>
          <w:spacing w:val="4"/>
          <w:sz w:val="12"/>
        </w:rPr>
        <w:t xml:space="preserve">55–6, </w:t>
      </w:r>
      <w:r>
        <w:rPr>
          <w:color w:val="58595B"/>
          <w:sz w:val="12"/>
        </w:rPr>
        <w:t xml:space="preserve">60–1; </w:t>
      </w:r>
      <w:r>
        <w:rPr>
          <w:color w:val="58595B"/>
          <w:spacing w:val="2"/>
          <w:sz w:val="12"/>
        </w:rPr>
        <w:t xml:space="preserve">Victorian </w:t>
      </w:r>
      <w:r>
        <w:rPr>
          <w:color w:val="58595B"/>
          <w:sz w:val="12"/>
        </w:rPr>
        <w:t xml:space="preserve">Government 2010, </w:t>
      </w:r>
      <w:r>
        <w:rPr>
          <w:i/>
          <w:color w:val="58595B"/>
          <w:sz w:val="12"/>
        </w:rPr>
        <w:t>Improving governance of regulators: principles and guidelines</w:t>
      </w:r>
      <w:r>
        <w:rPr>
          <w:color w:val="58595B"/>
          <w:sz w:val="12"/>
        </w:rPr>
        <w:t xml:space="preserve">, Melbourne, pp. 25, </w:t>
      </w:r>
      <w:r>
        <w:rPr>
          <w:color w:val="58595B"/>
          <w:spacing w:val="3"/>
          <w:sz w:val="12"/>
        </w:rPr>
        <w:t>30–3.</w:t>
      </w:r>
    </w:p>
    <w:p w14:paraId="075E04C1" w14:textId="77777777" w:rsidR="00724131" w:rsidRDefault="00823349">
      <w:pPr>
        <w:pStyle w:val="ListParagraph"/>
        <w:numPr>
          <w:ilvl w:val="0"/>
          <w:numId w:val="23"/>
        </w:numPr>
        <w:tabs>
          <w:tab w:val="left" w:pos="418"/>
        </w:tabs>
        <w:spacing w:before="47" w:line="242" w:lineRule="auto"/>
        <w:ind w:right="1606" w:hanging="283"/>
        <w:jc w:val="both"/>
        <w:rPr>
          <w:sz w:val="12"/>
        </w:rPr>
      </w:pPr>
      <w:r>
        <w:rPr>
          <w:color w:val="58595B"/>
          <w:sz w:val="12"/>
        </w:rPr>
        <w:br w:type="column"/>
      </w:r>
      <w:r>
        <w:rPr>
          <w:color w:val="58595B"/>
          <w:sz w:val="12"/>
        </w:rPr>
        <w:lastRenderedPageBreak/>
        <w:t xml:space="preserve">Eccles C 2015, </w:t>
      </w:r>
      <w:r>
        <w:rPr>
          <w:i/>
          <w:color w:val="58595B"/>
          <w:sz w:val="12"/>
        </w:rPr>
        <w:t>What is frank and fearless advice, and how to give it</w:t>
      </w:r>
      <w:r>
        <w:rPr>
          <w:color w:val="58595B"/>
          <w:sz w:val="12"/>
        </w:rPr>
        <w:t>, The Mandarin</w:t>
      </w:r>
      <w:hyperlink r:id="rId21">
        <w:r>
          <w:rPr>
            <w:color w:val="58595B"/>
            <w:sz w:val="12"/>
          </w:rPr>
          <w:t xml:space="preserve">, </w:t>
        </w:r>
        <w:r>
          <w:rPr>
            <w:color w:val="58595B"/>
            <w:spacing w:val="2"/>
            <w:sz w:val="12"/>
          </w:rPr>
          <w:t>http://www.themandarin.com.au/57359-chris-eccles-</w:t>
        </w:r>
      </w:hyperlink>
      <w:r>
        <w:rPr>
          <w:color w:val="58595B"/>
          <w:spacing w:val="2"/>
          <w:sz w:val="12"/>
        </w:rPr>
        <w:t xml:space="preserve"> frank-fearless-advice-give/?pgnc=1 </w:t>
      </w:r>
      <w:r>
        <w:rPr>
          <w:color w:val="58595B"/>
          <w:sz w:val="12"/>
        </w:rPr>
        <w:t>(accessed 18 March</w:t>
      </w:r>
      <w:r>
        <w:rPr>
          <w:color w:val="58595B"/>
          <w:spacing w:val="26"/>
          <w:sz w:val="12"/>
        </w:rPr>
        <w:t xml:space="preserve"> </w:t>
      </w:r>
      <w:r>
        <w:rPr>
          <w:color w:val="58595B"/>
          <w:sz w:val="12"/>
        </w:rPr>
        <w:t>2016).</w:t>
      </w:r>
    </w:p>
    <w:p w14:paraId="3CE924E6" w14:textId="6E2E3499" w:rsidR="00724131" w:rsidRDefault="00823349">
      <w:pPr>
        <w:pStyle w:val="ListParagraph"/>
        <w:numPr>
          <w:ilvl w:val="0"/>
          <w:numId w:val="23"/>
        </w:numPr>
        <w:tabs>
          <w:tab w:val="left" w:pos="418"/>
        </w:tabs>
        <w:spacing w:before="29" w:line="242" w:lineRule="auto"/>
        <w:ind w:right="1507" w:hanging="283"/>
        <w:rPr>
          <w:sz w:val="12"/>
        </w:rPr>
      </w:pPr>
      <w:r>
        <w:rPr>
          <w:color w:val="58595B"/>
          <w:sz w:val="12"/>
        </w:rPr>
        <w:t xml:space="preserve">Section </w:t>
      </w:r>
      <w:r>
        <w:rPr>
          <w:color w:val="58595B"/>
          <w:spacing w:val="-5"/>
          <w:sz w:val="12"/>
        </w:rPr>
        <w:t xml:space="preserve">7, </w:t>
      </w:r>
      <w:r>
        <w:rPr>
          <w:i/>
          <w:color w:val="58595B"/>
          <w:sz w:val="12"/>
        </w:rPr>
        <w:t xml:space="preserve">Public Administration Act </w:t>
      </w:r>
      <w:r>
        <w:rPr>
          <w:i/>
          <w:color w:val="58595B"/>
          <w:spacing w:val="2"/>
          <w:sz w:val="12"/>
        </w:rPr>
        <w:t>2004</w:t>
      </w:r>
      <w:r>
        <w:rPr>
          <w:color w:val="58595B"/>
          <w:spacing w:val="2"/>
          <w:sz w:val="12"/>
        </w:rPr>
        <w:t xml:space="preserve">; </w:t>
      </w:r>
      <w:r>
        <w:rPr>
          <w:color w:val="58595B"/>
          <w:sz w:val="12"/>
        </w:rPr>
        <w:t xml:space="preserve">see also </w:t>
      </w:r>
      <w:r>
        <w:rPr>
          <w:color w:val="58595B"/>
          <w:spacing w:val="2"/>
          <w:sz w:val="12"/>
        </w:rPr>
        <w:t xml:space="preserve">Victorian </w:t>
      </w:r>
      <w:r>
        <w:rPr>
          <w:color w:val="58595B"/>
          <w:sz w:val="12"/>
        </w:rPr>
        <w:t xml:space="preserve">Public Sector Commission 2015, </w:t>
      </w:r>
      <w:r>
        <w:rPr>
          <w:i/>
          <w:color w:val="58595B"/>
          <w:sz w:val="12"/>
        </w:rPr>
        <w:t>Code of Conduct for Victorian Public Sector Employees</w:t>
      </w:r>
      <w:r>
        <w:rPr>
          <w:color w:val="58595B"/>
          <w:sz w:val="12"/>
        </w:rPr>
        <w:t>, pp. vi, vii,</w:t>
      </w:r>
      <w:r w:rsidR="00371CFF">
        <w:rPr>
          <w:color w:val="58595B"/>
          <w:spacing w:val="23"/>
          <w:sz w:val="12"/>
        </w:rPr>
        <w:t xml:space="preserve"> </w:t>
      </w:r>
      <w:r>
        <w:rPr>
          <w:color w:val="58595B"/>
          <w:sz w:val="12"/>
        </w:rPr>
        <w:t>5.</w:t>
      </w:r>
    </w:p>
    <w:p w14:paraId="57395BA7" w14:textId="77777777" w:rsidR="00724131" w:rsidRDefault="00823349">
      <w:pPr>
        <w:pStyle w:val="ListParagraph"/>
        <w:numPr>
          <w:ilvl w:val="0"/>
          <w:numId w:val="23"/>
        </w:numPr>
        <w:tabs>
          <w:tab w:val="left" w:pos="418"/>
        </w:tabs>
        <w:spacing w:before="29" w:line="242" w:lineRule="auto"/>
        <w:ind w:right="1491" w:hanging="283"/>
        <w:rPr>
          <w:sz w:val="12"/>
        </w:rPr>
      </w:pPr>
      <w:r>
        <w:rPr>
          <w:color w:val="58595B"/>
          <w:spacing w:val="2"/>
          <w:sz w:val="12"/>
        </w:rPr>
        <w:t xml:space="preserve">Victorian </w:t>
      </w:r>
      <w:r>
        <w:rPr>
          <w:color w:val="58595B"/>
          <w:sz w:val="12"/>
        </w:rPr>
        <w:t xml:space="preserve">Public Sector Commission, </w:t>
      </w:r>
      <w:r>
        <w:rPr>
          <w:i/>
          <w:color w:val="58595B"/>
          <w:sz w:val="12"/>
        </w:rPr>
        <w:t>Welcome to the Board: Directors’ guide to public entity governance</w:t>
      </w:r>
      <w:r>
        <w:rPr>
          <w:color w:val="58595B"/>
          <w:sz w:val="12"/>
        </w:rPr>
        <w:t xml:space="preserve">, pp. </w:t>
      </w:r>
      <w:r>
        <w:rPr>
          <w:color w:val="58595B"/>
          <w:spacing w:val="14"/>
          <w:sz w:val="12"/>
        </w:rPr>
        <w:t xml:space="preserve"> </w:t>
      </w:r>
      <w:r>
        <w:rPr>
          <w:color w:val="58595B"/>
          <w:sz w:val="12"/>
        </w:rPr>
        <w:t>9–10.</w:t>
      </w:r>
    </w:p>
    <w:p w14:paraId="4E7DF62D" w14:textId="77777777" w:rsidR="00724131" w:rsidRDefault="00823349">
      <w:pPr>
        <w:pStyle w:val="ListParagraph"/>
        <w:numPr>
          <w:ilvl w:val="0"/>
          <w:numId w:val="23"/>
        </w:numPr>
        <w:tabs>
          <w:tab w:val="left" w:pos="418"/>
        </w:tabs>
        <w:spacing w:before="29" w:line="242" w:lineRule="auto"/>
        <w:ind w:right="1457" w:hanging="283"/>
        <w:rPr>
          <w:sz w:val="12"/>
        </w:rPr>
      </w:pPr>
      <w:r>
        <w:rPr>
          <w:color w:val="58595B"/>
          <w:sz w:val="12"/>
        </w:rPr>
        <w:t xml:space="preserve">For example, under the </w:t>
      </w:r>
      <w:r>
        <w:rPr>
          <w:i/>
          <w:color w:val="58595B"/>
          <w:sz w:val="12"/>
        </w:rPr>
        <w:t xml:space="preserve">Public Administration Act </w:t>
      </w:r>
      <w:r>
        <w:rPr>
          <w:i/>
          <w:color w:val="58595B"/>
          <w:spacing w:val="2"/>
          <w:sz w:val="12"/>
        </w:rPr>
        <w:t>2004</w:t>
      </w:r>
      <w:r>
        <w:rPr>
          <w:color w:val="58595B"/>
          <w:spacing w:val="2"/>
          <w:sz w:val="12"/>
        </w:rPr>
        <w:t xml:space="preserve">, </w:t>
      </w:r>
      <w:r>
        <w:rPr>
          <w:i/>
          <w:color w:val="58595B"/>
          <w:sz w:val="12"/>
        </w:rPr>
        <w:t>Financial Management Act 1994</w:t>
      </w:r>
      <w:r>
        <w:rPr>
          <w:color w:val="58595B"/>
          <w:sz w:val="12"/>
        </w:rPr>
        <w:t xml:space="preserve">, </w:t>
      </w:r>
      <w:r>
        <w:rPr>
          <w:i/>
          <w:color w:val="58595B"/>
          <w:sz w:val="12"/>
        </w:rPr>
        <w:t>Freedom of Information Act 1982</w:t>
      </w:r>
      <w:r>
        <w:rPr>
          <w:color w:val="58595B"/>
          <w:sz w:val="12"/>
        </w:rPr>
        <w:t xml:space="preserve">, </w:t>
      </w:r>
      <w:r>
        <w:rPr>
          <w:i/>
          <w:color w:val="58595B"/>
          <w:spacing w:val="2"/>
          <w:sz w:val="12"/>
        </w:rPr>
        <w:t xml:space="preserve">Information </w:t>
      </w:r>
      <w:r>
        <w:rPr>
          <w:i/>
          <w:color w:val="58595B"/>
          <w:sz w:val="12"/>
        </w:rPr>
        <w:t xml:space="preserve">Privacy Act </w:t>
      </w:r>
      <w:r>
        <w:rPr>
          <w:i/>
          <w:color w:val="58595B"/>
          <w:spacing w:val="2"/>
          <w:sz w:val="12"/>
        </w:rPr>
        <w:t>2000</w:t>
      </w:r>
      <w:r>
        <w:rPr>
          <w:color w:val="58595B"/>
          <w:spacing w:val="2"/>
          <w:sz w:val="12"/>
        </w:rPr>
        <w:t xml:space="preserve">, </w:t>
      </w:r>
      <w:r>
        <w:rPr>
          <w:i/>
          <w:color w:val="58595B"/>
          <w:sz w:val="12"/>
        </w:rPr>
        <w:t xml:space="preserve">Public Records Act 1973 </w:t>
      </w:r>
      <w:r>
        <w:rPr>
          <w:color w:val="58595B"/>
          <w:sz w:val="12"/>
        </w:rPr>
        <w:t xml:space="preserve">and the </w:t>
      </w:r>
      <w:r>
        <w:rPr>
          <w:i/>
          <w:color w:val="58595B"/>
          <w:sz w:val="12"/>
        </w:rPr>
        <w:t xml:space="preserve">Disability Act  </w:t>
      </w:r>
      <w:r>
        <w:rPr>
          <w:i/>
          <w:color w:val="58595B"/>
          <w:spacing w:val="10"/>
          <w:sz w:val="12"/>
        </w:rPr>
        <w:t xml:space="preserve"> </w:t>
      </w:r>
      <w:r>
        <w:rPr>
          <w:i/>
          <w:color w:val="58595B"/>
          <w:spacing w:val="2"/>
          <w:sz w:val="12"/>
        </w:rPr>
        <w:t>2006</w:t>
      </w:r>
      <w:r>
        <w:rPr>
          <w:color w:val="58595B"/>
          <w:spacing w:val="2"/>
          <w:sz w:val="12"/>
        </w:rPr>
        <w:t>.</w:t>
      </w:r>
    </w:p>
    <w:p w14:paraId="5159F463" w14:textId="7DA4D441" w:rsidR="00724131" w:rsidRDefault="00823349">
      <w:pPr>
        <w:pStyle w:val="ListParagraph"/>
        <w:numPr>
          <w:ilvl w:val="0"/>
          <w:numId w:val="23"/>
        </w:numPr>
        <w:tabs>
          <w:tab w:val="left" w:pos="418"/>
        </w:tabs>
        <w:spacing w:before="29"/>
        <w:ind w:hanging="283"/>
        <w:rPr>
          <w:sz w:val="12"/>
        </w:rPr>
      </w:pPr>
      <w:r>
        <w:rPr>
          <w:color w:val="58595B"/>
          <w:sz w:val="12"/>
        </w:rPr>
        <w:t xml:space="preserve">Section </w:t>
      </w:r>
      <w:r>
        <w:rPr>
          <w:color w:val="58595B"/>
          <w:spacing w:val="-5"/>
          <w:sz w:val="12"/>
        </w:rPr>
        <w:t xml:space="preserve">7, </w:t>
      </w:r>
      <w:r>
        <w:rPr>
          <w:color w:val="58595B"/>
          <w:sz w:val="12"/>
        </w:rPr>
        <w:t xml:space="preserve">79 </w:t>
      </w:r>
      <w:r>
        <w:rPr>
          <w:i/>
          <w:color w:val="58595B"/>
          <w:sz w:val="12"/>
        </w:rPr>
        <w:t>Public Administration Act</w:t>
      </w:r>
      <w:r>
        <w:rPr>
          <w:i/>
          <w:color w:val="58595B"/>
          <w:spacing w:val="32"/>
          <w:sz w:val="12"/>
        </w:rPr>
        <w:t xml:space="preserve"> </w:t>
      </w:r>
      <w:r>
        <w:rPr>
          <w:i/>
          <w:color w:val="58595B"/>
          <w:spacing w:val="2"/>
          <w:sz w:val="12"/>
        </w:rPr>
        <w:t>2004</w:t>
      </w:r>
      <w:r>
        <w:rPr>
          <w:color w:val="58595B"/>
          <w:spacing w:val="2"/>
          <w:sz w:val="12"/>
        </w:rPr>
        <w:t>.</w:t>
      </w:r>
    </w:p>
    <w:p w14:paraId="03016438" w14:textId="77777777" w:rsidR="00724131" w:rsidRDefault="00823349">
      <w:pPr>
        <w:pStyle w:val="ListParagraph"/>
        <w:numPr>
          <w:ilvl w:val="0"/>
          <w:numId w:val="23"/>
        </w:numPr>
        <w:tabs>
          <w:tab w:val="left" w:pos="418"/>
        </w:tabs>
        <w:spacing w:before="30" w:line="242" w:lineRule="auto"/>
        <w:ind w:right="1491" w:hanging="283"/>
        <w:rPr>
          <w:sz w:val="12"/>
        </w:rPr>
      </w:pPr>
      <w:r>
        <w:rPr>
          <w:color w:val="58595B"/>
          <w:spacing w:val="2"/>
          <w:sz w:val="12"/>
        </w:rPr>
        <w:t xml:space="preserve">Victorian </w:t>
      </w:r>
      <w:r>
        <w:rPr>
          <w:color w:val="58595B"/>
          <w:sz w:val="12"/>
        </w:rPr>
        <w:t xml:space="preserve">Public Sector Commission, </w:t>
      </w:r>
      <w:r>
        <w:rPr>
          <w:i/>
          <w:color w:val="58595B"/>
          <w:sz w:val="12"/>
        </w:rPr>
        <w:t>Welcome to the Board: Directors’ guide to public entity governance</w:t>
      </w:r>
      <w:r>
        <w:rPr>
          <w:color w:val="58595B"/>
          <w:sz w:val="12"/>
        </w:rPr>
        <w:t xml:space="preserve">, p. </w:t>
      </w:r>
      <w:r>
        <w:rPr>
          <w:color w:val="58595B"/>
          <w:spacing w:val="7"/>
          <w:sz w:val="12"/>
        </w:rPr>
        <w:t xml:space="preserve"> </w:t>
      </w:r>
      <w:r>
        <w:rPr>
          <w:color w:val="58595B"/>
          <w:sz w:val="12"/>
        </w:rPr>
        <w:t>9.</w:t>
      </w:r>
    </w:p>
    <w:p w14:paraId="676E5B2F" w14:textId="77777777" w:rsidR="00724131" w:rsidRDefault="00823349">
      <w:pPr>
        <w:pStyle w:val="ListParagraph"/>
        <w:numPr>
          <w:ilvl w:val="0"/>
          <w:numId w:val="23"/>
        </w:numPr>
        <w:tabs>
          <w:tab w:val="left" w:pos="418"/>
        </w:tabs>
        <w:spacing w:before="29" w:line="242" w:lineRule="auto"/>
        <w:ind w:right="1488" w:hanging="283"/>
        <w:rPr>
          <w:sz w:val="12"/>
        </w:rPr>
      </w:pPr>
      <w:r>
        <w:rPr>
          <w:color w:val="58595B"/>
          <w:spacing w:val="2"/>
          <w:sz w:val="12"/>
        </w:rPr>
        <w:t xml:space="preserve">Victorian </w:t>
      </w:r>
      <w:r>
        <w:rPr>
          <w:color w:val="58595B"/>
          <w:sz w:val="12"/>
        </w:rPr>
        <w:t xml:space="preserve">Public Sector Commission, </w:t>
      </w:r>
      <w:r>
        <w:rPr>
          <w:i/>
          <w:color w:val="58595B"/>
          <w:sz w:val="12"/>
        </w:rPr>
        <w:t xml:space="preserve">Welcome to the </w:t>
      </w:r>
      <w:r>
        <w:rPr>
          <w:i/>
          <w:color w:val="58595B"/>
          <w:spacing w:val="2"/>
          <w:sz w:val="12"/>
        </w:rPr>
        <w:t xml:space="preserve">Board, </w:t>
      </w:r>
      <w:r>
        <w:rPr>
          <w:i/>
          <w:color w:val="58595B"/>
          <w:sz w:val="12"/>
        </w:rPr>
        <w:t>Directors’ guide to public entity governance</w:t>
      </w:r>
      <w:r>
        <w:rPr>
          <w:color w:val="58595B"/>
          <w:sz w:val="12"/>
        </w:rPr>
        <w:t xml:space="preserve">, p. </w:t>
      </w:r>
      <w:r>
        <w:rPr>
          <w:color w:val="58595B"/>
          <w:spacing w:val="6"/>
          <w:sz w:val="12"/>
        </w:rPr>
        <w:t xml:space="preserve"> </w:t>
      </w:r>
      <w:r>
        <w:rPr>
          <w:color w:val="58595B"/>
          <w:sz w:val="12"/>
        </w:rPr>
        <w:t>10.</w:t>
      </w:r>
    </w:p>
    <w:p w14:paraId="0FAD05AD" w14:textId="77777777" w:rsidR="00724131" w:rsidRDefault="00823349">
      <w:pPr>
        <w:pStyle w:val="ListParagraph"/>
        <w:numPr>
          <w:ilvl w:val="0"/>
          <w:numId w:val="23"/>
        </w:numPr>
        <w:tabs>
          <w:tab w:val="left" w:pos="418"/>
        </w:tabs>
        <w:spacing w:before="29" w:line="242" w:lineRule="auto"/>
        <w:ind w:right="1528" w:hanging="283"/>
        <w:rPr>
          <w:sz w:val="12"/>
        </w:rPr>
      </w:pPr>
      <w:r>
        <w:rPr>
          <w:color w:val="58595B"/>
          <w:sz w:val="12"/>
        </w:rPr>
        <w:t xml:space="preserve">The Strategy Shop 2015, </w:t>
      </w:r>
      <w:r>
        <w:rPr>
          <w:i/>
          <w:color w:val="58595B"/>
          <w:spacing w:val="2"/>
          <w:sz w:val="12"/>
        </w:rPr>
        <w:t xml:space="preserve">Report </w:t>
      </w:r>
      <w:r>
        <w:rPr>
          <w:i/>
          <w:color w:val="58595B"/>
          <w:sz w:val="12"/>
        </w:rPr>
        <w:t>on submissions to 2015 EPA Inquiry</w:t>
      </w:r>
      <w:r>
        <w:rPr>
          <w:color w:val="58595B"/>
          <w:sz w:val="12"/>
        </w:rPr>
        <w:t>, Melbourne, December, pp.</w:t>
      </w:r>
      <w:r>
        <w:rPr>
          <w:color w:val="58595B"/>
          <w:spacing w:val="31"/>
          <w:sz w:val="12"/>
        </w:rPr>
        <w:t xml:space="preserve"> </w:t>
      </w:r>
      <w:r>
        <w:rPr>
          <w:color w:val="58595B"/>
          <w:sz w:val="12"/>
        </w:rPr>
        <w:t>71-72.</w:t>
      </w:r>
    </w:p>
    <w:p w14:paraId="7BBF8207" w14:textId="4FCE9316" w:rsidR="00724131" w:rsidRDefault="00823349">
      <w:pPr>
        <w:pStyle w:val="ListParagraph"/>
        <w:numPr>
          <w:ilvl w:val="0"/>
          <w:numId w:val="23"/>
        </w:numPr>
        <w:tabs>
          <w:tab w:val="left" w:pos="418"/>
        </w:tabs>
        <w:spacing w:before="29" w:line="242" w:lineRule="auto"/>
        <w:ind w:right="1734" w:hanging="283"/>
        <w:rPr>
          <w:sz w:val="12"/>
        </w:rPr>
      </w:pPr>
      <w:r>
        <w:rPr>
          <w:color w:val="58595B"/>
          <w:sz w:val="12"/>
        </w:rPr>
        <w:t xml:space="preserve">EPA </w:t>
      </w:r>
      <w:r>
        <w:rPr>
          <w:color w:val="58595B"/>
          <w:spacing w:val="2"/>
          <w:sz w:val="12"/>
        </w:rPr>
        <w:t xml:space="preserve">Victoria, </w:t>
      </w:r>
      <w:r>
        <w:rPr>
          <w:color w:val="58595B"/>
          <w:sz w:val="12"/>
        </w:rPr>
        <w:t>Environment Protection Board</w:t>
      </w:r>
      <w:hyperlink r:id="rId22">
        <w:r>
          <w:rPr>
            <w:color w:val="58595B"/>
            <w:sz w:val="12"/>
          </w:rPr>
          <w:t>, www.epa.vic.gov.au/</w:t>
        </w:r>
      </w:hyperlink>
      <w:r>
        <w:rPr>
          <w:color w:val="58595B"/>
          <w:sz w:val="12"/>
        </w:rPr>
        <w:t xml:space="preserve"> </w:t>
      </w:r>
      <w:r>
        <w:rPr>
          <w:color w:val="58595B"/>
          <w:spacing w:val="2"/>
          <w:sz w:val="12"/>
        </w:rPr>
        <w:t>about-us/who-we-ar</w:t>
      </w:r>
      <w:r w:rsidR="00371CFF">
        <w:rPr>
          <w:color w:val="58595B"/>
          <w:spacing w:val="2"/>
          <w:sz w:val="12"/>
        </w:rPr>
        <w:t xml:space="preserve">e/environment-protection-board </w:t>
      </w:r>
      <w:r>
        <w:rPr>
          <w:color w:val="58595B"/>
          <w:sz w:val="12"/>
        </w:rPr>
        <w:t>(accessed 21 March</w:t>
      </w:r>
      <w:r>
        <w:rPr>
          <w:color w:val="58595B"/>
          <w:spacing w:val="7"/>
          <w:sz w:val="12"/>
        </w:rPr>
        <w:t xml:space="preserve"> </w:t>
      </w:r>
      <w:r>
        <w:rPr>
          <w:color w:val="58595B"/>
          <w:sz w:val="12"/>
        </w:rPr>
        <w:t>2016).</w:t>
      </w:r>
    </w:p>
    <w:p w14:paraId="7CEC51FB" w14:textId="42ED9FDD" w:rsidR="00724131" w:rsidRDefault="00823349">
      <w:pPr>
        <w:pStyle w:val="ListParagraph"/>
        <w:numPr>
          <w:ilvl w:val="0"/>
          <w:numId w:val="23"/>
        </w:numPr>
        <w:tabs>
          <w:tab w:val="left" w:pos="418"/>
        </w:tabs>
        <w:spacing w:before="29"/>
        <w:ind w:hanging="283"/>
        <w:rPr>
          <w:sz w:val="12"/>
        </w:rPr>
      </w:pPr>
      <w:r>
        <w:rPr>
          <w:color w:val="58595B"/>
          <w:sz w:val="12"/>
        </w:rPr>
        <w:t xml:space="preserve">Section 333, </w:t>
      </w:r>
      <w:r>
        <w:rPr>
          <w:i/>
          <w:color w:val="58595B"/>
          <w:sz w:val="12"/>
        </w:rPr>
        <w:t>Mental Health Act 2014</w:t>
      </w:r>
      <w:r>
        <w:rPr>
          <w:color w:val="58595B"/>
          <w:sz w:val="12"/>
        </w:rPr>
        <w:t>.</w:t>
      </w:r>
    </w:p>
    <w:p w14:paraId="11120BBD" w14:textId="311AB834" w:rsidR="00724131" w:rsidRDefault="00823349">
      <w:pPr>
        <w:pStyle w:val="ListParagraph"/>
        <w:numPr>
          <w:ilvl w:val="0"/>
          <w:numId w:val="23"/>
        </w:numPr>
        <w:tabs>
          <w:tab w:val="left" w:pos="418"/>
        </w:tabs>
        <w:spacing w:before="30" w:line="242" w:lineRule="auto"/>
        <w:ind w:right="1488" w:hanging="283"/>
        <w:rPr>
          <w:sz w:val="12"/>
        </w:rPr>
      </w:pPr>
      <w:r>
        <w:rPr>
          <w:color w:val="58595B"/>
          <w:spacing w:val="2"/>
          <w:sz w:val="12"/>
        </w:rPr>
        <w:t xml:space="preserve">Victorian </w:t>
      </w:r>
      <w:r>
        <w:rPr>
          <w:color w:val="58595B"/>
          <w:sz w:val="12"/>
        </w:rPr>
        <w:t xml:space="preserve">Public Sector Commission, </w:t>
      </w:r>
      <w:r>
        <w:rPr>
          <w:i/>
          <w:color w:val="58595B"/>
          <w:sz w:val="12"/>
        </w:rPr>
        <w:t xml:space="preserve">Welcome to the </w:t>
      </w:r>
      <w:r>
        <w:rPr>
          <w:i/>
          <w:color w:val="58595B"/>
          <w:spacing w:val="2"/>
          <w:sz w:val="12"/>
        </w:rPr>
        <w:t xml:space="preserve">Board, </w:t>
      </w:r>
      <w:r>
        <w:rPr>
          <w:i/>
          <w:color w:val="58595B"/>
          <w:sz w:val="12"/>
        </w:rPr>
        <w:t>Directors’ guide to public entity governance</w:t>
      </w:r>
      <w:r>
        <w:rPr>
          <w:color w:val="58595B"/>
          <w:sz w:val="12"/>
        </w:rPr>
        <w:t>.</w:t>
      </w:r>
    </w:p>
    <w:p w14:paraId="7C590761" w14:textId="69197157" w:rsidR="00724131" w:rsidRDefault="00823349">
      <w:pPr>
        <w:pStyle w:val="ListParagraph"/>
        <w:numPr>
          <w:ilvl w:val="0"/>
          <w:numId w:val="23"/>
        </w:numPr>
        <w:tabs>
          <w:tab w:val="left" w:pos="418"/>
        </w:tabs>
        <w:spacing w:before="29"/>
        <w:ind w:hanging="283"/>
        <w:rPr>
          <w:sz w:val="12"/>
        </w:rPr>
      </w:pPr>
      <w:r>
        <w:rPr>
          <w:color w:val="58595B"/>
          <w:sz w:val="12"/>
        </w:rPr>
        <w:t xml:space="preserve">Section 42, </w:t>
      </w:r>
      <w:r>
        <w:rPr>
          <w:i/>
          <w:color w:val="58595B"/>
          <w:sz w:val="12"/>
        </w:rPr>
        <w:t>Financial Management Act 1994</w:t>
      </w:r>
      <w:r>
        <w:rPr>
          <w:color w:val="58595B"/>
          <w:sz w:val="12"/>
        </w:rPr>
        <w:t>.</w:t>
      </w:r>
    </w:p>
    <w:p w14:paraId="7E7D1D81" w14:textId="77777777" w:rsidR="00724131" w:rsidRDefault="00823349">
      <w:pPr>
        <w:pStyle w:val="ListParagraph"/>
        <w:numPr>
          <w:ilvl w:val="0"/>
          <w:numId w:val="23"/>
        </w:numPr>
        <w:tabs>
          <w:tab w:val="left" w:pos="418"/>
        </w:tabs>
        <w:spacing w:before="30" w:line="242" w:lineRule="auto"/>
        <w:ind w:right="1722" w:hanging="283"/>
        <w:rPr>
          <w:sz w:val="12"/>
        </w:rPr>
      </w:pPr>
      <w:r>
        <w:rPr>
          <w:color w:val="58595B"/>
          <w:sz w:val="12"/>
        </w:rPr>
        <w:t xml:space="preserve">OECD 2014, </w:t>
      </w:r>
      <w:r>
        <w:rPr>
          <w:i/>
          <w:color w:val="58595B"/>
          <w:sz w:val="12"/>
        </w:rPr>
        <w:t>The governance of regulators</w:t>
      </w:r>
      <w:r>
        <w:rPr>
          <w:color w:val="58595B"/>
          <w:sz w:val="12"/>
        </w:rPr>
        <w:t xml:space="preserve">, OECD Best Practice Principles for Regulatory Policy, OECD Publishing, pp. 71–2; Government of </w:t>
      </w:r>
      <w:r>
        <w:rPr>
          <w:color w:val="58595B"/>
          <w:spacing w:val="2"/>
          <w:sz w:val="12"/>
        </w:rPr>
        <w:t xml:space="preserve">Victoria </w:t>
      </w:r>
      <w:r>
        <w:rPr>
          <w:color w:val="58595B"/>
          <w:sz w:val="12"/>
        </w:rPr>
        <w:t xml:space="preserve">2010, </w:t>
      </w:r>
      <w:r>
        <w:rPr>
          <w:i/>
          <w:color w:val="58595B"/>
          <w:sz w:val="12"/>
        </w:rPr>
        <w:t>Improving governance of regulators: principles and guidelines</w:t>
      </w:r>
      <w:r>
        <w:rPr>
          <w:color w:val="58595B"/>
          <w:sz w:val="12"/>
        </w:rPr>
        <w:t xml:space="preserve">, Melbourne, pp. </w:t>
      </w:r>
      <w:r>
        <w:rPr>
          <w:color w:val="58595B"/>
          <w:spacing w:val="31"/>
          <w:sz w:val="12"/>
        </w:rPr>
        <w:t xml:space="preserve"> </w:t>
      </w:r>
      <w:r>
        <w:rPr>
          <w:color w:val="58595B"/>
          <w:sz w:val="12"/>
        </w:rPr>
        <w:t>36–7.</w:t>
      </w:r>
    </w:p>
    <w:p w14:paraId="20E1D514" w14:textId="77777777" w:rsidR="00724131" w:rsidRDefault="00823349">
      <w:pPr>
        <w:pStyle w:val="ListParagraph"/>
        <w:numPr>
          <w:ilvl w:val="0"/>
          <w:numId w:val="23"/>
        </w:numPr>
        <w:tabs>
          <w:tab w:val="left" w:pos="418"/>
        </w:tabs>
        <w:spacing w:before="29" w:line="242" w:lineRule="auto"/>
        <w:ind w:right="1491" w:hanging="283"/>
        <w:rPr>
          <w:sz w:val="12"/>
        </w:rPr>
      </w:pPr>
      <w:r>
        <w:rPr>
          <w:color w:val="58595B"/>
          <w:spacing w:val="2"/>
          <w:sz w:val="12"/>
        </w:rPr>
        <w:t xml:space="preserve">Victorian </w:t>
      </w:r>
      <w:r>
        <w:rPr>
          <w:color w:val="58595B"/>
          <w:sz w:val="12"/>
        </w:rPr>
        <w:t xml:space="preserve">Public Sector Commission, </w:t>
      </w:r>
      <w:r>
        <w:rPr>
          <w:i/>
          <w:color w:val="58595B"/>
          <w:sz w:val="12"/>
        </w:rPr>
        <w:t>Welcome to the Board: Directors’ guide to public entity governance</w:t>
      </w:r>
      <w:r>
        <w:rPr>
          <w:color w:val="58595B"/>
          <w:sz w:val="12"/>
        </w:rPr>
        <w:t xml:space="preserve">, p. </w:t>
      </w:r>
      <w:r>
        <w:rPr>
          <w:color w:val="58595B"/>
          <w:spacing w:val="7"/>
          <w:sz w:val="12"/>
        </w:rPr>
        <w:t xml:space="preserve"> </w:t>
      </w:r>
      <w:r>
        <w:rPr>
          <w:color w:val="58595B"/>
          <w:spacing w:val="-4"/>
          <w:sz w:val="12"/>
        </w:rPr>
        <w:t>11.</w:t>
      </w:r>
    </w:p>
    <w:p w14:paraId="12B81372" w14:textId="77777777" w:rsidR="00724131" w:rsidRDefault="00823349">
      <w:pPr>
        <w:pStyle w:val="ListParagraph"/>
        <w:numPr>
          <w:ilvl w:val="0"/>
          <w:numId w:val="23"/>
        </w:numPr>
        <w:tabs>
          <w:tab w:val="left" w:pos="418"/>
        </w:tabs>
        <w:spacing w:before="29"/>
        <w:ind w:hanging="283"/>
        <w:rPr>
          <w:sz w:val="12"/>
        </w:rPr>
      </w:pPr>
      <w:r>
        <w:rPr>
          <w:color w:val="58595B"/>
          <w:sz w:val="12"/>
        </w:rPr>
        <w:t xml:space="preserve">Compared with the Chief Health </w:t>
      </w:r>
      <w:r>
        <w:rPr>
          <w:color w:val="58595B"/>
          <w:spacing w:val="3"/>
          <w:sz w:val="12"/>
        </w:rPr>
        <w:t xml:space="preserve">Officer </w:t>
      </w:r>
      <w:r>
        <w:rPr>
          <w:color w:val="58595B"/>
          <w:sz w:val="12"/>
        </w:rPr>
        <w:t xml:space="preserve">appointed under section  </w:t>
      </w:r>
      <w:r>
        <w:rPr>
          <w:color w:val="58595B"/>
          <w:spacing w:val="12"/>
          <w:sz w:val="12"/>
        </w:rPr>
        <w:t xml:space="preserve"> </w:t>
      </w:r>
      <w:r>
        <w:rPr>
          <w:color w:val="58595B"/>
          <w:sz w:val="12"/>
        </w:rPr>
        <w:t>20,</w:t>
      </w:r>
    </w:p>
    <w:p w14:paraId="3ACEB237" w14:textId="68A3AB51" w:rsidR="00724131" w:rsidRDefault="00371CFF">
      <w:pPr>
        <w:spacing w:before="2"/>
        <w:ind w:left="417"/>
        <w:rPr>
          <w:sz w:val="12"/>
        </w:rPr>
      </w:pPr>
      <w:r>
        <w:rPr>
          <w:i/>
          <w:color w:val="58595B"/>
          <w:sz w:val="12"/>
        </w:rPr>
        <w:t>Public Health and Wellbeing Act</w:t>
      </w:r>
      <w:r w:rsidR="00823349">
        <w:rPr>
          <w:i/>
          <w:color w:val="58595B"/>
          <w:sz w:val="12"/>
        </w:rPr>
        <w:t xml:space="preserve"> 2008</w:t>
      </w:r>
      <w:r w:rsidR="00823349">
        <w:rPr>
          <w:color w:val="58595B"/>
          <w:sz w:val="12"/>
        </w:rPr>
        <w:t>.</w:t>
      </w:r>
    </w:p>
    <w:p w14:paraId="2697AB7E" w14:textId="77777777" w:rsidR="00724131" w:rsidRDefault="00823349">
      <w:pPr>
        <w:pStyle w:val="ListParagraph"/>
        <w:numPr>
          <w:ilvl w:val="0"/>
          <w:numId w:val="23"/>
        </w:numPr>
        <w:tabs>
          <w:tab w:val="left" w:pos="418"/>
        </w:tabs>
        <w:spacing w:before="30" w:line="242" w:lineRule="auto"/>
        <w:ind w:right="1819" w:hanging="283"/>
        <w:rPr>
          <w:sz w:val="12"/>
        </w:rPr>
      </w:pPr>
      <w:r>
        <w:rPr>
          <w:color w:val="58595B"/>
          <w:sz w:val="12"/>
        </w:rPr>
        <w:t xml:space="preserve">OECD 2014, </w:t>
      </w:r>
      <w:r>
        <w:rPr>
          <w:i/>
          <w:color w:val="58595B"/>
          <w:sz w:val="12"/>
        </w:rPr>
        <w:t>The governance of regulators</w:t>
      </w:r>
      <w:r>
        <w:rPr>
          <w:color w:val="58595B"/>
          <w:sz w:val="12"/>
        </w:rPr>
        <w:t xml:space="preserve">, OECD Best Practice Principles for Regulatory Policy, OECD Publishing, pp.  </w:t>
      </w:r>
      <w:r>
        <w:rPr>
          <w:color w:val="58595B"/>
          <w:spacing w:val="10"/>
          <w:sz w:val="12"/>
        </w:rPr>
        <w:t xml:space="preserve"> </w:t>
      </w:r>
      <w:r>
        <w:rPr>
          <w:color w:val="58595B"/>
          <w:spacing w:val="3"/>
          <w:sz w:val="12"/>
        </w:rPr>
        <w:t>79-88.</w:t>
      </w:r>
    </w:p>
    <w:p w14:paraId="239ACD81" w14:textId="77777777" w:rsidR="00724131" w:rsidRDefault="00823349">
      <w:pPr>
        <w:pStyle w:val="ListParagraph"/>
        <w:numPr>
          <w:ilvl w:val="0"/>
          <w:numId w:val="23"/>
        </w:numPr>
        <w:tabs>
          <w:tab w:val="left" w:pos="418"/>
        </w:tabs>
        <w:spacing w:before="29" w:line="242" w:lineRule="auto"/>
        <w:ind w:right="1819" w:hanging="283"/>
        <w:rPr>
          <w:sz w:val="12"/>
        </w:rPr>
      </w:pPr>
      <w:r>
        <w:rPr>
          <w:color w:val="58595B"/>
          <w:sz w:val="12"/>
        </w:rPr>
        <w:t xml:space="preserve">OECD 2014, </w:t>
      </w:r>
      <w:r>
        <w:rPr>
          <w:i/>
          <w:color w:val="58595B"/>
          <w:sz w:val="12"/>
        </w:rPr>
        <w:t>The governance of regulators</w:t>
      </w:r>
      <w:r>
        <w:rPr>
          <w:color w:val="58595B"/>
          <w:sz w:val="12"/>
        </w:rPr>
        <w:t xml:space="preserve">, OECD Best Practice Principles for Regulatory Policy, OECD Publishing, p. </w:t>
      </w:r>
      <w:r>
        <w:rPr>
          <w:color w:val="58595B"/>
          <w:spacing w:val="32"/>
          <w:sz w:val="12"/>
        </w:rPr>
        <w:t xml:space="preserve"> </w:t>
      </w:r>
      <w:r>
        <w:rPr>
          <w:color w:val="58595B"/>
          <w:sz w:val="12"/>
        </w:rPr>
        <w:t>81.</w:t>
      </w:r>
    </w:p>
    <w:p w14:paraId="04CA8158" w14:textId="77777777" w:rsidR="00724131" w:rsidRDefault="00823349">
      <w:pPr>
        <w:pStyle w:val="ListParagraph"/>
        <w:numPr>
          <w:ilvl w:val="0"/>
          <w:numId w:val="23"/>
        </w:numPr>
        <w:tabs>
          <w:tab w:val="left" w:pos="418"/>
        </w:tabs>
        <w:spacing w:before="29" w:line="242" w:lineRule="auto"/>
        <w:ind w:right="1528" w:hanging="283"/>
        <w:rPr>
          <w:sz w:val="12"/>
        </w:rPr>
      </w:pPr>
      <w:r>
        <w:rPr>
          <w:color w:val="58595B"/>
          <w:sz w:val="12"/>
        </w:rPr>
        <w:t xml:space="preserve">The Strategy Shop 2015, </w:t>
      </w:r>
      <w:r>
        <w:rPr>
          <w:i/>
          <w:color w:val="58595B"/>
          <w:spacing w:val="2"/>
          <w:sz w:val="12"/>
        </w:rPr>
        <w:t xml:space="preserve">Report </w:t>
      </w:r>
      <w:r>
        <w:rPr>
          <w:i/>
          <w:color w:val="58595B"/>
          <w:sz w:val="12"/>
        </w:rPr>
        <w:t>on submissions to 2015 EPA Inquiry</w:t>
      </w:r>
      <w:r>
        <w:rPr>
          <w:color w:val="58595B"/>
          <w:sz w:val="12"/>
        </w:rPr>
        <w:t xml:space="preserve">, December, Melbourne, p. </w:t>
      </w:r>
      <w:r>
        <w:rPr>
          <w:color w:val="58595B"/>
          <w:spacing w:val="3"/>
          <w:sz w:val="12"/>
        </w:rPr>
        <w:t xml:space="preserve"> </w:t>
      </w:r>
      <w:r>
        <w:rPr>
          <w:color w:val="58595B"/>
          <w:sz w:val="12"/>
        </w:rPr>
        <w:t>63.</w:t>
      </w:r>
    </w:p>
    <w:p w14:paraId="67D0B846" w14:textId="77777777" w:rsidR="00724131" w:rsidRDefault="00823349">
      <w:pPr>
        <w:pStyle w:val="ListParagraph"/>
        <w:numPr>
          <w:ilvl w:val="0"/>
          <w:numId w:val="23"/>
        </w:numPr>
        <w:tabs>
          <w:tab w:val="left" w:pos="418"/>
        </w:tabs>
        <w:spacing w:before="29" w:line="242" w:lineRule="auto"/>
        <w:ind w:right="1451" w:hanging="283"/>
        <w:rPr>
          <w:sz w:val="12"/>
        </w:rPr>
      </w:pPr>
      <w:r>
        <w:rPr>
          <w:color w:val="58595B"/>
          <w:sz w:val="12"/>
        </w:rPr>
        <w:t xml:space="preserve">Australian National Audit </w:t>
      </w:r>
      <w:r>
        <w:rPr>
          <w:color w:val="58595B"/>
          <w:spacing w:val="3"/>
          <w:sz w:val="12"/>
        </w:rPr>
        <w:t xml:space="preserve">Office </w:t>
      </w:r>
      <w:r>
        <w:rPr>
          <w:color w:val="58595B"/>
          <w:sz w:val="12"/>
        </w:rPr>
        <w:t xml:space="preserve">2007, </w:t>
      </w:r>
      <w:r>
        <w:rPr>
          <w:i/>
          <w:color w:val="58595B"/>
          <w:sz w:val="12"/>
        </w:rPr>
        <w:t>Administering Regulation</w:t>
      </w:r>
      <w:r>
        <w:rPr>
          <w:color w:val="58595B"/>
          <w:sz w:val="12"/>
        </w:rPr>
        <w:t xml:space="preserve">, Better Practice Guide, Canberra, p. 6, quoted in OECD 2014, </w:t>
      </w:r>
      <w:r>
        <w:rPr>
          <w:i/>
          <w:color w:val="58595B"/>
          <w:sz w:val="12"/>
        </w:rPr>
        <w:t>The governance  of regulators</w:t>
      </w:r>
      <w:r>
        <w:rPr>
          <w:color w:val="58595B"/>
          <w:sz w:val="12"/>
        </w:rPr>
        <w:t>, OECD Best Practice Principles for Regulatory Policy, OECD Publishing, p.</w:t>
      </w:r>
      <w:r>
        <w:rPr>
          <w:color w:val="58595B"/>
          <w:spacing w:val="18"/>
          <w:sz w:val="12"/>
        </w:rPr>
        <w:t xml:space="preserve"> </w:t>
      </w:r>
      <w:r>
        <w:rPr>
          <w:color w:val="58595B"/>
          <w:sz w:val="12"/>
        </w:rPr>
        <w:t>81.</w:t>
      </w:r>
    </w:p>
    <w:p w14:paraId="4D3A552F" w14:textId="3CB28047" w:rsidR="00724131" w:rsidRDefault="00823349">
      <w:pPr>
        <w:pStyle w:val="ListParagraph"/>
        <w:numPr>
          <w:ilvl w:val="0"/>
          <w:numId w:val="23"/>
        </w:numPr>
        <w:tabs>
          <w:tab w:val="left" w:pos="418"/>
        </w:tabs>
        <w:spacing w:before="29" w:line="242" w:lineRule="auto"/>
        <w:ind w:right="1819" w:hanging="283"/>
        <w:rPr>
          <w:sz w:val="12"/>
        </w:rPr>
      </w:pPr>
      <w:r>
        <w:rPr>
          <w:color w:val="58595B"/>
          <w:sz w:val="12"/>
        </w:rPr>
        <w:t xml:space="preserve">OECD 2014, </w:t>
      </w:r>
      <w:r>
        <w:rPr>
          <w:i/>
          <w:color w:val="58595B"/>
          <w:sz w:val="12"/>
        </w:rPr>
        <w:t>The governance of regulators</w:t>
      </w:r>
      <w:r>
        <w:rPr>
          <w:color w:val="58595B"/>
          <w:sz w:val="12"/>
        </w:rPr>
        <w:t>, OECD Best Practice Principles for Regulatory Policy, OECD Publishing, p.  84.</w:t>
      </w:r>
    </w:p>
    <w:p w14:paraId="51E2BA4C" w14:textId="69F0246E" w:rsidR="00724131" w:rsidRDefault="00823349">
      <w:pPr>
        <w:pStyle w:val="ListParagraph"/>
        <w:numPr>
          <w:ilvl w:val="0"/>
          <w:numId w:val="23"/>
        </w:numPr>
        <w:tabs>
          <w:tab w:val="left" w:pos="418"/>
        </w:tabs>
        <w:spacing w:before="29"/>
        <w:ind w:hanging="283"/>
        <w:rPr>
          <w:sz w:val="12"/>
        </w:rPr>
      </w:pPr>
      <w:r>
        <w:rPr>
          <w:color w:val="58595B"/>
          <w:sz w:val="12"/>
        </w:rPr>
        <w:t xml:space="preserve">Roger </w:t>
      </w:r>
      <w:r>
        <w:rPr>
          <w:color w:val="58595B"/>
          <w:spacing w:val="2"/>
          <w:sz w:val="12"/>
        </w:rPr>
        <w:t xml:space="preserve">Hawthorn, Swinburne </w:t>
      </w:r>
      <w:r>
        <w:rPr>
          <w:color w:val="58595B"/>
          <w:sz w:val="12"/>
        </w:rPr>
        <w:t>University submission, p.3.</w:t>
      </w:r>
    </w:p>
    <w:p w14:paraId="0211E7BB" w14:textId="77777777" w:rsidR="00724131" w:rsidRDefault="00823349">
      <w:pPr>
        <w:pStyle w:val="ListParagraph"/>
        <w:numPr>
          <w:ilvl w:val="0"/>
          <w:numId w:val="23"/>
        </w:numPr>
        <w:tabs>
          <w:tab w:val="left" w:pos="418"/>
        </w:tabs>
        <w:spacing w:before="30" w:line="242" w:lineRule="auto"/>
        <w:ind w:right="1619" w:hanging="283"/>
        <w:rPr>
          <w:sz w:val="12"/>
        </w:rPr>
      </w:pPr>
      <w:r>
        <w:rPr>
          <w:color w:val="58595B"/>
          <w:sz w:val="12"/>
        </w:rPr>
        <w:t xml:space="preserve">Australian Contaminated Land Consultants </w:t>
      </w:r>
      <w:r>
        <w:rPr>
          <w:color w:val="58595B"/>
          <w:spacing w:val="2"/>
          <w:sz w:val="12"/>
        </w:rPr>
        <w:t xml:space="preserve">Association </w:t>
      </w:r>
      <w:r>
        <w:rPr>
          <w:color w:val="58595B"/>
          <w:sz w:val="12"/>
        </w:rPr>
        <w:t>submission,  p.</w:t>
      </w:r>
      <w:r>
        <w:rPr>
          <w:color w:val="58595B"/>
          <w:spacing w:val="1"/>
          <w:sz w:val="12"/>
        </w:rPr>
        <w:t xml:space="preserve"> </w:t>
      </w:r>
      <w:r>
        <w:rPr>
          <w:color w:val="58595B"/>
          <w:spacing w:val="-4"/>
          <w:sz w:val="12"/>
        </w:rPr>
        <w:t>11.</w:t>
      </w:r>
    </w:p>
    <w:p w14:paraId="03F3968D" w14:textId="77777777" w:rsidR="00724131" w:rsidRDefault="00724131">
      <w:pPr>
        <w:spacing w:line="242" w:lineRule="auto"/>
        <w:rPr>
          <w:sz w:val="12"/>
        </w:rPr>
        <w:sectPr w:rsidR="00724131">
          <w:type w:val="continuous"/>
          <w:pgSz w:w="11910" w:h="16840"/>
          <w:pgMar w:top="360" w:right="0" w:bottom="0" w:left="1680" w:header="720" w:footer="720" w:gutter="0"/>
          <w:cols w:num="2" w:space="720" w:equalWidth="0">
            <w:col w:w="4321" w:space="136"/>
            <w:col w:w="5773"/>
          </w:cols>
        </w:sectPr>
      </w:pPr>
    </w:p>
    <w:p w14:paraId="32E359BF" w14:textId="77777777" w:rsidR="00724131" w:rsidRDefault="00823349">
      <w:pPr>
        <w:pStyle w:val="BodyText"/>
        <w:ind w:right="-39"/>
      </w:pPr>
      <w:r>
        <w:rPr>
          <w:noProof/>
        </w:rPr>
        <w:lastRenderedPageBreak/>
        <w:drawing>
          <wp:inline distT="0" distB="0" distL="0" distR="0" wp14:anchorId="7225DD5D" wp14:editId="55F5828B">
            <wp:extent cx="7559310" cy="10692384"/>
            <wp:effectExtent l="0" t="0" r="0" b="0"/>
            <wp:docPr id="11"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5.jpeg"/>
                    <pic:cNvPicPr/>
                  </pic:nvPicPr>
                  <pic:blipFill>
                    <a:blip r:embed="rId10" cstate="email">
                      <a:extLst>
                        <a:ext uri="{28A0092B-C50C-407E-A947-70E740481C1C}">
                          <a14:useLocalDpi xmlns:a14="http://schemas.microsoft.com/office/drawing/2010/main"/>
                        </a:ext>
                      </a:extLst>
                    </a:blip>
                    <a:stretch>
                      <a:fillRect/>
                    </a:stretch>
                  </pic:blipFill>
                  <pic:spPr>
                    <a:xfrm>
                      <a:off x="0" y="0"/>
                      <a:ext cx="7559310" cy="10692384"/>
                    </a:xfrm>
                    <a:prstGeom prst="rect">
                      <a:avLst/>
                    </a:prstGeom>
                  </pic:spPr>
                </pic:pic>
              </a:graphicData>
            </a:graphic>
          </wp:inline>
        </w:drawing>
      </w:r>
    </w:p>
    <w:p w14:paraId="56F6B989" w14:textId="77777777" w:rsidR="00724131" w:rsidRDefault="00724131">
      <w:pPr>
        <w:sectPr w:rsidR="00724131">
          <w:headerReference w:type="default" r:id="rId23"/>
          <w:pgSz w:w="11910" w:h="16840"/>
          <w:pgMar w:top="0" w:right="0" w:bottom="0" w:left="0" w:header="0" w:footer="0" w:gutter="0"/>
          <w:cols w:space="720"/>
        </w:sectPr>
      </w:pPr>
    </w:p>
    <w:p w14:paraId="5238A076" w14:textId="77777777" w:rsidR="00724131" w:rsidRDefault="00054426">
      <w:pPr>
        <w:spacing w:before="61"/>
        <w:ind w:right="112"/>
        <w:jc w:val="right"/>
        <w:rPr>
          <w:sz w:val="15"/>
        </w:rPr>
      </w:pPr>
      <w:r>
        <w:lastRenderedPageBreak/>
        <w:pict w14:anchorId="6839CC2C">
          <v:group id="_x0000_s1044" style="position:absolute;left:0;text-align:left;margin-left:.05pt;margin-top:0;width:598.7pt;height:841.9pt;z-index:-59656;mso-position-horizontal-relative:page;mso-position-vertical-relative:page" coordorigin="2" coordsize="11974,16838">
            <v:shape id="_x0000_s1046" type="#_x0000_t75" style="position:absolute;left:2;width:11904;height:16838">
              <v:imagedata r:id="rId24" o:title=""/>
            </v:shape>
            <v:line id="_x0000_s1045" style="position:absolute" from="10700,917" to="11906,917" strokecolor="#0095a7" strokeweight="7pt"/>
            <w10:wrap anchorx="page" anchory="page"/>
          </v:group>
        </w:pict>
      </w:r>
      <w:r w:rsidR="00823349">
        <w:rPr>
          <w:color w:val="58595B"/>
          <w:sz w:val="15"/>
        </w:rPr>
        <w:t>343</w:t>
      </w:r>
    </w:p>
    <w:p w14:paraId="6170AF60" w14:textId="77777777" w:rsidR="00724131" w:rsidRDefault="00724131">
      <w:pPr>
        <w:pStyle w:val="BodyText"/>
      </w:pPr>
    </w:p>
    <w:p w14:paraId="3B04CDEB" w14:textId="77777777" w:rsidR="00724131" w:rsidRDefault="00724131">
      <w:pPr>
        <w:pStyle w:val="BodyText"/>
      </w:pPr>
    </w:p>
    <w:p w14:paraId="425C7442" w14:textId="77777777" w:rsidR="00724131" w:rsidRDefault="00724131">
      <w:pPr>
        <w:pStyle w:val="BodyText"/>
      </w:pPr>
    </w:p>
    <w:p w14:paraId="6FE4D12E" w14:textId="77777777" w:rsidR="00724131" w:rsidRDefault="00724131">
      <w:pPr>
        <w:pStyle w:val="BodyText"/>
      </w:pPr>
    </w:p>
    <w:p w14:paraId="3839BD4F" w14:textId="77777777" w:rsidR="00724131" w:rsidRDefault="00724131">
      <w:pPr>
        <w:pStyle w:val="BodyText"/>
        <w:spacing w:before="5"/>
        <w:rPr>
          <w:sz w:val="17"/>
        </w:rPr>
      </w:pPr>
    </w:p>
    <w:p w14:paraId="1A20533F" w14:textId="77777777" w:rsidR="00724131" w:rsidRDefault="00823349">
      <w:pPr>
        <w:pStyle w:val="Heading4"/>
        <w:spacing w:before="0"/>
        <w:ind w:left="134" w:right="1246"/>
      </w:pPr>
      <w:r>
        <w:rPr>
          <w:color w:val="0095A7"/>
        </w:rPr>
        <w:t>CHAPTER 20</w:t>
      </w:r>
    </w:p>
    <w:p w14:paraId="65265FAB" w14:textId="77777777" w:rsidR="00724131" w:rsidRDefault="00823349">
      <w:pPr>
        <w:spacing w:before="79"/>
        <w:ind w:left="134" w:right="1246"/>
        <w:rPr>
          <w:sz w:val="40"/>
        </w:rPr>
      </w:pPr>
      <w:r>
        <w:rPr>
          <w:color w:val="58595B"/>
          <w:sz w:val="40"/>
        </w:rPr>
        <w:t>THE EPA’S CAPABILITY NEEDS</w:t>
      </w:r>
    </w:p>
    <w:p w14:paraId="0C30FD6A" w14:textId="77777777" w:rsidR="00724131" w:rsidRDefault="00724131">
      <w:pPr>
        <w:rPr>
          <w:sz w:val="40"/>
        </w:rPr>
        <w:sectPr w:rsidR="00724131">
          <w:headerReference w:type="even" r:id="rId25"/>
          <w:pgSz w:w="11910" w:h="16840"/>
          <w:pgMar w:top="740" w:right="1300" w:bottom="280" w:left="1680" w:header="0" w:footer="0" w:gutter="0"/>
          <w:cols w:space="720"/>
        </w:sectPr>
      </w:pPr>
    </w:p>
    <w:p w14:paraId="4E767A43" w14:textId="77777777" w:rsidR="00724131" w:rsidRDefault="00724131">
      <w:pPr>
        <w:pStyle w:val="BodyText"/>
      </w:pPr>
    </w:p>
    <w:p w14:paraId="323D435E" w14:textId="77777777" w:rsidR="00724131" w:rsidRDefault="00724131">
      <w:pPr>
        <w:pStyle w:val="BodyText"/>
      </w:pPr>
    </w:p>
    <w:p w14:paraId="734E3D9E" w14:textId="77777777" w:rsidR="00724131" w:rsidRDefault="00724131">
      <w:pPr>
        <w:pStyle w:val="BodyText"/>
      </w:pPr>
    </w:p>
    <w:p w14:paraId="1B9ED9C0" w14:textId="77777777" w:rsidR="00724131" w:rsidRDefault="00724131">
      <w:pPr>
        <w:pStyle w:val="BodyText"/>
      </w:pPr>
    </w:p>
    <w:p w14:paraId="38145E43" w14:textId="77777777" w:rsidR="00724131" w:rsidRDefault="00823349">
      <w:pPr>
        <w:pStyle w:val="Heading2"/>
      </w:pPr>
      <w:r>
        <w:rPr>
          <w:color w:val="0095A7"/>
        </w:rPr>
        <w:t>THE EPA’S CAPABILITY NEEDS</w:t>
      </w:r>
    </w:p>
    <w:p w14:paraId="0070FD12" w14:textId="77777777" w:rsidR="00724131" w:rsidRDefault="00054426">
      <w:pPr>
        <w:pStyle w:val="BodyText"/>
        <w:spacing w:before="4"/>
        <w:rPr>
          <w:sz w:val="17"/>
        </w:rPr>
      </w:pPr>
      <w:r>
        <w:pict w14:anchorId="0C5AA6EE">
          <v:shape id="_x0000_s1043" type="#_x0000_t202" style="position:absolute;margin-left:70.85pt;margin-top:11.2pt;width:433.7pt;height:281.65pt;z-index:1288;mso-wrap-distance-left:0;mso-wrap-distance-right:0;mso-position-horizontal-relative:page" fillcolor="#eff6f0" stroked="f">
            <v:textbox inset="0,0,0,0">
              <w:txbxContent>
                <w:p w14:paraId="03FCFBFE" w14:textId="77777777" w:rsidR="00724131" w:rsidRDefault="00823349">
                  <w:pPr>
                    <w:spacing w:before="128"/>
                    <w:ind w:left="170" w:right="541"/>
                    <w:rPr>
                      <w:b/>
                      <w:sz w:val="20"/>
                    </w:rPr>
                  </w:pPr>
                  <w:r>
                    <w:rPr>
                      <w:b/>
                      <w:color w:val="0095A7"/>
                      <w:sz w:val="20"/>
                    </w:rPr>
                    <w:t>KEY MESSAGES</w:t>
                  </w:r>
                </w:p>
                <w:p w14:paraId="1B5BF0E1" w14:textId="77777777" w:rsidR="00724131" w:rsidRDefault="00724131">
                  <w:pPr>
                    <w:pStyle w:val="BodyText"/>
                    <w:spacing w:before="1"/>
                    <w:rPr>
                      <w:sz w:val="28"/>
                    </w:rPr>
                  </w:pPr>
                </w:p>
                <w:p w14:paraId="3134A4A8" w14:textId="77777777" w:rsidR="00724131" w:rsidRDefault="00823349">
                  <w:pPr>
                    <w:pStyle w:val="BodyText"/>
                    <w:spacing w:line="280" w:lineRule="auto"/>
                    <w:ind w:left="170" w:right="541"/>
                  </w:pPr>
                  <w:r>
                    <w:rPr>
                      <w:color w:val="58595B"/>
                    </w:rPr>
                    <w:t>The EPA needs multi-disciplinary capabilities alongside enhanced technical expertise to be effective as a mature regulator with a preventative and strategic focus. It should be an innovative problem solver, which is responsive and adaptive.</w:t>
                  </w:r>
                </w:p>
                <w:p w14:paraId="4B9D8E5B" w14:textId="77777777" w:rsidR="00724131" w:rsidRDefault="00823349">
                  <w:pPr>
                    <w:pStyle w:val="BodyText"/>
                    <w:spacing w:before="172" w:line="280" w:lineRule="auto"/>
                    <w:ind w:left="170" w:right="536"/>
                  </w:pPr>
                  <w:r>
                    <w:rPr>
                      <w:color w:val="58595B"/>
                    </w:rPr>
                    <w:t>Getting the mix right – of skills, knowledge and resources – is critically important to deliver outcomes. And the right mix will change over time as problems change and tools evolve. The proposed general duty needs the EPA to have new and enhanced capabilities to maximise the general duty’s benefits to Victoria.</w:t>
                  </w:r>
                </w:p>
                <w:p w14:paraId="766B2447" w14:textId="77777777" w:rsidR="00724131" w:rsidRDefault="00823349">
                  <w:pPr>
                    <w:pStyle w:val="BodyText"/>
                    <w:spacing w:before="172"/>
                    <w:ind w:left="170" w:right="541"/>
                  </w:pPr>
                  <w:r>
                    <w:rPr>
                      <w:color w:val="58595B"/>
                    </w:rPr>
                    <w:t>In particular, the EPA of the future must have the capability to:</w:t>
                  </w:r>
                </w:p>
                <w:p w14:paraId="075BB53A" w14:textId="77777777" w:rsidR="00724131" w:rsidRDefault="00823349">
                  <w:pPr>
                    <w:pStyle w:val="ListParagraph"/>
                    <w:numPr>
                      <w:ilvl w:val="0"/>
                      <w:numId w:val="22"/>
                    </w:numPr>
                    <w:tabs>
                      <w:tab w:val="left" w:pos="341"/>
                    </w:tabs>
                    <w:spacing w:before="163" w:line="292" w:lineRule="auto"/>
                    <w:ind w:right="988" w:hanging="170"/>
                    <w:rPr>
                      <w:sz w:val="20"/>
                    </w:rPr>
                  </w:pPr>
                  <w:r>
                    <w:rPr>
                      <w:color w:val="58595B"/>
                      <w:sz w:val="20"/>
                    </w:rPr>
                    <w:t>maintain high level scientific and technical expertise, informed by technologies and data</w:t>
                  </w:r>
                  <w:r>
                    <w:rPr>
                      <w:color w:val="58595B"/>
                      <w:spacing w:val="-2"/>
                      <w:sz w:val="20"/>
                    </w:rPr>
                    <w:t xml:space="preserve"> </w:t>
                  </w:r>
                  <w:r>
                    <w:rPr>
                      <w:color w:val="58595B"/>
                      <w:sz w:val="20"/>
                    </w:rPr>
                    <w:t>analysis</w:t>
                  </w:r>
                </w:p>
                <w:p w14:paraId="6444283E" w14:textId="77777777" w:rsidR="00724131" w:rsidRDefault="00823349">
                  <w:pPr>
                    <w:pStyle w:val="ListParagraph"/>
                    <w:numPr>
                      <w:ilvl w:val="0"/>
                      <w:numId w:val="22"/>
                    </w:numPr>
                    <w:tabs>
                      <w:tab w:val="left" w:pos="341"/>
                    </w:tabs>
                    <w:spacing w:before="104"/>
                    <w:ind w:hanging="170"/>
                    <w:rPr>
                      <w:sz w:val="20"/>
                    </w:rPr>
                  </w:pPr>
                  <w:r>
                    <w:rPr>
                      <w:color w:val="58595B"/>
                      <w:sz w:val="20"/>
                    </w:rPr>
                    <w:t>influence strategic planning and decision making processes within</w:t>
                  </w:r>
                  <w:r>
                    <w:rPr>
                      <w:color w:val="58595B"/>
                      <w:spacing w:val="11"/>
                      <w:sz w:val="20"/>
                    </w:rPr>
                    <w:t xml:space="preserve"> </w:t>
                  </w:r>
                  <w:r>
                    <w:rPr>
                      <w:color w:val="58595B"/>
                      <w:sz w:val="20"/>
                    </w:rPr>
                    <w:t>government</w:t>
                  </w:r>
                </w:p>
                <w:p w14:paraId="25C8B8E1" w14:textId="77777777" w:rsidR="00724131" w:rsidRDefault="00823349">
                  <w:pPr>
                    <w:pStyle w:val="ListParagraph"/>
                    <w:numPr>
                      <w:ilvl w:val="0"/>
                      <w:numId w:val="22"/>
                    </w:numPr>
                    <w:tabs>
                      <w:tab w:val="left" w:pos="341"/>
                    </w:tabs>
                    <w:spacing w:before="153" w:line="280" w:lineRule="auto"/>
                    <w:ind w:right="450" w:hanging="170"/>
                    <w:rPr>
                      <w:sz w:val="20"/>
                    </w:rPr>
                  </w:pPr>
                  <w:r>
                    <w:rPr>
                      <w:color w:val="58595B"/>
                      <w:sz w:val="20"/>
                    </w:rPr>
                    <w:t>evaluate the effectiveness of its regulatory tool kit and adjust it to reflect better regulatory practice and maintain currency with evolving knowledge and</w:t>
                  </w:r>
                  <w:r>
                    <w:rPr>
                      <w:color w:val="58595B"/>
                      <w:spacing w:val="10"/>
                      <w:sz w:val="20"/>
                    </w:rPr>
                    <w:t xml:space="preserve"> </w:t>
                  </w:r>
                  <w:r>
                    <w:rPr>
                      <w:color w:val="58595B"/>
                      <w:sz w:val="20"/>
                    </w:rPr>
                    <w:t>conditions</w:t>
                  </w:r>
                </w:p>
                <w:p w14:paraId="206947DD" w14:textId="77777777" w:rsidR="00724131" w:rsidRDefault="00823349">
                  <w:pPr>
                    <w:pStyle w:val="ListParagraph"/>
                    <w:numPr>
                      <w:ilvl w:val="0"/>
                      <w:numId w:val="22"/>
                    </w:numPr>
                    <w:tabs>
                      <w:tab w:val="left" w:pos="341"/>
                    </w:tabs>
                    <w:spacing w:line="280" w:lineRule="auto"/>
                    <w:ind w:right="470" w:hanging="170"/>
                    <w:rPr>
                      <w:sz w:val="20"/>
                    </w:rPr>
                  </w:pPr>
                  <w:r>
                    <w:rPr>
                      <w:color w:val="58595B"/>
                      <w:sz w:val="20"/>
                    </w:rPr>
                    <w:t>provide education and information, including shared data, to businesses and the broader community, to support compliance and better manage</w:t>
                  </w:r>
                  <w:r>
                    <w:rPr>
                      <w:color w:val="58595B"/>
                      <w:spacing w:val="7"/>
                      <w:sz w:val="20"/>
                    </w:rPr>
                    <w:t xml:space="preserve"> </w:t>
                  </w:r>
                  <w:r>
                    <w:rPr>
                      <w:color w:val="58595B"/>
                      <w:sz w:val="20"/>
                    </w:rPr>
                    <w:t>risks.</w:t>
                  </w:r>
                </w:p>
              </w:txbxContent>
            </v:textbox>
            <w10:wrap type="topAndBottom" anchorx="page"/>
          </v:shape>
        </w:pict>
      </w:r>
    </w:p>
    <w:p w14:paraId="09A94F05" w14:textId="77777777" w:rsidR="00724131" w:rsidRDefault="00724131">
      <w:pPr>
        <w:pStyle w:val="BodyText"/>
        <w:spacing w:before="7"/>
        <w:rPr>
          <w:sz w:val="28"/>
        </w:rPr>
      </w:pPr>
    </w:p>
    <w:p w14:paraId="3F491E20" w14:textId="77777777" w:rsidR="00724131" w:rsidRDefault="00823349">
      <w:pPr>
        <w:pStyle w:val="ListParagraph"/>
        <w:numPr>
          <w:ilvl w:val="1"/>
          <w:numId w:val="21"/>
        </w:numPr>
        <w:tabs>
          <w:tab w:val="left" w:pos="1987"/>
        </w:tabs>
        <w:spacing w:before="69"/>
        <w:ind w:hanging="569"/>
        <w:jc w:val="left"/>
        <w:rPr>
          <w:sz w:val="24"/>
        </w:rPr>
      </w:pPr>
      <w:r>
        <w:rPr>
          <w:color w:val="0095A7"/>
          <w:sz w:val="24"/>
        </w:rPr>
        <w:t>Introduction</w:t>
      </w:r>
    </w:p>
    <w:p w14:paraId="73159683" w14:textId="77777777" w:rsidR="00724131" w:rsidRDefault="00823349">
      <w:pPr>
        <w:pStyle w:val="BodyText"/>
        <w:spacing w:before="145" w:line="280" w:lineRule="auto"/>
        <w:ind w:left="1417" w:right="277"/>
      </w:pPr>
      <w:r>
        <w:rPr>
          <w:color w:val="58595B"/>
        </w:rPr>
        <w:t>The EPA must have enhanced capabilities to meet the challenges that it faces now and in the future. These challenges are significant. They include the impacts of climate change, population growth and diffuse source pollution. They also include increased demands by the community, business and other areas of government. Our vision involves the EPA being proactive to prevent harm from pollution and waste. This will require the EPA to be many things, including influential, expert, assertive, innovative, responsive and collaborative. To be these things the EPA must invest in new capabilities, including new skills and new technology. It must also build on the knowledge and experience that it already holds.</w:t>
      </w:r>
    </w:p>
    <w:p w14:paraId="1E3C22DE" w14:textId="77777777" w:rsidR="00724131" w:rsidRDefault="00823349">
      <w:pPr>
        <w:pStyle w:val="BodyText"/>
        <w:spacing w:before="172" w:line="280" w:lineRule="auto"/>
        <w:ind w:left="1417" w:right="228"/>
      </w:pPr>
      <w:r>
        <w:rPr>
          <w:color w:val="58595B"/>
        </w:rPr>
        <w:t>The capability needs that we identify for the future do not reflect on the individual capabilities of current staff, whom stakeholders valued highly for their skills and expertise. It was not within our remit to attempt a detailed analysis of the EPA’s current capabilities.</w:t>
      </w:r>
    </w:p>
    <w:p w14:paraId="04125B1F" w14:textId="77777777" w:rsidR="00724131" w:rsidRDefault="00823349">
      <w:pPr>
        <w:pStyle w:val="BodyText"/>
        <w:spacing w:before="172" w:line="280" w:lineRule="auto"/>
        <w:ind w:left="1417" w:right="155"/>
      </w:pPr>
      <w:r>
        <w:rPr>
          <w:color w:val="58595B"/>
        </w:rPr>
        <w:t xml:space="preserve">Our findings on capabilities are initial signposts, which should be confirmed by a comprehensive assessment using government capability frameworks. We recommend that this should be initiated by the </w:t>
      </w:r>
      <w:r>
        <w:rPr>
          <w:color w:val="58595B"/>
          <w:spacing w:val="-4"/>
        </w:rPr>
        <w:t xml:space="preserve">EPA </w:t>
      </w:r>
      <w:r>
        <w:rPr>
          <w:color w:val="58595B"/>
        </w:rPr>
        <w:t xml:space="preserve">Board once the new governance arrangements are in place. This capability review  will need to take account of the particular requirements needed to deliver and operate the reforms identified for the </w:t>
      </w:r>
      <w:r>
        <w:rPr>
          <w:color w:val="58595B"/>
          <w:spacing w:val="-7"/>
        </w:rPr>
        <w:t xml:space="preserve">EPA’s </w:t>
      </w:r>
      <w:r>
        <w:rPr>
          <w:color w:val="58595B"/>
        </w:rPr>
        <w:t>functions, new statutory tools and governance</w:t>
      </w:r>
      <w:r>
        <w:rPr>
          <w:color w:val="58595B"/>
          <w:spacing w:val="32"/>
        </w:rPr>
        <w:t xml:space="preserve"> </w:t>
      </w:r>
      <w:r>
        <w:rPr>
          <w:color w:val="58595B"/>
        </w:rPr>
        <w:t>arrangements.</w:t>
      </w:r>
    </w:p>
    <w:p w14:paraId="4F3E57C7" w14:textId="77777777" w:rsidR="00724131" w:rsidRDefault="00823349">
      <w:pPr>
        <w:pStyle w:val="BodyText"/>
        <w:spacing w:before="172" w:line="280" w:lineRule="auto"/>
        <w:ind w:left="1417" w:right="42"/>
      </w:pPr>
      <w:r>
        <w:rPr>
          <w:color w:val="58595B"/>
        </w:rPr>
        <w:t>This initial survey of capability needs is informed by materials prepared by the Victorian Public Sector Commission (VPSC) and the Australian Public Service Commission (APSC).</w:t>
      </w:r>
      <w:r>
        <w:rPr>
          <w:color w:val="58595B"/>
          <w:position w:val="7"/>
          <w:sz w:val="11"/>
        </w:rPr>
        <w:t xml:space="preserve">1 </w:t>
      </w:r>
      <w:r>
        <w:rPr>
          <w:color w:val="58595B"/>
        </w:rPr>
        <w:t>The VPSC identifies the following key elements: strategy and leadership, people and culture, engagement and delivery.</w:t>
      </w:r>
      <w:r>
        <w:rPr>
          <w:color w:val="58595B"/>
          <w:position w:val="7"/>
          <w:sz w:val="11"/>
        </w:rPr>
        <w:t xml:space="preserve">2 </w:t>
      </w:r>
      <w:r>
        <w:rPr>
          <w:color w:val="58595B"/>
        </w:rPr>
        <w:t>The APSC notes that contemporary public sector agencies must have capabilities across all of the domains identified in its model to achieve objectives in the face of current and future challenges (figure 20.1). Capability, or a lack thereof, has direct implications on performance.</w:t>
      </w:r>
    </w:p>
    <w:p w14:paraId="25BA4AE1" w14:textId="77777777" w:rsidR="00724131" w:rsidRDefault="00724131">
      <w:pPr>
        <w:spacing w:line="280" w:lineRule="auto"/>
        <w:sectPr w:rsidR="00724131">
          <w:headerReference w:type="even" r:id="rId26"/>
          <w:headerReference w:type="default" r:id="rId27"/>
          <w:pgSz w:w="11910" w:h="16840"/>
          <w:pgMar w:top="980" w:right="1680" w:bottom="280" w:left="0" w:header="788" w:footer="0" w:gutter="0"/>
          <w:pgNumType w:start="344"/>
          <w:cols w:space="720"/>
        </w:sectPr>
      </w:pPr>
    </w:p>
    <w:p w14:paraId="76D76E8E" w14:textId="77777777" w:rsidR="00724131" w:rsidRDefault="00724131">
      <w:pPr>
        <w:pStyle w:val="BodyText"/>
      </w:pPr>
    </w:p>
    <w:p w14:paraId="41B92F1A" w14:textId="77777777" w:rsidR="00724131" w:rsidRDefault="00724131">
      <w:pPr>
        <w:pStyle w:val="BodyText"/>
      </w:pPr>
    </w:p>
    <w:p w14:paraId="7850D979" w14:textId="77777777" w:rsidR="00724131" w:rsidRDefault="00724131">
      <w:pPr>
        <w:pStyle w:val="BodyText"/>
      </w:pPr>
    </w:p>
    <w:p w14:paraId="50B3FFC7" w14:textId="77777777" w:rsidR="00724131" w:rsidRDefault="00724131">
      <w:pPr>
        <w:pStyle w:val="BodyText"/>
      </w:pPr>
    </w:p>
    <w:p w14:paraId="246842D9" w14:textId="77777777" w:rsidR="00724131" w:rsidRDefault="00724131">
      <w:pPr>
        <w:pStyle w:val="BodyText"/>
        <w:spacing w:before="8"/>
        <w:rPr>
          <w:sz w:val="17"/>
        </w:rPr>
      </w:pPr>
    </w:p>
    <w:p w14:paraId="4ED9323B" w14:textId="77777777" w:rsidR="00724131" w:rsidRDefault="00823349">
      <w:pPr>
        <w:spacing w:before="1"/>
        <w:ind w:left="134" w:right="228"/>
        <w:rPr>
          <w:sz w:val="20"/>
        </w:rPr>
      </w:pPr>
      <w:r>
        <w:rPr>
          <w:b/>
          <w:color w:val="0095A7"/>
          <w:sz w:val="20"/>
        </w:rPr>
        <w:t xml:space="preserve">FIGURE 20.1  </w:t>
      </w:r>
      <w:r>
        <w:rPr>
          <w:color w:val="0095A7"/>
          <w:sz w:val="20"/>
        </w:rPr>
        <w:t>KEY CAPABILITY AREAS</w:t>
      </w:r>
    </w:p>
    <w:p w14:paraId="7D68F27F" w14:textId="77777777" w:rsidR="00724131" w:rsidRDefault="00823349">
      <w:pPr>
        <w:pStyle w:val="BodyText"/>
        <w:rPr>
          <w:sz w:val="21"/>
        </w:rPr>
      </w:pPr>
      <w:r>
        <w:rPr>
          <w:noProof/>
        </w:rPr>
        <w:drawing>
          <wp:anchor distT="0" distB="0" distL="0" distR="0" simplePos="0" relativeHeight="1312" behindDoc="0" locked="0" layoutInCell="1" allowOverlap="1" wp14:anchorId="0CC29E01" wp14:editId="21343FEB">
            <wp:simplePos x="0" y="0"/>
            <wp:positionH relativeFrom="page">
              <wp:posOffset>1151991</wp:posOffset>
            </wp:positionH>
            <wp:positionV relativeFrom="paragraph">
              <wp:posOffset>178482</wp:posOffset>
            </wp:positionV>
            <wp:extent cx="5517135" cy="5193792"/>
            <wp:effectExtent l="0" t="0" r="0" b="0"/>
            <wp:wrapTopAndBottom/>
            <wp:docPr id="1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jpeg"/>
                    <pic:cNvPicPr/>
                  </pic:nvPicPr>
                  <pic:blipFill>
                    <a:blip r:embed="rId28" cstate="print"/>
                    <a:stretch>
                      <a:fillRect/>
                    </a:stretch>
                  </pic:blipFill>
                  <pic:spPr>
                    <a:xfrm>
                      <a:off x="0" y="0"/>
                      <a:ext cx="5517135" cy="5193792"/>
                    </a:xfrm>
                    <a:prstGeom prst="rect">
                      <a:avLst/>
                    </a:prstGeom>
                  </pic:spPr>
                </pic:pic>
              </a:graphicData>
            </a:graphic>
          </wp:anchor>
        </w:drawing>
      </w:r>
    </w:p>
    <w:p w14:paraId="3E2BF603" w14:textId="77777777" w:rsidR="00724131" w:rsidRDefault="00724131">
      <w:pPr>
        <w:pStyle w:val="BodyText"/>
        <w:spacing w:before="2"/>
        <w:rPr>
          <w:sz w:val="18"/>
        </w:rPr>
      </w:pPr>
    </w:p>
    <w:p w14:paraId="37899EF1" w14:textId="77777777" w:rsidR="00724131" w:rsidRDefault="00823349">
      <w:pPr>
        <w:pStyle w:val="BodyText"/>
        <w:spacing w:before="1" w:line="280" w:lineRule="auto"/>
        <w:ind w:left="134" w:right="1902"/>
        <w:jc w:val="both"/>
      </w:pPr>
      <w:r>
        <w:rPr>
          <w:color w:val="58595B"/>
        </w:rPr>
        <w:t>In considering capabilities for the future, we also drew on the feedback we received from the community and on the views of the EPA. We considered lessons from other agencies facing similar regulatory challenges, and we accounted for the changing digital environment.</w:t>
      </w:r>
    </w:p>
    <w:p w14:paraId="35A352D3" w14:textId="77777777" w:rsidR="00724131" w:rsidRDefault="00823349">
      <w:pPr>
        <w:pStyle w:val="BodyText"/>
        <w:spacing w:before="172" w:line="280" w:lineRule="auto"/>
        <w:ind w:left="134" w:right="1337"/>
      </w:pPr>
      <w:r>
        <w:rPr>
          <w:color w:val="58595B"/>
        </w:rPr>
        <w:t>The way that different capabilities interact and work together is fundamental to the success of an organisation. The EPA must take care to balance the skills and professional backgrounds of staff, and foster the right culture, to create a dynamic multi-disciplinary team. It must also continue to develop and invest in capabilities through time. Organisational culture plays a vital role in the development and deployment of capability – but this is best left in the hands of the future EPA’s Board, management and staff.</w:t>
      </w:r>
    </w:p>
    <w:p w14:paraId="55AD493C" w14:textId="77777777" w:rsidR="00724131" w:rsidRDefault="00724131">
      <w:pPr>
        <w:spacing w:line="280" w:lineRule="auto"/>
        <w:sectPr w:rsidR="00724131">
          <w:pgSz w:w="11910" w:h="16840"/>
          <w:pgMar w:top="980" w:right="0" w:bottom="280" w:left="1680" w:header="788" w:footer="0" w:gutter="0"/>
          <w:cols w:space="720"/>
        </w:sectPr>
      </w:pPr>
    </w:p>
    <w:p w14:paraId="73DF61CE" w14:textId="77777777" w:rsidR="00724131" w:rsidRDefault="00724131">
      <w:pPr>
        <w:pStyle w:val="BodyText"/>
      </w:pPr>
    </w:p>
    <w:p w14:paraId="5BB801F6" w14:textId="77777777" w:rsidR="00724131" w:rsidRDefault="00724131">
      <w:pPr>
        <w:pStyle w:val="BodyText"/>
      </w:pPr>
    </w:p>
    <w:p w14:paraId="3D302A63" w14:textId="77777777" w:rsidR="00724131" w:rsidRDefault="00724131">
      <w:pPr>
        <w:pStyle w:val="BodyText"/>
      </w:pPr>
    </w:p>
    <w:p w14:paraId="7BD6E0A4" w14:textId="77777777" w:rsidR="00724131" w:rsidRDefault="00724131">
      <w:pPr>
        <w:pStyle w:val="BodyText"/>
      </w:pPr>
    </w:p>
    <w:p w14:paraId="7D74FB1F" w14:textId="77777777" w:rsidR="00724131" w:rsidRDefault="00823349">
      <w:pPr>
        <w:pStyle w:val="Heading3"/>
        <w:numPr>
          <w:ilvl w:val="1"/>
          <w:numId w:val="21"/>
        </w:numPr>
        <w:tabs>
          <w:tab w:val="left" w:pos="2016"/>
        </w:tabs>
        <w:spacing w:before="196"/>
        <w:ind w:left="2015" w:hanging="598"/>
        <w:jc w:val="left"/>
      </w:pPr>
      <w:r>
        <w:rPr>
          <w:color w:val="0095A7"/>
        </w:rPr>
        <w:t>Learning from</w:t>
      </w:r>
      <w:r>
        <w:rPr>
          <w:color w:val="0095A7"/>
          <w:spacing w:val="22"/>
        </w:rPr>
        <w:t xml:space="preserve"> </w:t>
      </w:r>
      <w:r>
        <w:rPr>
          <w:color w:val="0095A7"/>
        </w:rPr>
        <w:t>others</w:t>
      </w:r>
    </w:p>
    <w:p w14:paraId="0BD2C4BC" w14:textId="77777777" w:rsidR="00724131" w:rsidRDefault="00823349">
      <w:pPr>
        <w:pStyle w:val="BodyText"/>
        <w:spacing w:before="145" w:line="280" w:lineRule="auto"/>
        <w:ind w:left="1417" w:right="199"/>
      </w:pPr>
      <w:r>
        <w:rPr>
          <w:color w:val="58595B"/>
        </w:rPr>
        <w:t>As we considered the EPA’s shift to a more proactive and mature regulatory model, we also drew on the experience of other agencies that have successfully navigated similar changes, especially the Commonwealth Government’s Fair Work Ombudsman (FWO) and WorkSafe Victoria. Both agencies moved away from traditional compliance and enforcement approaches, to adopt</w:t>
      </w:r>
    </w:p>
    <w:p w14:paraId="2FD20623" w14:textId="77777777" w:rsidR="00724131" w:rsidRDefault="00823349">
      <w:pPr>
        <w:pStyle w:val="BodyText"/>
        <w:spacing w:before="2" w:line="280" w:lineRule="auto"/>
        <w:ind w:left="1417" w:right="228"/>
      </w:pPr>
      <w:r>
        <w:rPr>
          <w:color w:val="58595B"/>
        </w:rPr>
        <w:t>a ‘strategic enforcement’ model. WorkSafe also administers a general duty of care relating to occupational health and safety.</w:t>
      </w:r>
    </w:p>
    <w:p w14:paraId="27423C24" w14:textId="77777777" w:rsidR="00724131" w:rsidRDefault="00823349">
      <w:pPr>
        <w:pStyle w:val="BodyText"/>
        <w:spacing w:before="172" w:line="280" w:lineRule="auto"/>
        <w:ind w:left="1417" w:right="522"/>
        <w:rPr>
          <w:sz w:val="11"/>
        </w:rPr>
      </w:pPr>
      <w:r>
        <w:rPr>
          <w:color w:val="58595B"/>
        </w:rPr>
        <w:t>While there are significant differences between the EPA and these agencies, we can learn from the experiences of both in considering the EPA of the future. For example, the Fair Work Ombudsman’s strategic enforcement model identified the following strategies:</w:t>
      </w:r>
      <w:r>
        <w:rPr>
          <w:color w:val="58595B"/>
          <w:position w:val="7"/>
          <w:sz w:val="11"/>
        </w:rPr>
        <w:t>3</w:t>
      </w:r>
    </w:p>
    <w:p w14:paraId="3309F93C" w14:textId="77777777" w:rsidR="00724131" w:rsidRDefault="00823349">
      <w:pPr>
        <w:pStyle w:val="ListParagraph"/>
        <w:numPr>
          <w:ilvl w:val="1"/>
          <w:numId w:val="23"/>
        </w:numPr>
        <w:tabs>
          <w:tab w:val="left" w:pos="1588"/>
        </w:tabs>
        <w:spacing w:line="280" w:lineRule="auto"/>
        <w:ind w:right="171" w:hanging="170"/>
        <w:rPr>
          <w:sz w:val="20"/>
        </w:rPr>
      </w:pPr>
      <w:r>
        <w:rPr>
          <w:color w:val="58595B"/>
          <w:sz w:val="20"/>
        </w:rPr>
        <w:t>Proactive detection measures – The FWO aims to devote 50 per cent of inspectorate resources towards proactive education and compliance</w:t>
      </w:r>
      <w:r>
        <w:rPr>
          <w:color w:val="58595B"/>
          <w:spacing w:val="8"/>
          <w:sz w:val="20"/>
        </w:rPr>
        <w:t xml:space="preserve"> </w:t>
      </w:r>
      <w:r>
        <w:rPr>
          <w:color w:val="58595B"/>
          <w:sz w:val="20"/>
        </w:rPr>
        <w:t>activities.</w:t>
      </w:r>
    </w:p>
    <w:p w14:paraId="20AB4991" w14:textId="77777777" w:rsidR="00724131" w:rsidRDefault="00823349">
      <w:pPr>
        <w:pStyle w:val="ListParagraph"/>
        <w:numPr>
          <w:ilvl w:val="1"/>
          <w:numId w:val="23"/>
        </w:numPr>
        <w:tabs>
          <w:tab w:val="left" w:pos="1588"/>
        </w:tabs>
        <w:spacing w:line="280" w:lineRule="auto"/>
        <w:ind w:right="152" w:hanging="170"/>
        <w:rPr>
          <w:sz w:val="11"/>
        </w:rPr>
      </w:pPr>
      <w:r>
        <w:rPr>
          <w:color w:val="58595B"/>
          <w:sz w:val="20"/>
        </w:rPr>
        <w:t xml:space="preserve">Specialist investigative groups – These specialist groups are focussed on and organised  around </w:t>
      </w:r>
      <w:r>
        <w:rPr>
          <w:color w:val="58595B"/>
          <w:spacing w:val="-3"/>
          <w:sz w:val="20"/>
        </w:rPr>
        <w:t xml:space="preserve">key </w:t>
      </w:r>
      <w:r>
        <w:rPr>
          <w:color w:val="58595B"/>
          <w:sz w:val="20"/>
        </w:rPr>
        <w:t>risks and priorities. They observe industry patterns, locate specific issues and engage with the community to enhance strategic compliance efforts. These groups support and develop inspectors, legal and managerial</w:t>
      </w:r>
      <w:r>
        <w:rPr>
          <w:color w:val="58595B"/>
          <w:spacing w:val="9"/>
          <w:sz w:val="20"/>
        </w:rPr>
        <w:t xml:space="preserve"> </w:t>
      </w:r>
      <w:r>
        <w:rPr>
          <w:color w:val="58595B"/>
          <w:sz w:val="20"/>
        </w:rPr>
        <w:t>staff.</w:t>
      </w:r>
      <w:r>
        <w:rPr>
          <w:color w:val="58595B"/>
          <w:position w:val="7"/>
          <w:sz w:val="11"/>
        </w:rPr>
        <w:t>4</w:t>
      </w:r>
    </w:p>
    <w:p w14:paraId="66320030" w14:textId="77777777" w:rsidR="00724131" w:rsidRDefault="00823349">
      <w:pPr>
        <w:pStyle w:val="ListParagraph"/>
        <w:numPr>
          <w:ilvl w:val="1"/>
          <w:numId w:val="23"/>
        </w:numPr>
        <w:tabs>
          <w:tab w:val="left" w:pos="1588"/>
        </w:tabs>
        <w:spacing w:line="280" w:lineRule="auto"/>
        <w:ind w:right="228" w:hanging="170"/>
        <w:rPr>
          <w:sz w:val="11"/>
        </w:rPr>
      </w:pPr>
      <w:r>
        <w:rPr>
          <w:color w:val="58595B"/>
          <w:sz w:val="20"/>
        </w:rPr>
        <w:t>Strategic campaigns – The FWO introduced campaigns to check, improve and maintain compliance. It uses a risk-based and proportionate approach to determine which industries, locations and workplace relations issues to focus on. Intelligence gathering ensures campaigns are evidence-based and deliver the greatest</w:t>
      </w:r>
      <w:r>
        <w:rPr>
          <w:color w:val="58595B"/>
          <w:spacing w:val="12"/>
          <w:sz w:val="20"/>
        </w:rPr>
        <w:t xml:space="preserve"> </w:t>
      </w:r>
      <w:r>
        <w:rPr>
          <w:color w:val="58595B"/>
          <w:sz w:val="20"/>
        </w:rPr>
        <w:t>benefit.</w:t>
      </w:r>
      <w:r>
        <w:rPr>
          <w:color w:val="58595B"/>
          <w:position w:val="7"/>
          <w:sz w:val="11"/>
        </w:rPr>
        <w:t>5</w:t>
      </w:r>
    </w:p>
    <w:p w14:paraId="273E1A57" w14:textId="77777777" w:rsidR="00724131" w:rsidRDefault="00823349">
      <w:pPr>
        <w:pStyle w:val="BodyText"/>
        <w:spacing w:before="172" w:line="280" w:lineRule="auto"/>
        <w:ind w:left="1417" w:right="228"/>
      </w:pPr>
      <w:r>
        <w:rPr>
          <w:color w:val="58595B"/>
        </w:rPr>
        <w:t>These strategies are strongly connected with our focus on the need for technology, data and science related capabilities and operational and regulatory design capabilities.</w:t>
      </w:r>
    </w:p>
    <w:p w14:paraId="14853A79" w14:textId="77777777" w:rsidR="00724131" w:rsidRDefault="00823349">
      <w:pPr>
        <w:pStyle w:val="BodyText"/>
        <w:spacing w:before="172" w:line="280" w:lineRule="auto"/>
        <w:ind w:left="1417" w:right="132"/>
      </w:pPr>
      <w:r>
        <w:rPr>
          <w:color w:val="58595B"/>
        </w:rPr>
        <w:t>From WorkSafe, we drew on the lessons from establishing a general duty of care for occupational health and safety. In particular, the review of the Occupational Health and Safety Act identified the range of skills inspectors must possess to determine what constitutes compliance and to engage with duty holders.</w:t>
      </w:r>
    </w:p>
    <w:p w14:paraId="5620F6A4" w14:textId="77777777" w:rsidR="00724131" w:rsidRDefault="00823349">
      <w:pPr>
        <w:spacing w:before="172" w:line="280" w:lineRule="auto"/>
        <w:ind w:left="1984" w:right="922"/>
        <w:rPr>
          <w:i/>
          <w:sz w:val="20"/>
        </w:rPr>
      </w:pPr>
      <w:r>
        <w:rPr>
          <w:i/>
          <w:color w:val="231F20"/>
          <w:sz w:val="20"/>
        </w:rPr>
        <w:t>The inspector has to be, variously, an expert at hazard identification and risk assessment; an expert at systems engineering; an expert at microeconomics; competent at statutory interpretation; and have skills as a diplomat/negotiator/ mediator. He/she also has to have a fairly thick skin, given that site inspections are often unpopular events with duty holders.</w:t>
      </w:r>
    </w:p>
    <w:p w14:paraId="49A2E4BE" w14:textId="77777777" w:rsidR="00724131" w:rsidRDefault="00823349">
      <w:pPr>
        <w:spacing w:before="172" w:line="280" w:lineRule="auto"/>
        <w:ind w:left="1984" w:right="789"/>
        <w:rPr>
          <w:i/>
          <w:sz w:val="20"/>
        </w:rPr>
      </w:pPr>
      <w:r>
        <w:rPr>
          <w:i/>
          <w:color w:val="231F20"/>
          <w:sz w:val="20"/>
        </w:rPr>
        <w:t>It is, therefore, vital that inspectors be well trained (and kept up to date), well- instructed about their tasks, well-advised about the legal parameters within which they operate, well-resourced, and well-supported by their managers and peers.</w:t>
      </w:r>
    </w:p>
    <w:p w14:paraId="092E2DD6" w14:textId="77777777" w:rsidR="00724131" w:rsidRDefault="00823349">
      <w:pPr>
        <w:spacing w:before="172" w:line="280" w:lineRule="auto"/>
        <w:ind w:left="1984" w:right="975"/>
        <w:rPr>
          <w:sz w:val="11"/>
        </w:rPr>
      </w:pPr>
      <w:r>
        <w:rPr>
          <w:i/>
          <w:color w:val="231F20"/>
          <w:sz w:val="20"/>
        </w:rPr>
        <w:t>Above all, inspectors need to feel confident about their powers and about the back-up available to them from the Authority when required. It is also essential that, once an inspector has made a decision, he/she participate fully in any review of the decision, and be kept informed about decisions made with respect to any prosecution based on that decision.</w:t>
      </w:r>
      <w:r>
        <w:rPr>
          <w:color w:val="231F20"/>
          <w:position w:val="7"/>
          <w:sz w:val="11"/>
        </w:rPr>
        <w:t>6</w:t>
      </w:r>
    </w:p>
    <w:p w14:paraId="4BA111EE" w14:textId="77777777" w:rsidR="00724131" w:rsidRDefault="00823349">
      <w:pPr>
        <w:pStyle w:val="BodyText"/>
        <w:spacing w:before="172" w:line="280" w:lineRule="auto"/>
        <w:ind w:left="1417" w:right="228"/>
      </w:pPr>
      <w:r>
        <w:rPr>
          <w:color w:val="58595B"/>
        </w:rPr>
        <w:t>This highlights the importance of operational, science and education related capabilities for the EPA as well as the need for a multidisciplinary approach.</w:t>
      </w:r>
    </w:p>
    <w:p w14:paraId="7D39B139" w14:textId="77777777" w:rsidR="00724131" w:rsidRDefault="00724131">
      <w:pPr>
        <w:spacing w:line="280" w:lineRule="auto"/>
        <w:sectPr w:rsidR="00724131">
          <w:pgSz w:w="11910" w:h="16840"/>
          <w:pgMar w:top="980" w:right="1680" w:bottom="280" w:left="0" w:header="788" w:footer="0" w:gutter="0"/>
          <w:cols w:space="720"/>
        </w:sectPr>
      </w:pPr>
    </w:p>
    <w:p w14:paraId="2950C8C7" w14:textId="77777777" w:rsidR="00724131" w:rsidRDefault="00724131">
      <w:pPr>
        <w:pStyle w:val="BodyText"/>
      </w:pPr>
    </w:p>
    <w:p w14:paraId="1B333185" w14:textId="77777777" w:rsidR="00724131" w:rsidRDefault="00724131">
      <w:pPr>
        <w:pStyle w:val="BodyText"/>
      </w:pPr>
    </w:p>
    <w:p w14:paraId="15FF69C6" w14:textId="77777777" w:rsidR="00724131" w:rsidRDefault="00724131">
      <w:pPr>
        <w:pStyle w:val="BodyText"/>
      </w:pPr>
    </w:p>
    <w:p w14:paraId="02899C16" w14:textId="77777777" w:rsidR="00724131" w:rsidRDefault="00724131">
      <w:pPr>
        <w:pStyle w:val="BodyText"/>
      </w:pPr>
    </w:p>
    <w:p w14:paraId="7435B295" w14:textId="77777777" w:rsidR="00724131" w:rsidRDefault="00724131">
      <w:pPr>
        <w:pStyle w:val="BodyText"/>
        <w:spacing w:before="8"/>
        <w:rPr>
          <w:sz w:val="17"/>
        </w:rPr>
      </w:pPr>
    </w:p>
    <w:p w14:paraId="4B10FFFB" w14:textId="77777777" w:rsidR="00724131" w:rsidRDefault="00823349">
      <w:pPr>
        <w:pStyle w:val="BodyText"/>
        <w:spacing w:before="1" w:line="280" w:lineRule="auto"/>
        <w:ind w:left="134" w:right="789"/>
      </w:pPr>
      <w:r>
        <w:rPr>
          <w:color w:val="58595B"/>
        </w:rPr>
        <w:t>We also considered the growing importance of data and digital technology for the government. Governments around the world recognise the importance of this digital transformation:</w:t>
      </w:r>
    </w:p>
    <w:p w14:paraId="663928B5" w14:textId="77777777" w:rsidR="00724131" w:rsidRDefault="00823349">
      <w:pPr>
        <w:pStyle w:val="ListParagraph"/>
        <w:numPr>
          <w:ilvl w:val="0"/>
          <w:numId w:val="31"/>
        </w:numPr>
        <w:tabs>
          <w:tab w:val="left" w:pos="305"/>
        </w:tabs>
        <w:ind w:hanging="170"/>
        <w:rPr>
          <w:sz w:val="11"/>
        </w:rPr>
      </w:pPr>
      <w:r>
        <w:rPr>
          <w:color w:val="58595B"/>
          <w:sz w:val="20"/>
        </w:rPr>
        <w:t>The UK Government has located its Digital Service within the Cabinet</w:t>
      </w:r>
      <w:r>
        <w:rPr>
          <w:color w:val="58595B"/>
          <w:spacing w:val="27"/>
          <w:sz w:val="20"/>
        </w:rPr>
        <w:t xml:space="preserve"> </w:t>
      </w:r>
      <w:r>
        <w:rPr>
          <w:color w:val="58595B"/>
          <w:sz w:val="20"/>
        </w:rPr>
        <w:t>office.</w:t>
      </w:r>
      <w:r>
        <w:rPr>
          <w:color w:val="58595B"/>
          <w:position w:val="7"/>
          <w:sz w:val="11"/>
        </w:rPr>
        <w:t>7</w:t>
      </w:r>
    </w:p>
    <w:p w14:paraId="39DB9081" w14:textId="77777777" w:rsidR="00724131" w:rsidRDefault="00823349">
      <w:pPr>
        <w:pStyle w:val="ListParagraph"/>
        <w:numPr>
          <w:ilvl w:val="0"/>
          <w:numId w:val="31"/>
        </w:numPr>
        <w:tabs>
          <w:tab w:val="left" w:pos="305"/>
        </w:tabs>
        <w:spacing w:before="153" w:line="280" w:lineRule="auto"/>
        <w:ind w:right="1661" w:hanging="170"/>
        <w:rPr>
          <w:sz w:val="11"/>
        </w:rPr>
      </w:pPr>
      <w:r>
        <w:rPr>
          <w:color w:val="58595B"/>
          <w:sz w:val="20"/>
        </w:rPr>
        <w:t xml:space="preserve">The US Government has launched a Digital Government Strategy. The US </w:t>
      </w:r>
      <w:r>
        <w:rPr>
          <w:color w:val="58595B"/>
          <w:spacing w:val="-4"/>
          <w:sz w:val="20"/>
        </w:rPr>
        <w:t xml:space="preserve">EPA </w:t>
      </w:r>
      <w:r>
        <w:rPr>
          <w:color w:val="58595B"/>
          <w:sz w:val="20"/>
        </w:rPr>
        <w:t xml:space="preserve">submitted the </w:t>
      </w:r>
      <w:r>
        <w:rPr>
          <w:color w:val="58595B"/>
          <w:spacing w:val="-4"/>
          <w:sz w:val="20"/>
        </w:rPr>
        <w:t xml:space="preserve">EPA </w:t>
      </w:r>
      <w:r>
        <w:rPr>
          <w:color w:val="58595B"/>
          <w:sz w:val="20"/>
        </w:rPr>
        <w:t>Open Data Implementation Plan, which recognises the importance of open data and delivering digital</w:t>
      </w:r>
      <w:r>
        <w:rPr>
          <w:color w:val="58595B"/>
          <w:spacing w:val="16"/>
          <w:sz w:val="20"/>
        </w:rPr>
        <w:t xml:space="preserve"> </w:t>
      </w:r>
      <w:r>
        <w:rPr>
          <w:color w:val="58595B"/>
          <w:sz w:val="20"/>
        </w:rPr>
        <w:t>services.</w:t>
      </w:r>
      <w:r>
        <w:rPr>
          <w:color w:val="58595B"/>
          <w:position w:val="7"/>
          <w:sz w:val="11"/>
        </w:rPr>
        <w:t>8</w:t>
      </w:r>
    </w:p>
    <w:p w14:paraId="37437C28" w14:textId="77777777" w:rsidR="00724131" w:rsidRDefault="00823349">
      <w:pPr>
        <w:pStyle w:val="ListParagraph"/>
        <w:numPr>
          <w:ilvl w:val="0"/>
          <w:numId w:val="31"/>
        </w:numPr>
        <w:tabs>
          <w:tab w:val="left" w:pos="305"/>
        </w:tabs>
        <w:spacing w:line="280" w:lineRule="auto"/>
        <w:ind w:right="1850" w:hanging="170"/>
        <w:rPr>
          <w:sz w:val="20"/>
        </w:rPr>
      </w:pPr>
      <w:r>
        <w:rPr>
          <w:color w:val="58595B"/>
          <w:sz w:val="20"/>
        </w:rPr>
        <w:t xml:space="preserve">The Australian Government has a Digital Transformation </w:t>
      </w:r>
      <w:r>
        <w:rPr>
          <w:color w:val="58595B"/>
          <w:spacing w:val="3"/>
          <w:sz w:val="20"/>
        </w:rPr>
        <w:t xml:space="preserve">Office </w:t>
      </w:r>
      <w:r>
        <w:rPr>
          <w:color w:val="58595B"/>
          <w:sz w:val="20"/>
        </w:rPr>
        <w:t>in the Department of Prime Minister and</w:t>
      </w:r>
      <w:r>
        <w:rPr>
          <w:color w:val="58595B"/>
          <w:spacing w:val="-4"/>
          <w:sz w:val="20"/>
        </w:rPr>
        <w:t xml:space="preserve"> </w:t>
      </w:r>
      <w:r>
        <w:rPr>
          <w:color w:val="58595B"/>
          <w:sz w:val="20"/>
        </w:rPr>
        <w:t>Cabinet.</w:t>
      </w:r>
    </w:p>
    <w:p w14:paraId="32FED576" w14:textId="77777777" w:rsidR="00724131" w:rsidRDefault="00823349">
      <w:pPr>
        <w:pStyle w:val="ListParagraph"/>
        <w:numPr>
          <w:ilvl w:val="0"/>
          <w:numId w:val="31"/>
        </w:numPr>
        <w:tabs>
          <w:tab w:val="left" w:pos="305"/>
        </w:tabs>
        <w:spacing w:line="280" w:lineRule="auto"/>
        <w:ind w:right="1829" w:hanging="170"/>
        <w:rPr>
          <w:sz w:val="11"/>
        </w:rPr>
      </w:pPr>
      <w:r>
        <w:rPr>
          <w:color w:val="58595B"/>
          <w:sz w:val="20"/>
        </w:rPr>
        <w:t>The Victorian Government has recognised the benefits that data and digital technology can provide, by establishing Enterprise Solutions</w:t>
      </w:r>
      <w:r>
        <w:rPr>
          <w:color w:val="58595B"/>
          <w:position w:val="7"/>
          <w:sz w:val="11"/>
        </w:rPr>
        <w:t xml:space="preserve">9  </w:t>
      </w:r>
      <w:r>
        <w:rPr>
          <w:color w:val="58595B"/>
          <w:sz w:val="20"/>
        </w:rPr>
        <w:t xml:space="preserve">and </w:t>
      </w:r>
      <w:r>
        <w:rPr>
          <w:color w:val="58595B"/>
          <w:spacing w:val="-3"/>
          <w:sz w:val="20"/>
        </w:rPr>
        <w:t>Data.Vic.</w:t>
      </w:r>
      <w:r>
        <w:rPr>
          <w:color w:val="58595B"/>
          <w:spacing w:val="-3"/>
          <w:position w:val="7"/>
          <w:sz w:val="11"/>
        </w:rPr>
        <w:t>10</w:t>
      </w:r>
    </w:p>
    <w:p w14:paraId="754FDBEB" w14:textId="77777777" w:rsidR="00724131" w:rsidRDefault="00724131">
      <w:pPr>
        <w:pStyle w:val="BodyText"/>
        <w:spacing w:before="1"/>
        <w:rPr>
          <w:sz w:val="19"/>
        </w:rPr>
      </w:pPr>
    </w:p>
    <w:p w14:paraId="13B4AE3A" w14:textId="77777777" w:rsidR="00724131" w:rsidRDefault="00823349">
      <w:pPr>
        <w:pStyle w:val="Heading3"/>
        <w:numPr>
          <w:ilvl w:val="1"/>
          <w:numId w:val="21"/>
        </w:numPr>
        <w:tabs>
          <w:tab w:val="left" w:pos="729"/>
        </w:tabs>
        <w:ind w:left="728" w:hanging="594"/>
        <w:jc w:val="left"/>
      </w:pPr>
      <w:r>
        <w:rPr>
          <w:color w:val="0095A7"/>
        </w:rPr>
        <w:t>Identified capability</w:t>
      </w:r>
      <w:r>
        <w:rPr>
          <w:color w:val="0095A7"/>
          <w:spacing w:val="31"/>
        </w:rPr>
        <w:t xml:space="preserve"> </w:t>
      </w:r>
      <w:r>
        <w:rPr>
          <w:color w:val="0095A7"/>
        </w:rPr>
        <w:t>needs</w:t>
      </w:r>
    </w:p>
    <w:p w14:paraId="158C9142" w14:textId="77777777" w:rsidR="00724131" w:rsidRDefault="00823349">
      <w:pPr>
        <w:pStyle w:val="BodyText"/>
        <w:spacing w:before="145" w:line="280" w:lineRule="auto"/>
        <w:ind w:left="134" w:right="1337"/>
      </w:pPr>
      <w:r>
        <w:rPr>
          <w:color w:val="58595B"/>
        </w:rPr>
        <w:t>Our proposed EPA of the future must undertake a range of activities that seek to anticipate risks and prevent harm to public health and the environment. This task requires an increased ability to:</w:t>
      </w:r>
    </w:p>
    <w:p w14:paraId="4CAD4E91" w14:textId="77777777" w:rsidR="00724131" w:rsidRDefault="00823349">
      <w:pPr>
        <w:pStyle w:val="ListParagraph"/>
        <w:numPr>
          <w:ilvl w:val="0"/>
          <w:numId w:val="31"/>
        </w:numPr>
        <w:tabs>
          <w:tab w:val="left" w:pos="305"/>
        </w:tabs>
        <w:ind w:hanging="170"/>
        <w:rPr>
          <w:sz w:val="20"/>
        </w:rPr>
      </w:pPr>
      <w:r>
        <w:rPr>
          <w:color w:val="58595B"/>
          <w:sz w:val="20"/>
        </w:rPr>
        <w:t>influence strategic interactions across</w:t>
      </w:r>
      <w:r>
        <w:rPr>
          <w:color w:val="58595B"/>
          <w:spacing w:val="5"/>
          <w:sz w:val="20"/>
        </w:rPr>
        <w:t xml:space="preserve"> </w:t>
      </w:r>
      <w:r>
        <w:rPr>
          <w:color w:val="58595B"/>
          <w:sz w:val="20"/>
        </w:rPr>
        <w:t>government</w:t>
      </w:r>
    </w:p>
    <w:p w14:paraId="2FABF65B" w14:textId="77777777" w:rsidR="00724131" w:rsidRDefault="00823349">
      <w:pPr>
        <w:pStyle w:val="ListParagraph"/>
        <w:numPr>
          <w:ilvl w:val="0"/>
          <w:numId w:val="31"/>
        </w:numPr>
        <w:tabs>
          <w:tab w:val="left" w:pos="305"/>
        </w:tabs>
        <w:spacing w:before="153" w:line="280" w:lineRule="auto"/>
        <w:ind w:right="1804" w:hanging="170"/>
        <w:rPr>
          <w:sz w:val="20"/>
        </w:rPr>
      </w:pPr>
      <w:r>
        <w:rPr>
          <w:color w:val="58595B"/>
          <w:sz w:val="20"/>
        </w:rPr>
        <w:t>support compliance, including by educating businesses and the broader community, and by providing training and support for local</w:t>
      </w:r>
      <w:r>
        <w:rPr>
          <w:color w:val="58595B"/>
          <w:spacing w:val="6"/>
          <w:sz w:val="20"/>
        </w:rPr>
        <w:t xml:space="preserve"> </w:t>
      </w:r>
      <w:r>
        <w:rPr>
          <w:color w:val="58595B"/>
          <w:sz w:val="20"/>
        </w:rPr>
        <w:t>government</w:t>
      </w:r>
    </w:p>
    <w:p w14:paraId="7316C730" w14:textId="77777777" w:rsidR="00724131" w:rsidRDefault="00823349">
      <w:pPr>
        <w:pStyle w:val="ListParagraph"/>
        <w:numPr>
          <w:ilvl w:val="0"/>
          <w:numId w:val="31"/>
        </w:numPr>
        <w:tabs>
          <w:tab w:val="left" w:pos="305"/>
        </w:tabs>
        <w:ind w:hanging="170"/>
        <w:rPr>
          <w:sz w:val="20"/>
        </w:rPr>
      </w:pPr>
      <w:r>
        <w:rPr>
          <w:color w:val="58595B"/>
          <w:sz w:val="20"/>
        </w:rPr>
        <w:t>design, evaluate and update regulatory standards, tools and</w:t>
      </w:r>
      <w:r>
        <w:rPr>
          <w:color w:val="58595B"/>
          <w:spacing w:val="-8"/>
          <w:sz w:val="20"/>
        </w:rPr>
        <w:t xml:space="preserve"> </w:t>
      </w:r>
      <w:r>
        <w:rPr>
          <w:color w:val="58595B"/>
          <w:sz w:val="20"/>
        </w:rPr>
        <w:t>instruments.</w:t>
      </w:r>
    </w:p>
    <w:p w14:paraId="4BE47D3D" w14:textId="77777777" w:rsidR="00724131" w:rsidRDefault="00724131">
      <w:pPr>
        <w:pStyle w:val="BodyText"/>
        <w:spacing w:before="3"/>
        <w:rPr>
          <w:sz w:val="18"/>
        </w:rPr>
      </w:pPr>
    </w:p>
    <w:p w14:paraId="17A5704B" w14:textId="77777777" w:rsidR="00724131" w:rsidRDefault="00823349">
      <w:pPr>
        <w:pStyle w:val="BodyText"/>
        <w:spacing w:line="280" w:lineRule="auto"/>
        <w:ind w:left="134" w:right="1680"/>
      </w:pPr>
      <w:r>
        <w:rPr>
          <w:color w:val="58595B"/>
        </w:rPr>
        <w:t>That is, the EPA must be a trusted source of information, and a scientific and technical expert with a depth and breadth of skills. This requires increased capability to:</w:t>
      </w:r>
    </w:p>
    <w:p w14:paraId="40D1ACA3" w14:textId="77777777" w:rsidR="00724131" w:rsidRDefault="00823349">
      <w:pPr>
        <w:pStyle w:val="ListParagraph"/>
        <w:numPr>
          <w:ilvl w:val="0"/>
          <w:numId w:val="31"/>
        </w:numPr>
        <w:tabs>
          <w:tab w:val="left" w:pos="305"/>
        </w:tabs>
        <w:spacing w:line="280" w:lineRule="auto"/>
        <w:ind w:right="1483" w:hanging="170"/>
        <w:rPr>
          <w:sz w:val="20"/>
        </w:rPr>
      </w:pPr>
      <w:r>
        <w:rPr>
          <w:color w:val="58595B"/>
          <w:sz w:val="20"/>
        </w:rPr>
        <w:t>monitor and scan to identify pollution and waste as it occurs, and anticipate future pollution and waste</w:t>
      </w:r>
      <w:r>
        <w:rPr>
          <w:color w:val="58595B"/>
          <w:spacing w:val="-4"/>
          <w:sz w:val="20"/>
        </w:rPr>
        <w:t xml:space="preserve"> </w:t>
      </w:r>
      <w:r>
        <w:rPr>
          <w:color w:val="58595B"/>
          <w:sz w:val="20"/>
        </w:rPr>
        <w:t>issues</w:t>
      </w:r>
    </w:p>
    <w:p w14:paraId="46D8B651" w14:textId="77777777" w:rsidR="00724131" w:rsidRDefault="00823349">
      <w:pPr>
        <w:pStyle w:val="ListParagraph"/>
        <w:numPr>
          <w:ilvl w:val="0"/>
          <w:numId w:val="31"/>
        </w:numPr>
        <w:tabs>
          <w:tab w:val="left" w:pos="305"/>
        </w:tabs>
        <w:spacing w:line="280" w:lineRule="auto"/>
        <w:ind w:right="1835" w:hanging="170"/>
        <w:rPr>
          <w:sz w:val="20"/>
        </w:rPr>
      </w:pPr>
      <w:r>
        <w:rPr>
          <w:color w:val="58595B"/>
          <w:sz w:val="20"/>
        </w:rPr>
        <w:t>use data, analysis, science, research, networks and partnerships to understand the risks of harm to health and the</w:t>
      </w:r>
      <w:r>
        <w:rPr>
          <w:color w:val="58595B"/>
          <w:spacing w:val="-2"/>
          <w:sz w:val="20"/>
        </w:rPr>
        <w:t xml:space="preserve"> </w:t>
      </w:r>
      <w:r>
        <w:rPr>
          <w:color w:val="58595B"/>
          <w:sz w:val="20"/>
        </w:rPr>
        <w:t>environment.</w:t>
      </w:r>
    </w:p>
    <w:p w14:paraId="02D717BF" w14:textId="77777777" w:rsidR="00724131" w:rsidRDefault="00724131">
      <w:pPr>
        <w:pStyle w:val="BodyText"/>
        <w:spacing w:before="4"/>
        <w:rPr>
          <w:sz w:val="22"/>
        </w:rPr>
      </w:pPr>
    </w:p>
    <w:p w14:paraId="10B6B775" w14:textId="77777777" w:rsidR="00724131" w:rsidRDefault="00823349">
      <w:pPr>
        <w:pStyle w:val="ListParagraph"/>
        <w:numPr>
          <w:ilvl w:val="2"/>
          <w:numId w:val="21"/>
        </w:numPr>
        <w:tabs>
          <w:tab w:val="left" w:pos="775"/>
        </w:tabs>
        <w:spacing w:before="0" w:line="429" w:lineRule="auto"/>
        <w:ind w:right="4834" w:firstLine="0"/>
        <w:rPr>
          <w:sz w:val="20"/>
        </w:rPr>
      </w:pPr>
      <w:r>
        <w:rPr>
          <w:color w:val="0095A7"/>
          <w:sz w:val="20"/>
        </w:rPr>
        <w:t xml:space="preserve">New or enhanced ‘knowledge and skills’ capabilities </w:t>
      </w:r>
      <w:r>
        <w:rPr>
          <w:color w:val="6D6E71"/>
          <w:sz w:val="20"/>
        </w:rPr>
        <w:t>A multidisciplinary approach and working with</w:t>
      </w:r>
      <w:r>
        <w:rPr>
          <w:color w:val="6D6E71"/>
          <w:spacing w:val="17"/>
          <w:sz w:val="20"/>
        </w:rPr>
        <w:t xml:space="preserve"> </w:t>
      </w:r>
      <w:r>
        <w:rPr>
          <w:color w:val="6D6E71"/>
          <w:sz w:val="20"/>
        </w:rPr>
        <w:t>others</w:t>
      </w:r>
    </w:p>
    <w:p w14:paraId="4CA8B868" w14:textId="77777777" w:rsidR="00724131" w:rsidRDefault="00823349">
      <w:pPr>
        <w:pStyle w:val="BodyText"/>
        <w:spacing w:line="179" w:lineRule="exact"/>
        <w:ind w:left="134" w:right="228"/>
      </w:pPr>
      <w:r>
        <w:rPr>
          <w:color w:val="58595B"/>
        </w:rPr>
        <w:t>The success of the EPA relies on a multidisciplinary approach. For example, strong regulatory</w:t>
      </w:r>
    </w:p>
    <w:p w14:paraId="7FB74166" w14:textId="77777777" w:rsidR="00724131" w:rsidRDefault="00823349">
      <w:pPr>
        <w:pStyle w:val="BodyText"/>
        <w:spacing w:before="40" w:line="280" w:lineRule="auto"/>
        <w:ind w:left="134" w:right="2052"/>
      </w:pPr>
      <w:r>
        <w:rPr>
          <w:color w:val="58595B"/>
        </w:rPr>
        <w:t>design and problem solving that results in the application of an economic instrument relies on scientists and modellers working closely with economists, policy officers, lawyers and operational staff.</w:t>
      </w:r>
    </w:p>
    <w:p w14:paraId="3454DB2B" w14:textId="77777777" w:rsidR="00724131" w:rsidRDefault="00823349">
      <w:pPr>
        <w:pStyle w:val="BodyText"/>
        <w:spacing w:before="172" w:line="280" w:lineRule="auto"/>
        <w:ind w:left="134" w:right="1689"/>
      </w:pPr>
      <w:r>
        <w:rPr>
          <w:color w:val="58595B"/>
        </w:rPr>
        <w:t>The EPA’s current five year plan focuses on building strong partnerships with industry and the community.</w:t>
      </w:r>
      <w:r>
        <w:rPr>
          <w:color w:val="58595B"/>
          <w:position w:val="7"/>
          <w:sz w:val="11"/>
        </w:rPr>
        <w:t xml:space="preserve">11 </w:t>
      </w:r>
      <w:r>
        <w:rPr>
          <w:color w:val="58595B"/>
        </w:rPr>
        <w:t>Partnering with business and the community helps the EPA gather and exchange data, leverage expertise and support compliance. Partnering with the community, for example in citizen science programs and through environmental improvement plans, may promote empowerment, trust and effective outcomes.</w:t>
      </w:r>
    </w:p>
    <w:p w14:paraId="3668D6DD" w14:textId="77777777" w:rsidR="00724131" w:rsidRDefault="00823349">
      <w:pPr>
        <w:spacing w:before="172" w:line="280" w:lineRule="auto"/>
        <w:ind w:left="701" w:right="2112"/>
        <w:rPr>
          <w:i/>
          <w:sz w:val="20"/>
        </w:rPr>
      </w:pPr>
      <w:r>
        <w:rPr>
          <w:i/>
          <w:color w:val="231F20"/>
          <w:spacing w:val="-3"/>
          <w:sz w:val="20"/>
        </w:rPr>
        <w:t xml:space="preserve">The </w:t>
      </w:r>
      <w:r>
        <w:rPr>
          <w:i/>
          <w:color w:val="231F20"/>
          <w:spacing w:val="-5"/>
          <w:sz w:val="20"/>
        </w:rPr>
        <w:t xml:space="preserve">EPA </w:t>
      </w:r>
      <w:r>
        <w:rPr>
          <w:i/>
          <w:color w:val="231F20"/>
          <w:spacing w:val="-4"/>
          <w:sz w:val="20"/>
        </w:rPr>
        <w:t xml:space="preserve">must </w:t>
      </w:r>
      <w:r>
        <w:rPr>
          <w:i/>
          <w:color w:val="231F20"/>
          <w:sz w:val="20"/>
        </w:rPr>
        <w:t xml:space="preserve">be </w:t>
      </w:r>
      <w:r>
        <w:rPr>
          <w:i/>
          <w:color w:val="231F20"/>
          <w:spacing w:val="-4"/>
          <w:sz w:val="20"/>
        </w:rPr>
        <w:t xml:space="preserve">visibly present </w:t>
      </w:r>
      <w:r>
        <w:rPr>
          <w:i/>
          <w:color w:val="231F20"/>
          <w:spacing w:val="-3"/>
          <w:sz w:val="20"/>
        </w:rPr>
        <w:t xml:space="preserve">to the community and </w:t>
      </w:r>
      <w:r>
        <w:rPr>
          <w:i/>
          <w:color w:val="231F20"/>
          <w:spacing w:val="-5"/>
          <w:sz w:val="20"/>
        </w:rPr>
        <w:t xml:space="preserve">take </w:t>
      </w:r>
      <w:r>
        <w:rPr>
          <w:i/>
          <w:color w:val="231F20"/>
          <w:sz w:val="20"/>
        </w:rPr>
        <w:t>up</w:t>
      </w:r>
      <w:r>
        <w:rPr>
          <w:i/>
          <w:color w:val="231F20"/>
          <w:spacing w:val="-39"/>
          <w:sz w:val="20"/>
        </w:rPr>
        <w:t xml:space="preserve"> </w:t>
      </w:r>
      <w:r>
        <w:rPr>
          <w:i/>
          <w:color w:val="231F20"/>
          <w:spacing w:val="-4"/>
          <w:sz w:val="20"/>
        </w:rPr>
        <w:t xml:space="preserve">opportunities presented </w:t>
      </w:r>
      <w:r>
        <w:rPr>
          <w:i/>
          <w:color w:val="231F20"/>
          <w:spacing w:val="-3"/>
          <w:sz w:val="20"/>
        </w:rPr>
        <w:t xml:space="preserve">to </w:t>
      </w:r>
      <w:r>
        <w:rPr>
          <w:i/>
          <w:color w:val="231F20"/>
          <w:sz w:val="20"/>
        </w:rPr>
        <w:t xml:space="preserve">it </w:t>
      </w:r>
      <w:r>
        <w:rPr>
          <w:i/>
          <w:color w:val="231F20"/>
          <w:spacing w:val="-3"/>
          <w:sz w:val="20"/>
        </w:rPr>
        <w:t xml:space="preserve">to </w:t>
      </w:r>
      <w:r>
        <w:rPr>
          <w:i/>
          <w:color w:val="231F20"/>
          <w:spacing w:val="-4"/>
          <w:sz w:val="20"/>
        </w:rPr>
        <w:t xml:space="preserve">provide input into </w:t>
      </w:r>
      <w:r>
        <w:rPr>
          <w:i/>
          <w:color w:val="231F20"/>
          <w:spacing w:val="-3"/>
          <w:sz w:val="20"/>
        </w:rPr>
        <w:t xml:space="preserve">local </w:t>
      </w:r>
      <w:r>
        <w:rPr>
          <w:i/>
          <w:color w:val="231F20"/>
          <w:spacing w:val="-5"/>
          <w:sz w:val="20"/>
        </w:rPr>
        <w:t xml:space="preserve">government </w:t>
      </w:r>
      <w:r>
        <w:rPr>
          <w:i/>
          <w:color w:val="231F20"/>
          <w:spacing w:val="-3"/>
          <w:sz w:val="20"/>
        </w:rPr>
        <w:t xml:space="preserve">and community </w:t>
      </w:r>
      <w:r>
        <w:rPr>
          <w:i/>
          <w:color w:val="231F20"/>
          <w:spacing w:val="-4"/>
          <w:sz w:val="20"/>
        </w:rPr>
        <w:t xml:space="preserve">processes. </w:t>
      </w:r>
      <w:r>
        <w:rPr>
          <w:i/>
          <w:color w:val="231F20"/>
          <w:spacing w:val="-3"/>
          <w:sz w:val="20"/>
        </w:rPr>
        <w:t xml:space="preserve">The </w:t>
      </w:r>
      <w:r>
        <w:rPr>
          <w:i/>
          <w:color w:val="231F20"/>
          <w:spacing w:val="-4"/>
          <w:sz w:val="20"/>
        </w:rPr>
        <w:t xml:space="preserve">need </w:t>
      </w:r>
      <w:r>
        <w:rPr>
          <w:i/>
          <w:color w:val="231F20"/>
          <w:spacing w:val="-3"/>
          <w:sz w:val="20"/>
        </w:rPr>
        <w:t xml:space="preserve">to </w:t>
      </w:r>
      <w:r>
        <w:rPr>
          <w:i/>
          <w:color w:val="231F20"/>
          <w:sz w:val="20"/>
        </w:rPr>
        <w:t>be at</w:t>
      </w:r>
      <w:r>
        <w:rPr>
          <w:i/>
          <w:color w:val="231F20"/>
          <w:spacing w:val="-8"/>
          <w:sz w:val="20"/>
        </w:rPr>
        <w:t xml:space="preserve"> </w:t>
      </w:r>
      <w:r>
        <w:rPr>
          <w:i/>
          <w:color w:val="231F20"/>
          <w:spacing w:val="-3"/>
          <w:sz w:val="20"/>
        </w:rPr>
        <w:t>the</w:t>
      </w:r>
      <w:r>
        <w:rPr>
          <w:i/>
          <w:color w:val="231F20"/>
          <w:spacing w:val="-8"/>
          <w:sz w:val="20"/>
        </w:rPr>
        <w:t xml:space="preserve"> </w:t>
      </w:r>
      <w:r>
        <w:rPr>
          <w:i/>
          <w:color w:val="231F20"/>
          <w:spacing w:val="-3"/>
          <w:sz w:val="20"/>
        </w:rPr>
        <w:t>coal-face</w:t>
      </w:r>
      <w:r>
        <w:rPr>
          <w:i/>
          <w:color w:val="231F20"/>
          <w:spacing w:val="-8"/>
          <w:sz w:val="20"/>
        </w:rPr>
        <w:t xml:space="preserve"> </w:t>
      </w:r>
      <w:r>
        <w:rPr>
          <w:i/>
          <w:color w:val="231F20"/>
          <w:spacing w:val="-4"/>
          <w:sz w:val="20"/>
        </w:rPr>
        <w:t>interacting</w:t>
      </w:r>
      <w:r>
        <w:rPr>
          <w:i/>
          <w:color w:val="231F20"/>
          <w:spacing w:val="-8"/>
          <w:sz w:val="20"/>
        </w:rPr>
        <w:t xml:space="preserve"> </w:t>
      </w:r>
      <w:r>
        <w:rPr>
          <w:i/>
          <w:color w:val="231F20"/>
          <w:spacing w:val="-4"/>
          <w:sz w:val="20"/>
        </w:rPr>
        <w:t>with</w:t>
      </w:r>
      <w:r>
        <w:rPr>
          <w:i/>
          <w:color w:val="231F20"/>
          <w:spacing w:val="-8"/>
          <w:sz w:val="20"/>
        </w:rPr>
        <w:t xml:space="preserve"> </w:t>
      </w:r>
      <w:r>
        <w:rPr>
          <w:i/>
          <w:color w:val="231F20"/>
          <w:spacing w:val="-3"/>
          <w:sz w:val="20"/>
        </w:rPr>
        <w:t>the</w:t>
      </w:r>
      <w:r>
        <w:rPr>
          <w:i/>
          <w:color w:val="231F20"/>
          <w:spacing w:val="-8"/>
          <w:sz w:val="20"/>
        </w:rPr>
        <w:t xml:space="preserve"> </w:t>
      </w:r>
      <w:r>
        <w:rPr>
          <w:i/>
          <w:color w:val="231F20"/>
          <w:spacing w:val="-3"/>
          <w:sz w:val="20"/>
        </w:rPr>
        <w:t>community</w:t>
      </w:r>
      <w:r>
        <w:rPr>
          <w:i/>
          <w:color w:val="231F20"/>
          <w:spacing w:val="-8"/>
          <w:sz w:val="20"/>
        </w:rPr>
        <w:t xml:space="preserve"> </w:t>
      </w:r>
      <w:r>
        <w:rPr>
          <w:i/>
          <w:color w:val="231F20"/>
          <w:spacing w:val="-4"/>
          <w:sz w:val="20"/>
        </w:rPr>
        <w:t>needs</w:t>
      </w:r>
      <w:r>
        <w:rPr>
          <w:i/>
          <w:color w:val="231F20"/>
          <w:spacing w:val="-8"/>
          <w:sz w:val="20"/>
        </w:rPr>
        <w:t xml:space="preserve"> </w:t>
      </w:r>
      <w:r>
        <w:rPr>
          <w:i/>
          <w:color w:val="231F20"/>
          <w:spacing w:val="-3"/>
          <w:sz w:val="20"/>
        </w:rPr>
        <w:t>to</w:t>
      </w:r>
      <w:r>
        <w:rPr>
          <w:i/>
          <w:color w:val="231F20"/>
          <w:spacing w:val="-8"/>
          <w:sz w:val="20"/>
        </w:rPr>
        <w:t xml:space="preserve"> </w:t>
      </w:r>
      <w:r>
        <w:rPr>
          <w:i/>
          <w:color w:val="231F20"/>
          <w:sz w:val="20"/>
        </w:rPr>
        <w:t>be</w:t>
      </w:r>
      <w:r>
        <w:rPr>
          <w:i/>
          <w:color w:val="231F20"/>
          <w:spacing w:val="-8"/>
          <w:sz w:val="20"/>
        </w:rPr>
        <w:t xml:space="preserve"> </w:t>
      </w:r>
      <w:r>
        <w:rPr>
          <w:i/>
          <w:color w:val="231F20"/>
          <w:spacing w:val="-4"/>
          <w:sz w:val="20"/>
        </w:rPr>
        <w:t>valued</w:t>
      </w:r>
      <w:r>
        <w:rPr>
          <w:i/>
          <w:color w:val="231F20"/>
          <w:spacing w:val="-8"/>
          <w:sz w:val="20"/>
        </w:rPr>
        <w:t xml:space="preserve"> </w:t>
      </w:r>
      <w:r>
        <w:rPr>
          <w:i/>
          <w:color w:val="231F20"/>
          <w:spacing w:val="-4"/>
          <w:sz w:val="20"/>
        </w:rPr>
        <w:t>by</w:t>
      </w:r>
      <w:r>
        <w:rPr>
          <w:i/>
          <w:color w:val="231F20"/>
          <w:spacing w:val="-8"/>
          <w:sz w:val="20"/>
        </w:rPr>
        <w:t xml:space="preserve"> </w:t>
      </w:r>
      <w:r>
        <w:rPr>
          <w:i/>
          <w:color w:val="231F20"/>
          <w:spacing w:val="-3"/>
          <w:sz w:val="20"/>
        </w:rPr>
        <w:t>the</w:t>
      </w:r>
      <w:r>
        <w:rPr>
          <w:i/>
          <w:color w:val="231F20"/>
          <w:spacing w:val="-8"/>
          <w:sz w:val="20"/>
        </w:rPr>
        <w:t xml:space="preserve"> </w:t>
      </w:r>
      <w:r>
        <w:rPr>
          <w:i/>
          <w:color w:val="231F20"/>
          <w:spacing w:val="-5"/>
          <w:sz w:val="20"/>
        </w:rPr>
        <w:t>EPA</w:t>
      </w:r>
      <w:r>
        <w:rPr>
          <w:i/>
          <w:color w:val="231F20"/>
          <w:spacing w:val="-8"/>
          <w:sz w:val="20"/>
        </w:rPr>
        <w:t xml:space="preserve"> </w:t>
      </w:r>
      <w:r>
        <w:rPr>
          <w:i/>
          <w:color w:val="231F20"/>
          <w:spacing w:val="-3"/>
          <w:sz w:val="20"/>
        </w:rPr>
        <w:t>and</w:t>
      </w:r>
      <w:r>
        <w:rPr>
          <w:i/>
          <w:color w:val="231F20"/>
          <w:spacing w:val="-8"/>
          <w:sz w:val="20"/>
        </w:rPr>
        <w:t xml:space="preserve"> </w:t>
      </w:r>
      <w:r>
        <w:rPr>
          <w:i/>
          <w:color w:val="231F20"/>
          <w:sz w:val="20"/>
        </w:rPr>
        <w:t>be</w:t>
      </w:r>
    </w:p>
    <w:p w14:paraId="6F07B8BE" w14:textId="77777777" w:rsidR="00724131" w:rsidRDefault="00823349">
      <w:pPr>
        <w:spacing w:before="2"/>
        <w:ind w:left="701" w:right="228"/>
        <w:rPr>
          <w:sz w:val="20"/>
        </w:rPr>
      </w:pPr>
      <w:r>
        <w:rPr>
          <w:i/>
          <w:color w:val="231F20"/>
          <w:sz w:val="20"/>
        </w:rPr>
        <w:t xml:space="preserve">appropriately resourced to provide this approach. </w:t>
      </w:r>
      <w:r>
        <w:rPr>
          <w:color w:val="231F20"/>
          <w:sz w:val="20"/>
        </w:rPr>
        <w:t>(Latrobe City Council submission, p. 2)</w:t>
      </w:r>
    </w:p>
    <w:p w14:paraId="164756C6" w14:textId="77777777" w:rsidR="00724131" w:rsidRDefault="00724131">
      <w:pPr>
        <w:pStyle w:val="BodyText"/>
        <w:spacing w:before="3"/>
        <w:rPr>
          <w:sz w:val="18"/>
        </w:rPr>
      </w:pPr>
    </w:p>
    <w:p w14:paraId="49D8A63F" w14:textId="77777777" w:rsidR="00724131" w:rsidRDefault="00823349">
      <w:pPr>
        <w:spacing w:line="280" w:lineRule="auto"/>
        <w:ind w:left="701" w:right="2184"/>
        <w:rPr>
          <w:sz w:val="20"/>
        </w:rPr>
      </w:pPr>
      <w:r>
        <w:rPr>
          <w:i/>
          <w:color w:val="231F20"/>
          <w:sz w:val="20"/>
        </w:rPr>
        <w:t xml:space="preserve">The EPA also has an important facilitation and education role to help local government and business to most cost effectively meet their environmental obligations. </w:t>
      </w:r>
      <w:r>
        <w:rPr>
          <w:color w:val="231F20"/>
          <w:sz w:val="20"/>
        </w:rPr>
        <w:t>(Wellington Shire Council submission, p. 1)</w:t>
      </w:r>
    </w:p>
    <w:p w14:paraId="176EA132" w14:textId="77777777" w:rsidR="00724131" w:rsidRDefault="00724131">
      <w:pPr>
        <w:spacing w:line="280" w:lineRule="auto"/>
        <w:rPr>
          <w:sz w:val="20"/>
        </w:rPr>
        <w:sectPr w:rsidR="00724131">
          <w:pgSz w:w="11910" w:h="16840"/>
          <w:pgMar w:top="980" w:right="0" w:bottom="280" w:left="1680" w:header="788" w:footer="0" w:gutter="0"/>
          <w:cols w:space="720"/>
        </w:sectPr>
      </w:pPr>
    </w:p>
    <w:p w14:paraId="0A2ABAA2" w14:textId="77777777" w:rsidR="00724131" w:rsidRDefault="00724131">
      <w:pPr>
        <w:pStyle w:val="BodyText"/>
      </w:pPr>
    </w:p>
    <w:p w14:paraId="2446868F" w14:textId="77777777" w:rsidR="00724131" w:rsidRDefault="00724131">
      <w:pPr>
        <w:pStyle w:val="BodyText"/>
      </w:pPr>
    </w:p>
    <w:p w14:paraId="40A4EE25" w14:textId="77777777" w:rsidR="00724131" w:rsidRDefault="00724131">
      <w:pPr>
        <w:pStyle w:val="BodyText"/>
      </w:pPr>
    </w:p>
    <w:p w14:paraId="1250E540" w14:textId="77777777" w:rsidR="00724131" w:rsidRDefault="00724131">
      <w:pPr>
        <w:pStyle w:val="BodyText"/>
      </w:pPr>
    </w:p>
    <w:p w14:paraId="447779A1" w14:textId="77777777" w:rsidR="00724131" w:rsidRDefault="00724131">
      <w:pPr>
        <w:pStyle w:val="BodyText"/>
        <w:spacing w:before="8"/>
        <w:rPr>
          <w:sz w:val="17"/>
        </w:rPr>
      </w:pPr>
    </w:p>
    <w:p w14:paraId="3681E3DD" w14:textId="77777777" w:rsidR="00724131" w:rsidRDefault="00823349">
      <w:pPr>
        <w:pStyle w:val="BodyText"/>
        <w:spacing w:before="1" w:line="280" w:lineRule="auto"/>
        <w:ind w:left="1417" w:right="42"/>
      </w:pPr>
      <w:r>
        <w:rPr>
          <w:color w:val="58595B"/>
        </w:rPr>
        <w:t>There are many examples that demonstrate the merits of partnering within the public and private sectors to develop capabilities. Partnerships with business, such as industry placements and mentoring programs, may provide the EPA with opportunities to build its commercial, engagement and leadership capabilities as well as industry knowledge. Partnerships with regulators and</w:t>
      </w:r>
    </w:p>
    <w:p w14:paraId="300F6EFA" w14:textId="77777777" w:rsidR="00724131" w:rsidRDefault="00823349">
      <w:pPr>
        <w:pStyle w:val="BodyText"/>
        <w:spacing w:before="2" w:line="280" w:lineRule="auto"/>
        <w:ind w:left="1417" w:right="228"/>
      </w:pPr>
      <w:r>
        <w:rPr>
          <w:color w:val="58595B"/>
        </w:rPr>
        <w:t>other parts of government, through secondments and job rotations, can help the EPA to expand its influence as well as identify a broader range of approaches to address complex issues and intractable problems, combining expertise, tools and information across government.</w:t>
      </w:r>
    </w:p>
    <w:p w14:paraId="5B21308E" w14:textId="77777777" w:rsidR="00724131" w:rsidRDefault="00823349">
      <w:pPr>
        <w:pStyle w:val="BodyText"/>
        <w:spacing w:before="172" w:line="280" w:lineRule="auto"/>
        <w:ind w:left="1417" w:right="508"/>
      </w:pPr>
      <w:r>
        <w:rPr>
          <w:color w:val="58595B"/>
        </w:rPr>
        <w:t>Empowering local government to respond to local pollution and waste complaints and issues (chapter 18) will require the EPA to develop an ongoing partnership and statewide support framework that builds the capability of local government environment protection officers in local governments. On its part, the EPA will complement local response by taking a system view of issues and applying resources to strategic problem-solving.</w:t>
      </w:r>
    </w:p>
    <w:p w14:paraId="23509938" w14:textId="77777777" w:rsidR="00724131" w:rsidRDefault="00724131">
      <w:pPr>
        <w:pStyle w:val="BodyText"/>
        <w:spacing w:before="10"/>
        <w:rPr>
          <w:sz w:val="19"/>
        </w:rPr>
      </w:pPr>
    </w:p>
    <w:p w14:paraId="6612C6D1" w14:textId="77777777" w:rsidR="00724131" w:rsidRDefault="00823349">
      <w:pPr>
        <w:ind w:left="1417" w:right="228"/>
        <w:rPr>
          <w:i/>
          <w:sz w:val="20"/>
        </w:rPr>
      </w:pPr>
      <w:r>
        <w:rPr>
          <w:i/>
          <w:color w:val="6D6E71"/>
          <w:sz w:val="20"/>
        </w:rPr>
        <w:t>Scientific and engineering capabilities</w:t>
      </w:r>
    </w:p>
    <w:p w14:paraId="79623915" w14:textId="77777777" w:rsidR="00724131" w:rsidRDefault="00823349">
      <w:pPr>
        <w:pStyle w:val="BodyText"/>
        <w:spacing w:before="125" w:line="280" w:lineRule="auto"/>
        <w:ind w:left="1417" w:right="344"/>
      </w:pPr>
      <w:r>
        <w:rPr>
          <w:color w:val="58595B"/>
        </w:rPr>
        <w:t xml:space="preserve">Science underpins the </w:t>
      </w:r>
      <w:r>
        <w:rPr>
          <w:color w:val="58595B"/>
          <w:spacing w:val="-7"/>
        </w:rPr>
        <w:t xml:space="preserve">EPA’s </w:t>
      </w:r>
      <w:r>
        <w:rPr>
          <w:color w:val="58595B"/>
        </w:rPr>
        <w:t xml:space="preserve">capability as an evidence-based trusted and influential authority.  It needs comprehensive coverage of </w:t>
      </w:r>
      <w:r>
        <w:rPr>
          <w:color w:val="58595B"/>
          <w:spacing w:val="-3"/>
        </w:rPr>
        <w:t xml:space="preserve">key </w:t>
      </w:r>
      <w:r>
        <w:rPr>
          <w:color w:val="58595B"/>
        </w:rPr>
        <w:t xml:space="preserve">pollution and waste issues. </w:t>
      </w:r>
      <w:r>
        <w:rPr>
          <w:color w:val="58595B"/>
          <w:spacing w:val="-8"/>
        </w:rPr>
        <w:t xml:space="preserve">To </w:t>
      </w:r>
      <w:r>
        <w:rPr>
          <w:color w:val="58595B"/>
        </w:rPr>
        <w:t xml:space="preserve">be a multidisciplinary regulator the </w:t>
      </w:r>
      <w:r>
        <w:rPr>
          <w:color w:val="58595B"/>
          <w:spacing w:val="-4"/>
        </w:rPr>
        <w:t xml:space="preserve">EPA </w:t>
      </w:r>
      <w:r>
        <w:rPr>
          <w:color w:val="58595B"/>
        </w:rPr>
        <w:t xml:space="preserve">must have a significant variety, depth and breadth of scientific, technical and engineering expertise. Recognising this, we propose the </w:t>
      </w:r>
      <w:r>
        <w:rPr>
          <w:color w:val="58595B"/>
          <w:spacing w:val="-4"/>
        </w:rPr>
        <w:t xml:space="preserve">EPA </w:t>
      </w:r>
      <w:r>
        <w:rPr>
          <w:color w:val="58595B"/>
        </w:rPr>
        <w:t>needs to fill recognised</w:t>
      </w:r>
      <w:r>
        <w:rPr>
          <w:color w:val="58595B"/>
          <w:spacing w:val="29"/>
        </w:rPr>
        <w:t xml:space="preserve"> </w:t>
      </w:r>
      <w:r>
        <w:rPr>
          <w:color w:val="58595B"/>
        </w:rPr>
        <w:t>capability</w:t>
      </w:r>
    </w:p>
    <w:p w14:paraId="4834CFD1" w14:textId="77777777" w:rsidR="00724131" w:rsidRDefault="00823349">
      <w:pPr>
        <w:pStyle w:val="BodyText"/>
        <w:spacing w:before="2" w:line="280" w:lineRule="auto"/>
        <w:ind w:left="1417" w:right="266"/>
      </w:pPr>
      <w:r>
        <w:rPr>
          <w:color w:val="58595B"/>
        </w:rPr>
        <w:t>gaps in key pollution and waste issues such as waste, chemicals, major industries, groundwater, noise and odour (chapter 6). The EPA must also strengthen its environmental health capability, including with expertise in epidemiology and toxicology (chapter 6).</w:t>
      </w:r>
    </w:p>
    <w:p w14:paraId="2D156210" w14:textId="77777777" w:rsidR="00724131" w:rsidRDefault="00823349">
      <w:pPr>
        <w:pStyle w:val="BodyText"/>
        <w:spacing w:before="172" w:line="280" w:lineRule="auto"/>
        <w:ind w:left="1417" w:right="389"/>
      </w:pPr>
      <w:r>
        <w:rPr>
          <w:color w:val="58595B"/>
        </w:rPr>
        <w:t xml:space="preserve">Given our proposal to increase its role in mining (chapter </w:t>
      </w:r>
      <w:r>
        <w:rPr>
          <w:color w:val="58595B"/>
          <w:spacing w:val="-4"/>
        </w:rPr>
        <w:t xml:space="preserve">17), </w:t>
      </w:r>
      <w:r>
        <w:rPr>
          <w:color w:val="58595B"/>
        </w:rPr>
        <w:t xml:space="preserve">the </w:t>
      </w:r>
      <w:r>
        <w:rPr>
          <w:color w:val="58595B"/>
          <w:spacing w:val="-4"/>
        </w:rPr>
        <w:t xml:space="preserve">EPA </w:t>
      </w:r>
      <w:r>
        <w:rPr>
          <w:color w:val="58595B"/>
        </w:rPr>
        <w:t xml:space="preserve">may need more expertise on the pollution issues associated with the mining industry. Our proposal to introduce a registration scheme (chapter </w:t>
      </w:r>
      <w:r>
        <w:rPr>
          <w:color w:val="58595B"/>
          <w:spacing w:val="-6"/>
        </w:rPr>
        <w:t xml:space="preserve">12) </w:t>
      </w:r>
      <w:r>
        <w:rPr>
          <w:color w:val="58595B"/>
        </w:rPr>
        <w:t xml:space="preserve">will rely on the </w:t>
      </w:r>
      <w:r>
        <w:rPr>
          <w:color w:val="58595B"/>
          <w:spacing w:val="-4"/>
        </w:rPr>
        <w:t xml:space="preserve">EPA </w:t>
      </w:r>
      <w:r>
        <w:rPr>
          <w:color w:val="58595B"/>
        </w:rPr>
        <w:t>having expertise on pollution issues associated with the industry sectors included in the</w:t>
      </w:r>
      <w:r>
        <w:rPr>
          <w:color w:val="58595B"/>
          <w:spacing w:val="16"/>
        </w:rPr>
        <w:t xml:space="preserve"> </w:t>
      </w:r>
      <w:r>
        <w:rPr>
          <w:color w:val="58595B"/>
        </w:rPr>
        <w:t>scheme.</w:t>
      </w:r>
    </w:p>
    <w:p w14:paraId="285FD130" w14:textId="77777777" w:rsidR="00724131" w:rsidRDefault="00823349">
      <w:pPr>
        <w:pStyle w:val="BodyText"/>
        <w:spacing w:before="172" w:line="280" w:lineRule="auto"/>
        <w:ind w:left="1417" w:right="199"/>
      </w:pPr>
      <w:r>
        <w:rPr>
          <w:color w:val="58595B"/>
        </w:rPr>
        <w:t>The EPA will need data scientists who are skilled in data collection, analytics, storage, sharing and management. They must know what technology to adopt, what data streams to use and how to apply the data.</w:t>
      </w:r>
    </w:p>
    <w:p w14:paraId="7EE8DBF3" w14:textId="77777777" w:rsidR="00724131" w:rsidRDefault="00823349">
      <w:pPr>
        <w:pStyle w:val="BodyText"/>
        <w:spacing w:before="172" w:line="280" w:lineRule="auto"/>
        <w:ind w:left="1417" w:right="132"/>
      </w:pPr>
      <w:r>
        <w:rPr>
          <w:color w:val="58595B"/>
        </w:rPr>
        <w:t>The EPA needs scientific capabilities at senior levels and this will also strengthen potential career paths for specialist disciplines, improving capabilities in the long term.</w:t>
      </w:r>
    </w:p>
    <w:p w14:paraId="464AFE5A" w14:textId="77777777" w:rsidR="00724131" w:rsidRDefault="00823349">
      <w:pPr>
        <w:spacing w:before="172" w:line="280" w:lineRule="auto"/>
        <w:ind w:left="1984" w:right="894"/>
        <w:jc w:val="both"/>
        <w:rPr>
          <w:sz w:val="20"/>
        </w:rPr>
      </w:pPr>
      <w:r>
        <w:rPr>
          <w:i/>
          <w:color w:val="231F20"/>
          <w:sz w:val="20"/>
        </w:rPr>
        <w:t xml:space="preserve">EPA needs to be led by personnel with strong scientific backgrounds and ensure it is resourced with experienced officers who can provide consistent advice. </w:t>
      </w:r>
      <w:r>
        <w:rPr>
          <w:color w:val="231F20"/>
          <w:sz w:val="20"/>
        </w:rPr>
        <w:t>(Latrobe City Council submission, p. 3)</w:t>
      </w:r>
    </w:p>
    <w:p w14:paraId="460C8CF3" w14:textId="77777777" w:rsidR="00724131" w:rsidRDefault="00823349">
      <w:pPr>
        <w:pStyle w:val="BodyText"/>
        <w:spacing w:before="172" w:line="280" w:lineRule="auto"/>
        <w:ind w:left="1417" w:right="228"/>
      </w:pPr>
      <w:r>
        <w:rPr>
          <w:color w:val="58595B"/>
        </w:rPr>
        <w:t>The skills-based board, a Chief Executive Officer with scientific or engineering qualifications and a Chief Environmental Scientist will increase the EPA’s authority and influence. The EPA could also use the Senior Technical Specialist (STS) classification</w:t>
      </w:r>
      <w:r>
        <w:rPr>
          <w:color w:val="58595B"/>
          <w:position w:val="7"/>
          <w:sz w:val="11"/>
        </w:rPr>
        <w:t xml:space="preserve">12 </w:t>
      </w:r>
      <w:r>
        <w:rPr>
          <w:color w:val="58595B"/>
        </w:rPr>
        <w:t>for positions such as ‘principal experts’ to help the EPA retain and recruit highly regarded staff with strong networks. The EPA could also expand its links with independent experts, universities and research facilities, as well as with regulators in Victoria and other jurisdictions to build its network of expertise and career paths for specialists.</w:t>
      </w:r>
    </w:p>
    <w:p w14:paraId="6A882057" w14:textId="77777777" w:rsidR="00724131" w:rsidRDefault="00724131">
      <w:pPr>
        <w:spacing w:line="280" w:lineRule="auto"/>
        <w:sectPr w:rsidR="00724131">
          <w:pgSz w:w="11910" w:h="16840"/>
          <w:pgMar w:top="980" w:right="1680" w:bottom="280" w:left="0" w:header="788" w:footer="0" w:gutter="0"/>
          <w:cols w:space="720"/>
        </w:sectPr>
      </w:pPr>
    </w:p>
    <w:p w14:paraId="034D9030" w14:textId="77777777" w:rsidR="00724131" w:rsidRDefault="00724131">
      <w:pPr>
        <w:pStyle w:val="BodyText"/>
      </w:pPr>
    </w:p>
    <w:p w14:paraId="51A1281A" w14:textId="77777777" w:rsidR="00724131" w:rsidRDefault="00724131">
      <w:pPr>
        <w:pStyle w:val="BodyText"/>
      </w:pPr>
    </w:p>
    <w:p w14:paraId="2E8C3CCC" w14:textId="77777777" w:rsidR="00724131" w:rsidRDefault="00724131">
      <w:pPr>
        <w:pStyle w:val="BodyText"/>
      </w:pPr>
    </w:p>
    <w:p w14:paraId="5505364D" w14:textId="77777777" w:rsidR="00724131" w:rsidRDefault="00724131">
      <w:pPr>
        <w:pStyle w:val="BodyText"/>
      </w:pPr>
    </w:p>
    <w:p w14:paraId="4400F9CB" w14:textId="77777777" w:rsidR="00724131" w:rsidRDefault="00724131">
      <w:pPr>
        <w:pStyle w:val="BodyText"/>
        <w:spacing w:before="8"/>
        <w:rPr>
          <w:sz w:val="17"/>
        </w:rPr>
      </w:pPr>
    </w:p>
    <w:p w14:paraId="747BC812" w14:textId="77777777" w:rsidR="00724131" w:rsidRDefault="00823349">
      <w:pPr>
        <w:spacing w:before="1"/>
        <w:ind w:left="134" w:right="228"/>
        <w:rPr>
          <w:i/>
          <w:sz w:val="20"/>
        </w:rPr>
      </w:pPr>
      <w:r>
        <w:rPr>
          <w:i/>
          <w:color w:val="6D6E71"/>
          <w:sz w:val="20"/>
        </w:rPr>
        <w:t>Influencing within government</w:t>
      </w:r>
    </w:p>
    <w:p w14:paraId="4BB746E3" w14:textId="77777777" w:rsidR="00724131" w:rsidRDefault="00823349">
      <w:pPr>
        <w:pStyle w:val="BodyText"/>
        <w:spacing w:before="125" w:line="280" w:lineRule="auto"/>
        <w:ind w:left="134" w:right="1578"/>
      </w:pPr>
      <w:r>
        <w:rPr>
          <w:color w:val="58595B"/>
        </w:rPr>
        <w:t>The ability to influence within government will greatly assist the EPA to manage risks and prevent harm to human health and the environment. For example, the ability to influence government decisions in relation to transport infrastructure could prevent harm to public health and the environment and reduce the costly management of pollution issues in the future. To exert influence the EPA must be connected within government. It must also be a trusted and authoritative source of information, so that it’s input and advice are sought by other government agencies. It must have the strategic ability to identify when and where to exert its influence to most effectively prevent harm.</w:t>
      </w:r>
    </w:p>
    <w:p w14:paraId="51273F1E" w14:textId="77777777" w:rsidR="00724131" w:rsidRDefault="00823349">
      <w:pPr>
        <w:pStyle w:val="BodyText"/>
        <w:spacing w:before="172" w:line="280" w:lineRule="auto"/>
        <w:ind w:left="134" w:right="1337"/>
      </w:pPr>
      <w:r>
        <w:rPr>
          <w:color w:val="58595B"/>
          <w:spacing w:val="-3"/>
        </w:rPr>
        <w:t>The</w:t>
      </w:r>
      <w:r>
        <w:rPr>
          <w:color w:val="58595B"/>
          <w:spacing w:val="-7"/>
        </w:rPr>
        <w:t xml:space="preserve"> EPA </w:t>
      </w:r>
      <w:r>
        <w:rPr>
          <w:color w:val="58595B"/>
          <w:spacing w:val="-3"/>
        </w:rPr>
        <w:t xml:space="preserve">of the </w:t>
      </w:r>
      <w:r>
        <w:rPr>
          <w:color w:val="58595B"/>
          <w:spacing w:val="-4"/>
        </w:rPr>
        <w:t xml:space="preserve">future must </w:t>
      </w:r>
      <w:r>
        <w:rPr>
          <w:color w:val="58595B"/>
        </w:rPr>
        <w:t xml:space="preserve">be </w:t>
      </w:r>
      <w:r>
        <w:rPr>
          <w:color w:val="58595B"/>
          <w:spacing w:val="-3"/>
        </w:rPr>
        <w:t xml:space="preserve">able to influence land use </w:t>
      </w:r>
      <w:r>
        <w:rPr>
          <w:color w:val="58595B"/>
          <w:spacing w:val="-4"/>
        </w:rPr>
        <w:t xml:space="preserve">planning issues </w:t>
      </w:r>
      <w:r>
        <w:rPr>
          <w:color w:val="58595B"/>
          <w:spacing w:val="-3"/>
        </w:rPr>
        <w:t xml:space="preserve">across Victoria. </w:t>
      </w:r>
      <w:r>
        <w:rPr>
          <w:color w:val="58595B"/>
        </w:rPr>
        <w:t xml:space="preserve">In </w:t>
      </w:r>
      <w:r>
        <w:rPr>
          <w:color w:val="58595B"/>
          <w:spacing w:val="-4"/>
        </w:rPr>
        <w:t xml:space="preserve">particular, </w:t>
      </w:r>
      <w:r>
        <w:rPr>
          <w:color w:val="58595B"/>
        </w:rPr>
        <w:t xml:space="preserve">the </w:t>
      </w:r>
      <w:r>
        <w:rPr>
          <w:color w:val="58595B"/>
          <w:spacing w:val="-6"/>
        </w:rPr>
        <w:t xml:space="preserve">EPA </w:t>
      </w:r>
      <w:r>
        <w:rPr>
          <w:color w:val="58595B"/>
          <w:spacing w:val="-3"/>
        </w:rPr>
        <w:t xml:space="preserve">must </w:t>
      </w:r>
      <w:r>
        <w:rPr>
          <w:color w:val="58595B"/>
        </w:rPr>
        <w:t xml:space="preserve">influence </w:t>
      </w:r>
      <w:r>
        <w:rPr>
          <w:color w:val="58595B"/>
          <w:spacing w:val="-3"/>
        </w:rPr>
        <w:t xml:space="preserve">strategic land use planning </w:t>
      </w:r>
      <w:r>
        <w:rPr>
          <w:color w:val="58595B"/>
          <w:spacing w:val="-4"/>
        </w:rPr>
        <w:t xml:space="preserve">by </w:t>
      </w:r>
      <w:r>
        <w:rPr>
          <w:color w:val="58595B"/>
        </w:rPr>
        <w:t xml:space="preserve">working with the </w:t>
      </w:r>
      <w:r>
        <w:rPr>
          <w:color w:val="58595B"/>
          <w:spacing w:val="-3"/>
        </w:rPr>
        <w:t xml:space="preserve">Metropolitan Planning </w:t>
      </w:r>
      <w:r>
        <w:rPr>
          <w:color w:val="58595B"/>
        </w:rPr>
        <w:t xml:space="preserve">Authority </w:t>
      </w:r>
      <w:r>
        <w:rPr>
          <w:color w:val="58595B"/>
          <w:spacing w:val="-5"/>
        </w:rPr>
        <w:t xml:space="preserve">(and </w:t>
      </w:r>
      <w:r>
        <w:rPr>
          <w:color w:val="58595B"/>
        </w:rPr>
        <w:t xml:space="preserve">its </w:t>
      </w:r>
      <w:r>
        <w:rPr>
          <w:color w:val="58595B"/>
          <w:spacing w:val="-4"/>
        </w:rPr>
        <w:t xml:space="preserve">successor, </w:t>
      </w:r>
      <w:r>
        <w:rPr>
          <w:color w:val="58595B"/>
        </w:rPr>
        <w:t xml:space="preserve">the Victorian </w:t>
      </w:r>
      <w:r>
        <w:rPr>
          <w:color w:val="58595B"/>
          <w:spacing w:val="-3"/>
        </w:rPr>
        <w:t xml:space="preserve">Planning Authority) </w:t>
      </w:r>
      <w:r>
        <w:rPr>
          <w:color w:val="58595B"/>
        </w:rPr>
        <w:t xml:space="preserve">and </w:t>
      </w:r>
      <w:r>
        <w:rPr>
          <w:color w:val="58595B"/>
          <w:spacing w:val="-3"/>
        </w:rPr>
        <w:t xml:space="preserve">also </w:t>
      </w:r>
      <w:r>
        <w:rPr>
          <w:color w:val="58595B"/>
        </w:rPr>
        <w:t xml:space="preserve">with local </w:t>
      </w:r>
      <w:r>
        <w:rPr>
          <w:color w:val="58595B"/>
          <w:spacing w:val="-4"/>
        </w:rPr>
        <w:t>government.</w:t>
      </w:r>
    </w:p>
    <w:p w14:paraId="69AD34C4" w14:textId="77777777" w:rsidR="00724131" w:rsidRDefault="00823349">
      <w:pPr>
        <w:pStyle w:val="BodyText"/>
        <w:spacing w:before="172" w:line="280" w:lineRule="auto"/>
        <w:ind w:left="134" w:right="1971"/>
      </w:pPr>
      <w:r>
        <w:rPr>
          <w:color w:val="58595B"/>
        </w:rPr>
        <w:t>To do all of these things, the EPA needs statutory planning skills and experience, as well as regulatory design and mature policy skills. The EPA can develop these skills, if necessary, via training and a formal secondment program to government departments.</w:t>
      </w:r>
    </w:p>
    <w:p w14:paraId="34CE3F5C" w14:textId="77777777" w:rsidR="00724131" w:rsidRDefault="00724131">
      <w:pPr>
        <w:pStyle w:val="BodyText"/>
        <w:spacing w:before="10"/>
        <w:rPr>
          <w:sz w:val="19"/>
        </w:rPr>
      </w:pPr>
    </w:p>
    <w:p w14:paraId="6761856F" w14:textId="77777777" w:rsidR="00724131" w:rsidRDefault="00823349">
      <w:pPr>
        <w:ind w:left="134" w:right="228"/>
        <w:rPr>
          <w:i/>
          <w:sz w:val="20"/>
        </w:rPr>
      </w:pPr>
      <w:r>
        <w:rPr>
          <w:i/>
          <w:color w:val="6D6E71"/>
          <w:sz w:val="20"/>
        </w:rPr>
        <w:t>Regulatory design and problem solving</w:t>
      </w:r>
    </w:p>
    <w:p w14:paraId="2348EB70" w14:textId="77777777" w:rsidR="00724131" w:rsidRDefault="00823349">
      <w:pPr>
        <w:pStyle w:val="BodyText"/>
        <w:spacing w:before="125"/>
        <w:ind w:left="134" w:right="228"/>
      </w:pPr>
      <w:r>
        <w:rPr>
          <w:color w:val="58595B"/>
        </w:rPr>
        <w:t>The EPA will require strong regulatory design and evaluation skills.</w:t>
      </w:r>
    </w:p>
    <w:p w14:paraId="3F7CE1AF" w14:textId="77777777" w:rsidR="00724131" w:rsidRDefault="00724131">
      <w:pPr>
        <w:pStyle w:val="BodyText"/>
        <w:spacing w:before="3"/>
        <w:rPr>
          <w:sz w:val="18"/>
        </w:rPr>
      </w:pPr>
    </w:p>
    <w:p w14:paraId="34EAC0AE" w14:textId="77777777" w:rsidR="00724131" w:rsidRDefault="00823349">
      <w:pPr>
        <w:spacing w:line="280" w:lineRule="auto"/>
        <w:ind w:left="701" w:right="2184"/>
        <w:rPr>
          <w:sz w:val="20"/>
        </w:rPr>
      </w:pPr>
      <w:r>
        <w:rPr>
          <w:i/>
          <w:color w:val="231F20"/>
          <w:sz w:val="20"/>
        </w:rPr>
        <w:t xml:space="preserve">Essential to good regulation is the judgement to know which regulatory tools to employ in which combination for which issues. It also is important that those tools are selected and deployed confidently and decisively, and with an understanding and appreciation of the context in which both the EPA and the people it seeks to influence operate. </w:t>
      </w:r>
      <w:r>
        <w:rPr>
          <w:color w:val="231F20"/>
          <w:sz w:val="20"/>
        </w:rPr>
        <w:t>(Eric Windholz, Monash University submission, p. 5)</w:t>
      </w:r>
    </w:p>
    <w:p w14:paraId="2CEE9F57" w14:textId="77777777" w:rsidR="00724131" w:rsidRDefault="00823349">
      <w:pPr>
        <w:pStyle w:val="BodyText"/>
        <w:spacing w:before="172" w:line="280" w:lineRule="auto"/>
        <w:ind w:left="134" w:right="1604"/>
      </w:pPr>
      <w:r>
        <w:rPr>
          <w:color w:val="58595B"/>
        </w:rPr>
        <w:t>The EPA must have the capability to analyse information from the field, including from pollution reports, from other areas of activity within Victoria, and from other jurisdictions – to identify trends and emerging issues and assess risk levels. The scanning of other jurisdictions needs to encompass intelligence gathering on better practice tools and approaches, including potential collaboration with other Australian jurisdictions to foster innovation and data-sharing.</w:t>
      </w:r>
    </w:p>
    <w:p w14:paraId="5963950F" w14:textId="77777777" w:rsidR="00724131" w:rsidRDefault="00823349">
      <w:pPr>
        <w:pStyle w:val="BodyText"/>
        <w:spacing w:before="172" w:line="280" w:lineRule="auto"/>
        <w:ind w:left="134" w:right="1680"/>
      </w:pPr>
      <w:r>
        <w:rPr>
          <w:color w:val="58595B"/>
        </w:rPr>
        <w:t>There also needs to be attention to evaluating the operation of EPA’s regulatory tools and approaches (noting that this is a proposed legislated function), accounting for the health, wellbeing, environmental and productive outcomes as well as economic and social factors. Consultations with businesses and the community will also be an important element of these evaluations – to assess regulatory burden and practicability, and to test expectations and perceptions of outcomes. Over time, these evaluation processes can help the EPA determine the need for changes or new tools.</w:t>
      </w:r>
    </w:p>
    <w:p w14:paraId="5C5A5317" w14:textId="77777777" w:rsidR="00724131" w:rsidRDefault="00823349">
      <w:pPr>
        <w:pStyle w:val="BodyText"/>
        <w:spacing w:before="172" w:line="280" w:lineRule="auto"/>
        <w:ind w:left="134" w:right="1468"/>
      </w:pPr>
      <w:r>
        <w:rPr>
          <w:color w:val="58595B"/>
        </w:rPr>
        <w:t>The EPA needs economic skills, to understand the economic implications, including possible perverse incentives, of different regulatory tools. Internal economic capability will also help the EPA to identify pollution and waste issues that would benefit from the application of economic instruments. Access to economic design skills will assist the EPA to pilot economic instruments.</w:t>
      </w:r>
    </w:p>
    <w:p w14:paraId="10326FC0" w14:textId="77777777" w:rsidR="00724131" w:rsidRDefault="00823349">
      <w:pPr>
        <w:pStyle w:val="BodyText"/>
        <w:spacing w:before="2" w:line="280" w:lineRule="auto"/>
        <w:ind w:left="134" w:right="1911"/>
        <w:rPr>
          <w:sz w:val="11"/>
        </w:rPr>
      </w:pPr>
      <w:r>
        <w:rPr>
          <w:color w:val="58595B"/>
        </w:rPr>
        <w:t>For example, the EPA could work with the groups such as the Centre for Market Design at the University of Melbourne, which supports policy innovation by applying economic design techniques to public policy.</w:t>
      </w:r>
      <w:r>
        <w:rPr>
          <w:color w:val="58595B"/>
          <w:position w:val="7"/>
          <w:sz w:val="11"/>
        </w:rPr>
        <w:t>13</w:t>
      </w:r>
    </w:p>
    <w:p w14:paraId="79F5DCC8" w14:textId="77777777" w:rsidR="00724131" w:rsidRDefault="00823349">
      <w:pPr>
        <w:pStyle w:val="BodyText"/>
        <w:spacing w:before="172" w:line="280" w:lineRule="auto"/>
        <w:ind w:left="134" w:right="1337"/>
      </w:pPr>
      <w:r>
        <w:rPr>
          <w:color w:val="58595B"/>
        </w:rPr>
        <w:t>The</w:t>
      </w:r>
      <w:r>
        <w:rPr>
          <w:color w:val="58595B"/>
          <w:spacing w:val="-10"/>
        </w:rPr>
        <w:t xml:space="preserve"> </w:t>
      </w:r>
      <w:r>
        <w:rPr>
          <w:color w:val="58595B"/>
        </w:rPr>
        <w:t>future</w:t>
      </w:r>
      <w:r>
        <w:rPr>
          <w:color w:val="58595B"/>
          <w:spacing w:val="-10"/>
        </w:rPr>
        <w:t xml:space="preserve"> </w:t>
      </w:r>
      <w:r>
        <w:rPr>
          <w:color w:val="58595B"/>
          <w:spacing w:val="-5"/>
        </w:rPr>
        <w:t>EPA</w:t>
      </w:r>
      <w:r>
        <w:rPr>
          <w:color w:val="58595B"/>
          <w:spacing w:val="-10"/>
        </w:rPr>
        <w:t xml:space="preserve"> </w:t>
      </w:r>
      <w:r>
        <w:rPr>
          <w:color w:val="58595B"/>
        </w:rPr>
        <w:t>will</w:t>
      </w:r>
      <w:r>
        <w:rPr>
          <w:color w:val="58595B"/>
          <w:spacing w:val="-10"/>
        </w:rPr>
        <w:t xml:space="preserve"> </w:t>
      </w:r>
      <w:r>
        <w:rPr>
          <w:color w:val="58595B"/>
        </w:rPr>
        <w:t>need</w:t>
      </w:r>
      <w:r>
        <w:rPr>
          <w:color w:val="58595B"/>
          <w:spacing w:val="-10"/>
        </w:rPr>
        <w:t xml:space="preserve"> </w:t>
      </w:r>
      <w:r>
        <w:rPr>
          <w:color w:val="58595B"/>
        </w:rPr>
        <w:t>to</w:t>
      </w:r>
      <w:r>
        <w:rPr>
          <w:color w:val="58595B"/>
          <w:spacing w:val="-10"/>
        </w:rPr>
        <w:t xml:space="preserve"> </w:t>
      </w:r>
      <w:r>
        <w:rPr>
          <w:color w:val="58595B"/>
        </w:rPr>
        <w:t>be</w:t>
      </w:r>
      <w:r>
        <w:rPr>
          <w:color w:val="58595B"/>
          <w:spacing w:val="-10"/>
        </w:rPr>
        <w:t xml:space="preserve"> </w:t>
      </w:r>
      <w:r>
        <w:rPr>
          <w:color w:val="58595B"/>
        </w:rPr>
        <w:t>an</w:t>
      </w:r>
      <w:r>
        <w:rPr>
          <w:color w:val="58595B"/>
          <w:spacing w:val="-10"/>
        </w:rPr>
        <w:t xml:space="preserve"> </w:t>
      </w:r>
      <w:r>
        <w:rPr>
          <w:color w:val="58595B"/>
          <w:spacing w:val="-3"/>
        </w:rPr>
        <w:t>intelligent</w:t>
      </w:r>
      <w:r>
        <w:rPr>
          <w:color w:val="58595B"/>
          <w:spacing w:val="-10"/>
        </w:rPr>
        <w:t xml:space="preserve"> </w:t>
      </w:r>
      <w:r>
        <w:rPr>
          <w:color w:val="58595B"/>
        </w:rPr>
        <w:t>and</w:t>
      </w:r>
      <w:r>
        <w:rPr>
          <w:color w:val="58595B"/>
          <w:spacing w:val="-10"/>
        </w:rPr>
        <w:t xml:space="preserve"> </w:t>
      </w:r>
      <w:r>
        <w:rPr>
          <w:color w:val="58595B"/>
        </w:rPr>
        <w:t>creative</w:t>
      </w:r>
      <w:r>
        <w:rPr>
          <w:color w:val="58595B"/>
          <w:spacing w:val="-10"/>
        </w:rPr>
        <w:t xml:space="preserve"> </w:t>
      </w:r>
      <w:r>
        <w:rPr>
          <w:color w:val="58595B"/>
        </w:rPr>
        <w:t>problem</w:t>
      </w:r>
      <w:r>
        <w:rPr>
          <w:color w:val="58595B"/>
          <w:spacing w:val="-10"/>
        </w:rPr>
        <w:t xml:space="preserve"> </w:t>
      </w:r>
      <w:r>
        <w:rPr>
          <w:color w:val="58595B"/>
          <w:spacing w:val="-4"/>
        </w:rPr>
        <w:t>solver,</w:t>
      </w:r>
      <w:r>
        <w:rPr>
          <w:color w:val="58595B"/>
          <w:spacing w:val="-10"/>
        </w:rPr>
        <w:t xml:space="preserve"> </w:t>
      </w:r>
      <w:r>
        <w:rPr>
          <w:color w:val="58595B"/>
        </w:rPr>
        <w:t>that</w:t>
      </w:r>
      <w:r>
        <w:rPr>
          <w:color w:val="58595B"/>
          <w:spacing w:val="-10"/>
        </w:rPr>
        <w:t xml:space="preserve"> </w:t>
      </w:r>
      <w:r>
        <w:rPr>
          <w:color w:val="58595B"/>
        </w:rPr>
        <w:t>is</w:t>
      </w:r>
      <w:r>
        <w:rPr>
          <w:color w:val="58595B"/>
          <w:spacing w:val="-10"/>
        </w:rPr>
        <w:t xml:space="preserve"> </w:t>
      </w:r>
      <w:r>
        <w:rPr>
          <w:color w:val="58595B"/>
        </w:rPr>
        <w:t>flexible,</w:t>
      </w:r>
      <w:r>
        <w:rPr>
          <w:color w:val="58595B"/>
          <w:spacing w:val="-10"/>
        </w:rPr>
        <w:t xml:space="preserve"> </w:t>
      </w:r>
      <w:r>
        <w:rPr>
          <w:color w:val="58595B"/>
        </w:rPr>
        <w:t>responsive and</w:t>
      </w:r>
      <w:r>
        <w:rPr>
          <w:color w:val="58595B"/>
          <w:spacing w:val="-12"/>
        </w:rPr>
        <w:t xml:space="preserve"> </w:t>
      </w:r>
      <w:r>
        <w:rPr>
          <w:color w:val="58595B"/>
          <w:spacing w:val="-3"/>
        </w:rPr>
        <w:t>adaptive</w:t>
      </w:r>
      <w:r>
        <w:rPr>
          <w:color w:val="58595B"/>
          <w:spacing w:val="-12"/>
        </w:rPr>
        <w:t xml:space="preserve"> </w:t>
      </w:r>
      <w:r>
        <w:rPr>
          <w:color w:val="58595B"/>
        </w:rPr>
        <w:t>in</w:t>
      </w:r>
      <w:r>
        <w:rPr>
          <w:color w:val="58595B"/>
          <w:spacing w:val="-12"/>
        </w:rPr>
        <w:t xml:space="preserve"> </w:t>
      </w:r>
      <w:r>
        <w:rPr>
          <w:color w:val="58595B"/>
        </w:rPr>
        <w:t>response.</w:t>
      </w:r>
      <w:r>
        <w:rPr>
          <w:color w:val="58595B"/>
          <w:spacing w:val="-12"/>
        </w:rPr>
        <w:t xml:space="preserve"> </w:t>
      </w:r>
      <w:r>
        <w:rPr>
          <w:color w:val="58595B"/>
        </w:rPr>
        <w:t>This</w:t>
      </w:r>
      <w:r>
        <w:rPr>
          <w:color w:val="58595B"/>
          <w:spacing w:val="-12"/>
        </w:rPr>
        <w:t xml:space="preserve"> </w:t>
      </w:r>
      <w:r>
        <w:rPr>
          <w:color w:val="58595B"/>
        </w:rPr>
        <w:t>will</w:t>
      </w:r>
      <w:r>
        <w:rPr>
          <w:color w:val="58595B"/>
          <w:spacing w:val="-12"/>
        </w:rPr>
        <w:t xml:space="preserve"> </w:t>
      </w:r>
      <w:r>
        <w:rPr>
          <w:color w:val="58595B"/>
          <w:spacing w:val="-3"/>
        </w:rPr>
        <w:t>involve</w:t>
      </w:r>
      <w:r>
        <w:rPr>
          <w:color w:val="58595B"/>
          <w:spacing w:val="-12"/>
        </w:rPr>
        <w:t xml:space="preserve"> </w:t>
      </w:r>
      <w:r>
        <w:rPr>
          <w:color w:val="58595B"/>
        </w:rPr>
        <w:t>testing</w:t>
      </w:r>
      <w:r>
        <w:rPr>
          <w:color w:val="58595B"/>
          <w:spacing w:val="-12"/>
        </w:rPr>
        <w:t xml:space="preserve"> </w:t>
      </w:r>
      <w:r>
        <w:rPr>
          <w:color w:val="58595B"/>
        </w:rPr>
        <w:t>regulatory</w:t>
      </w:r>
      <w:r>
        <w:rPr>
          <w:color w:val="58595B"/>
          <w:spacing w:val="-12"/>
        </w:rPr>
        <w:t xml:space="preserve"> </w:t>
      </w:r>
      <w:r>
        <w:rPr>
          <w:color w:val="58595B"/>
        </w:rPr>
        <w:t>approaches,</w:t>
      </w:r>
      <w:r>
        <w:rPr>
          <w:color w:val="58595B"/>
          <w:spacing w:val="-12"/>
        </w:rPr>
        <w:t xml:space="preserve"> </w:t>
      </w:r>
      <w:r>
        <w:rPr>
          <w:color w:val="58595B"/>
        </w:rPr>
        <w:t>running</w:t>
      </w:r>
      <w:r>
        <w:rPr>
          <w:color w:val="58595B"/>
          <w:spacing w:val="-12"/>
        </w:rPr>
        <w:t xml:space="preserve"> </w:t>
      </w:r>
      <w:r>
        <w:rPr>
          <w:color w:val="58595B"/>
        </w:rPr>
        <w:t>pilots,</w:t>
      </w:r>
      <w:r>
        <w:rPr>
          <w:color w:val="58595B"/>
          <w:spacing w:val="-12"/>
        </w:rPr>
        <w:t xml:space="preserve"> </w:t>
      </w:r>
      <w:r>
        <w:rPr>
          <w:color w:val="58595B"/>
        </w:rPr>
        <w:t>exploring alternative</w:t>
      </w:r>
      <w:r>
        <w:rPr>
          <w:color w:val="58595B"/>
          <w:spacing w:val="-13"/>
        </w:rPr>
        <w:t xml:space="preserve"> </w:t>
      </w:r>
      <w:r>
        <w:rPr>
          <w:color w:val="58595B"/>
        </w:rPr>
        <w:t>solutions</w:t>
      </w:r>
      <w:r>
        <w:rPr>
          <w:color w:val="58595B"/>
          <w:spacing w:val="-13"/>
        </w:rPr>
        <w:t xml:space="preserve"> </w:t>
      </w:r>
      <w:r>
        <w:rPr>
          <w:color w:val="58595B"/>
        </w:rPr>
        <w:t>and</w:t>
      </w:r>
      <w:r>
        <w:rPr>
          <w:color w:val="58595B"/>
          <w:spacing w:val="-13"/>
        </w:rPr>
        <w:t xml:space="preserve"> </w:t>
      </w:r>
      <w:r>
        <w:rPr>
          <w:color w:val="58595B"/>
        </w:rPr>
        <w:t>being</w:t>
      </w:r>
      <w:r>
        <w:rPr>
          <w:color w:val="58595B"/>
          <w:spacing w:val="-13"/>
        </w:rPr>
        <w:t xml:space="preserve"> </w:t>
      </w:r>
      <w:r>
        <w:rPr>
          <w:color w:val="58595B"/>
        </w:rPr>
        <w:t>willing</w:t>
      </w:r>
      <w:r>
        <w:rPr>
          <w:color w:val="58595B"/>
          <w:spacing w:val="-13"/>
        </w:rPr>
        <w:t xml:space="preserve"> </w:t>
      </w:r>
      <w:r>
        <w:rPr>
          <w:color w:val="58595B"/>
        </w:rPr>
        <w:t>to</w:t>
      </w:r>
      <w:r>
        <w:rPr>
          <w:color w:val="58595B"/>
          <w:spacing w:val="-13"/>
        </w:rPr>
        <w:t xml:space="preserve"> </w:t>
      </w:r>
      <w:r>
        <w:rPr>
          <w:color w:val="58595B"/>
        </w:rPr>
        <w:t>use</w:t>
      </w:r>
      <w:r>
        <w:rPr>
          <w:color w:val="58595B"/>
          <w:spacing w:val="-13"/>
        </w:rPr>
        <w:t xml:space="preserve"> </w:t>
      </w:r>
      <w:r>
        <w:rPr>
          <w:color w:val="58595B"/>
        </w:rPr>
        <w:t>the</w:t>
      </w:r>
      <w:r>
        <w:rPr>
          <w:color w:val="58595B"/>
          <w:spacing w:val="-13"/>
        </w:rPr>
        <w:t xml:space="preserve"> </w:t>
      </w:r>
      <w:r>
        <w:rPr>
          <w:color w:val="58595B"/>
        </w:rPr>
        <w:t>full</w:t>
      </w:r>
      <w:r>
        <w:rPr>
          <w:color w:val="58595B"/>
          <w:spacing w:val="-13"/>
        </w:rPr>
        <w:t xml:space="preserve"> </w:t>
      </w:r>
      <w:r>
        <w:rPr>
          <w:color w:val="58595B"/>
        </w:rPr>
        <w:t>range</w:t>
      </w:r>
      <w:r>
        <w:rPr>
          <w:color w:val="58595B"/>
          <w:spacing w:val="-13"/>
        </w:rPr>
        <w:t xml:space="preserve"> </w:t>
      </w:r>
      <w:r>
        <w:rPr>
          <w:color w:val="58595B"/>
        </w:rPr>
        <w:t>of</w:t>
      </w:r>
      <w:r>
        <w:rPr>
          <w:color w:val="58595B"/>
          <w:spacing w:val="-13"/>
        </w:rPr>
        <w:t xml:space="preserve"> </w:t>
      </w:r>
      <w:r>
        <w:rPr>
          <w:color w:val="58595B"/>
        </w:rPr>
        <w:t>its</w:t>
      </w:r>
      <w:r>
        <w:rPr>
          <w:color w:val="58595B"/>
          <w:spacing w:val="-13"/>
        </w:rPr>
        <w:t xml:space="preserve"> </w:t>
      </w:r>
      <w:r>
        <w:rPr>
          <w:color w:val="58595B"/>
        </w:rPr>
        <w:t>powers</w:t>
      </w:r>
      <w:r>
        <w:rPr>
          <w:color w:val="58595B"/>
          <w:spacing w:val="-13"/>
        </w:rPr>
        <w:t xml:space="preserve"> </w:t>
      </w:r>
      <w:r>
        <w:rPr>
          <w:color w:val="58595B"/>
        </w:rPr>
        <w:t>to</w:t>
      </w:r>
      <w:r>
        <w:rPr>
          <w:color w:val="58595B"/>
          <w:spacing w:val="-13"/>
        </w:rPr>
        <w:t xml:space="preserve"> </w:t>
      </w:r>
      <w:r>
        <w:rPr>
          <w:color w:val="58595B"/>
        </w:rPr>
        <w:t>pursue</w:t>
      </w:r>
      <w:r>
        <w:rPr>
          <w:color w:val="58595B"/>
          <w:spacing w:val="-13"/>
        </w:rPr>
        <w:t xml:space="preserve"> </w:t>
      </w:r>
      <w:r>
        <w:rPr>
          <w:color w:val="58595B"/>
        </w:rPr>
        <w:t>its</w:t>
      </w:r>
      <w:r>
        <w:rPr>
          <w:color w:val="58595B"/>
          <w:spacing w:val="-13"/>
        </w:rPr>
        <w:t xml:space="preserve"> </w:t>
      </w:r>
      <w:r>
        <w:rPr>
          <w:color w:val="58595B"/>
        </w:rPr>
        <w:t>objectives.</w:t>
      </w:r>
    </w:p>
    <w:p w14:paraId="6823E229" w14:textId="77777777" w:rsidR="00724131" w:rsidRDefault="00724131">
      <w:pPr>
        <w:spacing w:line="280" w:lineRule="auto"/>
        <w:sectPr w:rsidR="00724131">
          <w:pgSz w:w="11910" w:h="16840"/>
          <w:pgMar w:top="980" w:right="0" w:bottom="280" w:left="1680" w:header="788" w:footer="0" w:gutter="0"/>
          <w:cols w:space="720"/>
        </w:sectPr>
      </w:pPr>
    </w:p>
    <w:p w14:paraId="43A82253" w14:textId="77777777" w:rsidR="00724131" w:rsidRDefault="00724131">
      <w:pPr>
        <w:pStyle w:val="BodyText"/>
      </w:pPr>
    </w:p>
    <w:p w14:paraId="2439A56B" w14:textId="77777777" w:rsidR="00724131" w:rsidRDefault="00724131">
      <w:pPr>
        <w:pStyle w:val="BodyText"/>
      </w:pPr>
    </w:p>
    <w:p w14:paraId="528BB67D" w14:textId="77777777" w:rsidR="00724131" w:rsidRDefault="00724131">
      <w:pPr>
        <w:pStyle w:val="BodyText"/>
      </w:pPr>
    </w:p>
    <w:p w14:paraId="54E4B13A" w14:textId="77777777" w:rsidR="00724131" w:rsidRDefault="00724131">
      <w:pPr>
        <w:pStyle w:val="BodyText"/>
      </w:pPr>
    </w:p>
    <w:p w14:paraId="646FD369" w14:textId="77777777" w:rsidR="00724131" w:rsidRDefault="00724131">
      <w:pPr>
        <w:pStyle w:val="BodyText"/>
        <w:spacing w:before="8"/>
        <w:rPr>
          <w:sz w:val="17"/>
        </w:rPr>
      </w:pPr>
    </w:p>
    <w:p w14:paraId="310E5F14" w14:textId="77777777" w:rsidR="00724131" w:rsidRDefault="00823349">
      <w:pPr>
        <w:pStyle w:val="BodyText"/>
        <w:spacing w:before="1" w:line="280" w:lineRule="auto"/>
        <w:ind w:left="1417" w:right="228"/>
      </w:pPr>
      <w:r>
        <w:rPr>
          <w:color w:val="58595B"/>
        </w:rPr>
        <w:t>Stakeholders considered it important for the EPA to understand how regulation affects business systems. Partnerships with business can help provide this insight.</w:t>
      </w:r>
    </w:p>
    <w:p w14:paraId="0F624661" w14:textId="77777777" w:rsidR="00724131" w:rsidRDefault="00823349">
      <w:pPr>
        <w:spacing w:before="172" w:line="280" w:lineRule="auto"/>
        <w:ind w:left="1984" w:right="228"/>
        <w:rPr>
          <w:sz w:val="20"/>
        </w:rPr>
      </w:pPr>
      <w:r>
        <w:rPr>
          <w:i/>
          <w:color w:val="231F20"/>
          <w:sz w:val="20"/>
        </w:rPr>
        <w:t>It</w:t>
      </w:r>
      <w:r>
        <w:rPr>
          <w:i/>
          <w:color w:val="231F20"/>
          <w:spacing w:val="-11"/>
          <w:sz w:val="20"/>
        </w:rPr>
        <w:t xml:space="preserve"> </w:t>
      </w:r>
      <w:r>
        <w:rPr>
          <w:i/>
          <w:color w:val="231F20"/>
          <w:sz w:val="20"/>
        </w:rPr>
        <w:t>would</w:t>
      </w:r>
      <w:r>
        <w:rPr>
          <w:i/>
          <w:color w:val="231F20"/>
          <w:spacing w:val="-11"/>
          <w:sz w:val="20"/>
        </w:rPr>
        <w:t xml:space="preserve"> </w:t>
      </w:r>
      <w:r>
        <w:rPr>
          <w:i/>
          <w:color w:val="231F20"/>
          <w:sz w:val="20"/>
        </w:rPr>
        <w:t>be</w:t>
      </w:r>
      <w:r>
        <w:rPr>
          <w:i/>
          <w:color w:val="231F20"/>
          <w:spacing w:val="-11"/>
          <w:sz w:val="20"/>
        </w:rPr>
        <w:t xml:space="preserve"> </w:t>
      </w:r>
      <w:r>
        <w:rPr>
          <w:i/>
          <w:color w:val="231F20"/>
          <w:sz w:val="20"/>
        </w:rPr>
        <w:t>beneficial</w:t>
      </w:r>
      <w:r>
        <w:rPr>
          <w:i/>
          <w:color w:val="231F20"/>
          <w:spacing w:val="-11"/>
          <w:sz w:val="20"/>
        </w:rPr>
        <w:t xml:space="preserve"> </w:t>
      </w:r>
      <w:r>
        <w:rPr>
          <w:i/>
          <w:color w:val="231F20"/>
          <w:sz w:val="20"/>
        </w:rPr>
        <w:t>for</w:t>
      </w:r>
      <w:r>
        <w:rPr>
          <w:i/>
          <w:color w:val="231F20"/>
          <w:spacing w:val="-11"/>
          <w:sz w:val="20"/>
        </w:rPr>
        <w:t xml:space="preserve"> </w:t>
      </w:r>
      <w:r>
        <w:rPr>
          <w:i/>
          <w:color w:val="231F20"/>
          <w:sz w:val="20"/>
        </w:rPr>
        <w:t>the</w:t>
      </w:r>
      <w:r>
        <w:rPr>
          <w:i/>
          <w:color w:val="231F20"/>
          <w:spacing w:val="-11"/>
          <w:sz w:val="20"/>
        </w:rPr>
        <w:t xml:space="preserve"> </w:t>
      </w:r>
      <w:r>
        <w:rPr>
          <w:i/>
          <w:color w:val="231F20"/>
          <w:spacing w:val="-3"/>
          <w:sz w:val="20"/>
        </w:rPr>
        <w:t>EPA</w:t>
      </w:r>
      <w:r>
        <w:rPr>
          <w:i/>
          <w:color w:val="231F20"/>
          <w:spacing w:val="-11"/>
          <w:sz w:val="20"/>
        </w:rPr>
        <w:t xml:space="preserve"> </w:t>
      </w:r>
      <w:r>
        <w:rPr>
          <w:i/>
          <w:color w:val="231F20"/>
          <w:sz w:val="20"/>
        </w:rPr>
        <w:t>to</w:t>
      </w:r>
      <w:r>
        <w:rPr>
          <w:i/>
          <w:color w:val="231F20"/>
          <w:spacing w:val="-11"/>
          <w:sz w:val="20"/>
        </w:rPr>
        <w:t xml:space="preserve"> </w:t>
      </w:r>
      <w:r>
        <w:rPr>
          <w:i/>
          <w:color w:val="231F20"/>
          <w:sz w:val="20"/>
        </w:rPr>
        <w:t>conduct</w:t>
      </w:r>
      <w:r>
        <w:rPr>
          <w:i/>
          <w:color w:val="231F20"/>
          <w:spacing w:val="-11"/>
          <w:sz w:val="20"/>
        </w:rPr>
        <w:t xml:space="preserve"> </w:t>
      </w:r>
      <w:r>
        <w:rPr>
          <w:i/>
          <w:color w:val="231F20"/>
          <w:sz w:val="20"/>
        </w:rPr>
        <w:t>its</w:t>
      </w:r>
      <w:r>
        <w:rPr>
          <w:i/>
          <w:color w:val="231F20"/>
          <w:spacing w:val="-11"/>
          <w:sz w:val="20"/>
        </w:rPr>
        <w:t xml:space="preserve"> </w:t>
      </w:r>
      <w:r>
        <w:rPr>
          <w:i/>
          <w:color w:val="231F20"/>
          <w:sz w:val="20"/>
        </w:rPr>
        <w:t>activities</w:t>
      </w:r>
      <w:r>
        <w:rPr>
          <w:i/>
          <w:color w:val="231F20"/>
          <w:spacing w:val="-11"/>
          <w:sz w:val="20"/>
        </w:rPr>
        <w:t xml:space="preserve"> </w:t>
      </w:r>
      <w:r>
        <w:rPr>
          <w:i/>
          <w:color w:val="231F20"/>
          <w:sz w:val="20"/>
        </w:rPr>
        <w:t>with</w:t>
      </w:r>
      <w:r>
        <w:rPr>
          <w:i/>
          <w:color w:val="231F20"/>
          <w:spacing w:val="-11"/>
          <w:sz w:val="20"/>
        </w:rPr>
        <w:t xml:space="preserve"> </w:t>
      </w:r>
      <w:r>
        <w:rPr>
          <w:i/>
          <w:color w:val="231F20"/>
          <w:sz w:val="20"/>
        </w:rPr>
        <w:t>more</w:t>
      </w:r>
      <w:r>
        <w:rPr>
          <w:i/>
          <w:color w:val="231F20"/>
          <w:spacing w:val="-11"/>
          <w:sz w:val="20"/>
        </w:rPr>
        <w:t xml:space="preserve"> </w:t>
      </w:r>
      <w:r>
        <w:rPr>
          <w:i/>
          <w:color w:val="231F20"/>
          <w:sz w:val="20"/>
        </w:rPr>
        <w:t>commercial</w:t>
      </w:r>
      <w:r>
        <w:rPr>
          <w:i/>
          <w:color w:val="231F20"/>
          <w:spacing w:val="-11"/>
          <w:sz w:val="20"/>
        </w:rPr>
        <w:t xml:space="preserve"> </w:t>
      </w:r>
      <w:r>
        <w:rPr>
          <w:i/>
          <w:color w:val="231F20"/>
          <w:spacing w:val="-3"/>
          <w:sz w:val="20"/>
        </w:rPr>
        <w:t xml:space="preserve">awareness </w:t>
      </w:r>
      <w:r>
        <w:rPr>
          <w:i/>
          <w:color w:val="231F20"/>
          <w:sz w:val="20"/>
        </w:rPr>
        <w:t xml:space="preserve">and backing of scientific </w:t>
      </w:r>
      <w:r>
        <w:rPr>
          <w:i/>
          <w:color w:val="231F20"/>
          <w:spacing w:val="-3"/>
          <w:sz w:val="20"/>
        </w:rPr>
        <w:t xml:space="preserve">evidence, </w:t>
      </w:r>
      <w:r>
        <w:rPr>
          <w:i/>
          <w:color w:val="231F20"/>
          <w:sz w:val="20"/>
        </w:rPr>
        <w:t xml:space="preserve">in order to resonate with </w:t>
      </w:r>
      <w:r>
        <w:rPr>
          <w:i/>
          <w:color w:val="231F20"/>
          <w:spacing w:val="-3"/>
          <w:sz w:val="20"/>
        </w:rPr>
        <w:t xml:space="preserve">relevant stakeholders and </w:t>
      </w:r>
      <w:r>
        <w:rPr>
          <w:i/>
          <w:color w:val="231F20"/>
          <w:sz w:val="20"/>
        </w:rPr>
        <w:t>provide</w:t>
      </w:r>
      <w:r>
        <w:rPr>
          <w:i/>
          <w:color w:val="231F20"/>
          <w:spacing w:val="-10"/>
          <w:sz w:val="20"/>
        </w:rPr>
        <w:t xml:space="preserve"> </w:t>
      </w:r>
      <w:r>
        <w:rPr>
          <w:i/>
          <w:color w:val="231F20"/>
          <w:spacing w:val="-2"/>
          <w:sz w:val="20"/>
        </w:rPr>
        <w:t>authoritative</w:t>
      </w:r>
      <w:r>
        <w:rPr>
          <w:i/>
          <w:color w:val="231F20"/>
          <w:spacing w:val="-10"/>
          <w:sz w:val="20"/>
        </w:rPr>
        <w:t xml:space="preserve"> </w:t>
      </w:r>
      <w:r>
        <w:rPr>
          <w:i/>
          <w:color w:val="231F20"/>
          <w:sz w:val="20"/>
        </w:rPr>
        <w:t>advice.</w:t>
      </w:r>
      <w:r>
        <w:rPr>
          <w:i/>
          <w:color w:val="231F20"/>
          <w:spacing w:val="-10"/>
          <w:sz w:val="20"/>
        </w:rPr>
        <w:t xml:space="preserve"> </w:t>
      </w:r>
      <w:r>
        <w:rPr>
          <w:color w:val="231F20"/>
          <w:sz w:val="20"/>
        </w:rPr>
        <w:t>(Law</w:t>
      </w:r>
      <w:r>
        <w:rPr>
          <w:color w:val="231F20"/>
          <w:spacing w:val="-10"/>
          <w:sz w:val="20"/>
        </w:rPr>
        <w:t xml:space="preserve"> </w:t>
      </w:r>
      <w:r>
        <w:rPr>
          <w:color w:val="231F20"/>
          <w:spacing w:val="-3"/>
          <w:sz w:val="20"/>
        </w:rPr>
        <w:t>Institute</w:t>
      </w:r>
      <w:r>
        <w:rPr>
          <w:color w:val="231F20"/>
          <w:spacing w:val="-10"/>
          <w:sz w:val="20"/>
        </w:rPr>
        <w:t xml:space="preserve"> </w:t>
      </w:r>
      <w:r>
        <w:rPr>
          <w:color w:val="231F20"/>
          <w:sz w:val="20"/>
        </w:rPr>
        <w:t>of</w:t>
      </w:r>
      <w:r>
        <w:rPr>
          <w:color w:val="231F20"/>
          <w:spacing w:val="-10"/>
          <w:sz w:val="20"/>
        </w:rPr>
        <w:t xml:space="preserve"> </w:t>
      </w:r>
      <w:r>
        <w:rPr>
          <w:color w:val="231F20"/>
          <w:sz w:val="20"/>
        </w:rPr>
        <w:t>Victoria</w:t>
      </w:r>
      <w:r>
        <w:rPr>
          <w:color w:val="231F20"/>
          <w:spacing w:val="-10"/>
          <w:sz w:val="20"/>
        </w:rPr>
        <w:t xml:space="preserve"> </w:t>
      </w:r>
      <w:r>
        <w:rPr>
          <w:color w:val="231F20"/>
          <w:sz w:val="20"/>
        </w:rPr>
        <w:t>submission,</w:t>
      </w:r>
      <w:r>
        <w:rPr>
          <w:color w:val="231F20"/>
          <w:spacing w:val="-10"/>
          <w:sz w:val="20"/>
        </w:rPr>
        <w:t xml:space="preserve"> </w:t>
      </w:r>
      <w:r>
        <w:rPr>
          <w:color w:val="231F20"/>
          <w:spacing w:val="-3"/>
          <w:sz w:val="20"/>
        </w:rPr>
        <w:t>p.</w:t>
      </w:r>
      <w:r>
        <w:rPr>
          <w:color w:val="231F20"/>
          <w:spacing w:val="-10"/>
          <w:sz w:val="20"/>
        </w:rPr>
        <w:t xml:space="preserve"> </w:t>
      </w:r>
      <w:r>
        <w:rPr>
          <w:color w:val="231F20"/>
          <w:spacing w:val="-5"/>
          <w:sz w:val="20"/>
        </w:rPr>
        <w:t>9)</w:t>
      </w:r>
    </w:p>
    <w:p w14:paraId="4832AEFC" w14:textId="77777777" w:rsidR="00724131" w:rsidRDefault="00823349">
      <w:pPr>
        <w:pStyle w:val="BodyText"/>
        <w:spacing w:before="172" w:line="280" w:lineRule="auto"/>
        <w:ind w:left="1417" w:right="228"/>
      </w:pPr>
      <w:r>
        <w:rPr>
          <w:color w:val="58595B"/>
        </w:rPr>
        <w:t>The EPA may also need to enhance its legal expertise, to ensure it can take timely and decisive action against breaches, including the strategic use of prosecutions (chapter 13). This may involve being a smart purchaser of legal services, seeking a range of opinions, being willing to test precedents and being prepared to lose.</w:t>
      </w:r>
    </w:p>
    <w:p w14:paraId="5B6FD8C8" w14:textId="77777777" w:rsidR="00724131" w:rsidRDefault="00724131">
      <w:pPr>
        <w:pStyle w:val="BodyText"/>
        <w:spacing w:before="10"/>
        <w:rPr>
          <w:sz w:val="19"/>
        </w:rPr>
      </w:pPr>
    </w:p>
    <w:p w14:paraId="6CDC4553" w14:textId="77777777" w:rsidR="00724131" w:rsidRDefault="00823349">
      <w:pPr>
        <w:ind w:left="1417" w:right="228"/>
        <w:rPr>
          <w:i/>
          <w:sz w:val="20"/>
        </w:rPr>
      </w:pPr>
      <w:r>
        <w:rPr>
          <w:i/>
          <w:color w:val="6D6E71"/>
          <w:sz w:val="20"/>
        </w:rPr>
        <w:t>Operational capability</w:t>
      </w:r>
    </w:p>
    <w:p w14:paraId="595C64BB" w14:textId="77777777" w:rsidR="00724131" w:rsidRDefault="00823349">
      <w:pPr>
        <w:pStyle w:val="BodyText"/>
        <w:spacing w:before="125" w:line="280" w:lineRule="auto"/>
        <w:ind w:left="1417" w:right="228"/>
      </w:pPr>
      <w:r>
        <w:rPr>
          <w:color w:val="58595B"/>
        </w:rPr>
        <w:t>Authorised officers require a wide range of skills and are an important component of the EPA’s workforce. As the EPA has recognised, authorised officers need robust recruitment, training and appointment processes,</w:t>
      </w:r>
      <w:r>
        <w:rPr>
          <w:color w:val="58595B"/>
          <w:position w:val="7"/>
          <w:sz w:val="11"/>
        </w:rPr>
        <w:t xml:space="preserve">14 </w:t>
      </w:r>
      <w:r>
        <w:rPr>
          <w:color w:val="58595B"/>
        </w:rPr>
        <w:t>as well as learning and development opportunities. Authorised officers also need a clear career pathway.</w:t>
      </w:r>
    </w:p>
    <w:p w14:paraId="48914335" w14:textId="77777777" w:rsidR="00724131" w:rsidRDefault="00823349">
      <w:pPr>
        <w:pStyle w:val="BodyText"/>
        <w:spacing w:before="172" w:line="280" w:lineRule="auto"/>
        <w:ind w:left="1417" w:right="375"/>
      </w:pPr>
      <w:r>
        <w:rPr>
          <w:color w:val="58595B"/>
        </w:rPr>
        <w:t xml:space="preserve">Introducing a general duty will affect the demand for and the capabilities required of authorised officers within the EPA. The </w:t>
      </w:r>
      <w:r>
        <w:rPr>
          <w:color w:val="58595B"/>
          <w:spacing w:val="-7"/>
        </w:rPr>
        <w:t xml:space="preserve">EPA’s </w:t>
      </w:r>
      <w:r>
        <w:rPr>
          <w:color w:val="58595B"/>
        </w:rPr>
        <w:t xml:space="preserve">shift to focus on prevention will require its authorised officers to be effective in encouraging and determining compliance with the general duty. </w:t>
      </w:r>
      <w:r>
        <w:rPr>
          <w:color w:val="58595B"/>
          <w:spacing w:val="-8"/>
        </w:rPr>
        <w:t xml:space="preserve">To </w:t>
      </w:r>
      <w:r>
        <w:rPr>
          <w:color w:val="58595B"/>
        </w:rPr>
        <w:t>do this authorised officers must have a wide array of skills. For example, they must be scientifically  and technically proficient to identify and understand risks, they will require an awareness of</w:t>
      </w:r>
      <w:r>
        <w:rPr>
          <w:color w:val="58595B"/>
          <w:spacing w:val="8"/>
        </w:rPr>
        <w:t xml:space="preserve"> </w:t>
      </w:r>
      <w:r>
        <w:rPr>
          <w:color w:val="58595B"/>
        </w:rPr>
        <w:t>the</w:t>
      </w:r>
    </w:p>
    <w:p w14:paraId="07CC29F7" w14:textId="77777777" w:rsidR="00724131" w:rsidRDefault="00823349">
      <w:pPr>
        <w:pStyle w:val="BodyText"/>
        <w:spacing w:before="2" w:line="280" w:lineRule="auto"/>
        <w:ind w:left="1417" w:right="247"/>
        <w:jc w:val="both"/>
      </w:pPr>
      <w:r>
        <w:rPr>
          <w:color w:val="58595B"/>
        </w:rPr>
        <w:t>commercial pressures and engineering systems that exist in the industry and they must be good communicators who can engage with duty holders to advise and educate them. They will require ongoing learning and development and multidisciplinary support from EPA’s specialists.</w:t>
      </w:r>
    </w:p>
    <w:p w14:paraId="3E7296D0" w14:textId="77777777" w:rsidR="00724131" w:rsidRDefault="00823349">
      <w:pPr>
        <w:pStyle w:val="BodyText"/>
        <w:spacing w:before="172" w:line="280" w:lineRule="auto"/>
        <w:ind w:left="1417" w:right="173"/>
      </w:pPr>
      <w:r>
        <w:rPr>
          <w:color w:val="58595B"/>
        </w:rPr>
        <w:t>We propose introducing local government environment protection officers in chapter 18. The EPA will need to develop an ongoing partnership and support framework, involving capability building of ‘local government environment protection officers’ and enabling escalation between the</w:t>
      </w:r>
    </w:p>
    <w:p w14:paraId="4D10783D" w14:textId="77777777" w:rsidR="00724131" w:rsidRDefault="00823349">
      <w:pPr>
        <w:pStyle w:val="BodyText"/>
        <w:spacing w:before="2" w:line="280" w:lineRule="auto"/>
        <w:ind w:left="1417" w:right="488"/>
      </w:pPr>
      <w:r>
        <w:rPr>
          <w:color w:val="58595B"/>
        </w:rPr>
        <w:t>EPA and local government for pollution issues above a defined risk threshold. This support role would need to be ongoing, not just in the initial stage of development and implementation of the reform proposals. The EPA would need capabilities both in regional offices and head</w:t>
      </w:r>
    </w:p>
    <w:p w14:paraId="0BE18B5D" w14:textId="77777777" w:rsidR="00724131" w:rsidRDefault="00823349">
      <w:pPr>
        <w:pStyle w:val="BodyText"/>
        <w:spacing w:before="2" w:line="280" w:lineRule="auto"/>
        <w:ind w:left="1417" w:right="316"/>
        <w:jc w:val="both"/>
      </w:pPr>
      <w:r>
        <w:rPr>
          <w:color w:val="58595B"/>
        </w:rPr>
        <w:t>office systems and services, to implement the suggested change, which would include ensuring consistency in approach. The capability review should consider the implications that this has for capability requirements.</w:t>
      </w:r>
    </w:p>
    <w:p w14:paraId="66AC2209" w14:textId="77777777" w:rsidR="00724131" w:rsidRDefault="00724131">
      <w:pPr>
        <w:pStyle w:val="BodyText"/>
        <w:spacing w:before="10"/>
        <w:rPr>
          <w:sz w:val="19"/>
        </w:rPr>
      </w:pPr>
    </w:p>
    <w:p w14:paraId="74A29666" w14:textId="77777777" w:rsidR="00724131" w:rsidRDefault="00823349">
      <w:pPr>
        <w:ind w:left="1417" w:right="228"/>
        <w:rPr>
          <w:i/>
          <w:sz w:val="20"/>
        </w:rPr>
      </w:pPr>
      <w:r>
        <w:rPr>
          <w:i/>
          <w:color w:val="6D6E71"/>
          <w:sz w:val="20"/>
        </w:rPr>
        <w:t>Education</w:t>
      </w:r>
    </w:p>
    <w:p w14:paraId="1C70ACCF" w14:textId="77777777" w:rsidR="00724131" w:rsidRDefault="00823349">
      <w:pPr>
        <w:pStyle w:val="BodyText"/>
        <w:spacing w:before="125" w:line="280" w:lineRule="auto"/>
        <w:ind w:left="1417" w:right="389"/>
      </w:pPr>
      <w:r>
        <w:rPr>
          <w:color w:val="58595B"/>
        </w:rPr>
        <w:t>The EPA must be able to engage with stakeholders at various levels – including on regulatory or business reforms, works approvals, incident response and strategic work on hotspots. This will become increasingly important to support the larger cohort of entities regulated under the general duty and registration system. As noted in the Victorian Occupational Health and Safety Act Review:</w:t>
      </w:r>
    </w:p>
    <w:p w14:paraId="29A24E74" w14:textId="77777777" w:rsidR="00724131" w:rsidRDefault="00823349">
      <w:pPr>
        <w:spacing w:before="172" w:line="280" w:lineRule="auto"/>
        <w:ind w:left="1984" w:right="228"/>
        <w:rPr>
          <w:i/>
          <w:sz w:val="20"/>
        </w:rPr>
      </w:pPr>
      <w:r>
        <w:rPr>
          <w:i/>
          <w:color w:val="231F20"/>
          <w:sz w:val="20"/>
        </w:rPr>
        <w:t>The function of maximising awareness of those rights and obligations is not merely ancillary to the Authority’s other functions: it is central and fundamental. Indeed,</w:t>
      </w:r>
    </w:p>
    <w:p w14:paraId="52A87608" w14:textId="77777777" w:rsidR="00724131" w:rsidRDefault="00823349">
      <w:pPr>
        <w:spacing w:before="2" w:line="280" w:lineRule="auto"/>
        <w:ind w:left="1984" w:right="695"/>
        <w:rPr>
          <w:sz w:val="11"/>
        </w:rPr>
      </w:pPr>
      <w:r>
        <w:rPr>
          <w:i/>
          <w:color w:val="231F20"/>
          <w:sz w:val="20"/>
        </w:rPr>
        <w:t>it seems obvious that the education function is every bit as important as the enforcement function. The greater the spread of good information about what the Act requires, and how to comply with it, the less – ultimately – the Authority should need to do by way of enforcement.</w:t>
      </w:r>
      <w:r>
        <w:rPr>
          <w:color w:val="231F20"/>
          <w:position w:val="7"/>
          <w:sz w:val="11"/>
        </w:rPr>
        <w:t>15</w:t>
      </w:r>
    </w:p>
    <w:p w14:paraId="23C4EC19" w14:textId="77777777" w:rsidR="00724131" w:rsidRDefault="00724131">
      <w:pPr>
        <w:spacing w:line="280" w:lineRule="auto"/>
        <w:rPr>
          <w:sz w:val="11"/>
        </w:rPr>
        <w:sectPr w:rsidR="00724131">
          <w:headerReference w:type="even" r:id="rId29"/>
          <w:headerReference w:type="default" r:id="rId30"/>
          <w:pgSz w:w="11910" w:h="16840"/>
          <w:pgMar w:top="980" w:right="1680" w:bottom="280" w:left="0" w:header="788" w:footer="0" w:gutter="0"/>
          <w:pgNumType w:start="350"/>
          <w:cols w:space="720"/>
        </w:sectPr>
      </w:pPr>
    </w:p>
    <w:p w14:paraId="54A230BB" w14:textId="77777777" w:rsidR="00724131" w:rsidRDefault="00724131">
      <w:pPr>
        <w:pStyle w:val="BodyText"/>
      </w:pPr>
    </w:p>
    <w:p w14:paraId="6D3451DE" w14:textId="77777777" w:rsidR="00724131" w:rsidRDefault="00724131">
      <w:pPr>
        <w:pStyle w:val="BodyText"/>
      </w:pPr>
    </w:p>
    <w:p w14:paraId="0B35ACFC" w14:textId="77777777" w:rsidR="00724131" w:rsidRDefault="00724131">
      <w:pPr>
        <w:pStyle w:val="BodyText"/>
      </w:pPr>
    </w:p>
    <w:p w14:paraId="2539F26D" w14:textId="77777777" w:rsidR="00724131" w:rsidRDefault="00724131">
      <w:pPr>
        <w:pStyle w:val="BodyText"/>
      </w:pPr>
    </w:p>
    <w:p w14:paraId="3B15FFE3" w14:textId="77777777" w:rsidR="00724131" w:rsidRDefault="00724131">
      <w:pPr>
        <w:pStyle w:val="BodyText"/>
        <w:spacing w:before="8"/>
        <w:rPr>
          <w:sz w:val="17"/>
        </w:rPr>
      </w:pPr>
    </w:p>
    <w:p w14:paraId="56067B75" w14:textId="77777777" w:rsidR="00724131" w:rsidRDefault="00823349">
      <w:pPr>
        <w:pStyle w:val="BodyText"/>
        <w:spacing w:before="1" w:line="280" w:lineRule="auto"/>
        <w:ind w:left="134" w:right="1337"/>
      </w:pPr>
      <w:r>
        <w:rPr>
          <w:color w:val="58595B"/>
        </w:rPr>
        <w:t>Successfully engaging with and educating stakeholders requires skills in communicating, developing educational materials and translating information (including scientific and technical information) into practical guidance that is easily understood and proportionate to risk.</w:t>
      </w:r>
    </w:p>
    <w:p w14:paraId="51BB2918" w14:textId="77777777" w:rsidR="00724131" w:rsidRDefault="00823349">
      <w:pPr>
        <w:spacing w:before="172" w:line="280" w:lineRule="auto"/>
        <w:ind w:left="701" w:right="1911"/>
        <w:rPr>
          <w:sz w:val="20"/>
        </w:rPr>
      </w:pPr>
      <w:r>
        <w:rPr>
          <w:i/>
          <w:color w:val="231F20"/>
          <w:spacing w:val="-3"/>
          <w:sz w:val="20"/>
        </w:rPr>
        <w:t xml:space="preserve">AGL </w:t>
      </w:r>
      <w:r>
        <w:rPr>
          <w:i/>
          <w:color w:val="231F20"/>
          <w:sz w:val="20"/>
        </w:rPr>
        <w:t xml:space="preserve">considers the </w:t>
      </w:r>
      <w:r>
        <w:rPr>
          <w:i/>
          <w:color w:val="231F20"/>
          <w:spacing w:val="-3"/>
          <w:sz w:val="20"/>
        </w:rPr>
        <w:t xml:space="preserve">EPA </w:t>
      </w:r>
      <w:r>
        <w:rPr>
          <w:i/>
          <w:color w:val="231F20"/>
          <w:sz w:val="20"/>
        </w:rPr>
        <w:t xml:space="preserve">can </w:t>
      </w:r>
      <w:r>
        <w:rPr>
          <w:i/>
          <w:color w:val="231F20"/>
          <w:spacing w:val="-3"/>
          <w:sz w:val="20"/>
        </w:rPr>
        <w:t xml:space="preserve">play </w:t>
      </w:r>
      <w:r>
        <w:rPr>
          <w:i/>
          <w:color w:val="231F20"/>
          <w:sz w:val="20"/>
        </w:rPr>
        <w:t xml:space="preserve">an important role in public education, </w:t>
      </w:r>
      <w:r>
        <w:rPr>
          <w:i/>
          <w:color w:val="231F20"/>
          <w:spacing w:val="-3"/>
          <w:sz w:val="20"/>
        </w:rPr>
        <w:t xml:space="preserve">by providing independent </w:t>
      </w:r>
      <w:r>
        <w:rPr>
          <w:i/>
          <w:color w:val="231F20"/>
          <w:sz w:val="20"/>
        </w:rPr>
        <w:t xml:space="preserve">and trustworthy information to the community on pollution </w:t>
      </w:r>
      <w:r>
        <w:rPr>
          <w:i/>
          <w:color w:val="231F20"/>
          <w:spacing w:val="-3"/>
          <w:sz w:val="20"/>
        </w:rPr>
        <w:t xml:space="preserve">and environmental </w:t>
      </w:r>
      <w:r>
        <w:rPr>
          <w:i/>
          <w:color w:val="231F20"/>
          <w:sz w:val="20"/>
        </w:rPr>
        <w:t xml:space="preserve">risk. Communications need to be tailored for the </w:t>
      </w:r>
      <w:r>
        <w:rPr>
          <w:i/>
          <w:color w:val="231F20"/>
          <w:spacing w:val="-3"/>
          <w:sz w:val="20"/>
        </w:rPr>
        <w:t xml:space="preserve">intended </w:t>
      </w:r>
      <w:r>
        <w:rPr>
          <w:i/>
          <w:color w:val="231F20"/>
          <w:sz w:val="20"/>
        </w:rPr>
        <w:t xml:space="preserve">audience, to </w:t>
      </w:r>
      <w:r>
        <w:rPr>
          <w:i/>
          <w:color w:val="231F20"/>
          <w:spacing w:val="-2"/>
          <w:sz w:val="20"/>
        </w:rPr>
        <w:t>ensure</w:t>
      </w:r>
      <w:r>
        <w:rPr>
          <w:i/>
          <w:color w:val="231F20"/>
          <w:spacing w:val="-11"/>
          <w:sz w:val="20"/>
        </w:rPr>
        <w:t xml:space="preserve"> </w:t>
      </w:r>
      <w:r>
        <w:rPr>
          <w:i/>
          <w:color w:val="231F20"/>
          <w:sz w:val="20"/>
        </w:rPr>
        <w:t>that</w:t>
      </w:r>
      <w:r>
        <w:rPr>
          <w:i/>
          <w:color w:val="231F20"/>
          <w:spacing w:val="-11"/>
          <w:sz w:val="20"/>
        </w:rPr>
        <w:t xml:space="preserve"> </w:t>
      </w:r>
      <w:r>
        <w:rPr>
          <w:i/>
          <w:color w:val="231F20"/>
          <w:sz w:val="20"/>
        </w:rPr>
        <w:t>the</w:t>
      </w:r>
      <w:r>
        <w:rPr>
          <w:i/>
          <w:color w:val="231F20"/>
          <w:spacing w:val="-11"/>
          <w:sz w:val="20"/>
        </w:rPr>
        <w:t xml:space="preserve"> </w:t>
      </w:r>
      <w:r>
        <w:rPr>
          <w:i/>
          <w:color w:val="231F20"/>
          <w:sz w:val="20"/>
        </w:rPr>
        <w:t>format</w:t>
      </w:r>
      <w:r>
        <w:rPr>
          <w:i/>
          <w:color w:val="231F20"/>
          <w:spacing w:val="-11"/>
          <w:sz w:val="20"/>
        </w:rPr>
        <w:t xml:space="preserve"> </w:t>
      </w:r>
      <w:r>
        <w:rPr>
          <w:i/>
          <w:color w:val="231F20"/>
          <w:sz w:val="20"/>
        </w:rPr>
        <w:t>and</w:t>
      </w:r>
      <w:r>
        <w:rPr>
          <w:i/>
          <w:color w:val="231F20"/>
          <w:spacing w:val="-11"/>
          <w:sz w:val="20"/>
        </w:rPr>
        <w:t xml:space="preserve"> </w:t>
      </w:r>
      <w:r>
        <w:rPr>
          <w:i/>
          <w:color w:val="231F20"/>
          <w:sz w:val="20"/>
        </w:rPr>
        <w:t>content</w:t>
      </w:r>
      <w:r>
        <w:rPr>
          <w:i/>
          <w:color w:val="231F20"/>
          <w:spacing w:val="-11"/>
          <w:sz w:val="20"/>
        </w:rPr>
        <w:t xml:space="preserve"> </w:t>
      </w:r>
      <w:r>
        <w:rPr>
          <w:i/>
          <w:color w:val="231F20"/>
          <w:sz w:val="20"/>
        </w:rPr>
        <w:t>are</w:t>
      </w:r>
      <w:r>
        <w:rPr>
          <w:i/>
          <w:color w:val="231F20"/>
          <w:spacing w:val="-11"/>
          <w:sz w:val="20"/>
        </w:rPr>
        <w:t xml:space="preserve"> </w:t>
      </w:r>
      <w:r>
        <w:rPr>
          <w:i/>
          <w:color w:val="231F20"/>
          <w:spacing w:val="-3"/>
          <w:sz w:val="20"/>
        </w:rPr>
        <w:t>relevant</w:t>
      </w:r>
      <w:r>
        <w:rPr>
          <w:i/>
          <w:color w:val="231F20"/>
          <w:spacing w:val="-11"/>
          <w:sz w:val="20"/>
        </w:rPr>
        <w:t xml:space="preserve"> </w:t>
      </w:r>
      <w:r>
        <w:rPr>
          <w:i/>
          <w:color w:val="231F20"/>
          <w:sz w:val="20"/>
        </w:rPr>
        <w:t>and</w:t>
      </w:r>
      <w:r>
        <w:rPr>
          <w:i/>
          <w:color w:val="231F20"/>
          <w:spacing w:val="-11"/>
          <w:sz w:val="20"/>
        </w:rPr>
        <w:t xml:space="preserve"> </w:t>
      </w:r>
      <w:r>
        <w:rPr>
          <w:i/>
          <w:color w:val="231F20"/>
          <w:sz w:val="20"/>
        </w:rPr>
        <w:t>can</w:t>
      </w:r>
      <w:r>
        <w:rPr>
          <w:i/>
          <w:color w:val="231F20"/>
          <w:spacing w:val="-11"/>
          <w:sz w:val="20"/>
        </w:rPr>
        <w:t xml:space="preserve"> </w:t>
      </w:r>
      <w:r>
        <w:rPr>
          <w:i/>
          <w:color w:val="231F20"/>
          <w:sz w:val="20"/>
        </w:rPr>
        <w:t>be</w:t>
      </w:r>
      <w:r>
        <w:rPr>
          <w:i/>
          <w:color w:val="231F20"/>
          <w:spacing w:val="-11"/>
          <w:sz w:val="20"/>
        </w:rPr>
        <w:t xml:space="preserve"> </w:t>
      </w:r>
      <w:r>
        <w:rPr>
          <w:i/>
          <w:color w:val="231F20"/>
          <w:sz w:val="20"/>
        </w:rPr>
        <w:t>easily</w:t>
      </w:r>
      <w:r>
        <w:rPr>
          <w:i/>
          <w:color w:val="231F20"/>
          <w:spacing w:val="-11"/>
          <w:sz w:val="20"/>
        </w:rPr>
        <w:t xml:space="preserve"> </w:t>
      </w:r>
      <w:r>
        <w:rPr>
          <w:i/>
          <w:color w:val="231F20"/>
          <w:sz w:val="20"/>
        </w:rPr>
        <w:t>understood,</w:t>
      </w:r>
      <w:r>
        <w:rPr>
          <w:i/>
          <w:color w:val="231F20"/>
          <w:spacing w:val="-11"/>
          <w:sz w:val="20"/>
        </w:rPr>
        <w:t xml:space="preserve"> </w:t>
      </w:r>
      <w:r>
        <w:rPr>
          <w:i/>
          <w:color w:val="231F20"/>
          <w:sz w:val="20"/>
        </w:rPr>
        <w:t>with</w:t>
      </w:r>
      <w:r>
        <w:rPr>
          <w:i/>
          <w:color w:val="231F20"/>
          <w:spacing w:val="-11"/>
          <w:sz w:val="20"/>
        </w:rPr>
        <w:t xml:space="preserve"> </w:t>
      </w:r>
      <w:r>
        <w:rPr>
          <w:i/>
          <w:color w:val="231F20"/>
          <w:sz w:val="20"/>
        </w:rPr>
        <w:t>the context</w:t>
      </w:r>
      <w:r>
        <w:rPr>
          <w:i/>
          <w:color w:val="231F20"/>
          <w:spacing w:val="-9"/>
          <w:sz w:val="20"/>
        </w:rPr>
        <w:t xml:space="preserve"> </w:t>
      </w:r>
      <w:r>
        <w:rPr>
          <w:i/>
          <w:color w:val="231F20"/>
          <w:sz w:val="20"/>
        </w:rPr>
        <w:t>for</w:t>
      </w:r>
      <w:r>
        <w:rPr>
          <w:i/>
          <w:color w:val="231F20"/>
          <w:spacing w:val="-9"/>
          <w:sz w:val="20"/>
        </w:rPr>
        <w:t xml:space="preserve"> </w:t>
      </w:r>
      <w:r>
        <w:rPr>
          <w:i/>
          <w:color w:val="231F20"/>
          <w:sz w:val="20"/>
        </w:rPr>
        <w:t>risk</w:t>
      </w:r>
      <w:r>
        <w:rPr>
          <w:i/>
          <w:color w:val="231F20"/>
          <w:spacing w:val="-9"/>
          <w:sz w:val="20"/>
        </w:rPr>
        <w:t xml:space="preserve"> </w:t>
      </w:r>
      <w:r>
        <w:rPr>
          <w:i/>
          <w:color w:val="231F20"/>
          <w:sz w:val="20"/>
        </w:rPr>
        <w:t>and</w:t>
      </w:r>
      <w:r>
        <w:rPr>
          <w:i/>
          <w:color w:val="231F20"/>
          <w:spacing w:val="-9"/>
          <w:sz w:val="20"/>
        </w:rPr>
        <w:t xml:space="preserve"> </w:t>
      </w:r>
      <w:r>
        <w:rPr>
          <w:i/>
          <w:color w:val="231F20"/>
          <w:spacing w:val="-3"/>
          <w:sz w:val="20"/>
        </w:rPr>
        <w:t>any</w:t>
      </w:r>
      <w:r>
        <w:rPr>
          <w:i/>
          <w:color w:val="231F20"/>
          <w:spacing w:val="-9"/>
          <w:sz w:val="20"/>
        </w:rPr>
        <w:t xml:space="preserve"> </w:t>
      </w:r>
      <w:r>
        <w:rPr>
          <w:i/>
          <w:color w:val="231F20"/>
          <w:sz w:val="20"/>
        </w:rPr>
        <w:t>required</w:t>
      </w:r>
      <w:r>
        <w:rPr>
          <w:i/>
          <w:color w:val="231F20"/>
          <w:spacing w:val="-9"/>
          <w:sz w:val="20"/>
        </w:rPr>
        <w:t xml:space="preserve"> </w:t>
      </w:r>
      <w:r>
        <w:rPr>
          <w:i/>
          <w:color w:val="231F20"/>
          <w:sz w:val="20"/>
        </w:rPr>
        <w:t>action</w:t>
      </w:r>
      <w:r>
        <w:rPr>
          <w:i/>
          <w:color w:val="231F20"/>
          <w:spacing w:val="-9"/>
          <w:sz w:val="20"/>
        </w:rPr>
        <w:t xml:space="preserve"> </w:t>
      </w:r>
      <w:r>
        <w:rPr>
          <w:i/>
          <w:color w:val="231F20"/>
          <w:sz w:val="20"/>
        </w:rPr>
        <w:t>well</w:t>
      </w:r>
      <w:r>
        <w:rPr>
          <w:i/>
          <w:color w:val="231F20"/>
          <w:spacing w:val="-9"/>
          <w:sz w:val="20"/>
        </w:rPr>
        <w:t xml:space="preserve"> </w:t>
      </w:r>
      <w:r>
        <w:rPr>
          <w:i/>
          <w:color w:val="231F20"/>
          <w:spacing w:val="-3"/>
          <w:sz w:val="20"/>
        </w:rPr>
        <w:t>explained.</w:t>
      </w:r>
      <w:r>
        <w:rPr>
          <w:i/>
          <w:color w:val="231F20"/>
          <w:spacing w:val="-10"/>
          <w:sz w:val="20"/>
        </w:rPr>
        <w:t xml:space="preserve"> </w:t>
      </w:r>
      <w:r>
        <w:rPr>
          <w:color w:val="231F20"/>
          <w:spacing w:val="-3"/>
          <w:sz w:val="20"/>
        </w:rPr>
        <w:t>(AGL</w:t>
      </w:r>
      <w:r>
        <w:rPr>
          <w:color w:val="231F20"/>
          <w:spacing w:val="-9"/>
          <w:sz w:val="20"/>
        </w:rPr>
        <w:t xml:space="preserve"> </w:t>
      </w:r>
      <w:r>
        <w:rPr>
          <w:color w:val="231F20"/>
          <w:spacing w:val="-2"/>
          <w:sz w:val="20"/>
        </w:rPr>
        <w:t>Energy</w:t>
      </w:r>
      <w:r>
        <w:rPr>
          <w:color w:val="231F20"/>
          <w:spacing w:val="-9"/>
          <w:sz w:val="20"/>
        </w:rPr>
        <w:t xml:space="preserve"> </w:t>
      </w:r>
      <w:r>
        <w:rPr>
          <w:color w:val="231F20"/>
          <w:sz w:val="20"/>
        </w:rPr>
        <w:t>submission,</w:t>
      </w:r>
      <w:r>
        <w:rPr>
          <w:color w:val="231F20"/>
          <w:spacing w:val="-9"/>
          <w:sz w:val="20"/>
        </w:rPr>
        <w:t xml:space="preserve"> </w:t>
      </w:r>
      <w:r>
        <w:rPr>
          <w:color w:val="231F20"/>
          <w:spacing w:val="-3"/>
          <w:sz w:val="20"/>
        </w:rPr>
        <w:t>p.</w:t>
      </w:r>
      <w:r>
        <w:rPr>
          <w:color w:val="231F20"/>
          <w:spacing w:val="-9"/>
          <w:sz w:val="20"/>
        </w:rPr>
        <w:t xml:space="preserve"> </w:t>
      </w:r>
      <w:r>
        <w:rPr>
          <w:color w:val="231F20"/>
          <w:spacing w:val="-5"/>
          <w:sz w:val="20"/>
        </w:rPr>
        <w:t>3)</w:t>
      </w:r>
    </w:p>
    <w:p w14:paraId="142465A6" w14:textId="77777777" w:rsidR="00724131" w:rsidRDefault="00823349">
      <w:pPr>
        <w:pStyle w:val="BodyText"/>
        <w:spacing w:before="172" w:line="280" w:lineRule="auto"/>
        <w:ind w:left="134" w:right="1911"/>
      </w:pPr>
      <w:r>
        <w:rPr>
          <w:color w:val="58595B"/>
        </w:rPr>
        <w:t>Engaging and educating stakeholders relies on many of the technical capabilities discussed earlier. It may also benefit from:</w:t>
      </w:r>
    </w:p>
    <w:p w14:paraId="535C424F" w14:textId="77777777" w:rsidR="00724131" w:rsidRDefault="00823349">
      <w:pPr>
        <w:pStyle w:val="ListParagraph"/>
        <w:numPr>
          <w:ilvl w:val="0"/>
          <w:numId w:val="31"/>
        </w:numPr>
        <w:tabs>
          <w:tab w:val="left" w:pos="305"/>
        </w:tabs>
        <w:spacing w:line="280" w:lineRule="auto"/>
        <w:ind w:right="2146" w:hanging="170"/>
        <w:rPr>
          <w:sz w:val="20"/>
        </w:rPr>
      </w:pPr>
      <w:r>
        <w:rPr>
          <w:color w:val="58595B"/>
          <w:sz w:val="20"/>
        </w:rPr>
        <w:t>access</w:t>
      </w:r>
      <w:r>
        <w:rPr>
          <w:color w:val="58595B"/>
          <w:spacing w:val="-13"/>
          <w:sz w:val="20"/>
        </w:rPr>
        <w:t xml:space="preserve"> </w:t>
      </w:r>
      <w:r>
        <w:rPr>
          <w:color w:val="58595B"/>
          <w:sz w:val="20"/>
        </w:rPr>
        <w:t>to</w:t>
      </w:r>
      <w:r>
        <w:rPr>
          <w:color w:val="58595B"/>
          <w:spacing w:val="-13"/>
          <w:sz w:val="20"/>
        </w:rPr>
        <w:t xml:space="preserve"> </w:t>
      </w:r>
      <w:r>
        <w:rPr>
          <w:color w:val="58595B"/>
          <w:sz w:val="20"/>
        </w:rPr>
        <w:t>skills</w:t>
      </w:r>
      <w:r>
        <w:rPr>
          <w:color w:val="58595B"/>
          <w:spacing w:val="-13"/>
          <w:sz w:val="20"/>
        </w:rPr>
        <w:t xml:space="preserve"> </w:t>
      </w:r>
      <w:r>
        <w:rPr>
          <w:color w:val="58595B"/>
          <w:sz w:val="20"/>
        </w:rPr>
        <w:t>(both</w:t>
      </w:r>
      <w:r>
        <w:rPr>
          <w:color w:val="58595B"/>
          <w:spacing w:val="-13"/>
          <w:sz w:val="20"/>
        </w:rPr>
        <w:t xml:space="preserve"> </w:t>
      </w:r>
      <w:r>
        <w:rPr>
          <w:color w:val="58595B"/>
          <w:sz w:val="20"/>
        </w:rPr>
        <w:t>internal</w:t>
      </w:r>
      <w:r>
        <w:rPr>
          <w:color w:val="58595B"/>
          <w:spacing w:val="-13"/>
          <w:sz w:val="20"/>
        </w:rPr>
        <w:t xml:space="preserve"> </w:t>
      </w:r>
      <w:r>
        <w:rPr>
          <w:color w:val="58595B"/>
          <w:sz w:val="20"/>
        </w:rPr>
        <w:t>or</w:t>
      </w:r>
      <w:r>
        <w:rPr>
          <w:color w:val="58595B"/>
          <w:spacing w:val="-13"/>
          <w:sz w:val="20"/>
        </w:rPr>
        <w:t xml:space="preserve"> </w:t>
      </w:r>
      <w:r>
        <w:rPr>
          <w:color w:val="58595B"/>
          <w:sz w:val="20"/>
        </w:rPr>
        <w:t>external)</w:t>
      </w:r>
      <w:r>
        <w:rPr>
          <w:color w:val="58595B"/>
          <w:spacing w:val="-13"/>
          <w:sz w:val="20"/>
        </w:rPr>
        <w:t xml:space="preserve"> </w:t>
      </w:r>
      <w:r>
        <w:rPr>
          <w:color w:val="58595B"/>
          <w:sz w:val="20"/>
        </w:rPr>
        <w:t>in</w:t>
      </w:r>
      <w:r>
        <w:rPr>
          <w:color w:val="58595B"/>
          <w:spacing w:val="-13"/>
          <w:sz w:val="20"/>
        </w:rPr>
        <w:t xml:space="preserve"> </w:t>
      </w:r>
      <w:r>
        <w:rPr>
          <w:color w:val="58595B"/>
          <w:sz w:val="20"/>
        </w:rPr>
        <w:t>producing</w:t>
      </w:r>
      <w:r>
        <w:rPr>
          <w:color w:val="58595B"/>
          <w:spacing w:val="-13"/>
          <w:sz w:val="20"/>
        </w:rPr>
        <w:t xml:space="preserve"> </w:t>
      </w:r>
      <w:r>
        <w:rPr>
          <w:color w:val="58595B"/>
          <w:sz w:val="20"/>
        </w:rPr>
        <w:t>online</w:t>
      </w:r>
      <w:r>
        <w:rPr>
          <w:color w:val="58595B"/>
          <w:spacing w:val="-13"/>
          <w:sz w:val="20"/>
        </w:rPr>
        <w:t xml:space="preserve"> </w:t>
      </w:r>
      <w:r>
        <w:rPr>
          <w:color w:val="58595B"/>
          <w:sz w:val="20"/>
        </w:rPr>
        <w:t>learning</w:t>
      </w:r>
      <w:r>
        <w:rPr>
          <w:color w:val="58595B"/>
          <w:spacing w:val="-13"/>
          <w:sz w:val="20"/>
        </w:rPr>
        <w:t xml:space="preserve"> </w:t>
      </w:r>
      <w:r>
        <w:rPr>
          <w:color w:val="58595B"/>
          <w:sz w:val="20"/>
        </w:rPr>
        <w:t>and</w:t>
      </w:r>
      <w:r>
        <w:rPr>
          <w:color w:val="58595B"/>
          <w:spacing w:val="-13"/>
          <w:sz w:val="20"/>
        </w:rPr>
        <w:t xml:space="preserve"> </w:t>
      </w:r>
      <w:r>
        <w:rPr>
          <w:color w:val="58595B"/>
          <w:sz w:val="20"/>
        </w:rPr>
        <w:t>education</w:t>
      </w:r>
      <w:r>
        <w:rPr>
          <w:color w:val="58595B"/>
          <w:spacing w:val="-13"/>
          <w:sz w:val="20"/>
        </w:rPr>
        <w:t xml:space="preserve"> </w:t>
      </w:r>
      <w:r>
        <w:rPr>
          <w:color w:val="58595B"/>
          <w:sz w:val="20"/>
        </w:rPr>
        <w:t>tools and</w:t>
      </w:r>
      <w:r>
        <w:rPr>
          <w:color w:val="58595B"/>
          <w:spacing w:val="-21"/>
          <w:sz w:val="20"/>
        </w:rPr>
        <w:t xml:space="preserve"> </w:t>
      </w:r>
      <w:r>
        <w:rPr>
          <w:color w:val="58595B"/>
          <w:sz w:val="20"/>
        </w:rPr>
        <w:t>material</w:t>
      </w:r>
    </w:p>
    <w:p w14:paraId="1568A299" w14:textId="77777777" w:rsidR="00724131" w:rsidRDefault="00823349">
      <w:pPr>
        <w:pStyle w:val="ListParagraph"/>
        <w:numPr>
          <w:ilvl w:val="0"/>
          <w:numId w:val="31"/>
        </w:numPr>
        <w:tabs>
          <w:tab w:val="left" w:pos="305"/>
        </w:tabs>
        <w:spacing w:line="280" w:lineRule="auto"/>
        <w:ind w:right="1875" w:hanging="170"/>
        <w:rPr>
          <w:sz w:val="20"/>
        </w:rPr>
      </w:pPr>
      <w:r>
        <w:rPr>
          <w:color w:val="58595B"/>
          <w:sz w:val="20"/>
        </w:rPr>
        <w:t>behavioural economics concepts that ‘nudge’ stakeholders towards reducing their pollution and</w:t>
      </w:r>
      <w:r>
        <w:rPr>
          <w:color w:val="58595B"/>
          <w:spacing w:val="-8"/>
          <w:sz w:val="20"/>
        </w:rPr>
        <w:t xml:space="preserve"> </w:t>
      </w:r>
      <w:r>
        <w:rPr>
          <w:color w:val="58595B"/>
          <w:sz w:val="20"/>
        </w:rPr>
        <w:t>waste.</w:t>
      </w:r>
    </w:p>
    <w:p w14:paraId="6A328F83" w14:textId="77777777" w:rsidR="00724131" w:rsidRDefault="00724131">
      <w:pPr>
        <w:pStyle w:val="BodyText"/>
        <w:spacing w:before="4"/>
        <w:rPr>
          <w:sz w:val="22"/>
        </w:rPr>
      </w:pPr>
    </w:p>
    <w:p w14:paraId="30B87CD1" w14:textId="77777777" w:rsidR="00724131" w:rsidRDefault="00823349">
      <w:pPr>
        <w:pStyle w:val="ListParagraph"/>
        <w:numPr>
          <w:ilvl w:val="2"/>
          <w:numId w:val="21"/>
        </w:numPr>
        <w:tabs>
          <w:tab w:val="left" w:pos="797"/>
        </w:tabs>
        <w:spacing w:before="0"/>
        <w:ind w:left="796" w:hanging="662"/>
        <w:rPr>
          <w:sz w:val="20"/>
        </w:rPr>
      </w:pPr>
      <w:r>
        <w:rPr>
          <w:color w:val="0095A7"/>
          <w:sz w:val="20"/>
        </w:rPr>
        <w:t>New or enhanced</w:t>
      </w:r>
      <w:r>
        <w:rPr>
          <w:color w:val="0095A7"/>
          <w:spacing w:val="6"/>
          <w:sz w:val="20"/>
        </w:rPr>
        <w:t xml:space="preserve"> </w:t>
      </w:r>
      <w:r>
        <w:rPr>
          <w:color w:val="0095A7"/>
          <w:sz w:val="20"/>
        </w:rPr>
        <w:t>technology</w:t>
      </w:r>
    </w:p>
    <w:p w14:paraId="30992ACE" w14:textId="77777777" w:rsidR="00724131" w:rsidRDefault="00823349">
      <w:pPr>
        <w:pStyle w:val="BodyText"/>
        <w:spacing w:before="153" w:line="280" w:lineRule="auto"/>
        <w:ind w:left="134" w:right="1337"/>
      </w:pPr>
      <w:r>
        <w:rPr>
          <w:color w:val="58595B"/>
        </w:rPr>
        <w:t>Improved digital data and technology capabilities present many opportunities for the EPA and others managing Victoria’s environment more broadly. An obvious benefit is having better information to successfully prosecute polluters. But these new capabilities can also provide</w:t>
      </w:r>
    </w:p>
    <w:p w14:paraId="7F0BE23F" w14:textId="77777777" w:rsidR="00724131" w:rsidRDefault="00823349">
      <w:pPr>
        <w:pStyle w:val="BodyText"/>
        <w:spacing w:before="2"/>
        <w:ind w:left="134" w:right="228"/>
      </w:pPr>
      <w:r>
        <w:rPr>
          <w:color w:val="58595B"/>
        </w:rPr>
        <w:t>a more detailed, real time view of pollution, the environment, human health and their interactions.</w:t>
      </w:r>
    </w:p>
    <w:p w14:paraId="05F37AAF" w14:textId="77777777" w:rsidR="00724131" w:rsidRDefault="00823349">
      <w:pPr>
        <w:pStyle w:val="BodyText"/>
        <w:spacing w:before="40" w:line="280" w:lineRule="auto"/>
        <w:ind w:left="134" w:right="1897"/>
      </w:pPr>
      <w:r>
        <w:rPr>
          <w:color w:val="58595B"/>
        </w:rPr>
        <w:t>This makes it easier for an environmental regulator to identify risks to the environment and/ or public health and to work with engaged communities, industry and government to develop solutions that more effectively prevent harm.</w:t>
      </w:r>
    </w:p>
    <w:p w14:paraId="68B63F59" w14:textId="77777777" w:rsidR="00724131" w:rsidRDefault="00823349">
      <w:pPr>
        <w:pStyle w:val="BodyText"/>
        <w:spacing w:before="172" w:line="280" w:lineRule="auto"/>
        <w:ind w:left="134" w:right="1370"/>
      </w:pPr>
      <w:r>
        <w:rPr>
          <w:color w:val="58595B"/>
        </w:rPr>
        <w:t>The EPA’s leaders must understand digital trends and technologies to support and encourage innovation. We recommend the EPA develop a digital data, technology and analytics strategy to understand trends and to guide decisions and investments in its data and technology capability. Developing a strategy also reduces the likelihood of ad hoc decisions and incompatible technology investments. The strategy should consider what role the EPA might play versus other government organisations, businesses and citizens in developing and managing new technologies.</w:t>
      </w:r>
    </w:p>
    <w:p w14:paraId="32A926E1" w14:textId="77777777" w:rsidR="00724131" w:rsidRDefault="00823349">
      <w:pPr>
        <w:spacing w:before="172" w:line="280" w:lineRule="auto"/>
        <w:ind w:left="701" w:right="2263"/>
        <w:jc w:val="both"/>
        <w:rPr>
          <w:sz w:val="20"/>
        </w:rPr>
      </w:pPr>
      <w:r>
        <w:rPr>
          <w:i/>
          <w:color w:val="231F20"/>
          <w:sz w:val="20"/>
        </w:rPr>
        <w:t xml:space="preserve">The suite of analytical, technological and scientific equipment available for use by EPA staff must be sufficient to enable them to conduct independent investigations at a world class level, and provide expert advice in response to queries from other government agencies and the public. </w:t>
      </w:r>
      <w:r>
        <w:rPr>
          <w:color w:val="231F20"/>
          <w:sz w:val="20"/>
        </w:rPr>
        <w:t>(Dora Pearce submission, p. 1)</w:t>
      </w:r>
    </w:p>
    <w:p w14:paraId="1E454EA5" w14:textId="77777777" w:rsidR="00724131" w:rsidRDefault="00823349">
      <w:pPr>
        <w:pStyle w:val="BodyText"/>
        <w:spacing w:before="172" w:line="280" w:lineRule="auto"/>
        <w:ind w:left="134" w:right="2116"/>
      </w:pPr>
      <w:r>
        <w:rPr>
          <w:color w:val="58595B"/>
        </w:rPr>
        <w:t>The following sections discuss the benefits of improving the EPA’s technology and system based capabilities.</w:t>
      </w:r>
    </w:p>
    <w:p w14:paraId="63E6DFAA" w14:textId="77777777" w:rsidR="00724131" w:rsidRDefault="00724131">
      <w:pPr>
        <w:pStyle w:val="BodyText"/>
        <w:spacing w:before="10"/>
        <w:rPr>
          <w:sz w:val="19"/>
        </w:rPr>
      </w:pPr>
    </w:p>
    <w:p w14:paraId="2B1F60CA" w14:textId="77777777" w:rsidR="00724131" w:rsidRDefault="00823349">
      <w:pPr>
        <w:ind w:left="134" w:right="228"/>
        <w:rPr>
          <w:i/>
          <w:sz w:val="20"/>
        </w:rPr>
      </w:pPr>
      <w:r>
        <w:rPr>
          <w:i/>
          <w:color w:val="6D6E71"/>
          <w:sz w:val="20"/>
        </w:rPr>
        <w:t>Monitoring technologies to gather data</w:t>
      </w:r>
    </w:p>
    <w:p w14:paraId="6DD0EBAA" w14:textId="77777777" w:rsidR="00724131" w:rsidRDefault="00823349">
      <w:pPr>
        <w:pStyle w:val="BodyText"/>
        <w:spacing w:before="125"/>
        <w:ind w:left="134" w:right="228"/>
      </w:pPr>
      <w:r>
        <w:rPr>
          <w:color w:val="58595B"/>
        </w:rPr>
        <w:t>New technologies offer opportunities to collect information more quickly, cheaply and from</w:t>
      </w:r>
    </w:p>
    <w:p w14:paraId="02EDC123" w14:textId="77777777" w:rsidR="00724131" w:rsidRDefault="00823349">
      <w:pPr>
        <w:pStyle w:val="BodyText"/>
        <w:spacing w:before="40" w:line="280" w:lineRule="auto"/>
        <w:ind w:left="134" w:right="1468"/>
        <w:rPr>
          <w:sz w:val="11"/>
        </w:rPr>
      </w:pPr>
      <w:r>
        <w:rPr>
          <w:color w:val="58595B"/>
        </w:rPr>
        <w:t>a wider range of sources. The EPA needs the capability to identify and obtain those technologies that offer a more cost effective way to identify risks and manage harms. Sensors are getting smaller and cheaper. For example, infrared and remote sensors can be used to detect pollution, such as methane gas from buried waste or oil spills.</w:t>
      </w:r>
      <w:r>
        <w:rPr>
          <w:color w:val="58595B"/>
          <w:position w:val="7"/>
          <w:sz w:val="11"/>
        </w:rPr>
        <w:t xml:space="preserve">16 </w:t>
      </w:r>
      <w:r>
        <w:rPr>
          <w:color w:val="58595B"/>
        </w:rPr>
        <w:t>And technologies that operate together, such as GPS and unmanned aerial vehicles or drones, may reduce the costs of collecting large amounts of accurate data from difficult to reach places that can be analysed to identify possible risks of harm. For example, in China drones are used to detect illegal emissions at night from factories, using infrared lights and thermal imagery.</w:t>
      </w:r>
      <w:r>
        <w:rPr>
          <w:color w:val="58595B"/>
          <w:position w:val="7"/>
          <w:sz w:val="11"/>
        </w:rPr>
        <w:t>17</w:t>
      </w:r>
    </w:p>
    <w:p w14:paraId="7617103D" w14:textId="77777777" w:rsidR="00724131" w:rsidRDefault="00724131">
      <w:pPr>
        <w:spacing w:line="280" w:lineRule="auto"/>
        <w:rPr>
          <w:sz w:val="11"/>
        </w:rPr>
        <w:sectPr w:rsidR="00724131">
          <w:pgSz w:w="11910" w:h="16840"/>
          <w:pgMar w:top="980" w:right="0" w:bottom="280" w:left="1680" w:header="788" w:footer="0" w:gutter="0"/>
          <w:cols w:space="720"/>
        </w:sectPr>
      </w:pPr>
    </w:p>
    <w:p w14:paraId="6DD6DAA9" w14:textId="77777777" w:rsidR="00724131" w:rsidRDefault="00724131">
      <w:pPr>
        <w:pStyle w:val="BodyText"/>
      </w:pPr>
    </w:p>
    <w:p w14:paraId="668F88E4" w14:textId="77777777" w:rsidR="00724131" w:rsidRDefault="00724131">
      <w:pPr>
        <w:pStyle w:val="BodyText"/>
      </w:pPr>
    </w:p>
    <w:p w14:paraId="2B838AA4" w14:textId="77777777" w:rsidR="00724131" w:rsidRDefault="00724131">
      <w:pPr>
        <w:pStyle w:val="BodyText"/>
      </w:pPr>
    </w:p>
    <w:p w14:paraId="706A7A0F" w14:textId="77777777" w:rsidR="00724131" w:rsidRDefault="00724131">
      <w:pPr>
        <w:pStyle w:val="BodyText"/>
      </w:pPr>
    </w:p>
    <w:p w14:paraId="3FD99267" w14:textId="77777777" w:rsidR="00724131" w:rsidRDefault="00724131">
      <w:pPr>
        <w:pStyle w:val="BodyText"/>
        <w:spacing w:before="8"/>
        <w:rPr>
          <w:sz w:val="17"/>
        </w:rPr>
      </w:pPr>
    </w:p>
    <w:p w14:paraId="18D24420" w14:textId="77777777" w:rsidR="00724131" w:rsidRDefault="00823349">
      <w:pPr>
        <w:pStyle w:val="BodyText"/>
        <w:spacing w:before="1" w:line="280" w:lineRule="auto"/>
        <w:ind w:left="1417" w:right="228"/>
      </w:pPr>
      <w:r>
        <w:rPr>
          <w:color w:val="58595B"/>
        </w:rPr>
        <w:t>The EPA currently invests in monitoring technology, but strengthening Victoria’s ability to capitalise on the opportunities offered by new technologies to forecast and address emerging risks warrants further investment. This is particularly important for monitoring air quality (chapter</w:t>
      </w:r>
    </w:p>
    <w:p w14:paraId="558C36C5" w14:textId="77777777" w:rsidR="00724131" w:rsidRDefault="00823349">
      <w:pPr>
        <w:pStyle w:val="BodyText"/>
        <w:spacing w:before="2"/>
        <w:ind w:left="1417" w:right="228"/>
      </w:pPr>
      <w:r>
        <w:rPr>
          <w:color w:val="58595B"/>
        </w:rPr>
        <w:t>6) and supporting the EPA’s advisory role in emergency management (chapter 9).</w:t>
      </w:r>
    </w:p>
    <w:p w14:paraId="7F1E17C7" w14:textId="77777777" w:rsidR="00724131" w:rsidRDefault="00724131">
      <w:pPr>
        <w:pStyle w:val="BodyText"/>
        <w:spacing w:before="3"/>
        <w:rPr>
          <w:sz w:val="18"/>
        </w:rPr>
      </w:pPr>
    </w:p>
    <w:p w14:paraId="408322EE" w14:textId="77777777" w:rsidR="00724131" w:rsidRDefault="00823349">
      <w:pPr>
        <w:spacing w:line="280" w:lineRule="auto"/>
        <w:ind w:left="1984" w:right="789"/>
        <w:rPr>
          <w:sz w:val="20"/>
        </w:rPr>
      </w:pPr>
      <w:r>
        <w:rPr>
          <w:i/>
          <w:color w:val="231F20"/>
          <w:sz w:val="20"/>
        </w:rPr>
        <w:t xml:space="preserve">The lack of declared GQRUZs and an easily accessible database system means that the existence and impact of contamination from other ‘off-site’ sources is not being adequately recognised, which can lead to wasted effort in repeat investigation of contamination issues, and/or consideration of restoration of beneficial uses when this is inappropriate. </w:t>
      </w:r>
      <w:r>
        <w:rPr>
          <w:color w:val="231F20"/>
          <w:sz w:val="20"/>
        </w:rPr>
        <w:t>(Orica submission, p. 2)</w:t>
      </w:r>
    </w:p>
    <w:p w14:paraId="01DFE533" w14:textId="77777777" w:rsidR="00724131" w:rsidRDefault="00724131">
      <w:pPr>
        <w:pStyle w:val="BodyText"/>
        <w:spacing w:before="10"/>
        <w:rPr>
          <w:sz w:val="19"/>
        </w:rPr>
      </w:pPr>
    </w:p>
    <w:p w14:paraId="056875C0" w14:textId="77777777" w:rsidR="00724131" w:rsidRDefault="00823349">
      <w:pPr>
        <w:ind w:left="1417" w:right="228"/>
        <w:rPr>
          <w:i/>
          <w:sz w:val="20"/>
        </w:rPr>
      </w:pPr>
      <w:r>
        <w:rPr>
          <w:i/>
          <w:color w:val="6D6E71"/>
          <w:sz w:val="20"/>
        </w:rPr>
        <w:t>Data storage and sharing</w:t>
      </w:r>
    </w:p>
    <w:p w14:paraId="1379FE47" w14:textId="77777777" w:rsidR="00724131" w:rsidRDefault="00823349">
      <w:pPr>
        <w:pStyle w:val="BodyText"/>
        <w:spacing w:before="125" w:line="280" w:lineRule="auto"/>
        <w:ind w:left="1417" w:right="488"/>
      </w:pPr>
      <w:r>
        <w:rPr>
          <w:color w:val="58595B"/>
        </w:rPr>
        <w:t>Making data publicly available can help promote trust, citizen empowerment and innovation. But it relies on significant data storage and sharing capability, and systems that make online information publicly available. Cloud computing and federated data systems open up new possibilities for data access and transparency. In addition to better enabling the EPA to share</w:t>
      </w:r>
    </w:p>
    <w:p w14:paraId="4A1CA4C0" w14:textId="77777777" w:rsidR="00724131" w:rsidRDefault="00823349">
      <w:pPr>
        <w:pStyle w:val="BodyText"/>
        <w:spacing w:before="2" w:line="280" w:lineRule="auto"/>
        <w:ind w:left="1417" w:right="132"/>
      </w:pPr>
      <w:r>
        <w:rPr>
          <w:color w:val="58595B"/>
        </w:rPr>
        <w:t>data, it also provides the EPA with access to many other data sources. In order to promote citizen empowerment and innovation, data shared by different custodians should be compatible.</w:t>
      </w:r>
    </w:p>
    <w:p w14:paraId="47E948D5" w14:textId="77777777" w:rsidR="00724131" w:rsidRDefault="00823349">
      <w:pPr>
        <w:pStyle w:val="BodyText"/>
        <w:spacing w:before="172" w:line="280" w:lineRule="auto"/>
        <w:ind w:left="1417" w:right="228"/>
      </w:pPr>
      <w:r>
        <w:rPr>
          <w:color w:val="58595B"/>
        </w:rPr>
        <w:t>Governments increasingly recognise the benefits of improving access to information. Examples include the Commonwealth Government’s involvement in the Data.Start</w:t>
      </w:r>
      <w:r>
        <w:rPr>
          <w:color w:val="58595B"/>
          <w:position w:val="7"/>
          <w:sz w:val="11"/>
        </w:rPr>
        <w:t xml:space="preserve">18 </w:t>
      </w:r>
      <w:r>
        <w:rPr>
          <w:color w:val="58595B"/>
        </w:rPr>
        <w:t>and GovHack</w:t>
      </w:r>
      <w:r>
        <w:rPr>
          <w:color w:val="58595B"/>
          <w:position w:val="7"/>
          <w:sz w:val="11"/>
        </w:rPr>
        <w:t xml:space="preserve">19 </w:t>
      </w:r>
      <w:r>
        <w:rPr>
          <w:color w:val="58595B"/>
        </w:rPr>
        <w:t>programs, which encourage people to use government data.</w:t>
      </w:r>
    </w:p>
    <w:p w14:paraId="5B9BE4E6" w14:textId="77777777" w:rsidR="00724131" w:rsidRDefault="00823349">
      <w:pPr>
        <w:pStyle w:val="BodyText"/>
        <w:spacing w:before="172" w:line="280" w:lineRule="auto"/>
        <w:ind w:left="1417" w:right="586"/>
      </w:pPr>
      <w:r>
        <w:rPr>
          <w:color w:val="58595B"/>
        </w:rPr>
        <w:t>Other data sharing options – including requiring businesses to publish their pollution emissions (chapter 16), publishing compliance determinations and prosecutions, the State of the Environment Report and environmental economic accounts – can promote transparency and accountability.</w:t>
      </w:r>
    </w:p>
    <w:p w14:paraId="06A93D60" w14:textId="77777777" w:rsidR="00724131" w:rsidRDefault="00823349">
      <w:pPr>
        <w:spacing w:before="172" w:line="280" w:lineRule="auto"/>
        <w:ind w:left="1984" w:right="983"/>
        <w:rPr>
          <w:i/>
          <w:sz w:val="20"/>
        </w:rPr>
      </w:pPr>
      <w:r>
        <w:rPr>
          <w:i/>
          <w:color w:val="231F20"/>
          <w:sz w:val="20"/>
        </w:rPr>
        <w:t xml:space="preserve">EPA must be made accountable with their enforcement and be measured against (independently verified) </w:t>
      </w:r>
      <w:r>
        <w:rPr>
          <w:i/>
          <w:color w:val="231F20"/>
          <w:spacing w:val="-3"/>
          <w:sz w:val="20"/>
        </w:rPr>
        <w:t xml:space="preserve">Key </w:t>
      </w:r>
      <w:r>
        <w:rPr>
          <w:i/>
          <w:color w:val="231F20"/>
          <w:sz w:val="20"/>
        </w:rPr>
        <w:t xml:space="preserve">Performance Indicators to ensure contaminated land/emergency/environmental issues are managed adequately. If such KPIs already exist, then EPA should consider publishing these statistics so Industry can better understand current successes and areas that require focus. </w:t>
      </w:r>
      <w:r>
        <w:rPr>
          <w:color w:val="231F20"/>
          <w:sz w:val="20"/>
        </w:rPr>
        <w:t>(Australian Contaminated Land Consultants Association submission, p.</w:t>
      </w:r>
      <w:r>
        <w:rPr>
          <w:color w:val="231F20"/>
          <w:spacing w:val="9"/>
          <w:sz w:val="20"/>
        </w:rPr>
        <w:t xml:space="preserve"> </w:t>
      </w:r>
      <w:r>
        <w:rPr>
          <w:color w:val="231F20"/>
          <w:spacing w:val="-9"/>
          <w:sz w:val="20"/>
        </w:rPr>
        <w:t>11)</w:t>
      </w:r>
      <w:r>
        <w:rPr>
          <w:i/>
          <w:color w:val="231F20"/>
          <w:spacing w:val="-9"/>
          <w:sz w:val="20"/>
        </w:rPr>
        <w:t>.</w:t>
      </w:r>
    </w:p>
    <w:p w14:paraId="25A43BFB" w14:textId="77777777" w:rsidR="00724131" w:rsidRDefault="00823349">
      <w:pPr>
        <w:spacing w:before="172" w:line="280" w:lineRule="auto"/>
        <w:ind w:left="1984" w:right="766"/>
        <w:rPr>
          <w:sz w:val="20"/>
        </w:rPr>
      </w:pPr>
      <w:r>
        <w:rPr>
          <w:i/>
          <w:color w:val="231F20"/>
          <w:sz w:val="20"/>
        </w:rPr>
        <w:t xml:space="preserve">There is a need for better transparency and community education through direct easier access to EPA compliance determinations and prosecutions – </w:t>
      </w:r>
      <w:r>
        <w:rPr>
          <w:color w:val="231F20"/>
          <w:sz w:val="20"/>
        </w:rPr>
        <w:t>‘Justice must not only be done but seen to be done.’ (Professor Roger Hawthorn submission, p. 3)</w:t>
      </w:r>
    </w:p>
    <w:p w14:paraId="289DD730" w14:textId="77777777" w:rsidR="00724131" w:rsidRDefault="00823349">
      <w:pPr>
        <w:pStyle w:val="BodyText"/>
        <w:spacing w:before="172" w:line="280" w:lineRule="auto"/>
        <w:ind w:left="1417" w:right="260"/>
      </w:pPr>
      <w:r>
        <w:rPr>
          <w:color w:val="58595B"/>
        </w:rPr>
        <w:t xml:space="preserve">A state wide system for collecting, storing and sharing site history information for sites associated with potentially contaminating activities (chapter </w:t>
      </w:r>
      <w:r>
        <w:rPr>
          <w:color w:val="58595B"/>
          <w:spacing w:val="-7"/>
        </w:rPr>
        <w:t xml:space="preserve">14) </w:t>
      </w:r>
      <w:r>
        <w:rPr>
          <w:color w:val="58595B"/>
        </w:rPr>
        <w:t xml:space="preserve">will help inform and manage land contamination issues. This is a clear example of the </w:t>
      </w:r>
      <w:r>
        <w:rPr>
          <w:color w:val="58595B"/>
          <w:spacing w:val="-2"/>
        </w:rPr>
        <w:t xml:space="preserve">way </w:t>
      </w:r>
      <w:r>
        <w:rPr>
          <w:color w:val="58595B"/>
        </w:rPr>
        <w:t xml:space="preserve">in which the strategic investment in data and digital capabilities will assist the </w:t>
      </w:r>
      <w:r>
        <w:rPr>
          <w:color w:val="58595B"/>
          <w:spacing w:val="-4"/>
        </w:rPr>
        <w:t xml:space="preserve">EPA </w:t>
      </w:r>
      <w:r>
        <w:rPr>
          <w:color w:val="58595B"/>
        </w:rPr>
        <w:t>and the broader community to better identify and manage</w:t>
      </w:r>
      <w:r>
        <w:rPr>
          <w:color w:val="58595B"/>
          <w:spacing w:val="-1"/>
        </w:rPr>
        <w:t xml:space="preserve"> </w:t>
      </w:r>
      <w:r>
        <w:rPr>
          <w:color w:val="58595B"/>
        </w:rPr>
        <w:t>risks.</w:t>
      </w:r>
    </w:p>
    <w:p w14:paraId="4A551F75" w14:textId="77777777" w:rsidR="00724131" w:rsidRDefault="00724131">
      <w:pPr>
        <w:pStyle w:val="BodyText"/>
        <w:spacing w:before="10"/>
        <w:rPr>
          <w:sz w:val="19"/>
        </w:rPr>
      </w:pPr>
    </w:p>
    <w:p w14:paraId="3EA4AF3C" w14:textId="77777777" w:rsidR="00724131" w:rsidRDefault="00823349">
      <w:pPr>
        <w:ind w:left="1417" w:right="228"/>
        <w:rPr>
          <w:i/>
          <w:sz w:val="20"/>
        </w:rPr>
      </w:pPr>
      <w:r>
        <w:rPr>
          <w:i/>
          <w:color w:val="6D6E71"/>
          <w:sz w:val="20"/>
        </w:rPr>
        <w:t>Data analytics and connection with science</w:t>
      </w:r>
    </w:p>
    <w:p w14:paraId="4EE36192" w14:textId="77777777" w:rsidR="00724131" w:rsidRDefault="00823349">
      <w:pPr>
        <w:pStyle w:val="BodyText"/>
        <w:spacing w:before="125" w:line="280" w:lineRule="auto"/>
        <w:ind w:left="1417" w:right="228"/>
      </w:pPr>
      <w:r>
        <w:rPr>
          <w:color w:val="58595B"/>
        </w:rPr>
        <w:t>Data analytics software may help the EPA to predict pollution incidents and the harms that arise. For example, programs can link real time spatial data about pollution and waste with spatial and temporal data about the impacts to public health and the environment. This may not only reduce the costs of tackling pollution, but it can also help the EPA design and evaluate its regulatory tools. Allowing public access to these results may also encourage research and development.</w:t>
      </w:r>
    </w:p>
    <w:p w14:paraId="0422F08A" w14:textId="77777777" w:rsidR="00724131" w:rsidRDefault="00724131">
      <w:pPr>
        <w:spacing w:line="280" w:lineRule="auto"/>
        <w:sectPr w:rsidR="00724131">
          <w:pgSz w:w="11910" w:h="16840"/>
          <w:pgMar w:top="980" w:right="1680" w:bottom="280" w:left="0" w:header="788" w:footer="0" w:gutter="0"/>
          <w:cols w:space="720"/>
        </w:sectPr>
      </w:pPr>
    </w:p>
    <w:p w14:paraId="4B729115" w14:textId="77777777" w:rsidR="00724131" w:rsidRDefault="00724131">
      <w:pPr>
        <w:pStyle w:val="BodyText"/>
      </w:pPr>
    </w:p>
    <w:p w14:paraId="0534C041" w14:textId="77777777" w:rsidR="00724131" w:rsidRDefault="00724131">
      <w:pPr>
        <w:pStyle w:val="BodyText"/>
      </w:pPr>
    </w:p>
    <w:p w14:paraId="53C0271F" w14:textId="77777777" w:rsidR="00724131" w:rsidRDefault="00724131">
      <w:pPr>
        <w:pStyle w:val="BodyText"/>
      </w:pPr>
    </w:p>
    <w:p w14:paraId="0DA9C23B" w14:textId="77777777" w:rsidR="00724131" w:rsidRDefault="00724131">
      <w:pPr>
        <w:pStyle w:val="BodyText"/>
      </w:pPr>
    </w:p>
    <w:p w14:paraId="448D0F79" w14:textId="77777777" w:rsidR="00724131" w:rsidRDefault="00724131">
      <w:pPr>
        <w:pStyle w:val="BodyText"/>
        <w:spacing w:before="8"/>
        <w:rPr>
          <w:sz w:val="17"/>
        </w:rPr>
      </w:pPr>
    </w:p>
    <w:p w14:paraId="72977E14" w14:textId="77777777" w:rsidR="00724131" w:rsidRDefault="00823349">
      <w:pPr>
        <w:spacing w:before="1"/>
        <w:ind w:left="134" w:right="228"/>
        <w:rPr>
          <w:i/>
          <w:sz w:val="20"/>
        </w:rPr>
      </w:pPr>
      <w:r>
        <w:rPr>
          <w:i/>
          <w:color w:val="6D6E71"/>
          <w:sz w:val="20"/>
        </w:rPr>
        <w:t>Digital media</w:t>
      </w:r>
    </w:p>
    <w:p w14:paraId="38CCBF66" w14:textId="77777777" w:rsidR="00724131" w:rsidRDefault="00823349">
      <w:pPr>
        <w:pStyle w:val="BodyText"/>
        <w:spacing w:before="125" w:line="280" w:lineRule="auto"/>
        <w:ind w:left="134" w:right="1904"/>
      </w:pPr>
      <w:r>
        <w:rPr>
          <w:color w:val="58595B"/>
        </w:rPr>
        <w:t>Enhancing the EPA’s digital media resources, including its website, can help to educate duty holders, and reduce the regulatory burden of finding information. Information and guidance, including codes of practice for a general duty, should be easily searchable and accessible.</w:t>
      </w:r>
    </w:p>
    <w:p w14:paraId="21D788E5" w14:textId="77777777" w:rsidR="00724131" w:rsidRDefault="00823349">
      <w:pPr>
        <w:pStyle w:val="BodyText"/>
        <w:spacing w:before="172" w:line="280" w:lineRule="auto"/>
        <w:ind w:left="134" w:right="1729"/>
      </w:pPr>
      <w:r>
        <w:rPr>
          <w:color w:val="58595B"/>
        </w:rPr>
        <w:t>Digital media, including websites and social media sites, offer government organisations like the EPA valuable tools to inform, educate, communicate and empower the community and to demonstrate transparency and accountability. As they are adopted throughout the community, they influence how the community expects to be engaged and informed.</w:t>
      </w:r>
    </w:p>
    <w:p w14:paraId="64AB6EB0" w14:textId="77777777" w:rsidR="00724131" w:rsidRDefault="00823349">
      <w:pPr>
        <w:spacing w:before="172" w:line="280" w:lineRule="auto"/>
        <w:ind w:left="701" w:right="2052"/>
        <w:rPr>
          <w:sz w:val="20"/>
        </w:rPr>
      </w:pPr>
      <w:r>
        <w:rPr>
          <w:i/>
          <w:color w:val="231F20"/>
          <w:sz w:val="20"/>
        </w:rPr>
        <w:t xml:space="preserve">Community expectations around communications and timeliness of communication are changing with the emergence of new digital and social media, and businesses and government agencies need to build capacity in these areas to ensure they can keep pace. </w:t>
      </w:r>
      <w:r>
        <w:rPr>
          <w:color w:val="231F20"/>
          <w:sz w:val="20"/>
        </w:rPr>
        <w:t>(AGL Energy submission, p. 3)</w:t>
      </w:r>
    </w:p>
    <w:p w14:paraId="1FC24A4E" w14:textId="77777777" w:rsidR="00724131" w:rsidRDefault="00823349">
      <w:pPr>
        <w:pStyle w:val="BodyText"/>
        <w:spacing w:before="172" w:line="280" w:lineRule="auto"/>
        <w:ind w:left="134" w:right="1576"/>
      </w:pPr>
      <w:r>
        <w:rPr>
          <w:color w:val="58595B"/>
        </w:rPr>
        <w:t xml:space="preserve">The </w:t>
      </w:r>
      <w:r>
        <w:rPr>
          <w:color w:val="58595B"/>
          <w:spacing w:val="-4"/>
        </w:rPr>
        <w:t xml:space="preserve">EPA </w:t>
      </w:r>
      <w:r>
        <w:rPr>
          <w:color w:val="58595B"/>
        </w:rPr>
        <w:t xml:space="preserve">could use digital media technologies to engage with and inform stakeholders. The </w:t>
      </w:r>
      <w:r>
        <w:rPr>
          <w:color w:val="58595B"/>
          <w:spacing w:val="-4"/>
        </w:rPr>
        <w:t xml:space="preserve">EPA </w:t>
      </w:r>
      <w:r>
        <w:rPr>
          <w:color w:val="58595B"/>
        </w:rPr>
        <w:t>will need the skills to use new digital media platforms. Digital media technologies can also be used to minimise regulatory burden. This approach is consistent with the Government’s shift to  a digitally powered one-stop-shop (Service</w:t>
      </w:r>
      <w:r>
        <w:rPr>
          <w:color w:val="58595B"/>
          <w:spacing w:val="17"/>
        </w:rPr>
        <w:t xml:space="preserve"> </w:t>
      </w:r>
      <w:r>
        <w:rPr>
          <w:color w:val="58595B"/>
        </w:rPr>
        <w:t>Victoria).</w:t>
      </w:r>
    </w:p>
    <w:p w14:paraId="7BA9492E" w14:textId="77777777" w:rsidR="00724131" w:rsidRDefault="00724131">
      <w:pPr>
        <w:spacing w:line="280" w:lineRule="auto"/>
        <w:sectPr w:rsidR="00724131">
          <w:headerReference w:type="even" r:id="rId31"/>
          <w:headerReference w:type="default" r:id="rId32"/>
          <w:pgSz w:w="11910" w:h="16840"/>
          <w:pgMar w:top="980" w:right="0" w:bottom="280" w:left="1680" w:header="788" w:footer="0" w:gutter="0"/>
          <w:pgNumType w:start="353"/>
          <w:cols w:space="720"/>
        </w:sectPr>
      </w:pPr>
    </w:p>
    <w:p w14:paraId="2869686B" w14:textId="77777777" w:rsidR="00724131" w:rsidRDefault="00724131">
      <w:pPr>
        <w:pStyle w:val="BodyText"/>
      </w:pPr>
    </w:p>
    <w:p w14:paraId="6ED78A57" w14:textId="77777777" w:rsidR="00724131" w:rsidRDefault="00724131">
      <w:pPr>
        <w:pStyle w:val="BodyText"/>
      </w:pPr>
    </w:p>
    <w:p w14:paraId="5DE311A8" w14:textId="77777777" w:rsidR="00724131" w:rsidRDefault="00724131">
      <w:pPr>
        <w:pStyle w:val="BodyText"/>
      </w:pPr>
    </w:p>
    <w:p w14:paraId="6B294327" w14:textId="77777777" w:rsidR="00724131" w:rsidRDefault="00724131">
      <w:pPr>
        <w:pStyle w:val="BodyText"/>
      </w:pPr>
    </w:p>
    <w:p w14:paraId="2902294E" w14:textId="77777777" w:rsidR="00724131" w:rsidRDefault="00823349">
      <w:pPr>
        <w:pStyle w:val="Heading3"/>
        <w:spacing w:before="196"/>
        <w:ind w:right="228"/>
      </w:pPr>
      <w:r>
        <w:rPr>
          <w:color w:val="0095A7"/>
        </w:rPr>
        <w:t>Recommendations</w:t>
      </w:r>
    </w:p>
    <w:p w14:paraId="52F74BCF" w14:textId="77777777" w:rsidR="00724131" w:rsidRDefault="00054426">
      <w:pPr>
        <w:pStyle w:val="BodyText"/>
        <w:rPr>
          <w:sz w:val="23"/>
        </w:rPr>
      </w:pPr>
      <w:r>
        <w:pict w14:anchorId="6C84CCA5">
          <v:shape id="_x0000_s1042" type="#_x0000_t202" style="position:absolute;margin-left:70.85pt;margin-top:14.45pt;width:432.7pt;height:70.5pt;z-index:1336;mso-wrap-distance-left:0;mso-wrap-distance-right:0;mso-position-horizontal-relative:page" fillcolor="#eff6f0" stroked="f">
            <v:textbox inset="0,0,0,0">
              <w:txbxContent>
                <w:p w14:paraId="6D309347" w14:textId="77777777" w:rsidR="00724131" w:rsidRDefault="00823349">
                  <w:pPr>
                    <w:spacing w:before="128"/>
                    <w:ind w:left="170" w:right="232"/>
                    <w:rPr>
                      <w:b/>
                      <w:sz w:val="20"/>
                    </w:rPr>
                  </w:pPr>
                  <w:r>
                    <w:rPr>
                      <w:b/>
                      <w:color w:val="808285"/>
                      <w:sz w:val="20"/>
                    </w:rPr>
                    <w:t>RECOMMENDATION 20.1</w:t>
                  </w:r>
                </w:p>
                <w:p w14:paraId="7B8EF03F" w14:textId="77777777" w:rsidR="00724131" w:rsidRDefault="00823349">
                  <w:pPr>
                    <w:pStyle w:val="BodyText"/>
                    <w:spacing w:before="153" w:line="280" w:lineRule="auto"/>
                    <w:ind w:left="170" w:right="792"/>
                  </w:pPr>
                  <w:r>
                    <w:rPr>
                      <w:color w:val="58595B"/>
                    </w:rPr>
                    <w:t>Require the new EPA Board to initiate a full capability assessment linked to developing new legislation and statutory tools, as a basis for preparing a long term capability and resource strategy.</w:t>
                  </w:r>
                </w:p>
              </w:txbxContent>
            </v:textbox>
            <w10:wrap type="topAndBottom" anchorx="page"/>
          </v:shape>
        </w:pict>
      </w:r>
      <w:r>
        <w:pict w14:anchorId="3DABD193">
          <v:shape id="_x0000_s1041" type="#_x0000_t202" style="position:absolute;margin-left:70.85pt;margin-top:96.25pt;width:432.7pt;height:57pt;z-index:1360;mso-wrap-distance-left:0;mso-wrap-distance-right:0;mso-position-horizontal-relative:page" fillcolor="#eff6f0" stroked="f">
            <v:textbox inset="0,0,0,0">
              <w:txbxContent>
                <w:p w14:paraId="5EC71F5D" w14:textId="77777777" w:rsidR="00724131" w:rsidRDefault="00823349">
                  <w:pPr>
                    <w:spacing w:before="128"/>
                    <w:ind w:left="170" w:right="232"/>
                    <w:rPr>
                      <w:b/>
                      <w:sz w:val="20"/>
                    </w:rPr>
                  </w:pPr>
                  <w:r>
                    <w:rPr>
                      <w:b/>
                      <w:color w:val="808285"/>
                      <w:sz w:val="20"/>
                    </w:rPr>
                    <w:t>RECOMMENDATION 20.2</w:t>
                  </w:r>
                </w:p>
                <w:p w14:paraId="180B1864" w14:textId="77777777" w:rsidR="00724131" w:rsidRDefault="00823349">
                  <w:pPr>
                    <w:pStyle w:val="BodyText"/>
                    <w:spacing w:before="153" w:line="280" w:lineRule="auto"/>
                    <w:ind w:left="170" w:right="105"/>
                  </w:pPr>
                  <w:r>
                    <w:rPr>
                      <w:color w:val="58595B"/>
                    </w:rPr>
                    <w:t>Require the EPA to develop a digital data, technology and analytics strategy to help guide the EPA’s regulatory decision making and investments.</w:t>
                  </w:r>
                </w:p>
              </w:txbxContent>
            </v:textbox>
            <w10:wrap type="topAndBottom" anchorx="page"/>
          </v:shape>
        </w:pict>
      </w:r>
    </w:p>
    <w:p w14:paraId="7424200F" w14:textId="77777777" w:rsidR="00724131" w:rsidRDefault="00724131">
      <w:pPr>
        <w:pStyle w:val="BodyText"/>
        <w:spacing w:before="3"/>
        <w:rPr>
          <w:sz w:val="16"/>
        </w:rPr>
      </w:pPr>
    </w:p>
    <w:p w14:paraId="28EED3D1" w14:textId="77777777" w:rsidR="00724131" w:rsidRDefault="00724131">
      <w:pPr>
        <w:rPr>
          <w:sz w:val="16"/>
        </w:rPr>
        <w:sectPr w:rsidR="00724131">
          <w:pgSz w:w="11910" w:h="16840"/>
          <w:pgMar w:top="980" w:right="1680" w:bottom="280" w:left="0" w:header="788" w:footer="0" w:gutter="0"/>
          <w:cols w:space="720"/>
        </w:sectPr>
      </w:pPr>
    </w:p>
    <w:p w14:paraId="6D40AFD9" w14:textId="77777777" w:rsidR="00724131" w:rsidRDefault="00724131">
      <w:pPr>
        <w:pStyle w:val="BodyText"/>
      </w:pPr>
    </w:p>
    <w:p w14:paraId="65A6F724" w14:textId="77777777" w:rsidR="00724131" w:rsidRDefault="00724131">
      <w:pPr>
        <w:pStyle w:val="BodyText"/>
      </w:pPr>
    </w:p>
    <w:p w14:paraId="5163FBB7" w14:textId="77777777" w:rsidR="00724131" w:rsidRDefault="00724131">
      <w:pPr>
        <w:pStyle w:val="BodyText"/>
      </w:pPr>
    </w:p>
    <w:p w14:paraId="03BC7AF1" w14:textId="77777777" w:rsidR="00724131" w:rsidRDefault="00724131">
      <w:pPr>
        <w:pStyle w:val="BodyText"/>
      </w:pPr>
    </w:p>
    <w:p w14:paraId="70C532C2" w14:textId="77777777" w:rsidR="00724131" w:rsidRDefault="00724131">
      <w:pPr>
        <w:pStyle w:val="BodyText"/>
        <w:spacing w:before="4"/>
        <w:rPr>
          <w:sz w:val="13"/>
        </w:rPr>
      </w:pPr>
    </w:p>
    <w:p w14:paraId="58393A0E" w14:textId="77777777" w:rsidR="00724131" w:rsidRDefault="00054426">
      <w:pPr>
        <w:pStyle w:val="BodyText"/>
        <w:spacing w:line="20" w:lineRule="exact"/>
        <w:ind w:left="129"/>
        <w:rPr>
          <w:sz w:val="2"/>
        </w:rPr>
      </w:pPr>
      <w:r>
        <w:rPr>
          <w:sz w:val="2"/>
        </w:rPr>
      </w:r>
      <w:r>
        <w:rPr>
          <w:sz w:val="2"/>
        </w:rPr>
        <w:pict w14:anchorId="56B28556">
          <v:group id="_x0000_s1039" style="width:211.35pt;height:.5pt;mso-position-horizontal-relative:char;mso-position-vertical-relative:line" coordsize="4227,10">
            <v:line id="_x0000_s1040" style="position:absolute" from="5,5" to="4222,5" strokecolor="#58595b" strokeweight=".5pt"/>
            <w10:wrap type="none"/>
            <w10:anchorlock/>
          </v:group>
        </w:pict>
      </w:r>
    </w:p>
    <w:p w14:paraId="26751569" w14:textId="77777777" w:rsidR="00724131" w:rsidRDefault="00054426">
      <w:pPr>
        <w:pStyle w:val="ListParagraph"/>
        <w:numPr>
          <w:ilvl w:val="0"/>
          <w:numId w:val="20"/>
        </w:numPr>
        <w:tabs>
          <w:tab w:val="left" w:pos="418"/>
        </w:tabs>
        <w:spacing w:before="47" w:line="242" w:lineRule="auto"/>
        <w:ind w:right="6234" w:hanging="283"/>
        <w:rPr>
          <w:sz w:val="12"/>
        </w:rPr>
      </w:pPr>
      <w:hyperlink r:id="rId33">
        <w:r w:rsidR="00823349">
          <w:rPr>
            <w:color w:val="58595B"/>
            <w:spacing w:val="2"/>
            <w:sz w:val="12"/>
          </w:rPr>
          <w:t>http://vpsc.vic.gov.au/workforce-capability-leadership-and-</w:t>
        </w:r>
      </w:hyperlink>
      <w:r w:rsidR="00823349">
        <w:rPr>
          <w:color w:val="58595B"/>
          <w:spacing w:val="2"/>
          <w:sz w:val="12"/>
        </w:rPr>
        <w:t xml:space="preserve"> </w:t>
      </w:r>
      <w:r w:rsidR="00823349">
        <w:rPr>
          <w:color w:val="58595B"/>
          <w:sz w:val="12"/>
        </w:rPr>
        <w:t xml:space="preserve">management/(accessed 27 March 2016) </w:t>
      </w:r>
      <w:hyperlink r:id="rId34">
        <w:r w:rsidR="00823349">
          <w:rPr>
            <w:color w:val="58595B"/>
            <w:sz w:val="12"/>
          </w:rPr>
          <w:t>http://www.apsc.gov.au/</w:t>
        </w:r>
      </w:hyperlink>
      <w:r w:rsidR="00823349">
        <w:rPr>
          <w:color w:val="58595B"/>
          <w:sz w:val="12"/>
        </w:rPr>
        <w:t xml:space="preserve"> </w:t>
      </w:r>
      <w:r w:rsidR="00823349">
        <w:rPr>
          <w:color w:val="58595B"/>
          <w:spacing w:val="2"/>
          <w:sz w:val="12"/>
        </w:rPr>
        <w:t xml:space="preserve">priorities/capability-reviews </w:t>
      </w:r>
      <w:r w:rsidR="00823349">
        <w:rPr>
          <w:color w:val="58595B"/>
          <w:sz w:val="12"/>
        </w:rPr>
        <w:t>(accessed 27 March</w:t>
      </w:r>
      <w:r w:rsidR="00823349">
        <w:rPr>
          <w:color w:val="58595B"/>
          <w:spacing w:val="23"/>
          <w:sz w:val="12"/>
        </w:rPr>
        <w:t xml:space="preserve"> </w:t>
      </w:r>
      <w:r w:rsidR="00823349">
        <w:rPr>
          <w:color w:val="58595B"/>
          <w:sz w:val="12"/>
        </w:rPr>
        <w:t>2016).</w:t>
      </w:r>
    </w:p>
    <w:p w14:paraId="74C32D51" w14:textId="77777777" w:rsidR="00724131" w:rsidRDefault="00823349">
      <w:pPr>
        <w:pStyle w:val="ListParagraph"/>
        <w:numPr>
          <w:ilvl w:val="0"/>
          <w:numId w:val="20"/>
        </w:numPr>
        <w:tabs>
          <w:tab w:val="left" w:pos="418"/>
        </w:tabs>
        <w:spacing w:before="29" w:line="242" w:lineRule="auto"/>
        <w:ind w:right="6411" w:hanging="283"/>
        <w:rPr>
          <w:sz w:val="12"/>
        </w:rPr>
      </w:pPr>
      <w:r>
        <w:rPr>
          <w:color w:val="58595B"/>
          <w:spacing w:val="2"/>
          <w:sz w:val="12"/>
        </w:rPr>
        <w:t xml:space="preserve">Victorian </w:t>
      </w:r>
      <w:r>
        <w:rPr>
          <w:color w:val="58595B"/>
          <w:sz w:val="12"/>
        </w:rPr>
        <w:t xml:space="preserve">Public Sector Commission, </w:t>
      </w:r>
      <w:r>
        <w:rPr>
          <w:i/>
          <w:color w:val="58595B"/>
          <w:sz w:val="12"/>
        </w:rPr>
        <w:t xml:space="preserve">Capability Review of the </w:t>
      </w:r>
      <w:r>
        <w:rPr>
          <w:i/>
          <w:color w:val="58595B"/>
          <w:spacing w:val="2"/>
          <w:sz w:val="12"/>
        </w:rPr>
        <w:t xml:space="preserve">Department </w:t>
      </w:r>
      <w:r>
        <w:rPr>
          <w:i/>
          <w:color w:val="58595B"/>
          <w:sz w:val="12"/>
        </w:rPr>
        <w:t xml:space="preserve">of Health and Human </w:t>
      </w:r>
      <w:r>
        <w:rPr>
          <w:i/>
          <w:color w:val="58595B"/>
          <w:spacing w:val="2"/>
          <w:sz w:val="12"/>
        </w:rPr>
        <w:t>Services</w:t>
      </w:r>
      <w:r>
        <w:rPr>
          <w:color w:val="58595B"/>
          <w:spacing w:val="2"/>
          <w:sz w:val="12"/>
        </w:rPr>
        <w:t xml:space="preserve">, </w:t>
      </w:r>
      <w:r>
        <w:rPr>
          <w:color w:val="58595B"/>
          <w:sz w:val="12"/>
        </w:rPr>
        <w:t>2 June 2015, p.</w:t>
      </w:r>
      <w:r>
        <w:rPr>
          <w:color w:val="58595B"/>
          <w:spacing w:val="32"/>
          <w:sz w:val="12"/>
        </w:rPr>
        <w:t xml:space="preserve"> </w:t>
      </w:r>
      <w:r>
        <w:rPr>
          <w:color w:val="58595B"/>
          <w:spacing w:val="-5"/>
          <w:sz w:val="12"/>
        </w:rPr>
        <w:t>7.</w:t>
      </w:r>
    </w:p>
    <w:p w14:paraId="7EAE63E6" w14:textId="4AC5156D" w:rsidR="00724131" w:rsidRDefault="00823349">
      <w:pPr>
        <w:pStyle w:val="ListParagraph"/>
        <w:numPr>
          <w:ilvl w:val="0"/>
          <w:numId w:val="20"/>
        </w:numPr>
        <w:tabs>
          <w:tab w:val="left" w:pos="418"/>
        </w:tabs>
        <w:spacing w:before="29" w:line="242" w:lineRule="auto"/>
        <w:ind w:right="5908" w:hanging="283"/>
        <w:rPr>
          <w:sz w:val="12"/>
        </w:rPr>
      </w:pPr>
      <w:r>
        <w:rPr>
          <w:color w:val="58595B"/>
          <w:spacing w:val="2"/>
          <w:sz w:val="12"/>
        </w:rPr>
        <w:t xml:space="preserve">Discussions </w:t>
      </w:r>
      <w:r>
        <w:rPr>
          <w:color w:val="58595B"/>
          <w:sz w:val="12"/>
        </w:rPr>
        <w:t xml:space="preserve">with Natalie James, Fair Work Ombudsman, 8 March 2016 Campbell M (Acting Fair Work Ombudsman) 2013, </w:t>
      </w:r>
      <w:r>
        <w:rPr>
          <w:i/>
          <w:color w:val="58595B"/>
          <w:sz w:val="12"/>
        </w:rPr>
        <w:t>The FWO’s</w:t>
      </w:r>
      <w:r w:rsidR="002E245C">
        <w:rPr>
          <w:i/>
          <w:color w:val="58595B"/>
          <w:sz w:val="12"/>
        </w:rPr>
        <w:br/>
      </w:r>
      <w:r>
        <w:rPr>
          <w:i/>
          <w:color w:val="58595B"/>
          <w:spacing w:val="2"/>
          <w:sz w:val="12"/>
        </w:rPr>
        <w:t xml:space="preserve">approach </w:t>
      </w:r>
      <w:r>
        <w:rPr>
          <w:i/>
          <w:color w:val="58595B"/>
          <w:sz w:val="12"/>
        </w:rPr>
        <w:t>to compliance and enforcement</w:t>
      </w:r>
      <w:r>
        <w:rPr>
          <w:color w:val="58595B"/>
          <w:sz w:val="12"/>
        </w:rPr>
        <w:t xml:space="preserve">, Speech delivered to the Ai Group National PIR Group Conference, 6 May, p. </w:t>
      </w:r>
      <w:r>
        <w:rPr>
          <w:color w:val="58595B"/>
          <w:spacing w:val="17"/>
          <w:sz w:val="12"/>
        </w:rPr>
        <w:t xml:space="preserve"> </w:t>
      </w:r>
      <w:r>
        <w:rPr>
          <w:color w:val="58595B"/>
          <w:sz w:val="12"/>
        </w:rPr>
        <w:t>1.</w:t>
      </w:r>
    </w:p>
    <w:p w14:paraId="033B68EB" w14:textId="398FC890" w:rsidR="00724131" w:rsidRDefault="00823349">
      <w:pPr>
        <w:pStyle w:val="ListParagraph"/>
        <w:numPr>
          <w:ilvl w:val="0"/>
          <w:numId w:val="20"/>
        </w:numPr>
        <w:tabs>
          <w:tab w:val="left" w:pos="418"/>
        </w:tabs>
        <w:spacing w:before="29" w:line="242" w:lineRule="auto"/>
        <w:ind w:right="6014" w:hanging="283"/>
        <w:rPr>
          <w:sz w:val="12"/>
        </w:rPr>
      </w:pPr>
      <w:r>
        <w:rPr>
          <w:color w:val="58595B"/>
          <w:sz w:val="12"/>
        </w:rPr>
        <w:t xml:space="preserve">Campbell M (Acting Fair Work Ombudsman) 2013, </w:t>
      </w:r>
      <w:r>
        <w:rPr>
          <w:i/>
          <w:color w:val="58595B"/>
          <w:sz w:val="12"/>
        </w:rPr>
        <w:t xml:space="preserve">The FWO’s </w:t>
      </w:r>
      <w:r>
        <w:rPr>
          <w:i/>
          <w:color w:val="58595B"/>
          <w:spacing w:val="2"/>
          <w:sz w:val="12"/>
        </w:rPr>
        <w:t xml:space="preserve">approach </w:t>
      </w:r>
      <w:r>
        <w:rPr>
          <w:i/>
          <w:color w:val="58595B"/>
          <w:sz w:val="12"/>
        </w:rPr>
        <w:t>to compliance and enforcement</w:t>
      </w:r>
      <w:r>
        <w:rPr>
          <w:color w:val="58595B"/>
          <w:sz w:val="12"/>
        </w:rPr>
        <w:t>, Speech delivered to the Ai Group National PIR Group Co</w:t>
      </w:r>
      <w:r w:rsidR="00061924">
        <w:rPr>
          <w:color w:val="58595B"/>
          <w:sz w:val="12"/>
        </w:rPr>
        <w:t xml:space="preserve">nference, 6 May, p. 9; Howe J, </w:t>
      </w:r>
      <w:r>
        <w:rPr>
          <w:color w:val="58595B"/>
          <w:sz w:val="12"/>
        </w:rPr>
        <w:t>Hardy</w:t>
      </w:r>
    </w:p>
    <w:p w14:paraId="1934A450" w14:textId="77777777" w:rsidR="00724131" w:rsidRDefault="00823349">
      <w:pPr>
        <w:spacing w:line="242" w:lineRule="auto"/>
        <w:ind w:left="417" w:right="5998"/>
        <w:rPr>
          <w:sz w:val="12"/>
        </w:rPr>
      </w:pPr>
      <w:r>
        <w:rPr>
          <w:color w:val="58595B"/>
          <w:sz w:val="12"/>
        </w:rPr>
        <w:t xml:space="preserve">T and Cooney S, </w:t>
      </w:r>
      <w:r>
        <w:rPr>
          <w:i/>
          <w:color w:val="58595B"/>
          <w:sz w:val="12"/>
        </w:rPr>
        <w:t>The transformation of enforcement of minimum employment standards in Australia: A review of the FWO’s activities from 2006 –12</w:t>
      </w:r>
      <w:r>
        <w:rPr>
          <w:color w:val="58595B"/>
          <w:sz w:val="12"/>
        </w:rPr>
        <w:t>, Centre for Employment and Labour Relations Law Melbourne Law School, pp. 248–9.</w:t>
      </w:r>
    </w:p>
    <w:p w14:paraId="13905999" w14:textId="77777777" w:rsidR="00724131" w:rsidRDefault="00823349">
      <w:pPr>
        <w:pStyle w:val="ListParagraph"/>
        <w:numPr>
          <w:ilvl w:val="0"/>
          <w:numId w:val="20"/>
        </w:numPr>
        <w:tabs>
          <w:tab w:val="left" w:pos="418"/>
        </w:tabs>
        <w:spacing w:before="29" w:line="242" w:lineRule="auto"/>
        <w:ind w:right="6164" w:hanging="283"/>
        <w:rPr>
          <w:sz w:val="12"/>
        </w:rPr>
      </w:pPr>
      <w:r>
        <w:rPr>
          <w:color w:val="58595B"/>
          <w:sz w:val="12"/>
        </w:rPr>
        <w:t xml:space="preserve">Fair Work Ombudsman 2015, </w:t>
      </w:r>
      <w:r>
        <w:rPr>
          <w:i/>
          <w:color w:val="58595B"/>
          <w:sz w:val="12"/>
        </w:rPr>
        <w:t>Compliance and enforcement policy</w:t>
      </w:r>
      <w:r>
        <w:rPr>
          <w:color w:val="58595B"/>
          <w:sz w:val="12"/>
        </w:rPr>
        <w:t xml:space="preserve">, Commonwealth of Australia, May, p. </w:t>
      </w:r>
      <w:r>
        <w:rPr>
          <w:color w:val="58595B"/>
          <w:spacing w:val="5"/>
          <w:sz w:val="12"/>
        </w:rPr>
        <w:t xml:space="preserve"> </w:t>
      </w:r>
      <w:r>
        <w:rPr>
          <w:color w:val="58595B"/>
          <w:sz w:val="12"/>
        </w:rPr>
        <w:t>5.</w:t>
      </w:r>
    </w:p>
    <w:p w14:paraId="23CA0678" w14:textId="77777777" w:rsidR="00724131" w:rsidRDefault="00823349">
      <w:pPr>
        <w:pStyle w:val="ListParagraph"/>
        <w:numPr>
          <w:ilvl w:val="0"/>
          <w:numId w:val="20"/>
        </w:numPr>
        <w:tabs>
          <w:tab w:val="left" w:pos="418"/>
        </w:tabs>
        <w:spacing w:before="29" w:line="242" w:lineRule="auto"/>
        <w:ind w:right="6428" w:hanging="283"/>
        <w:rPr>
          <w:sz w:val="12"/>
        </w:rPr>
      </w:pPr>
      <w:r>
        <w:rPr>
          <w:color w:val="58595B"/>
          <w:spacing w:val="2"/>
          <w:sz w:val="12"/>
        </w:rPr>
        <w:t xml:space="preserve">Maxwell </w:t>
      </w:r>
      <w:r>
        <w:rPr>
          <w:color w:val="58595B"/>
          <w:sz w:val="12"/>
        </w:rPr>
        <w:t xml:space="preserve">C </w:t>
      </w:r>
      <w:r>
        <w:rPr>
          <w:color w:val="58595B"/>
          <w:spacing w:val="2"/>
          <w:sz w:val="12"/>
        </w:rPr>
        <w:t xml:space="preserve">2004, </w:t>
      </w:r>
      <w:r>
        <w:rPr>
          <w:i/>
          <w:color w:val="58595B"/>
          <w:sz w:val="12"/>
        </w:rPr>
        <w:t>Occupational Health and Safety Act Review</w:t>
      </w:r>
      <w:r>
        <w:rPr>
          <w:color w:val="58595B"/>
          <w:sz w:val="12"/>
        </w:rPr>
        <w:t xml:space="preserve">, Melbourne, March, p. </w:t>
      </w:r>
      <w:r>
        <w:rPr>
          <w:color w:val="58595B"/>
          <w:spacing w:val="5"/>
          <w:sz w:val="12"/>
        </w:rPr>
        <w:t xml:space="preserve"> </w:t>
      </w:r>
      <w:r>
        <w:rPr>
          <w:color w:val="58595B"/>
          <w:sz w:val="12"/>
        </w:rPr>
        <w:t>284.</w:t>
      </w:r>
    </w:p>
    <w:p w14:paraId="1866F2CD" w14:textId="77777777" w:rsidR="00724131" w:rsidRDefault="00054426">
      <w:pPr>
        <w:pStyle w:val="ListParagraph"/>
        <w:numPr>
          <w:ilvl w:val="0"/>
          <w:numId w:val="20"/>
        </w:numPr>
        <w:tabs>
          <w:tab w:val="left" w:pos="418"/>
        </w:tabs>
        <w:spacing w:before="29" w:line="242" w:lineRule="auto"/>
        <w:ind w:right="5907" w:hanging="283"/>
        <w:rPr>
          <w:sz w:val="12"/>
        </w:rPr>
      </w:pPr>
      <w:hyperlink r:id="rId35">
        <w:r w:rsidR="00823349">
          <w:rPr>
            <w:color w:val="58595B"/>
            <w:spacing w:val="2"/>
            <w:sz w:val="12"/>
          </w:rPr>
          <w:t>http://www.themandarin.com.au/52900-tom-burton-turnbulls-new-age-</w:t>
        </w:r>
      </w:hyperlink>
      <w:r w:rsidR="00823349">
        <w:rPr>
          <w:color w:val="58595B"/>
          <w:spacing w:val="2"/>
          <w:sz w:val="12"/>
        </w:rPr>
        <w:t xml:space="preserve"> digital-government/?pgnc=1 </w:t>
      </w:r>
      <w:r w:rsidR="00823349">
        <w:rPr>
          <w:color w:val="58595B"/>
          <w:sz w:val="12"/>
        </w:rPr>
        <w:t>(accessed 18 March</w:t>
      </w:r>
      <w:r w:rsidR="00823349">
        <w:rPr>
          <w:color w:val="58595B"/>
          <w:spacing w:val="22"/>
          <w:sz w:val="12"/>
        </w:rPr>
        <w:t xml:space="preserve"> </w:t>
      </w:r>
      <w:r w:rsidR="00823349">
        <w:rPr>
          <w:color w:val="58595B"/>
          <w:sz w:val="12"/>
        </w:rPr>
        <w:t>2016).</w:t>
      </w:r>
    </w:p>
    <w:p w14:paraId="407D67B5" w14:textId="4BA691B3" w:rsidR="00724131" w:rsidRDefault="00823349">
      <w:pPr>
        <w:pStyle w:val="ListParagraph"/>
        <w:numPr>
          <w:ilvl w:val="0"/>
          <w:numId w:val="20"/>
        </w:numPr>
        <w:tabs>
          <w:tab w:val="left" w:pos="418"/>
        </w:tabs>
        <w:spacing w:before="29" w:line="242" w:lineRule="auto"/>
        <w:ind w:right="5897" w:hanging="283"/>
        <w:rPr>
          <w:sz w:val="12"/>
        </w:rPr>
      </w:pPr>
      <w:r>
        <w:rPr>
          <w:color w:val="58595B"/>
          <w:sz w:val="12"/>
        </w:rPr>
        <w:t>United States Environmental Protection Agency website</w:t>
      </w:r>
      <w:hyperlink r:id="rId36">
        <w:r>
          <w:rPr>
            <w:color w:val="58595B"/>
            <w:sz w:val="12"/>
          </w:rPr>
          <w:t>: www.epa.gov/</w:t>
        </w:r>
      </w:hyperlink>
      <w:r>
        <w:rPr>
          <w:color w:val="58595B"/>
          <w:sz w:val="12"/>
        </w:rPr>
        <w:t xml:space="preserve"> open/digital-strategy, (accessed 18 March 2016).</w:t>
      </w:r>
    </w:p>
    <w:p w14:paraId="26005E4D" w14:textId="77777777" w:rsidR="00724131" w:rsidRDefault="00054426">
      <w:pPr>
        <w:pStyle w:val="ListParagraph"/>
        <w:numPr>
          <w:ilvl w:val="0"/>
          <w:numId w:val="20"/>
        </w:numPr>
        <w:tabs>
          <w:tab w:val="left" w:pos="418"/>
        </w:tabs>
        <w:spacing w:before="29" w:line="242" w:lineRule="auto"/>
        <w:ind w:right="6329" w:hanging="283"/>
        <w:rPr>
          <w:sz w:val="12"/>
        </w:rPr>
      </w:pPr>
      <w:hyperlink r:id="rId37">
        <w:r w:rsidR="00823349">
          <w:rPr>
            <w:color w:val="58595B"/>
            <w:sz w:val="12"/>
          </w:rPr>
          <w:t>www.enterprisesolutions.vic.gov.au/about-enterprise-solutions/</w:t>
        </w:r>
      </w:hyperlink>
      <w:r w:rsidR="00823349">
        <w:rPr>
          <w:color w:val="58595B"/>
          <w:sz w:val="12"/>
        </w:rPr>
        <w:t xml:space="preserve"> (accessed 18 March</w:t>
      </w:r>
      <w:r w:rsidR="00823349">
        <w:rPr>
          <w:color w:val="58595B"/>
          <w:spacing w:val="20"/>
          <w:sz w:val="12"/>
        </w:rPr>
        <w:t xml:space="preserve"> </w:t>
      </w:r>
      <w:r w:rsidR="00823349">
        <w:rPr>
          <w:color w:val="58595B"/>
          <w:sz w:val="12"/>
        </w:rPr>
        <w:t>2016).</w:t>
      </w:r>
    </w:p>
    <w:p w14:paraId="772E77C0" w14:textId="50305465" w:rsidR="00724131" w:rsidRDefault="00054426">
      <w:pPr>
        <w:pStyle w:val="ListParagraph"/>
        <w:numPr>
          <w:ilvl w:val="0"/>
          <w:numId w:val="20"/>
        </w:numPr>
        <w:tabs>
          <w:tab w:val="left" w:pos="418"/>
        </w:tabs>
        <w:spacing w:before="29"/>
        <w:ind w:hanging="283"/>
        <w:rPr>
          <w:sz w:val="12"/>
        </w:rPr>
      </w:pPr>
      <w:hyperlink r:id="rId38">
        <w:r w:rsidR="00823349">
          <w:rPr>
            <w:color w:val="58595B"/>
            <w:sz w:val="12"/>
          </w:rPr>
          <w:t>www.data.vic.gov.au</w:t>
        </w:r>
      </w:hyperlink>
      <w:r w:rsidR="00823349">
        <w:rPr>
          <w:color w:val="58595B"/>
          <w:sz w:val="12"/>
        </w:rPr>
        <w:t xml:space="preserve"> (accessed 18 March 2016).</w:t>
      </w:r>
    </w:p>
    <w:p w14:paraId="4CB50167" w14:textId="77777777" w:rsidR="00724131" w:rsidRDefault="00823349">
      <w:pPr>
        <w:pStyle w:val="ListParagraph"/>
        <w:numPr>
          <w:ilvl w:val="0"/>
          <w:numId w:val="20"/>
        </w:numPr>
        <w:tabs>
          <w:tab w:val="left" w:pos="418"/>
        </w:tabs>
        <w:spacing w:before="30" w:line="242" w:lineRule="auto"/>
        <w:ind w:right="6189" w:hanging="283"/>
        <w:rPr>
          <w:sz w:val="12"/>
        </w:rPr>
      </w:pPr>
      <w:r>
        <w:rPr>
          <w:color w:val="58595B"/>
          <w:sz w:val="12"/>
        </w:rPr>
        <w:t xml:space="preserve">EPA </w:t>
      </w:r>
      <w:r>
        <w:rPr>
          <w:color w:val="58595B"/>
          <w:spacing w:val="2"/>
          <w:sz w:val="12"/>
        </w:rPr>
        <w:t xml:space="preserve">Victoria </w:t>
      </w:r>
      <w:r>
        <w:rPr>
          <w:color w:val="58595B"/>
          <w:sz w:val="12"/>
        </w:rPr>
        <w:t xml:space="preserve">2015, </w:t>
      </w:r>
      <w:r>
        <w:rPr>
          <w:i/>
          <w:color w:val="58595B"/>
          <w:sz w:val="12"/>
        </w:rPr>
        <w:t xml:space="preserve">Connecting with the community Annual </w:t>
      </w:r>
      <w:r>
        <w:rPr>
          <w:i/>
          <w:color w:val="58595B"/>
          <w:spacing w:val="2"/>
          <w:sz w:val="12"/>
        </w:rPr>
        <w:t xml:space="preserve">Report </w:t>
      </w:r>
      <w:r>
        <w:rPr>
          <w:i/>
          <w:color w:val="58595B"/>
          <w:sz w:val="12"/>
        </w:rPr>
        <w:t>2014-15</w:t>
      </w:r>
      <w:r>
        <w:rPr>
          <w:color w:val="58595B"/>
          <w:sz w:val="12"/>
        </w:rPr>
        <w:t>, Year Four, p.</w:t>
      </w:r>
      <w:r>
        <w:rPr>
          <w:color w:val="58595B"/>
          <w:spacing w:val="1"/>
          <w:sz w:val="12"/>
        </w:rPr>
        <w:t xml:space="preserve"> </w:t>
      </w:r>
      <w:r>
        <w:rPr>
          <w:color w:val="58595B"/>
          <w:sz w:val="12"/>
        </w:rPr>
        <w:t>16.</w:t>
      </w:r>
    </w:p>
    <w:p w14:paraId="5703A19C" w14:textId="77777777" w:rsidR="00724131" w:rsidRDefault="00823349">
      <w:pPr>
        <w:pStyle w:val="ListParagraph"/>
        <w:numPr>
          <w:ilvl w:val="0"/>
          <w:numId w:val="20"/>
        </w:numPr>
        <w:tabs>
          <w:tab w:val="left" w:pos="418"/>
        </w:tabs>
        <w:spacing w:before="29"/>
        <w:ind w:hanging="283"/>
        <w:rPr>
          <w:sz w:val="12"/>
        </w:rPr>
      </w:pPr>
      <w:r>
        <w:rPr>
          <w:color w:val="58595B"/>
          <w:spacing w:val="2"/>
          <w:sz w:val="12"/>
        </w:rPr>
        <w:t xml:space="preserve">Victorian </w:t>
      </w:r>
      <w:r>
        <w:rPr>
          <w:color w:val="58595B"/>
          <w:sz w:val="12"/>
        </w:rPr>
        <w:t xml:space="preserve">Public </w:t>
      </w:r>
      <w:r>
        <w:rPr>
          <w:color w:val="58595B"/>
          <w:spacing w:val="2"/>
          <w:sz w:val="12"/>
        </w:rPr>
        <w:t xml:space="preserve">Service </w:t>
      </w:r>
      <w:r>
        <w:rPr>
          <w:color w:val="58595B"/>
          <w:sz w:val="12"/>
        </w:rPr>
        <w:t xml:space="preserve">2012, </w:t>
      </w:r>
      <w:r>
        <w:rPr>
          <w:i/>
          <w:color w:val="58595B"/>
          <w:sz w:val="12"/>
        </w:rPr>
        <w:t>Workplace determination</w:t>
      </w:r>
      <w:r>
        <w:rPr>
          <w:color w:val="58595B"/>
          <w:sz w:val="12"/>
        </w:rPr>
        <w:t>,</w:t>
      </w:r>
      <w:r>
        <w:rPr>
          <w:color w:val="58595B"/>
          <w:spacing w:val="32"/>
          <w:sz w:val="12"/>
        </w:rPr>
        <w:t xml:space="preserve"> </w:t>
      </w:r>
      <w:r>
        <w:rPr>
          <w:color w:val="58595B"/>
          <w:sz w:val="12"/>
        </w:rPr>
        <w:t>pp.121-123.</w:t>
      </w:r>
    </w:p>
    <w:p w14:paraId="415BCBAB" w14:textId="77777777" w:rsidR="00724131" w:rsidRDefault="00054426">
      <w:pPr>
        <w:pStyle w:val="ListParagraph"/>
        <w:numPr>
          <w:ilvl w:val="0"/>
          <w:numId w:val="20"/>
        </w:numPr>
        <w:tabs>
          <w:tab w:val="left" w:pos="418"/>
        </w:tabs>
        <w:spacing w:before="30"/>
        <w:ind w:hanging="283"/>
        <w:rPr>
          <w:sz w:val="12"/>
        </w:rPr>
      </w:pPr>
      <w:hyperlink r:id="rId39">
        <w:r w:rsidR="00823349">
          <w:rPr>
            <w:color w:val="58595B"/>
            <w:spacing w:val="2"/>
            <w:sz w:val="12"/>
          </w:rPr>
          <w:t>www.cmd.org.au/what-we-do/</w:t>
        </w:r>
      </w:hyperlink>
      <w:r w:rsidR="00823349">
        <w:rPr>
          <w:color w:val="58595B"/>
          <w:spacing w:val="2"/>
          <w:sz w:val="12"/>
        </w:rPr>
        <w:t xml:space="preserve"> </w:t>
      </w:r>
      <w:r w:rsidR="00823349">
        <w:rPr>
          <w:color w:val="58595B"/>
          <w:sz w:val="12"/>
        </w:rPr>
        <w:t>(accessed March 18</w:t>
      </w:r>
      <w:r w:rsidR="00823349">
        <w:rPr>
          <w:color w:val="58595B"/>
          <w:spacing w:val="23"/>
          <w:sz w:val="12"/>
        </w:rPr>
        <w:t xml:space="preserve"> </w:t>
      </w:r>
      <w:r w:rsidR="00823349">
        <w:rPr>
          <w:color w:val="58595B"/>
          <w:sz w:val="12"/>
        </w:rPr>
        <w:t>2016).</w:t>
      </w:r>
    </w:p>
    <w:p w14:paraId="79A12B78" w14:textId="692294C2" w:rsidR="00724131" w:rsidRDefault="00823349">
      <w:pPr>
        <w:pStyle w:val="ListParagraph"/>
        <w:numPr>
          <w:ilvl w:val="0"/>
          <w:numId w:val="20"/>
        </w:numPr>
        <w:tabs>
          <w:tab w:val="left" w:pos="418"/>
        </w:tabs>
        <w:spacing w:before="30"/>
        <w:ind w:hanging="283"/>
        <w:rPr>
          <w:sz w:val="12"/>
        </w:rPr>
      </w:pPr>
      <w:r>
        <w:rPr>
          <w:color w:val="58595B"/>
          <w:sz w:val="12"/>
        </w:rPr>
        <w:t>EPA authorisations: roles and powers 2016, March.</w:t>
      </w:r>
    </w:p>
    <w:p w14:paraId="370D9E52" w14:textId="77777777" w:rsidR="00724131" w:rsidRDefault="00823349">
      <w:pPr>
        <w:pStyle w:val="ListParagraph"/>
        <w:numPr>
          <w:ilvl w:val="0"/>
          <w:numId w:val="20"/>
        </w:numPr>
        <w:tabs>
          <w:tab w:val="left" w:pos="418"/>
        </w:tabs>
        <w:spacing w:before="30" w:line="242" w:lineRule="auto"/>
        <w:ind w:right="6428" w:hanging="283"/>
        <w:rPr>
          <w:sz w:val="12"/>
        </w:rPr>
      </w:pPr>
      <w:r>
        <w:rPr>
          <w:color w:val="58595B"/>
          <w:spacing w:val="2"/>
          <w:sz w:val="12"/>
        </w:rPr>
        <w:t xml:space="preserve">Maxwell </w:t>
      </w:r>
      <w:r>
        <w:rPr>
          <w:color w:val="58595B"/>
          <w:sz w:val="12"/>
        </w:rPr>
        <w:t xml:space="preserve">C </w:t>
      </w:r>
      <w:r>
        <w:rPr>
          <w:color w:val="58595B"/>
          <w:spacing w:val="2"/>
          <w:sz w:val="12"/>
        </w:rPr>
        <w:t xml:space="preserve">2004, </w:t>
      </w:r>
      <w:r>
        <w:rPr>
          <w:i/>
          <w:color w:val="58595B"/>
          <w:sz w:val="12"/>
        </w:rPr>
        <w:t>Occupational Health and Safety Act Review</w:t>
      </w:r>
      <w:r>
        <w:rPr>
          <w:color w:val="58595B"/>
          <w:sz w:val="12"/>
        </w:rPr>
        <w:t>, Melbourne, March, p.</w:t>
      </w:r>
      <w:r>
        <w:rPr>
          <w:color w:val="58595B"/>
          <w:spacing w:val="26"/>
          <w:sz w:val="12"/>
        </w:rPr>
        <w:t xml:space="preserve"> </w:t>
      </w:r>
      <w:r>
        <w:rPr>
          <w:color w:val="58595B"/>
          <w:sz w:val="12"/>
        </w:rPr>
        <w:t>274.</w:t>
      </w:r>
    </w:p>
    <w:p w14:paraId="207F6FDB" w14:textId="77777777" w:rsidR="00724131" w:rsidRDefault="00054426">
      <w:pPr>
        <w:pStyle w:val="ListParagraph"/>
        <w:numPr>
          <w:ilvl w:val="0"/>
          <w:numId w:val="20"/>
        </w:numPr>
        <w:tabs>
          <w:tab w:val="left" w:pos="418"/>
        </w:tabs>
        <w:spacing w:before="29" w:line="242" w:lineRule="auto"/>
        <w:ind w:right="6162" w:hanging="283"/>
        <w:rPr>
          <w:sz w:val="12"/>
        </w:rPr>
      </w:pPr>
      <w:hyperlink r:id="rId40">
        <w:r w:rsidR="00823349">
          <w:rPr>
            <w:color w:val="58595B"/>
            <w:sz w:val="12"/>
          </w:rPr>
          <w:t>http://coolcosmos.ipac.caltech.edu/page/environmental</w:t>
        </w:r>
      </w:hyperlink>
      <w:r w:rsidR="00823349">
        <w:rPr>
          <w:color w:val="58595B"/>
          <w:sz w:val="12"/>
        </w:rPr>
        <w:t xml:space="preserve">  (accessed 20 March</w:t>
      </w:r>
      <w:r w:rsidR="00823349">
        <w:rPr>
          <w:color w:val="58595B"/>
          <w:spacing w:val="10"/>
          <w:sz w:val="12"/>
        </w:rPr>
        <w:t xml:space="preserve"> </w:t>
      </w:r>
      <w:r w:rsidR="00823349">
        <w:rPr>
          <w:color w:val="58595B"/>
          <w:sz w:val="12"/>
        </w:rPr>
        <w:t>2016).</w:t>
      </w:r>
    </w:p>
    <w:p w14:paraId="53F2E3A6" w14:textId="77777777" w:rsidR="00724131" w:rsidRDefault="00054426">
      <w:pPr>
        <w:pStyle w:val="ListParagraph"/>
        <w:numPr>
          <w:ilvl w:val="0"/>
          <w:numId w:val="20"/>
        </w:numPr>
        <w:tabs>
          <w:tab w:val="left" w:pos="418"/>
        </w:tabs>
        <w:spacing w:before="29" w:line="242" w:lineRule="auto"/>
        <w:ind w:right="6548" w:hanging="283"/>
        <w:rPr>
          <w:sz w:val="12"/>
        </w:rPr>
      </w:pPr>
      <w:hyperlink r:id="rId41">
        <w:r w:rsidR="00823349">
          <w:rPr>
            <w:color w:val="58595B"/>
            <w:spacing w:val="2"/>
            <w:sz w:val="12"/>
          </w:rPr>
          <w:t>http://time.com/2950261/china-drones-pollution/</w:t>
        </w:r>
      </w:hyperlink>
      <w:r w:rsidR="00823349">
        <w:rPr>
          <w:color w:val="58595B"/>
          <w:spacing w:val="2"/>
          <w:sz w:val="12"/>
        </w:rPr>
        <w:t xml:space="preserve"> </w:t>
      </w:r>
      <w:r w:rsidR="00823349">
        <w:rPr>
          <w:color w:val="58595B"/>
          <w:sz w:val="12"/>
        </w:rPr>
        <w:t>(accessed 20 March</w:t>
      </w:r>
      <w:r w:rsidR="00823349">
        <w:rPr>
          <w:color w:val="58595B"/>
          <w:spacing w:val="10"/>
          <w:sz w:val="12"/>
        </w:rPr>
        <w:t xml:space="preserve"> </w:t>
      </w:r>
      <w:r w:rsidR="00823349">
        <w:rPr>
          <w:color w:val="58595B"/>
          <w:sz w:val="12"/>
        </w:rPr>
        <w:t>2016).</w:t>
      </w:r>
    </w:p>
    <w:p w14:paraId="28142EE6" w14:textId="368B8E23" w:rsidR="00724131" w:rsidRDefault="00054426">
      <w:pPr>
        <w:pStyle w:val="ListParagraph"/>
        <w:numPr>
          <w:ilvl w:val="0"/>
          <w:numId w:val="20"/>
        </w:numPr>
        <w:tabs>
          <w:tab w:val="left" w:pos="418"/>
        </w:tabs>
        <w:spacing w:before="29"/>
        <w:ind w:hanging="283"/>
        <w:rPr>
          <w:sz w:val="12"/>
        </w:rPr>
      </w:pPr>
      <w:hyperlink r:id="rId42">
        <w:r w:rsidR="00823349">
          <w:rPr>
            <w:color w:val="58595B"/>
            <w:sz w:val="12"/>
          </w:rPr>
          <w:t>http://datastart.com.au/</w:t>
        </w:r>
      </w:hyperlink>
      <w:r w:rsidR="00823349">
        <w:rPr>
          <w:color w:val="58595B"/>
          <w:sz w:val="12"/>
        </w:rPr>
        <w:t xml:space="preserve"> (accessed 22 March 2016).</w:t>
      </w:r>
    </w:p>
    <w:p w14:paraId="2957EDFF" w14:textId="22D89515" w:rsidR="00724131" w:rsidRDefault="00823349">
      <w:pPr>
        <w:pStyle w:val="ListParagraph"/>
        <w:numPr>
          <w:ilvl w:val="0"/>
          <w:numId w:val="20"/>
        </w:numPr>
        <w:tabs>
          <w:tab w:val="left" w:pos="418"/>
        </w:tabs>
        <w:spacing w:before="30"/>
        <w:ind w:hanging="283"/>
        <w:rPr>
          <w:sz w:val="12"/>
        </w:rPr>
      </w:pPr>
      <w:r>
        <w:rPr>
          <w:color w:val="58595B"/>
          <w:sz w:val="12"/>
        </w:rPr>
        <w:t>https://</w:t>
      </w:r>
      <w:hyperlink r:id="rId43">
        <w:r>
          <w:rPr>
            <w:color w:val="58595B"/>
            <w:sz w:val="12"/>
          </w:rPr>
          <w:t>www.govhack.org</w:t>
        </w:r>
      </w:hyperlink>
      <w:r>
        <w:rPr>
          <w:color w:val="58595B"/>
          <w:sz w:val="12"/>
        </w:rPr>
        <w:t xml:space="preserve"> (accessed 18 March 2016).</w:t>
      </w:r>
    </w:p>
    <w:p w14:paraId="2D520B35" w14:textId="77777777" w:rsidR="00724131" w:rsidRDefault="00724131">
      <w:pPr>
        <w:rPr>
          <w:sz w:val="12"/>
        </w:rPr>
        <w:sectPr w:rsidR="00724131">
          <w:pgSz w:w="11910" w:h="16840"/>
          <w:pgMar w:top="980" w:right="0" w:bottom="280" w:left="1680" w:header="788" w:footer="0" w:gutter="0"/>
          <w:cols w:space="720"/>
        </w:sectPr>
      </w:pPr>
    </w:p>
    <w:p w14:paraId="3F84B33D" w14:textId="77777777" w:rsidR="00724131" w:rsidRDefault="00823349">
      <w:pPr>
        <w:pStyle w:val="BodyText"/>
        <w:spacing w:before="4"/>
        <w:rPr>
          <w:rFonts w:ascii="Times New Roman"/>
          <w:sz w:val="17"/>
        </w:rPr>
      </w:pPr>
      <w:r>
        <w:rPr>
          <w:noProof/>
        </w:rPr>
        <w:lastRenderedPageBreak/>
        <w:drawing>
          <wp:anchor distT="0" distB="0" distL="0" distR="0" simplePos="0" relativeHeight="268375943" behindDoc="1" locked="0" layoutInCell="1" allowOverlap="1" wp14:anchorId="19B209BD" wp14:editId="469DF2FA">
            <wp:simplePos x="0" y="0"/>
            <wp:positionH relativeFrom="page">
              <wp:posOffset>0</wp:posOffset>
            </wp:positionH>
            <wp:positionV relativeFrom="page">
              <wp:posOffset>0</wp:posOffset>
            </wp:positionV>
            <wp:extent cx="7560268" cy="10692384"/>
            <wp:effectExtent l="0" t="0" r="0" b="0"/>
            <wp:wrapNone/>
            <wp:docPr id="15"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png"/>
                    <pic:cNvPicPr/>
                  </pic:nvPicPr>
                  <pic:blipFill>
                    <a:blip r:embed="rId44" cstate="email">
                      <a:extLst>
                        <a:ext uri="{28A0092B-C50C-407E-A947-70E740481C1C}">
                          <a14:useLocalDpi xmlns:a14="http://schemas.microsoft.com/office/drawing/2010/main"/>
                        </a:ext>
                      </a:extLst>
                    </a:blip>
                    <a:stretch>
                      <a:fillRect/>
                    </a:stretch>
                  </pic:blipFill>
                  <pic:spPr>
                    <a:xfrm>
                      <a:off x="0" y="0"/>
                      <a:ext cx="7560268" cy="10692384"/>
                    </a:xfrm>
                    <a:prstGeom prst="rect">
                      <a:avLst/>
                    </a:prstGeom>
                  </pic:spPr>
                </pic:pic>
              </a:graphicData>
            </a:graphic>
          </wp:anchor>
        </w:drawing>
      </w:r>
    </w:p>
    <w:p w14:paraId="60DD13D5" w14:textId="77777777" w:rsidR="00724131" w:rsidRDefault="00724131">
      <w:pPr>
        <w:rPr>
          <w:rFonts w:ascii="Times New Roman"/>
          <w:sz w:val="17"/>
        </w:rPr>
        <w:sectPr w:rsidR="00724131">
          <w:headerReference w:type="default" r:id="rId45"/>
          <w:pgSz w:w="11910" w:h="16840"/>
          <w:pgMar w:top="0" w:right="0" w:bottom="0" w:left="0" w:header="0" w:footer="0" w:gutter="0"/>
          <w:cols w:space="720"/>
        </w:sectPr>
      </w:pPr>
    </w:p>
    <w:p w14:paraId="1C4EC911" w14:textId="77777777" w:rsidR="00724131" w:rsidRDefault="00054426">
      <w:pPr>
        <w:spacing w:before="61"/>
        <w:ind w:right="114"/>
        <w:jc w:val="right"/>
        <w:rPr>
          <w:sz w:val="15"/>
        </w:rPr>
      </w:pPr>
      <w:r>
        <w:lastRenderedPageBreak/>
        <w:pict w14:anchorId="65BE1EB4">
          <v:group id="_x0000_s1036" style="position:absolute;left:0;text-align:left;margin-left:0;margin-top:0;width:598.8pt;height:841.9pt;z-index:-59488;mso-position-horizontal-relative:page;mso-position-vertical-relative:page" coordsize="11976,16838">
            <v:shape id="_x0000_s1038" type="#_x0000_t75" style="position:absolute;width:11906;height:16838">
              <v:imagedata r:id="rId46" o:title=""/>
            </v:shape>
            <v:line id="_x0000_s1037" style="position:absolute" from="10700,917" to="11906,917" strokecolor="#0095a7" strokeweight="7pt"/>
            <w10:wrap anchorx="page" anchory="page"/>
          </v:group>
        </w:pict>
      </w:r>
      <w:r w:rsidR="00823349">
        <w:rPr>
          <w:color w:val="58595B"/>
          <w:sz w:val="15"/>
        </w:rPr>
        <w:t>357</w:t>
      </w:r>
    </w:p>
    <w:p w14:paraId="1584603A" w14:textId="77777777" w:rsidR="00724131" w:rsidRDefault="00724131">
      <w:pPr>
        <w:pStyle w:val="BodyText"/>
      </w:pPr>
    </w:p>
    <w:p w14:paraId="126C5CC0" w14:textId="77777777" w:rsidR="00724131" w:rsidRDefault="00724131">
      <w:pPr>
        <w:pStyle w:val="BodyText"/>
      </w:pPr>
    </w:p>
    <w:p w14:paraId="622EF6C2" w14:textId="77777777" w:rsidR="00724131" w:rsidRDefault="00724131">
      <w:pPr>
        <w:pStyle w:val="BodyText"/>
      </w:pPr>
    </w:p>
    <w:p w14:paraId="3EBD557B" w14:textId="77777777" w:rsidR="00724131" w:rsidRDefault="00724131">
      <w:pPr>
        <w:pStyle w:val="BodyText"/>
      </w:pPr>
    </w:p>
    <w:p w14:paraId="008523D5" w14:textId="77777777" w:rsidR="00724131" w:rsidRDefault="00724131">
      <w:pPr>
        <w:pStyle w:val="BodyText"/>
        <w:spacing w:before="5"/>
        <w:rPr>
          <w:sz w:val="17"/>
        </w:rPr>
      </w:pPr>
    </w:p>
    <w:p w14:paraId="0EBC552F" w14:textId="77777777" w:rsidR="00724131" w:rsidRDefault="00823349">
      <w:pPr>
        <w:pStyle w:val="Heading4"/>
        <w:spacing w:before="0"/>
        <w:ind w:left="134" w:right="1246"/>
      </w:pPr>
      <w:r>
        <w:rPr>
          <w:color w:val="0095A7"/>
        </w:rPr>
        <w:t>CHAPTER 21</w:t>
      </w:r>
    </w:p>
    <w:p w14:paraId="6A1CA565" w14:textId="77777777" w:rsidR="00724131" w:rsidRDefault="00823349">
      <w:pPr>
        <w:spacing w:before="79"/>
        <w:ind w:left="134" w:right="1246"/>
        <w:rPr>
          <w:sz w:val="40"/>
        </w:rPr>
      </w:pPr>
      <w:r>
        <w:rPr>
          <w:color w:val="58595B"/>
          <w:sz w:val="40"/>
        </w:rPr>
        <w:t>FUNDING FOR THE FUTURE</w:t>
      </w:r>
    </w:p>
    <w:p w14:paraId="6801F74E" w14:textId="77777777" w:rsidR="00724131" w:rsidRDefault="00724131">
      <w:pPr>
        <w:rPr>
          <w:sz w:val="40"/>
        </w:rPr>
        <w:sectPr w:rsidR="00724131">
          <w:headerReference w:type="even" r:id="rId47"/>
          <w:pgSz w:w="11910" w:h="16840"/>
          <w:pgMar w:top="740" w:right="1300" w:bottom="280" w:left="1680" w:header="0" w:footer="0" w:gutter="0"/>
          <w:cols w:space="720"/>
        </w:sectPr>
      </w:pPr>
    </w:p>
    <w:p w14:paraId="2E796B2A" w14:textId="77777777" w:rsidR="00724131" w:rsidRDefault="00724131">
      <w:pPr>
        <w:pStyle w:val="BodyText"/>
      </w:pPr>
    </w:p>
    <w:p w14:paraId="0310FF75" w14:textId="77777777" w:rsidR="00724131" w:rsidRDefault="00724131">
      <w:pPr>
        <w:pStyle w:val="BodyText"/>
      </w:pPr>
    </w:p>
    <w:p w14:paraId="3E24CCC6" w14:textId="77777777" w:rsidR="00724131" w:rsidRDefault="00724131">
      <w:pPr>
        <w:pStyle w:val="BodyText"/>
      </w:pPr>
    </w:p>
    <w:p w14:paraId="24D09449" w14:textId="77777777" w:rsidR="00724131" w:rsidRDefault="00724131">
      <w:pPr>
        <w:pStyle w:val="BodyText"/>
      </w:pPr>
    </w:p>
    <w:p w14:paraId="70D58284" w14:textId="77777777" w:rsidR="00724131" w:rsidRDefault="00823349">
      <w:pPr>
        <w:pStyle w:val="Heading2"/>
      </w:pPr>
      <w:r>
        <w:rPr>
          <w:color w:val="0095A7"/>
        </w:rPr>
        <w:t>FUNDING FOR THE FUTURE</w:t>
      </w:r>
    </w:p>
    <w:p w14:paraId="49FD0587" w14:textId="77777777" w:rsidR="00724131" w:rsidRDefault="00054426">
      <w:pPr>
        <w:pStyle w:val="BodyText"/>
        <w:spacing w:before="4"/>
        <w:rPr>
          <w:sz w:val="17"/>
        </w:rPr>
      </w:pPr>
      <w:r>
        <w:pict w14:anchorId="49ACBE40">
          <v:shape id="_x0000_s1035" type="#_x0000_t202" style="position:absolute;margin-left:70.85pt;margin-top:11.2pt;width:433.7pt;height:244.5pt;z-index:1456;mso-wrap-distance-left:0;mso-wrap-distance-right:0;mso-position-horizontal-relative:page" fillcolor="#eff6f0" stroked="f">
            <v:textbox style="mso-next-textbox:#_x0000_s1035" inset="0,0,0,0">
              <w:txbxContent>
                <w:p w14:paraId="0B628756" w14:textId="77777777" w:rsidR="00724131" w:rsidRDefault="00823349">
                  <w:pPr>
                    <w:spacing w:before="128"/>
                    <w:ind w:left="170" w:right="541"/>
                    <w:rPr>
                      <w:b/>
                      <w:sz w:val="20"/>
                    </w:rPr>
                  </w:pPr>
                  <w:r>
                    <w:rPr>
                      <w:b/>
                      <w:color w:val="0095A7"/>
                      <w:sz w:val="20"/>
                    </w:rPr>
                    <w:t>KEY MESSAGES</w:t>
                  </w:r>
                </w:p>
                <w:p w14:paraId="5DEEAAB5" w14:textId="77777777" w:rsidR="00724131" w:rsidRDefault="00823349">
                  <w:pPr>
                    <w:pStyle w:val="BodyText"/>
                    <w:spacing w:before="153" w:line="280" w:lineRule="auto"/>
                    <w:ind w:left="170" w:right="490"/>
                  </w:pPr>
                  <w:r>
                    <w:rPr>
                      <w:color w:val="58595B"/>
                    </w:rPr>
                    <w:t>The EPA’s funding arrangements need reform, to reduce revenue volatility and uncertainty and to better align with its regulatory mission.</w:t>
                  </w:r>
                </w:p>
                <w:p w14:paraId="34E00139" w14:textId="50531D64" w:rsidR="00724131" w:rsidRDefault="00823349" w:rsidP="00765C97">
                  <w:pPr>
                    <w:pStyle w:val="BodyText"/>
                    <w:spacing w:before="172" w:line="280" w:lineRule="auto"/>
                    <w:ind w:left="170" w:right="179"/>
                  </w:pPr>
                  <w:r>
                    <w:rPr>
                      <w:color w:val="58595B"/>
                    </w:rPr>
                    <w:t>An annual State budget appropriation is the most common approach applied to environmental regulators in other jurisdictions to fund core public good functions, such as scientific research and environmental monitoring. These activities could also be funded through a broadly based waste levy, provided landfill levies are redesigned to better meet their</w:t>
                  </w:r>
                  <w:r w:rsidR="00765C97">
                    <w:t xml:space="preserve"> </w:t>
                  </w:r>
                  <w:r>
                    <w:rPr>
                      <w:color w:val="58595B"/>
                    </w:rPr>
                    <w:t>environmental objectives.</w:t>
                  </w:r>
                </w:p>
                <w:p w14:paraId="109BBC87" w14:textId="77777777" w:rsidR="00724131" w:rsidRDefault="00724131">
                  <w:pPr>
                    <w:pStyle w:val="BodyText"/>
                    <w:spacing w:before="3"/>
                    <w:rPr>
                      <w:sz w:val="18"/>
                    </w:rPr>
                  </w:pPr>
                </w:p>
                <w:p w14:paraId="419C5232" w14:textId="77777777" w:rsidR="00724131" w:rsidRDefault="00823349">
                  <w:pPr>
                    <w:pStyle w:val="BodyText"/>
                    <w:spacing w:line="280" w:lineRule="auto"/>
                    <w:ind w:left="170" w:right="141"/>
                  </w:pPr>
                  <w:r>
                    <w:rPr>
                      <w:color w:val="58595B"/>
                    </w:rPr>
                    <w:t>The EPA of the future will need increased resources to support a wider range of functions, including enhanced scientific and environmental health capabilities, a stronger role in in land use planning and increased outreach services to inform a much wider group of duty holders under a general duty.</w:t>
                  </w:r>
                </w:p>
                <w:p w14:paraId="250A2920" w14:textId="77777777" w:rsidR="00724131" w:rsidRDefault="00823349">
                  <w:pPr>
                    <w:pStyle w:val="BodyText"/>
                    <w:spacing w:before="172" w:line="280" w:lineRule="auto"/>
                    <w:ind w:left="170" w:right="490"/>
                  </w:pPr>
                  <w:r>
                    <w:rPr>
                      <w:color w:val="58595B"/>
                    </w:rPr>
                    <w:t>Local government authorities will also require additional resources to support our proposal to devolve responsibility for environmental issues that are more effectively addressed at</w:t>
                  </w:r>
                </w:p>
                <w:p w14:paraId="11D865C1" w14:textId="77777777" w:rsidR="00724131" w:rsidRDefault="00823349">
                  <w:pPr>
                    <w:pStyle w:val="BodyText"/>
                    <w:spacing w:before="2"/>
                    <w:ind w:left="170" w:right="541"/>
                  </w:pPr>
                  <w:r>
                    <w:rPr>
                      <w:color w:val="58595B"/>
                    </w:rPr>
                    <w:t>a local level.</w:t>
                  </w:r>
                </w:p>
              </w:txbxContent>
            </v:textbox>
            <w10:wrap type="topAndBottom" anchorx="page"/>
          </v:shape>
        </w:pict>
      </w:r>
    </w:p>
    <w:p w14:paraId="0AC9E463" w14:textId="77777777" w:rsidR="00724131" w:rsidRDefault="00724131">
      <w:pPr>
        <w:pStyle w:val="BodyText"/>
        <w:spacing w:before="7"/>
        <w:rPr>
          <w:sz w:val="28"/>
        </w:rPr>
      </w:pPr>
    </w:p>
    <w:p w14:paraId="7E4B635B" w14:textId="77777777" w:rsidR="00724131" w:rsidRDefault="00823349">
      <w:pPr>
        <w:pStyle w:val="ListParagraph"/>
        <w:numPr>
          <w:ilvl w:val="1"/>
          <w:numId w:val="19"/>
        </w:numPr>
        <w:tabs>
          <w:tab w:val="left" w:pos="1971"/>
        </w:tabs>
        <w:spacing w:before="69"/>
        <w:jc w:val="left"/>
        <w:rPr>
          <w:sz w:val="24"/>
        </w:rPr>
      </w:pPr>
      <w:r>
        <w:rPr>
          <w:color w:val="0095A7"/>
          <w:sz w:val="24"/>
        </w:rPr>
        <w:t>Introduction</w:t>
      </w:r>
    </w:p>
    <w:p w14:paraId="2D2F9F82" w14:textId="77777777" w:rsidR="00724131" w:rsidRDefault="00823349">
      <w:pPr>
        <w:pStyle w:val="BodyText"/>
        <w:spacing w:before="145" w:line="280" w:lineRule="auto"/>
        <w:ind w:left="1417" w:right="228"/>
      </w:pPr>
      <w:r>
        <w:rPr>
          <w:color w:val="58595B"/>
        </w:rPr>
        <w:t>The inquiry terms of reference asked us to inquire into and report on the ability of the EPA’s current governance structures and funding arrangements to enable it to effectively and efficiently discharge its powers, perform its duties and implement its required functions.</w:t>
      </w:r>
    </w:p>
    <w:p w14:paraId="17070509" w14:textId="77777777" w:rsidR="00724131" w:rsidRDefault="00823349">
      <w:pPr>
        <w:pStyle w:val="BodyText"/>
        <w:spacing w:before="172"/>
        <w:ind w:left="1417" w:right="228"/>
      </w:pPr>
      <w:r>
        <w:rPr>
          <w:color w:val="58595B"/>
        </w:rPr>
        <w:t>For this inquiry, we considered:</w:t>
      </w:r>
    </w:p>
    <w:p w14:paraId="0358F6B3" w14:textId="77777777" w:rsidR="00724131" w:rsidRDefault="00823349">
      <w:pPr>
        <w:pStyle w:val="ListParagraph"/>
        <w:numPr>
          <w:ilvl w:val="1"/>
          <w:numId w:val="20"/>
        </w:numPr>
        <w:tabs>
          <w:tab w:val="left" w:pos="1588"/>
        </w:tabs>
        <w:spacing w:before="153" w:line="280" w:lineRule="auto"/>
        <w:ind w:right="542" w:hanging="170"/>
        <w:rPr>
          <w:sz w:val="20"/>
        </w:rPr>
      </w:pPr>
      <w:r>
        <w:rPr>
          <w:color w:val="58595B"/>
          <w:sz w:val="20"/>
        </w:rPr>
        <w:t>best practice principles for funding an independent regulator, Department of Treasury and Finance fees and charges guidelines and the economic literature on best practice in setting environmental fees and</w:t>
      </w:r>
      <w:r>
        <w:rPr>
          <w:color w:val="58595B"/>
          <w:spacing w:val="-5"/>
          <w:sz w:val="20"/>
        </w:rPr>
        <w:t xml:space="preserve"> </w:t>
      </w:r>
      <w:r>
        <w:rPr>
          <w:color w:val="58595B"/>
          <w:sz w:val="20"/>
        </w:rPr>
        <w:t>levies</w:t>
      </w:r>
    </w:p>
    <w:p w14:paraId="06FCEEFF" w14:textId="6A1487BE" w:rsidR="00724131" w:rsidRDefault="00823349">
      <w:pPr>
        <w:pStyle w:val="ListParagraph"/>
        <w:numPr>
          <w:ilvl w:val="1"/>
          <w:numId w:val="20"/>
        </w:numPr>
        <w:tabs>
          <w:tab w:val="left" w:pos="1588"/>
        </w:tabs>
        <w:spacing w:line="280" w:lineRule="auto"/>
        <w:ind w:right="282" w:hanging="170"/>
        <w:rPr>
          <w:sz w:val="20"/>
        </w:rPr>
      </w:pPr>
      <w:r>
        <w:rPr>
          <w:color w:val="58595B"/>
          <w:sz w:val="20"/>
        </w:rPr>
        <w:t>perceived problems with current funding arrangements ident</w:t>
      </w:r>
      <w:r w:rsidR="002E245C">
        <w:rPr>
          <w:color w:val="58595B"/>
          <w:sz w:val="20"/>
        </w:rPr>
        <w:t>ified by external stakeholders,</w:t>
      </w:r>
      <w:r w:rsidR="002E245C">
        <w:rPr>
          <w:color w:val="58595B"/>
          <w:sz w:val="20"/>
        </w:rPr>
        <w:br/>
      </w:r>
      <w:r>
        <w:rPr>
          <w:color w:val="58595B"/>
          <w:sz w:val="20"/>
        </w:rPr>
        <w:t xml:space="preserve">the </w:t>
      </w:r>
      <w:r>
        <w:rPr>
          <w:color w:val="58595B"/>
          <w:spacing w:val="-4"/>
          <w:sz w:val="20"/>
        </w:rPr>
        <w:t xml:space="preserve">EPA </w:t>
      </w:r>
      <w:r>
        <w:rPr>
          <w:color w:val="58595B"/>
          <w:sz w:val="20"/>
        </w:rPr>
        <w:t>and</w:t>
      </w:r>
      <w:r>
        <w:rPr>
          <w:color w:val="58595B"/>
          <w:spacing w:val="-3"/>
          <w:sz w:val="20"/>
        </w:rPr>
        <w:t xml:space="preserve"> </w:t>
      </w:r>
      <w:r>
        <w:rPr>
          <w:color w:val="58595B"/>
          <w:sz w:val="20"/>
        </w:rPr>
        <w:t>DELWP</w:t>
      </w:r>
    </w:p>
    <w:p w14:paraId="3069686E" w14:textId="77777777" w:rsidR="00724131" w:rsidRDefault="00823349">
      <w:pPr>
        <w:pStyle w:val="ListParagraph"/>
        <w:numPr>
          <w:ilvl w:val="1"/>
          <w:numId w:val="20"/>
        </w:numPr>
        <w:tabs>
          <w:tab w:val="left" w:pos="1588"/>
        </w:tabs>
        <w:spacing w:line="280" w:lineRule="auto"/>
        <w:ind w:right="516" w:hanging="170"/>
        <w:rPr>
          <w:sz w:val="20"/>
        </w:rPr>
      </w:pPr>
      <w:r>
        <w:rPr>
          <w:color w:val="58595B"/>
          <w:sz w:val="20"/>
        </w:rPr>
        <w:t xml:space="preserve">expert advice and reports commissioned by the </w:t>
      </w:r>
      <w:r>
        <w:rPr>
          <w:color w:val="58595B"/>
          <w:spacing w:val="-4"/>
          <w:sz w:val="20"/>
        </w:rPr>
        <w:t xml:space="preserve">EPA </w:t>
      </w:r>
      <w:r>
        <w:rPr>
          <w:color w:val="58595B"/>
          <w:sz w:val="20"/>
        </w:rPr>
        <w:t xml:space="preserve">and DELWP on the </w:t>
      </w:r>
      <w:r>
        <w:rPr>
          <w:color w:val="58595B"/>
          <w:spacing w:val="-7"/>
          <w:sz w:val="20"/>
        </w:rPr>
        <w:t xml:space="preserve">EPA’s </w:t>
      </w:r>
      <w:r>
        <w:rPr>
          <w:color w:val="58595B"/>
          <w:sz w:val="20"/>
        </w:rPr>
        <w:t>current cost base and future funding options, including the potential for increased cost</w:t>
      </w:r>
      <w:r>
        <w:rPr>
          <w:color w:val="58595B"/>
          <w:spacing w:val="7"/>
          <w:sz w:val="20"/>
        </w:rPr>
        <w:t xml:space="preserve"> </w:t>
      </w:r>
      <w:r>
        <w:rPr>
          <w:color w:val="58595B"/>
          <w:sz w:val="20"/>
        </w:rPr>
        <w:t>recovery</w:t>
      </w:r>
    </w:p>
    <w:p w14:paraId="56D81BDA" w14:textId="77777777" w:rsidR="00724131" w:rsidRDefault="00823349">
      <w:pPr>
        <w:pStyle w:val="ListParagraph"/>
        <w:numPr>
          <w:ilvl w:val="1"/>
          <w:numId w:val="20"/>
        </w:numPr>
        <w:tabs>
          <w:tab w:val="left" w:pos="1588"/>
        </w:tabs>
        <w:spacing w:line="280" w:lineRule="auto"/>
        <w:ind w:right="717" w:hanging="170"/>
        <w:rPr>
          <w:sz w:val="20"/>
        </w:rPr>
      </w:pPr>
      <w:r>
        <w:rPr>
          <w:color w:val="58595B"/>
          <w:sz w:val="20"/>
        </w:rPr>
        <w:t>resourcing levels and specific funding arrangements for environmental regulators in other jurisdictions with similar</w:t>
      </w:r>
      <w:r>
        <w:rPr>
          <w:color w:val="58595B"/>
          <w:spacing w:val="12"/>
          <w:sz w:val="20"/>
        </w:rPr>
        <w:t xml:space="preserve"> </w:t>
      </w:r>
      <w:r>
        <w:rPr>
          <w:color w:val="58595B"/>
          <w:sz w:val="20"/>
        </w:rPr>
        <w:t>responsibilities</w:t>
      </w:r>
    </w:p>
    <w:p w14:paraId="3BB15682" w14:textId="77777777" w:rsidR="00724131" w:rsidRDefault="00823349">
      <w:pPr>
        <w:pStyle w:val="ListParagraph"/>
        <w:numPr>
          <w:ilvl w:val="1"/>
          <w:numId w:val="20"/>
        </w:numPr>
        <w:tabs>
          <w:tab w:val="left" w:pos="1588"/>
        </w:tabs>
        <w:spacing w:line="280" w:lineRule="auto"/>
        <w:ind w:right="867" w:hanging="170"/>
        <w:jc w:val="both"/>
        <w:rPr>
          <w:sz w:val="20"/>
        </w:rPr>
      </w:pPr>
      <w:r>
        <w:rPr>
          <w:color w:val="58595B"/>
          <w:sz w:val="20"/>
        </w:rPr>
        <w:t>resource implications of our future vision for the EPA, which calls for a greater focus on prevention, increased expertise and risk scanning and increased authority and strategic involvement in areas such as land use</w:t>
      </w:r>
      <w:r>
        <w:rPr>
          <w:color w:val="58595B"/>
          <w:spacing w:val="-16"/>
          <w:sz w:val="20"/>
        </w:rPr>
        <w:t xml:space="preserve"> </w:t>
      </w:r>
      <w:r>
        <w:rPr>
          <w:color w:val="58595B"/>
          <w:sz w:val="20"/>
        </w:rPr>
        <w:t>planning.</w:t>
      </w:r>
    </w:p>
    <w:p w14:paraId="1D508AAD" w14:textId="77777777" w:rsidR="00724131" w:rsidRDefault="00724131">
      <w:pPr>
        <w:pStyle w:val="BodyText"/>
        <w:spacing w:before="1"/>
        <w:rPr>
          <w:sz w:val="19"/>
        </w:rPr>
      </w:pPr>
    </w:p>
    <w:p w14:paraId="35E4D355" w14:textId="77777777" w:rsidR="00724131" w:rsidRDefault="00823349">
      <w:pPr>
        <w:pStyle w:val="Heading3"/>
        <w:numPr>
          <w:ilvl w:val="1"/>
          <w:numId w:val="19"/>
        </w:numPr>
        <w:tabs>
          <w:tab w:val="left" w:pos="1999"/>
        </w:tabs>
        <w:ind w:left="1998" w:hanging="581"/>
        <w:jc w:val="left"/>
      </w:pPr>
      <w:r>
        <w:rPr>
          <w:color w:val="0095A7"/>
        </w:rPr>
        <w:t>Current resource levels and funding</w:t>
      </w:r>
      <w:r>
        <w:rPr>
          <w:color w:val="0095A7"/>
          <w:spacing w:val="38"/>
        </w:rPr>
        <w:t xml:space="preserve"> </w:t>
      </w:r>
      <w:r>
        <w:rPr>
          <w:color w:val="0095A7"/>
        </w:rPr>
        <w:t>arrangements</w:t>
      </w:r>
    </w:p>
    <w:p w14:paraId="268C3E78" w14:textId="77777777" w:rsidR="00724131" w:rsidRDefault="00823349">
      <w:pPr>
        <w:pStyle w:val="ListParagraph"/>
        <w:numPr>
          <w:ilvl w:val="2"/>
          <w:numId w:val="19"/>
        </w:numPr>
        <w:tabs>
          <w:tab w:val="left" w:pos="2047"/>
        </w:tabs>
        <w:spacing w:before="145"/>
        <w:ind w:hanging="629"/>
        <w:jc w:val="left"/>
        <w:rPr>
          <w:sz w:val="20"/>
        </w:rPr>
      </w:pPr>
      <w:r>
        <w:rPr>
          <w:color w:val="0095A7"/>
          <w:sz w:val="20"/>
        </w:rPr>
        <w:t>Operating</w:t>
      </w:r>
      <w:r>
        <w:rPr>
          <w:color w:val="0095A7"/>
          <w:spacing w:val="-4"/>
          <w:sz w:val="20"/>
        </w:rPr>
        <w:t xml:space="preserve"> </w:t>
      </w:r>
      <w:r>
        <w:rPr>
          <w:color w:val="0095A7"/>
          <w:sz w:val="20"/>
        </w:rPr>
        <w:t>revenue</w:t>
      </w:r>
    </w:p>
    <w:p w14:paraId="6D454C38" w14:textId="77777777" w:rsidR="00724131" w:rsidRDefault="00823349">
      <w:pPr>
        <w:pStyle w:val="BodyText"/>
        <w:spacing w:before="153" w:line="280" w:lineRule="auto"/>
        <w:ind w:left="1417" w:right="277"/>
        <w:rPr>
          <w:sz w:val="11"/>
        </w:rPr>
      </w:pPr>
      <w:r>
        <w:rPr>
          <w:color w:val="58595B"/>
        </w:rPr>
        <w:t xml:space="preserve">Over the past five years, the </w:t>
      </w:r>
      <w:r>
        <w:rPr>
          <w:color w:val="58595B"/>
          <w:spacing w:val="-7"/>
        </w:rPr>
        <w:t xml:space="preserve">EPA’s </w:t>
      </w:r>
      <w:r>
        <w:rPr>
          <w:color w:val="58595B"/>
        </w:rPr>
        <w:t>annual operating budget, net of grants to other agencies</w:t>
      </w:r>
      <w:r>
        <w:rPr>
          <w:color w:val="58595B"/>
          <w:position w:val="7"/>
          <w:sz w:val="11"/>
        </w:rPr>
        <w:t xml:space="preserve">1   </w:t>
      </w:r>
      <w:r>
        <w:rPr>
          <w:color w:val="58595B"/>
        </w:rPr>
        <w:t xml:space="preserve">has averaged around $72.5 million, albeit with some year-to-year variability. In </w:t>
      </w:r>
      <w:r>
        <w:rPr>
          <w:color w:val="58595B"/>
          <w:spacing w:val="-3"/>
        </w:rPr>
        <w:t xml:space="preserve">2015-16, </w:t>
      </w:r>
      <w:r>
        <w:rPr>
          <w:color w:val="58595B"/>
        </w:rPr>
        <w:t xml:space="preserve">the </w:t>
      </w:r>
      <w:r>
        <w:rPr>
          <w:color w:val="58595B"/>
          <w:spacing w:val="-4"/>
        </w:rPr>
        <w:t xml:space="preserve">EPA </w:t>
      </w:r>
      <w:r>
        <w:rPr>
          <w:color w:val="58595B"/>
        </w:rPr>
        <w:t xml:space="preserve">budgeted for total operating revenue of </w:t>
      </w:r>
      <w:r>
        <w:rPr>
          <w:color w:val="58595B"/>
          <w:spacing w:val="-4"/>
        </w:rPr>
        <w:t>$74.9</w:t>
      </w:r>
      <w:r>
        <w:rPr>
          <w:color w:val="58595B"/>
          <w:spacing w:val="3"/>
        </w:rPr>
        <w:t xml:space="preserve"> </w:t>
      </w:r>
      <w:r>
        <w:rPr>
          <w:color w:val="58595B"/>
        </w:rPr>
        <w:t>million.</w:t>
      </w:r>
      <w:r>
        <w:rPr>
          <w:color w:val="58595B"/>
          <w:position w:val="7"/>
          <w:sz w:val="11"/>
        </w:rPr>
        <w:t>2</w:t>
      </w:r>
    </w:p>
    <w:p w14:paraId="1689FD41" w14:textId="77777777" w:rsidR="00724131" w:rsidRDefault="00724131">
      <w:pPr>
        <w:spacing w:line="280" w:lineRule="auto"/>
        <w:rPr>
          <w:sz w:val="11"/>
        </w:rPr>
        <w:sectPr w:rsidR="00724131">
          <w:headerReference w:type="even" r:id="rId48"/>
          <w:headerReference w:type="default" r:id="rId49"/>
          <w:pgSz w:w="11910" w:h="16840"/>
          <w:pgMar w:top="980" w:right="1680" w:bottom="280" w:left="0" w:header="788" w:footer="0" w:gutter="0"/>
          <w:pgNumType w:start="358"/>
          <w:cols w:space="720"/>
        </w:sectPr>
      </w:pPr>
    </w:p>
    <w:p w14:paraId="46C5524C" w14:textId="77777777" w:rsidR="00724131" w:rsidRDefault="00724131">
      <w:pPr>
        <w:pStyle w:val="BodyText"/>
      </w:pPr>
    </w:p>
    <w:p w14:paraId="1AF3037B" w14:textId="77777777" w:rsidR="00724131" w:rsidRDefault="00724131">
      <w:pPr>
        <w:pStyle w:val="BodyText"/>
      </w:pPr>
    </w:p>
    <w:p w14:paraId="77D93F4D" w14:textId="77777777" w:rsidR="00724131" w:rsidRDefault="00724131">
      <w:pPr>
        <w:pStyle w:val="BodyText"/>
      </w:pPr>
    </w:p>
    <w:p w14:paraId="645E60F6" w14:textId="77777777" w:rsidR="00724131" w:rsidRDefault="00724131">
      <w:pPr>
        <w:pStyle w:val="BodyText"/>
      </w:pPr>
    </w:p>
    <w:p w14:paraId="13BA9E1A" w14:textId="77777777" w:rsidR="00724131" w:rsidRDefault="00724131">
      <w:pPr>
        <w:pStyle w:val="BodyText"/>
        <w:spacing w:before="8"/>
        <w:rPr>
          <w:sz w:val="17"/>
        </w:rPr>
      </w:pPr>
    </w:p>
    <w:p w14:paraId="79501206" w14:textId="16EEBC58" w:rsidR="00724131" w:rsidRDefault="00823349">
      <w:pPr>
        <w:pStyle w:val="BodyText"/>
        <w:spacing w:before="1" w:line="280" w:lineRule="auto"/>
        <w:ind w:left="134" w:right="1337"/>
      </w:pPr>
      <w:r>
        <w:rPr>
          <w:color w:val="58595B"/>
        </w:rPr>
        <w:t>The EPA collects considerably more revenue than is available to it for operating purposes.</w:t>
      </w:r>
      <w:r>
        <w:rPr>
          <w:color w:val="58595B"/>
        </w:rPr>
        <w:br/>
        <w:t>In 2014–15, the EPA collected the following revenues:</w:t>
      </w:r>
    </w:p>
    <w:p w14:paraId="0FD0746E" w14:textId="77777777" w:rsidR="00724131" w:rsidRDefault="00823349">
      <w:pPr>
        <w:pStyle w:val="ListParagraph"/>
        <w:numPr>
          <w:ilvl w:val="0"/>
          <w:numId w:val="31"/>
        </w:numPr>
        <w:tabs>
          <w:tab w:val="left" w:pos="305"/>
        </w:tabs>
        <w:ind w:hanging="170"/>
        <w:rPr>
          <w:sz w:val="20"/>
        </w:rPr>
      </w:pPr>
      <w:r>
        <w:rPr>
          <w:color w:val="58595B"/>
          <w:sz w:val="20"/>
        </w:rPr>
        <w:t xml:space="preserve">$73.5 million for the </w:t>
      </w:r>
      <w:r>
        <w:rPr>
          <w:color w:val="58595B"/>
          <w:spacing w:val="-7"/>
          <w:sz w:val="20"/>
        </w:rPr>
        <w:t xml:space="preserve">EPA’s </w:t>
      </w:r>
      <w:r>
        <w:rPr>
          <w:color w:val="58595B"/>
          <w:sz w:val="20"/>
        </w:rPr>
        <w:t>core regulatory and environment protection</w:t>
      </w:r>
      <w:r>
        <w:rPr>
          <w:color w:val="58595B"/>
          <w:spacing w:val="24"/>
          <w:sz w:val="20"/>
        </w:rPr>
        <w:t xml:space="preserve"> </w:t>
      </w:r>
      <w:r>
        <w:rPr>
          <w:color w:val="58595B"/>
          <w:sz w:val="20"/>
        </w:rPr>
        <w:t>activities</w:t>
      </w:r>
    </w:p>
    <w:p w14:paraId="4B0F6A5D" w14:textId="77777777" w:rsidR="00724131" w:rsidRDefault="00823349">
      <w:pPr>
        <w:pStyle w:val="ListParagraph"/>
        <w:numPr>
          <w:ilvl w:val="0"/>
          <w:numId w:val="31"/>
        </w:numPr>
        <w:tabs>
          <w:tab w:val="left" w:pos="305"/>
        </w:tabs>
        <w:spacing w:before="153"/>
        <w:ind w:hanging="170"/>
        <w:rPr>
          <w:sz w:val="20"/>
        </w:rPr>
      </w:pPr>
      <w:r>
        <w:rPr>
          <w:color w:val="58595B"/>
          <w:sz w:val="20"/>
        </w:rPr>
        <w:t>$3.4 million in controlled revenue earmarked for environmental</w:t>
      </w:r>
      <w:r>
        <w:rPr>
          <w:color w:val="58595B"/>
          <w:spacing w:val="2"/>
          <w:sz w:val="20"/>
        </w:rPr>
        <w:t xml:space="preserve"> </w:t>
      </w:r>
      <w:r>
        <w:rPr>
          <w:color w:val="58595B"/>
          <w:sz w:val="20"/>
        </w:rPr>
        <w:t>projects</w:t>
      </w:r>
    </w:p>
    <w:p w14:paraId="297059CA" w14:textId="77777777" w:rsidR="00724131" w:rsidRDefault="00823349">
      <w:pPr>
        <w:pStyle w:val="ListParagraph"/>
        <w:numPr>
          <w:ilvl w:val="0"/>
          <w:numId w:val="31"/>
        </w:numPr>
        <w:tabs>
          <w:tab w:val="left" w:pos="305"/>
        </w:tabs>
        <w:spacing w:before="153" w:line="280" w:lineRule="auto"/>
        <w:ind w:right="1672" w:hanging="170"/>
        <w:rPr>
          <w:sz w:val="20"/>
        </w:rPr>
      </w:pPr>
      <w:r>
        <w:rPr>
          <w:color w:val="58595B"/>
          <w:sz w:val="20"/>
        </w:rPr>
        <w:t>$4.7 million in custodial levy revenues applied to co-investment with industry to reduce waste and increase treatment of contaminated</w:t>
      </w:r>
      <w:r>
        <w:rPr>
          <w:color w:val="58595B"/>
          <w:spacing w:val="2"/>
          <w:sz w:val="20"/>
        </w:rPr>
        <w:t xml:space="preserve"> </w:t>
      </w:r>
      <w:r>
        <w:rPr>
          <w:color w:val="58595B"/>
          <w:sz w:val="20"/>
        </w:rPr>
        <w:t>soils</w:t>
      </w:r>
    </w:p>
    <w:p w14:paraId="3D313AD6" w14:textId="18330943" w:rsidR="00724131" w:rsidRPr="00823349" w:rsidRDefault="00823349" w:rsidP="00823349">
      <w:pPr>
        <w:pStyle w:val="ListParagraph"/>
        <w:numPr>
          <w:ilvl w:val="0"/>
          <w:numId w:val="31"/>
        </w:numPr>
        <w:tabs>
          <w:tab w:val="left" w:pos="305"/>
        </w:tabs>
        <w:spacing w:line="280" w:lineRule="auto"/>
        <w:ind w:right="1441" w:hanging="170"/>
        <w:rPr>
          <w:sz w:val="20"/>
        </w:rPr>
      </w:pPr>
      <w:r>
        <w:rPr>
          <w:color w:val="58595B"/>
          <w:sz w:val="20"/>
        </w:rPr>
        <w:t xml:space="preserve">a further $169.3 million over which the </w:t>
      </w:r>
      <w:r>
        <w:rPr>
          <w:color w:val="58595B"/>
          <w:spacing w:val="-4"/>
          <w:sz w:val="20"/>
        </w:rPr>
        <w:t xml:space="preserve">EPA </w:t>
      </w:r>
      <w:r>
        <w:rPr>
          <w:color w:val="58595B"/>
          <w:sz w:val="20"/>
        </w:rPr>
        <w:t xml:space="preserve">exercised custodial responsibilities </w:t>
      </w:r>
      <w:r>
        <w:rPr>
          <w:color w:val="58595B"/>
          <w:spacing w:val="-3"/>
          <w:sz w:val="20"/>
        </w:rPr>
        <w:t xml:space="preserve">only. </w:t>
      </w:r>
      <w:r>
        <w:rPr>
          <w:color w:val="58595B"/>
          <w:sz w:val="20"/>
        </w:rPr>
        <w:t>These revenues primarily related to the Sustainability Fund. Responsibility for the fund was transferred to</w:t>
      </w:r>
      <w:r>
        <w:rPr>
          <w:color w:val="58595B"/>
          <w:spacing w:val="-9"/>
          <w:sz w:val="20"/>
        </w:rPr>
        <w:t xml:space="preserve"> </w:t>
      </w:r>
      <w:r>
        <w:rPr>
          <w:color w:val="58595B"/>
          <w:sz w:val="20"/>
        </w:rPr>
        <w:t xml:space="preserve">DELWP </w:t>
      </w:r>
      <w:r w:rsidRPr="00823349">
        <w:rPr>
          <w:color w:val="58595B"/>
        </w:rPr>
        <w:t>on 1 July 2015, so the EPA no longer collects these revenues.</w:t>
      </w:r>
    </w:p>
    <w:p w14:paraId="24AAEC0D" w14:textId="77777777" w:rsidR="00724131" w:rsidRDefault="00724131">
      <w:pPr>
        <w:pStyle w:val="BodyText"/>
        <w:spacing w:before="7"/>
        <w:rPr>
          <w:sz w:val="25"/>
        </w:rPr>
      </w:pPr>
    </w:p>
    <w:p w14:paraId="4C2E6D10" w14:textId="77777777" w:rsidR="00724131" w:rsidRDefault="00823349">
      <w:pPr>
        <w:pStyle w:val="ListParagraph"/>
        <w:numPr>
          <w:ilvl w:val="2"/>
          <w:numId w:val="19"/>
        </w:numPr>
        <w:tabs>
          <w:tab w:val="left" w:pos="787"/>
        </w:tabs>
        <w:spacing w:before="0"/>
        <w:ind w:left="786" w:hanging="652"/>
        <w:jc w:val="left"/>
        <w:rPr>
          <w:sz w:val="20"/>
        </w:rPr>
      </w:pPr>
      <w:r>
        <w:rPr>
          <w:color w:val="0095A7"/>
          <w:sz w:val="20"/>
        </w:rPr>
        <w:t>Funding mix and</w:t>
      </w:r>
      <w:r>
        <w:rPr>
          <w:color w:val="0095A7"/>
          <w:spacing w:val="-9"/>
          <w:sz w:val="20"/>
        </w:rPr>
        <w:t xml:space="preserve"> </w:t>
      </w:r>
      <w:r>
        <w:rPr>
          <w:color w:val="0095A7"/>
          <w:sz w:val="20"/>
        </w:rPr>
        <w:t>trends</w:t>
      </w:r>
    </w:p>
    <w:p w14:paraId="2C1ADD73" w14:textId="77777777" w:rsidR="00724131" w:rsidRDefault="00823349">
      <w:pPr>
        <w:pStyle w:val="BodyText"/>
        <w:spacing w:before="153"/>
        <w:ind w:left="134" w:right="228"/>
      </w:pPr>
      <w:r>
        <w:rPr>
          <w:color w:val="58595B"/>
        </w:rPr>
        <w:t>The EPA currently derives revenue (see figure 21.1) from a mix of:</w:t>
      </w:r>
    </w:p>
    <w:p w14:paraId="1DAE4811" w14:textId="77777777" w:rsidR="00724131" w:rsidRDefault="00823349">
      <w:pPr>
        <w:pStyle w:val="ListParagraph"/>
        <w:numPr>
          <w:ilvl w:val="0"/>
          <w:numId w:val="31"/>
        </w:numPr>
        <w:tabs>
          <w:tab w:val="left" w:pos="305"/>
        </w:tabs>
        <w:spacing w:before="153"/>
        <w:ind w:hanging="170"/>
        <w:rPr>
          <w:sz w:val="20"/>
        </w:rPr>
      </w:pPr>
      <w:r>
        <w:rPr>
          <w:color w:val="58595B"/>
          <w:sz w:val="20"/>
        </w:rPr>
        <w:t>government appropriations (currently in the form of specific purpose grants) and</w:t>
      </w:r>
      <w:r>
        <w:rPr>
          <w:color w:val="58595B"/>
          <w:spacing w:val="-1"/>
          <w:sz w:val="20"/>
        </w:rPr>
        <w:t xml:space="preserve"> </w:t>
      </w:r>
      <w:r>
        <w:rPr>
          <w:color w:val="58595B"/>
          <w:sz w:val="20"/>
        </w:rPr>
        <w:t>projects</w:t>
      </w:r>
    </w:p>
    <w:p w14:paraId="420F6BFF" w14:textId="77777777" w:rsidR="00724131" w:rsidRDefault="00823349">
      <w:pPr>
        <w:pStyle w:val="ListParagraph"/>
        <w:numPr>
          <w:ilvl w:val="0"/>
          <w:numId w:val="31"/>
        </w:numPr>
        <w:tabs>
          <w:tab w:val="left" w:pos="305"/>
        </w:tabs>
        <w:spacing w:before="153"/>
        <w:ind w:hanging="170"/>
        <w:rPr>
          <w:sz w:val="20"/>
        </w:rPr>
      </w:pPr>
      <w:r>
        <w:rPr>
          <w:color w:val="58595B"/>
          <w:sz w:val="20"/>
        </w:rPr>
        <w:t>levies – predominantly on landfill waste</w:t>
      </w:r>
    </w:p>
    <w:p w14:paraId="64AEFBD6" w14:textId="77777777" w:rsidR="00724131" w:rsidRDefault="00823349">
      <w:pPr>
        <w:pStyle w:val="ListParagraph"/>
        <w:numPr>
          <w:ilvl w:val="0"/>
          <w:numId w:val="31"/>
        </w:numPr>
        <w:tabs>
          <w:tab w:val="left" w:pos="305"/>
        </w:tabs>
        <w:spacing w:before="153"/>
        <w:ind w:hanging="170"/>
        <w:rPr>
          <w:sz w:val="20"/>
        </w:rPr>
      </w:pPr>
      <w:r>
        <w:rPr>
          <w:color w:val="58595B"/>
          <w:sz w:val="20"/>
        </w:rPr>
        <w:t>fees – covering licences, permits, works approvals and environmental</w:t>
      </w:r>
      <w:r>
        <w:rPr>
          <w:color w:val="58595B"/>
          <w:spacing w:val="-2"/>
          <w:sz w:val="20"/>
        </w:rPr>
        <w:t xml:space="preserve"> </w:t>
      </w:r>
      <w:r>
        <w:rPr>
          <w:color w:val="58595B"/>
          <w:sz w:val="20"/>
        </w:rPr>
        <w:t>audits</w:t>
      </w:r>
    </w:p>
    <w:p w14:paraId="280037A8" w14:textId="77777777" w:rsidR="00724131" w:rsidRDefault="00823349">
      <w:pPr>
        <w:pStyle w:val="ListParagraph"/>
        <w:numPr>
          <w:ilvl w:val="0"/>
          <w:numId w:val="31"/>
        </w:numPr>
        <w:tabs>
          <w:tab w:val="left" w:pos="305"/>
        </w:tabs>
        <w:spacing w:before="153"/>
        <w:ind w:hanging="170"/>
        <w:rPr>
          <w:sz w:val="20"/>
        </w:rPr>
      </w:pPr>
      <w:r>
        <w:rPr>
          <w:color w:val="58595B"/>
          <w:sz w:val="20"/>
        </w:rPr>
        <w:t>penalties and fines – for offences such as</w:t>
      </w:r>
      <w:r>
        <w:rPr>
          <w:color w:val="58595B"/>
          <w:spacing w:val="23"/>
          <w:sz w:val="20"/>
        </w:rPr>
        <w:t xml:space="preserve"> </w:t>
      </w:r>
      <w:r>
        <w:rPr>
          <w:color w:val="58595B"/>
          <w:sz w:val="20"/>
        </w:rPr>
        <w:t>littering</w:t>
      </w:r>
    </w:p>
    <w:p w14:paraId="2B63E5A0" w14:textId="77777777" w:rsidR="00724131" w:rsidRDefault="00823349">
      <w:pPr>
        <w:pStyle w:val="ListParagraph"/>
        <w:numPr>
          <w:ilvl w:val="0"/>
          <w:numId w:val="31"/>
        </w:numPr>
        <w:tabs>
          <w:tab w:val="left" w:pos="305"/>
        </w:tabs>
        <w:spacing w:before="153"/>
        <w:ind w:hanging="170"/>
        <w:rPr>
          <w:sz w:val="11"/>
        </w:rPr>
      </w:pPr>
      <w:r>
        <w:rPr>
          <w:color w:val="58595B"/>
          <w:sz w:val="20"/>
        </w:rPr>
        <w:t>investment income, predominantly on balances in the Sustainability</w:t>
      </w:r>
      <w:r>
        <w:rPr>
          <w:color w:val="58595B"/>
          <w:spacing w:val="-4"/>
          <w:sz w:val="20"/>
        </w:rPr>
        <w:t xml:space="preserve"> </w:t>
      </w:r>
      <w:r>
        <w:rPr>
          <w:color w:val="58595B"/>
          <w:sz w:val="20"/>
        </w:rPr>
        <w:t>Fund.</w:t>
      </w:r>
      <w:r>
        <w:rPr>
          <w:color w:val="58595B"/>
          <w:position w:val="7"/>
          <w:sz w:val="11"/>
        </w:rPr>
        <w:t>3</w:t>
      </w:r>
    </w:p>
    <w:p w14:paraId="326CEA71" w14:textId="77777777" w:rsidR="00724131" w:rsidRDefault="00724131">
      <w:pPr>
        <w:pStyle w:val="BodyText"/>
        <w:spacing w:before="3"/>
        <w:rPr>
          <w:sz w:val="18"/>
        </w:rPr>
      </w:pPr>
    </w:p>
    <w:p w14:paraId="176AB730" w14:textId="77777777" w:rsidR="00724131" w:rsidRDefault="00823349">
      <w:pPr>
        <w:pStyle w:val="BodyText"/>
        <w:spacing w:line="280" w:lineRule="auto"/>
        <w:ind w:left="134" w:right="1473"/>
        <w:rPr>
          <w:sz w:val="11"/>
        </w:rPr>
      </w:pPr>
      <w:r>
        <w:rPr>
          <w:color w:val="58595B"/>
        </w:rPr>
        <w:t xml:space="preserve">For the most part, the </w:t>
      </w:r>
      <w:r>
        <w:rPr>
          <w:color w:val="58595B"/>
          <w:spacing w:val="-4"/>
        </w:rPr>
        <w:t xml:space="preserve">EPA </w:t>
      </w:r>
      <w:r>
        <w:rPr>
          <w:color w:val="58595B"/>
        </w:rPr>
        <w:t>does not have direct access to the revenue it collects from licence fees or charges for works approvals, nor does it retain most fines and penalties for environmental offences. Most of these receipts are paid into the Consolidated Fund. A notable exception is revenue from litter fines: the agency estimates around $4.7 million in litter fines will be issued in 2015–16.</w:t>
      </w:r>
      <w:r>
        <w:rPr>
          <w:color w:val="58595B"/>
          <w:position w:val="7"/>
          <w:sz w:val="11"/>
        </w:rPr>
        <w:t>4</w:t>
      </w:r>
    </w:p>
    <w:p w14:paraId="74026083" w14:textId="77777777" w:rsidR="00724131" w:rsidRDefault="00724131">
      <w:pPr>
        <w:pStyle w:val="BodyText"/>
        <w:spacing w:before="10"/>
        <w:rPr>
          <w:sz w:val="19"/>
        </w:rPr>
      </w:pPr>
    </w:p>
    <w:p w14:paraId="1A3D64A6" w14:textId="77777777" w:rsidR="00724131" w:rsidRDefault="00823349">
      <w:pPr>
        <w:ind w:left="134" w:right="228"/>
        <w:rPr>
          <w:i/>
          <w:sz w:val="20"/>
        </w:rPr>
      </w:pPr>
      <w:r>
        <w:rPr>
          <w:i/>
          <w:color w:val="6D6E71"/>
          <w:sz w:val="20"/>
        </w:rPr>
        <w:t>General government funding</w:t>
      </w:r>
    </w:p>
    <w:p w14:paraId="404AECE0" w14:textId="77777777" w:rsidR="00724131" w:rsidRDefault="00823349">
      <w:pPr>
        <w:pStyle w:val="BodyText"/>
        <w:spacing w:before="125"/>
        <w:ind w:left="134" w:right="228"/>
      </w:pPr>
      <w:r>
        <w:rPr>
          <w:color w:val="58595B"/>
        </w:rPr>
        <w:t>The EPA has not received an annual appropriation from the State budget since 2012–13.</w:t>
      </w:r>
    </w:p>
    <w:p w14:paraId="156E2C89" w14:textId="77777777" w:rsidR="00724131" w:rsidRDefault="00724131">
      <w:pPr>
        <w:pStyle w:val="BodyText"/>
        <w:spacing w:before="2"/>
        <w:rPr>
          <w:sz w:val="23"/>
        </w:rPr>
      </w:pPr>
    </w:p>
    <w:p w14:paraId="3EAF5178" w14:textId="77777777" w:rsidR="00724131" w:rsidRDefault="00823349">
      <w:pPr>
        <w:ind w:left="134" w:right="228"/>
        <w:rPr>
          <w:i/>
          <w:sz w:val="20"/>
        </w:rPr>
      </w:pPr>
      <w:r>
        <w:rPr>
          <w:i/>
          <w:color w:val="6D6E71"/>
          <w:sz w:val="20"/>
        </w:rPr>
        <w:t>Grants</w:t>
      </w:r>
    </w:p>
    <w:p w14:paraId="66D5504B" w14:textId="77777777" w:rsidR="00724131" w:rsidRDefault="00823349">
      <w:pPr>
        <w:pStyle w:val="BodyText"/>
        <w:spacing w:before="125"/>
        <w:ind w:left="134" w:right="228"/>
      </w:pPr>
      <w:r>
        <w:rPr>
          <w:color w:val="58595B"/>
        </w:rPr>
        <w:t>Grants from external sources are earmarked for specific projects or programs and include:</w:t>
      </w:r>
    </w:p>
    <w:p w14:paraId="20763613" w14:textId="77777777" w:rsidR="00724131" w:rsidRDefault="00823349">
      <w:pPr>
        <w:pStyle w:val="ListParagraph"/>
        <w:numPr>
          <w:ilvl w:val="0"/>
          <w:numId w:val="31"/>
        </w:numPr>
        <w:tabs>
          <w:tab w:val="left" w:pos="305"/>
        </w:tabs>
        <w:spacing w:before="153" w:line="280" w:lineRule="auto"/>
        <w:ind w:right="1660" w:hanging="170"/>
        <w:rPr>
          <w:sz w:val="11"/>
        </w:rPr>
      </w:pPr>
      <w:r>
        <w:rPr>
          <w:color w:val="58595B"/>
          <w:sz w:val="20"/>
        </w:rPr>
        <w:t xml:space="preserve">Programs funded through DELWP – in 2015–16, these include </w:t>
      </w:r>
      <w:r>
        <w:rPr>
          <w:color w:val="58595B"/>
          <w:spacing w:val="2"/>
          <w:sz w:val="20"/>
        </w:rPr>
        <w:t xml:space="preserve">$900,000 </w:t>
      </w:r>
      <w:r>
        <w:rPr>
          <w:color w:val="58595B"/>
          <w:sz w:val="20"/>
        </w:rPr>
        <w:t>for River Monitoring and Assessment</w:t>
      </w:r>
      <w:r>
        <w:rPr>
          <w:color w:val="58595B"/>
          <w:position w:val="7"/>
          <w:sz w:val="11"/>
        </w:rPr>
        <w:t xml:space="preserve">5  </w:t>
      </w:r>
      <w:r>
        <w:rPr>
          <w:color w:val="58595B"/>
          <w:sz w:val="20"/>
        </w:rPr>
        <w:t xml:space="preserve">and </w:t>
      </w:r>
      <w:r>
        <w:rPr>
          <w:color w:val="58595B"/>
          <w:spacing w:val="-4"/>
          <w:sz w:val="20"/>
        </w:rPr>
        <w:t xml:space="preserve">$1 </w:t>
      </w:r>
      <w:r>
        <w:rPr>
          <w:color w:val="58595B"/>
          <w:sz w:val="20"/>
        </w:rPr>
        <w:t xml:space="preserve">million for a four-year </w:t>
      </w:r>
      <w:r>
        <w:rPr>
          <w:color w:val="58595B"/>
          <w:spacing w:val="-3"/>
          <w:sz w:val="20"/>
        </w:rPr>
        <w:t xml:space="preserve">Yarra </w:t>
      </w:r>
      <w:r>
        <w:rPr>
          <w:color w:val="58595B"/>
          <w:sz w:val="20"/>
        </w:rPr>
        <w:t>and Bay Action</w:t>
      </w:r>
      <w:r>
        <w:rPr>
          <w:color w:val="58595B"/>
          <w:spacing w:val="1"/>
          <w:sz w:val="20"/>
        </w:rPr>
        <w:t xml:space="preserve"> </w:t>
      </w:r>
      <w:r>
        <w:rPr>
          <w:color w:val="58595B"/>
          <w:sz w:val="20"/>
        </w:rPr>
        <w:t>Plan.</w:t>
      </w:r>
      <w:r>
        <w:rPr>
          <w:color w:val="58595B"/>
          <w:position w:val="7"/>
          <w:sz w:val="11"/>
        </w:rPr>
        <w:t>6</w:t>
      </w:r>
    </w:p>
    <w:p w14:paraId="72052ECC" w14:textId="77777777" w:rsidR="00724131" w:rsidRDefault="00823349">
      <w:pPr>
        <w:pStyle w:val="ListParagraph"/>
        <w:numPr>
          <w:ilvl w:val="0"/>
          <w:numId w:val="31"/>
        </w:numPr>
        <w:tabs>
          <w:tab w:val="left" w:pos="305"/>
        </w:tabs>
        <w:spacing w:line="280" w:lineRule="auto"/>
        <w:ind w:right="1453" w:hanging="170"/>
        <w:rPr>
          <w:sz w:val="20"/>
        </w:rPr>
      </w:pPr>
      <w:r>
        <w:rPr>
          <w:color w:val="58595B"/>
          <w:sz w:val="20"/>
        </w:rPr>
        <w:t xml:space="preserve">Expenditure Review Committee </w:t>
      </w:r>
      <w:r>
        <w:rPr>
          <w:color w:val="58595B"/>
          <w:spacing w:val="-3"/>
          <w:sz w:val="20"/>
        </w:rPr>
        <w:t xml:space="preserve">(ERC) </w:t>
      </w:r>
      <w:r>
        <w:rPr>
          <w:color w:val="58595B"/>
          <w:sz w:val="20"/>
        </w:rPr>
        <w:t xml:space="preserve">approved grants – in 2015–16, these include </w:t>
      </w:r>
      <w:r>
        <w:rPr>
          <w:color w:val="58595B"/>
          <w:spacing w:val="-5"/>
          <w:sz w:val="20"/>
        </w:rPr>
        <w:t xml:space="preserve">$2.1 </w:t>
      </w:r>
      <w:r>
        <w:rPr>
          <w:color w:val="58595B"/>
          <w:sz w:val="20"/>
        </w:rPr>
        <w:t xml:space="preserve">million (from a total of $6.3 million over the five years to </w:t>
      </w:r>
      <w:r>
        <w:rPr>
          <w:color w:val="58595B"/>
          <w:spacing w:val="-6"/>
          <w:sz w:val="20"/>
        </w:rPr>
        <w:t xml:space="preserve">2017–18) </w:t>
      </w:r>
      <w:r>
        <w:rPr>
          <w:color w:val="58595B"/>
          <w:sz w:val="20"/>
        </w:rPr>
        <w:t xml:space="preserve">for an illegal dumping strike force, and $3.4 million (from a total of $5 million over the five years to </w:t>
      </w:r>
      <w:r>
        <w:rPr>
          <w:color w:val="58595B"/>
          <w:spacing w:val="-6"/>
          <w:sz w:val="20"/>
        </w:rPr>
        <w:t xml:space="preserve">2017–18) </w:t>
      </w:r>
      <w:r>
        <w:rPr>
          <w:color w:val="58595B"/>
          <w:sz w:val="20"/>
        </w:rPr>
        <w:t>for rapid response air monitoring following natural disasters and other major events that may affect air</w:t>
      </w:r>
      <w:r>
        <w:rPr>
          <w:color w:val="58595B"/>
          <w:spacing w:val="-8"/>
          <w:sz w:val="20"/>
        </w:rPr>
        <w:t xml:space="preserve"> </w:t>
      </w:r>
      <w:r>
        <w:rPr>
          <w:color w:val="58595B"/>
          <w:sz w:val="20"/>
        </w:rPr>
        <w:t>quality.</w:t>
      </w:r>
    </w:p>
    <w:p w14:paraId="4BE13548" w14:textId="77777777" w:rsidR="00724131" w:rsidRDefault="00823349">
      <w:pPr>
        <w:pStyle w:val="ListParagraph"/>
        <w:numPr>
          <w:ilvl w:val="0"/>
          <w:numId w:val="31"/>
        </w:numPr>
        <w:tabs>
          <w:tab w:val="left" w:pos="305"/>
        </w:tabs>
        <w:spacing w:line="280" w:lineRule="auto"/>
        <w:ind w:right="1492" w:hanging="170"/>
        <w:rPr>
          <w:sz w:val="20"/>
        </w:rPr>
      </w:pPr>
      <w:r>
        <w:rPr>
          <w:color w:val="58595B"/>
          <w:sz w:val="20"/>
        </w:rPr>
        <w:t xml:space="preserve">Commonwealth Government funding of $100,000 for the National Pollutant Inventory – a public database that provides information on 93 substances being emitted to </w:t>
      </w:r>
      <w:r>
        <w:rPr>
          <w:color w:val="58595B"/>
          <w:spacing w:val="-4"/>
          <w:sz w:val="20"/>
        </w:rPr>
        <w:t xml:space="preserve">air, </w:t>
      </w:r>
      <w:r>
        <w:rPr>
          <w:color w:val="58595B"/>
          <w:sz w:val="20"/>
        </w:rPr>
        <w:t>land and water and transported in</w:t>
      </w:r>
      <w:r>
        <w:rPr>
          <w:color w:val="58595B"/>
          <w:spacing w:val="3"/>
          <w:sz w:val="20"/>
        </w:rPr>
        <w:t xml:space="preserve"> </w:t>
      </w:r>
      <w:r>
        <w:rPr>
          <w:color w:val="58595B"/>
          <w:sz w:val="20"/>
        </w:rPr>
        <w:t>waste.</w:t>
      </w:r>
    </w:p>
    <w:p w14:paraId="19C5D7A9" w14:textId="77777777" w:rsidR="00724131" w:rsidRDefault="00823349">
      <w:pPr>
        <w:pStyle w:val="BodyText"/>
        <w:spacing w:before="172" w:line="280" w:lineRule="auto"/>
        <w:ind w:left="134" w:right="1337"/>
      </w:pPr>
      <w:r>
        <w:rPr>
          <w:color w:val="58595B"/>
        </w:rPr>
        <w:t>While grant funding for specific projects varies from year to year, in total it has remained relatively stable at approximately $7–9 million each year.</w:t>
      </w:r>
    </w:p>
    <w:p w14:paraId="55EF3354" w14:textId="77777777" w:rsidR="00724131" w:rsidRDefault="00724131">
      <w:pPr>
        <w:spacing w:line="280" w:lineRule="auto"/>
        <w:sectPr w:rsidR="00724131">
          <w:pgSz w:w="11910" w:h="16840"/>
          <w:pgMar w:top="980" w:right="0" w:bottom="280" w:left="1680" w:header="788" w:footer="0" w:gutter="0"/>
          <w:cols w:space="720"/>
        </w:sectPr>
      </w:pPr>
    </w:p>
    <w:p w14:paraId="5490FB8D" w14:textId="77777777" w:rsidR="00724131" w:rsidRDefault="00724131">
      <w:pPr>
        <w:pStyle w:val="BodyText"/>
      </w:pPr>
    </w:p>
    <w:p w14:paraId="590F287D" w14:textId="77777777" w:rsidR="00724131" w:rsidRDefault="00724131">
      <w:pPr>
        <w:pStyle w:val="BodyText"/>
      </w:pPr>
    </w:p>
    <w:p w14:paraId="35911C33" w14:textId="77777777" w:rsidR="00724131" w:rsidRDefault="00724131">
      <w:pPr>
        <w:pStyle w:val="BodyText"/>
      </w:pPr>
    </w:p>
    <w:p w14:paraId="1AF3B3BC" w14:textId="77777777" w:rsidR="00724131" w:rsidRDefault="00724131">
      <w:pPr>
        <w:pStyle w:val="BodyText"/>
      </w:pPr>
    </w:p>
    <w:p w14:paraId="1242F9A8" w14:textId="77777777" w:rsidR="00724131" w:rsidRDefault="00724131">
      <w:pPr>
        <w:pStyle w:val="BodyText"/>
        <w:spacing w:before="8"/>
        <w:rPr>
          <w:sz w:val="17"/>
        </w:rPr>
      </w:pPr>
    </w:p>
    <w:p w14:paraId="2E706B03" w14:textId="77777777" w:rsidR="00724131" w:rsidRDefault="00823349">
      <w:pPr>
        <w:spacing w:before="1"/>
        <w:ind w:left="1417" w:right="228"/>
        <w:rPr>
          <w:sz w:val="20"/>
        </w:rPr>
      </w:pPr>
      <w:r>
        <w:rPr>
          <w:b/>
          <w:color w:val="0095A7"/>
          <w:sz w:val="20"/>
        </w:rPr>
        <w:t xml:space="preserve">FIGURE 21.1:  </w:t>
      </w:r>
      <w:r>
        <w:rPr>
          <w:color w:val="0095A7"/>
          <w:sz w:val="20"/>
        </w:rPr>
        <w:t>EPA OPERATING REVENUE 2015-16</w:t>
      </w:r>
    </w:p>
    <w:p w14:paraId="29C628C9" w14:textId="77777777" w:rsidR="00724131" w:rsidRDefault="00823349">
      <w:pPr>
        <w:pStyle w:val="BodyText"/>
        <w:rPr>
          <w:sz w:val="21"/>
        </w:rPr>
      </w:pPr>
      <w:r>
        <w:rPr>
          <w:noProof/>
        </w:rPr>
        <w:drawing>
          <wp:anchor distT="0" distB="0" distL="0" distR="0" simplePos="0" relativeHeight="1480" behindDoc="0" locked="0" layoutInCell="1" allowOverlap="1" wp14:anchorId="030B7572" wp14:editId="69A541DF">
            <wp:simplePos x="0" y="0"/>
            <wp:positionH relativeFrom="page">
              <wp:posOffset>899998</wp:posOffset>
            </wp:positionH>
            <wp:positionV relativeFrom="paragraph">
              <wp:posOffset>178482</wp:posOffset>
            </wp:positionV>
            <wp:extent cx="5525281" cy="2852928"/>
            <wp:effectExtent l="0" t="0" r="0" b="0"/>
            <wp:wrapTopAndBottom/>
            <wp:docPr id="17"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1.jpeg"/>
                    <pic:cNvPicPr/>
                  </pic:nvPicPr>
                  <pic:blipFill>
                    <a:blip r:embed="rId50" cstate="print"/>
                    <a:stretch>
                      <a:fillRect/>
                    </a:stretch>
                  </pic:blipFill>
                  <pic:spPr>
                    <a:xfrm>
                      <a:off x="0" y="0"/>
                      <a:ext cx="5525281" cy="2852928"/>
                    </a:xfrm>
                    <a:prstGeom prst="rect">
                      <a:avLst/>
                    </a:prstGeom>
                  </pic:spPr>
                </pic:pic>
              </a:graphicData>
            </a:graphic>
          </wp:anchor>
        </w:drawing>
      </w:r>
    </w:p>
    <w:p w14:paraId="32176091" w14:textId="77777777" w:rsidR="00724131" w:rsidRDefault="00724131">
      <w:pPr>
        <w:pStyle w:val="BodyText"/>
        <w:spacing w:before="2"/>
        <w:rPr>
          <w:sz w:val="18"/>
        </w:rPr>
      </w:pPr>
    </w:p>
    <w:p w14:paraId="45E06155" w14:textId="77777777" w:rsidR="00724131" w:rsidRDefault="00823349">
      <w:pPr>
        <w:pStyle w:val="BodyText"/>
        <w:spacing w:line="280" w:lineRule="auto"/>
        <w:ind w:left="1417" w:right="290"/>
      </w:pPr>
      <w:r>
        <w:rPr>
          <w:color w:val="58595B"/>
        </w:rPr>
        <w:t xml:space="preserve">In 2015–16, the </w:t>
      </w:r>
      <w:r>
        <w:rPr>
          <w:color w:val="58595B"/>
          <w:spacing w:val="-4"/>
        </w:rPr>
        <w:t xml:space="preserve">EPA </w:t>
      </w:r>
      <w:r>
        <w:rPr>
          <w:color w:val="58595B"/>
        </w:rPr>
        <w:t xml:space="preserve">received a grant from DELWP to replace the investment income it used to receive from being custodian of the Sustainability Fund. This grant was capped at </w:t>
      </w:r>
      <w:r>
        <w:rPr>
          <w:color w:val="58595B"/>
          <w:spacing w:val="-6"/>
        </w:rPr>
        <w:t xml:space="preserve">$15 </w:t>
      </w:r>
      <w:r>
        <w:rPr>
          <w:color w:val="58595B"/>
        </w:rPr>
        <w:t xml:space="preserve">million  for </w:t>
      </w:r>
      <w:r>
        <w:rPr>
          <w:color w:val="58595B"/>
          <w:spacing w:val="-3"/>
        </w:rPr>
        <w:t xml:space="preserve">2015-16 only. </w:t>
      </w:r>
      <w:r>
        <w:rPr>
          <w:color w:val="58595B"/>
        </w:rPr>
        <w:t xml:space="preserve">While these funds are not earmarked for specific purposes and can be used at the </w:t>
      </w:r>
      <w:r>
        <w:rPr>
          <w:color w:val="58595B"/>
          <w:spacing w:val="-7"/>
        </w:rPr>
        <w:t xml:space="preserve">EPA’s </w:t>
      </w:r>
      <w:r>
        <w:rPr>
          <w:color w:val="58595B"/>
        </w:rPr>
        <w:t xml:space="preserve">discretion, the agency remains exposed to the risk that investment income returns will fall short of the </w:t>
      </w:r>
      <w:r>
        <w:rPr>
          <w:color w:val="58595B"/>
          <w:spacing w:val="-5"/>
        </w:rPr>
        <w:t xml:space="preserve">$15 </w:t>
      </w:r>
      <w:r>
        <w:rPr>
          <w:color w:val="58595B"/>
        </w:rPr>
        <w:t xml:space="preserve">million cap. While ongoing replacement income arrangements are yet to be finalised, in future, it is expected that the </w:t>
      </w:r>
      <w:r>
        <w:rPr>
          <w:color w:val="58595B"/>
          <w:spacing w:val="-4"/>
        </w:rPr>
        <w:t xml:space="preserve">EPA </w:t>
      </w:r>
      <w:r>
        <w:rPr>
          <w:color w:val="58595B"/>
        </w:rPr>
        <w:t>will receive only the actual returns generated from the investment of the</w:t>
      </w:r>
      <w:r>
        <w:rPr>
          <w:color w:val="58595B"/>
          <w:spacing w:val="-8"/>
        </w:rPr>
        <w:t xml:space="preserve"> </w:t>
      </w:r>
      <w:r>
        <w:rPr>
          <w:color w:val="58595B"/>
        </w:rPr>
        <w:t>fund.</w:t>
      </w:r>
    </w:p>
    <w:p w14:paraId="4C02DEBB" w14:textId="77777777" w:rsidR="00724131" w:rsidRDefault="00724131">
      <w:pPr>
        <w:pStyle w:val="BodyText"/>
        <w:spacing w:before="10"/>
        <w:rPr>
          <w:sz w:val="19"/>
        </w:rPr>
      </w:pPr>
    </w:p>
    <w:p w14:paraId="25279882" w14:textId="77777777" w:rsidR="00724131" w:rsidRDefault="00823349">
      <w:pPr>
        <w:ind w:left="1417" w:right="228"/>
        <w:rPr>
          <w:i/>
          <w:sz w:val="20"/>
        </w:rPr>
      </w:pPr>
      <w:r>
        <w:rPr>
          <w:i/>
          <w:color w:val="6D6E71"/>
          <w:sz w:val="20"/>
        </w:rPr>
        <w:t>Levies</w:t>
      </w:r>
    </w:p>
    <w:p w14:paraId="7B126E44" w14:textId="77777777" w:rsidR="00724131" w:rsidRDefault="00823349">
      <w:pPr>
        <w:pStyle w:val="BodyText"/>
        <w:spacing w:before="125" w:line="280" w:lineRule="auto"/>
        <w:ind w:left="1417" w:right="132"/>
      </w:pPr>
      <w:r>
        <w:rPr>
          <w:color w:val="58595B"/>
        </w:rPr>
        <w:t>The EPA currently draws the largest proportion of its operating income from the Municipal and Industrial (M&amp;I) Landfill Levy and from Prescribed Industrial Waste (PIW) levies (box 21.1). There is also a general environmental levy on licence fees, although this is a relatively insignificant revenue source.</w:t>
      </w:r>
    </w:p>
    <w:p w14:paraId="0D1D2C01" w14:textId="77777777" w:rsidR="00724131" w:rsidRDefault="00823349">
      <w:pPr>
        <w:pStyle w:val="BodyText"/>
        <w:spacing w:before="172" w:line="280" w:lineRule="auto"/>
        <w:ind w:left="1417" w:right="727"/>
        <w:jc w:val="both"/>
      </w:pPr>
      <w:r>
        <w:rPr>
          <w:color w:val="58595B"/>
        </w:rPr>
        <w:t>The EPA receives only a portion of the two waste levies. In 2013–14, for example, the EPA received 64 per cent of the PIW Levy but only 18 per cent of the total revenue from the M&amp;I Landfill Levy (table 21.1).</w:t>
      </w:r>
    </w:p>
    <w:p w14:paraId="332DDB3C" w14:textId="77777777" w:rsidR="00724131" w:rsidRDefault="00724131">
      <w:pPr>
        <w:pStyle w:val="BodyText"/>
        <w:spacing w:before="4"/>
        <w:rPr>
          <w:sz w:val="17"/>
        </w:rPr>
      </w:pPr>
    </w:p>
    <w:p w14:paraId="01406178" w14:textId="77777777" w:rsidR="00724131" w:rsidRDefault="00823349">
      <w:pPr>
        <w:pStyle w:val="BodyText"/>
        <w:spacing w:before="1"/>
        <w:ind w:left="1417" w:right="228"/>
      </w:pPr>
      <w:r>
        <w:rPr>
          <w:b/>
          <w:color w:val="0095A7"/>
        </w:rPr>
        <w:t xml:space="preserve">TABLE 21.1  </w:t>
      </w:r>
      <w:r>
        <w:rPr>
          <w:color w:val="0095A7"/>
        </w:rPr>
        <w:t>ENVIRONMENTAL LEVY DISTRIBUTIONS TO EPA, 2013–14</w:t>
      </w:r>
    </w:p>
    <w:p w14:paraId="1DE7F5D0" w14:textId="77777777" w:rsidR="00724131" w:rsidRDefault="00724131">
      <w:pPr>
        <w:pStyle w:val="BodyText"/>
        <w:spacing w:before="4" w:after="1"/>
        <w:rPr>
          <w:sz w:val="23"/>
        </w:rPr>
      </w:pPr>
    </w:p>
    <w:tbl>
      <w:tblPr>
        <w:tblW w:w="0" w:type="auto"/>
        <w:tblInd w:w="1417"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4139"/>
        <w:gridCol w:w="1544"/>
        <w:gridCol w:w="1687"/>
        <w:gridCol w:w="1303"/>
      </w:tblGrid>
      <w:tr w:rsidR="00724131" w14:paraId="37D70772" w14:textId="77777777">
        <w:trPr>
          <w:trHeight w:hRule="exact" w:val="798"/>
        </w:trPr>
        <w:tc>
          <w:tcPr>
            <w:tcW w:w="4139" w:type="dxa"/>
            <w:shd w:val="clear" w:color="auto" w:fill="89BFCB"/>
          </w:tcPr>
          <w:p w14:paraId="66CDEF66" w14:textId="77777777" w:rsidR="00724131" w:rsidRDefault="00724131"/>
        </w:tc>
        <w:tc>
          <w:tcPr>
            <w:tcW w:w="1544" w:type="dxa"/>
            <w:shd w:val="clear" w:color="auto" w:fill="89BFCB"/>
          </w:tcPr>
          <w:p w14:paraId="0566024C" w14:textId="77777777" w:rsidR="00724131" w:rsidRDefault="00823349">
            <w:pPr>
              <w:pStyle w:val="TableParagraph"/>
              <w:spacing w:before="75" w:line="254" w:lineRule="auto"/>
              <w:ind w:left="708" w:right="181" w:hanging="116"/>
              <w:jc w:val="right"/>
              <w:rPr>
                <w:sz w:val="18"/>
              </w:rPr>
            </w:pPr>
            <w:r>
              <w:rPr>
                <w:color w:val="FFFFFF"/>
                <w:sz w:val="18"/>
              </w:rPr>
              <w:t>Total levy revenue</w:t>
            </w:r>
          </w:p>
          <w:p w14:paraId="3572DE80" w14:textId="77777777" w:rsidR="00724131" w:rsidRDefault="00823349">
            <w:pPr>
              <w:pStyle w:val="TableParagraph"/>
              <w:spacing w:before="1"/>
              <w:ind w:right="180"/>
              <w:jc w:val="right"/>
              <w:rPr>
                <w:sz w:val="18"/>
              </w:rPr>
            </w:pPr>
            <w:r>
              <w:rPr>
                <w:color w:val="FFFFFF"/>
                <w:sz w:val="18"/>
              </w:rPr>
              <w:t>$m</w:t>
            </w:r>
          </w:p>
        </w:tc>
        <w:tc>
          <w:tcPr>
            <w:tcW w:w="1687" w:type="dxa"/>
            <w:shd w:val="clear" w:color="auto" w:fill="89BFCB"/>
          </w:tcPr>
          <w:p w14:paraId="12CE9385" w14:textId="77777777" w:rsidR="00724131" w:rsidRDefault="00823349">
            <w:pPr>
              <w:pStyle w:val="TableParagraph"/>
              <w:spacing w:before="75"/>
              <w:ind w:left="182"/>
              <w:rPr>
                <w:sz w:val="18"/>
              </w:rPr>
            </w:pPr>
            <w:r>
              <w:rPr>
                <w:color w:val="FFFFFF"/>
                <w:sz w:val="18"/>
              </w:rPr>
              <w:t>EPA operating</w:t>
            </w:r>
          </w:p>
          <w:p w14:paraId="19FDFF94" w14:textId="77777777" w:rsidR="00724131" w:rsidRDefault="00823349">
            <w:pPr>
              <w:pStyle w:val="TableParagraph"/>
              <w:spacing w:before="13"/>
              <w:ind w:left="695"/>
              <w:rPr>
                <w:sz w:val="18"/>
              </w:rPr>
            </w:pPr>
            <w:r>
              <w:rPr>
                <w:color w:val="FFFFFF"/>
                <w:sz w:val="18"/>
              </w:rPr>
              <w:t>revenue</w:t>
            </w:r>
          </w:p>
          <w:p w14:paraId="40429553" w14:textId="77777777" w:rsidR="00724131" w:rsidRDefault="00823349">
            <w:pPr>
              <w:pStyle w:val="TableParagraph"/>
              <w:spacing w:before="13"/>
              <w:ind w:left="1094"/>
              <w:rPr>
                <w:sz w:val="18"/>
              </w:rPr>
            </w:pPr>
            <w:r>
              <w:rPr>
                <w:color w:val="FFFFFF"/>
                <w:sz w:val="18"/>
              </w:rPr>
              <w:t>$m</w:t>
            </w:r>
          </w:p>
        </w:tc>
        <w:tc>
          <w:tcPr>
            <w:tcW w:w="1303" w:type="dxa"/>
            <w:shd w:val="clear" w:color="auto" w:fill="89BFCB"/>
          </w:tcPr>
          <w:p w14:paraId="556772B5" w14:textId="77777777" w:rsidR="00724131" w:rsidRDefault="00823349">
            <w:pPr>
              <w:pStyle w:val="TableParagraph"/>
              <w:spacing w:before="75"/>
              <w:ind w:right="111"/>
              <w:jc w:val="right"/>
              <w:rPr>
                <w:sz w:val="18"/>
              </w:rPr>
            </w:pPr>
            <w:r>
              <w:rPr>
                <w:color w:val="FFFFFF"/>
                <w:sz w:val="18"/>
              </w:rPr>
              <w:t>Proportion</w:t>
            </w:r>
          </w:p>
          <w:p w14:paraId="7CA8769F" w14:textId="77777777" w:rsidR="00724131" w:rsidRDefault="00823349">
            <w:pPr>
              <w:pStyle w:val="TableParagraph"/>
              <w:spacing w:before="13"/>
              <w:ind w:right="111"/>
              <w:jc w:val="right"/>
              <w:rPr>
                <w:sz w:val="18"/>
              </w:rPr>
            </w:pPr>
            <w:r>
              <w:rPr>
                <w:color w:val="FFFFFF"/>
                <w:sz w:val="18"/>
              </w:rPr>
              <w:t>to EPA</w:t>
            </w:r>
          </w:p>
          <w:p w14:paraId="65DBAF0A" w14:textId="77777777" w:rsidR="00724131" w:rsidRDefault="00823349">
            <w:pPr>
              <w:pStyle w:val="TableParagraph"/>
              <w:spacing w:before="13"/>
              <w:ind w:right="111"/>
              <w:jc w:val="right"/>
              <w:rPr>
                <w:sz w:val="18"/>
              </w:rPr>
            </w:pPr>
            <w:r>
              <w:rPr>
                <w:color w:val="FFFFFF"/>
                <w:sz w:val="18"/>
              </w:rPr>
              <w:t>%</w:t>
            </w:r>
          </w:p>
        </w:tc>
      </w:tr>
      <w:tr w:rsidR="00724131" w14:paraId="2809D358" w14:textId="77777777">
        <w:trPr>
          <w:trHeight w:hRule="exact" w:val="355"/>
        </w:trPr>
        <w:tc>
          <w:tcPr>
            <w:tcW w:w="4139" w:type="dxa"/>
            <w:tcBorders>
              <w:bottom w:val="single" w:sz="2" w:space="0" w:color="939598"/>
            </w:tcBorders>
          </w:tcPr>
          <w:p w14:paraId="4F458112" w14:textId="77777777" w:rsidR="00724131" w:rsidRDefault="00823349">
            <w:pPr>
              <w:pStyle w:val="TableParagraph"/>
              <w:ind w:left="113"/>
              <w:rPr>
                <w:sz w:val="18"/>
              </w:rPr>
            </w:pPr>
            <w:r>
              <w:rPr>
                <w:color w:val="58595B"/>
                <w:sz w:val="18"/>
              </w:rPr>
              <w:t>Municipal and Industrial Landfill Levy</w:t>
            </w:r>
          </w:p>
        </w:tc>
        <w:tc>
          <w:tcPr>
            <w:tcW w:w="1544" w:type="dxa"/>
            <w:tcBorders>
              <w:bottom w:val="single" w:sz="2" w:space="0" w:color="939598"/>
            </w:tcBorders>
          </w:tcPr>
          <w:p w14:paraId="38757584" w14:textId="77777777" w:rsidR="00724131" w:rsidRDefault="00823349">
            <w:pPr>
              <w:pStyle w:val="TableParagraph"/>
              <w:ind w:right="182"/>
              <w:jc w:val="right"/>
              <w:rPr>
                <w:sz w:val="18"/>
              </w:rPr>
            </w:pPr>
            <w:r>
              <w:rPr>
                <w:color w:val="58595B"/>
                <w:sz w:val="18"/>
              </w:rPr>
              <w:t>163.8</w:t>
            </w:r>
          </w:p>
        </w:tc>
        <w:tc>
          <w:tcPr>
            <w:tcW w:w="1687" w:type="dxa"/>
            <w:tcBorders>
              <w:bottom w:val="single" w:sz="2" w:space="0" w:color="939598"/>
            </w:tcBorders>
          </w:tcPr>
          <w:p w14:paraId="0D2A2AF6" w14:textId="77777777" w:rsidR="00724131" w:rsidRDefault="00823349">
            <w:pPr>
              <w:pStyle w:val="TableParagraph"/>
              <w:ind w:right="338"/>
              <w:jc w:val="right"/>
              <w:rPr>
                <w:sz w:val="18"/>
              </w:rPr>
            </w:pPr>
            <w:r>
              <w:rPr>
                <w:color w:val="58595B"/>
                <w:sz w:val="18"/>
              </w:rPr>
              <w:t>29.7</w:t>
            </w:r>
          </w:p>
        </w:tc>
        <w:tc>
          <w:tcPr>
            <w:tcW w:w="1303" w:type="dxa"/>
            <w:tcBorders>
              <w:bottom w:val="single" w:sz="2" w:space="0" w:color="939598"/>
            </w:tcBorders>
          </w:tcPr>
          <w:p w14:paraId="25BEE953" w14:textId="77777777" w:rsidR="00724131" w:rsidRDefault="00823349">
            <w:pPr>
              <w:pStyle w:val="TableParagraph"/>
              <w:ind w:right="111"/>
              <w:jc w:val="right"/>
              <w:rPr>
                <w:sz w:val="18"/>
              </w:rPr>
            </w:pPr>
            <w:r>
              <w:rPr>
                <w:color w:val="58595B"/>
                <w:sz w:val="18"/>
              </w:rPr>
              <w:t>18.1</w:t>
            </w:r>
          </w:p>
        </w:tc>
      </w:tr>
      <w:tr w:rsidR="00724131" w14:paraId="4D512D8C" w14:textId="77777777">
        <w:trPr>
          <w:trHeight w:hRule="exact" w:val="358"/>
        </w:trPr>
        <w:tc>
          <w:tcPr>
            <w:tcW w:w="4139" w:type="dxa"/>
            <w:tcBorders>
              <w:top w:val="single" w:sz="2" w:space="0" w:color="939598"/>
              <w:bottom w:val="single" w:sz="2" w:space="0" w:color="939598"/>
            </w:tcBorders>
          </w:tcPr>
          <w:p w14:paraId="1BFDA7AB" w14:textId="77777777" w:rsidR="00724131" w:rsidRDefault="00823349">
            <w:pPr>
              <w:pStyle w:val="TableParagraph"/>
              <w:ind w:left="113"/>
              <w:rPr>
                <w:sz w:val="18"/>
              </w:rPr>
            </w:pPr>
            <w:r>
              <w:rPr>
                <w:color w:val="58595B"/>
                <w:sz w:val="18"/>
              </w:rPr>
              <w:t>Prescribed Industrial Waste Levy</w:t>
            </w:r>
          </w:p>
        </w:tc>
        <w:tc>
          <w:tcPr>
            <w:tcW w:w="1544" w:type="dxa"/>
            <w:tcBorders>
              <w:top w:val="single" w:sz="2" w:space="0" w:color="939598"/>
              <w:bottom w:val="single" w:sz="2" w:space="0" w:color="939598"/>
            </w:tcBorders>
          </w:tcPr>
          <w:p w14:paraId="6D1616A5" w14:textId="77777777" w:rsidR="00724131" w:rsidRDefault="00823349">
            <w:pPr>
              <w:pStyle w:val="TableParagraph"/>
              <w:ind w:right="182"/>
              <w:jc w:val="right"/>
              <w:rPr>
                <w:sz w:val="18"/>
              </w:rPr>
            </w:pPr>
            <w:r>
              <w:rPr>
                <w:color w:val="58595B"/>
                <w:sz w:val="18"/>
              </w:rPr>
              <w:t>21.8</w:t>
            </w:r>
          </w:p>
        </w:tc>
        <w:tc>
          <w:tcPr>
            <w:tcW w:w="1687" w:type="dxa"/>
            <w:tcBorders>
              <w:top w:val="single" w:sz="2" w:space="0" w:color="939598"/>
              <w:bottom w:val="single" w:sz="2" w:space="0" w:color="939598"/>
            </w:tcBorders>
          </w:tcPr>
          <w:p w14:paraId="036FBBBF" w14:textId="77777777" w:rsidR="00724131" w:rsidRDefault="00823349">
            <w:pPr>
              <w:pStyle w:val="TableParagraph"/>
              <w:ind w:right="338"/>
              <w:jc w:val="right"/>
              <w:rPr>
                <w:sz w:val="18"/>
              </w:rPr>
            </w:pPr>
            <w:r>
              <w:rPr>
                <w:color w:val="58595B"/>
                <w:sz w:val="18"/>
              </w:rPr>
              <w:t>14.0</w:t>
            </w:r>
          </w:p>
        </w:tc>
        <w:tc>
          <w:tcPr>
            <w:tcW w:w="1303" w:type="dxa"/>
            <w:tcBorders>
              <w:top w:val="single" w:sz="2" w:space="0" w:color="939598"/>
              <w:bottom w:val="single" w:sz="2" w:space="0" w:color="939598"/>
            </w:tcBorders>
          </w:tcPr>
          <w:p w14:paraId="70822EFA" w14:textId="77777777" w:rsidR="00724131" w:rsidRDefault="00823349">
            <w:pPr>
              <w:pStyle w:val="TableParagraph"/>
              <w:ind w:right="111"/>
              <w:jc w:val="right"/>
              <w:rPr>
                <w:sz w:val="18"/>
              </w:rPr>
            </w:pPr>
            <w:r>
              <w:rPr>
                <w:color w:val="58595B"/>
                <w:sz w:val="18"/>
              </w:rPr>
              <w:t>64.3</w:t>
            </w:r>
          </w:p>
        </w:tc>
      </w:tr>
      <w:tr w:rsidR="00724131" w14:paraId="36B48EA5" w14:textId="77777777">
        <w:trPr>
          <w:trHeight w:hRule="exact" w:val="358"/>
        </w:trPr>
        <w:tc>
          <w:tcPr>
            <w:tcW w:w="4139" w:type="dxa"/>
            <w:tcBorders>
              <w:top w:val="single" w:sz="2" w:space="0" w:color="939598"/>
              <w:bottom w:val="single" w:sz="2" w:space="0" w:color="939598"/>
            </w:tcBorders>
          </w:tcPr>
          <w:p w14:paraId="3E4D3019" w14:textId="77777777" w:rsidR="00724131" w:rsidRDefault="00823349">
            <w:pPr>
              <w:pStyle w:val="TableParagraph"/>
              <w:ind w:left="113"/>
              <w:rPr>
                <w:sz w:val="18"/>
              </w:rPr>
            </w:pPr>
            <w:r>
              <w:rPr>
                <w:color w:val="58595B"/>
                <w:sz w:val="18"/>
              </w:rPr>
              <w:t>Environment Protection (Licence) Levy</w:t>
            </w:r>
          </w:p>
        </w:tc>
        <w:tc>
          <w:tcPr>
            <w:tcW w:w="1544" w:type="dxa"/>
            <w:tcBorders>
              <w:top w:val="single" w:sz="2" w:space="0" w:color="939598"/>
              <w:bottom w:val="single" w:sz="2" w:space="0" w:color="939598"/>
            </w:tcBorders>
          </w:tcPr>
          <w:p w14:paraId="323AF990" w14:textId="77777777" w:rsidR="00724131" w:rsidRDefault="00823349">
            <w:pPr>
              <w:pStyle w:val="TableParagraph"/>
              <w:ind w:right="182"/>
              <w:jc w:val="right"/>
              <w:rPr>
                <w:sz w:val="18"/>
              </w:rPr>
            </w:pPr>
            <w:r>
              <w:rPr>
                <w:color w:val="58595B"/>
                <w:sz w:val="18"/>
              </w:rPr>
              <w:t>0.3</w:t>
            </w:r>
          </w:p>
        </w:tc>
        <w:tc>
          <w:tcPr>
            <w:tcW w:w="1687" w:type="dxa"/>
            <w:tcBorders>
              <w:top w:val="single" w:sz="2" w:space="0" w:color="939598"/>
              <w:bottom w:val="single" w:sz="2" w:space="0" w:color="939598"/>
            </w:tcBorders>
          </w:tcPr>
          <w:p w14:paraId="1B84D1EC" w14:textId="77777777" w:rsidR="00724131" w:rsidRDefault="00823349">
            <w:pPr>
              <w:pStyle w:val="TableParagraph"/>
              <w:ind w:right="338"/>
              <w:jc w:val="right"/>
              <w:rPr>
                <w:sz w:val="18"/>
              </w:rPr>
            </w:pPr>
            <w:r>
              <w:rPr>
                <w:color w:val="58595B"/>
                <w:sz w:val="18"/>
              </w:rPr>
              <w:t>0.3</w:t>
            </w:r>
          </w:p>
        </w:tc>
        <w:tc>
          <w:tcPr>
            <w:tcW w:w="1303" w:type="dxa"/>
            <w:tcBorders>
              <w:top w:val="single" w:sz="2" w:space="0" w:color="939598"/>
              <w:bottom w:val="single" w:sz="2" w:space="0" w:color="939598"/>
            </w:tcBorders>
          </w:tcPr>
          <w:p w14:paraId="5175FE96" w14:textId="77777777" w:rsidR="00724131" w:rsidRDefault="00823349">
            <w:pPr>
              <w:pStyle w:val="TableParagraph"/>
              <w:ind w:right="111"/>
              <w:jc w:val="right"/>
              <w:rPr>
                <w:sz w:val="18"/>
              </w:rPr>
            </w:pPr>
            <w:r>
              <w:rPr>
                <w:color w:val="58595B"/>
                <w:sz w:val="18"/>
              </w:rPr>
              <w:t>100.0</w:t>
            </w:r>
          </w:p>
        </w:tc>
      </w:tr>
      <w:tr w:rsidR="00724131" w14:paraId="005A7C4C" w14:textId="77777777">
        <w:trPr>
          <w:trHeight w:hRule="exact" w:val="358"/>
        </w:trPr>
        <w:tc>
          <w:tcPr>
            <w:tcW w:w="4139" w:type="dxa"/>
            <w:tcBorders>
              <w:top w:val="single" w:sz="2" w:space="0" w:color="939598"/>
              <w:bottom w:val="single" w:sz="8" w:space="0" w:color="939598"/>
            </w:tcBorders>
          </w:tcPr>
          <w:p w14:paraId="47D114BA" w14:textId="77777777" w:rsidR="00724131" w:rsidRDefault="00823349">
            <w:pPr>
              <w:pStyle w:val="TableParagraph"/>
              <w:spacing w:before="72"/>
              <w:ind w:left="113"/>
              <w:rPr>
                <w:b/>
                <w:sz w:val="18"/>
              </w:rPr>
            </w:pPr>
            <w:r>
              <w:rPr>
                <w:b/>
                <w:color w:val="58595B"/>
                <w:sz w:val="18"/>
              </w:rPr>
              <w:t>TOTAL</w:t>
            </w:r>
          </w:p>
        </w:tc>
        <w:tc>
          <w:tcPr>
            <w:tcW w:w="1544" w:type="dxa"/>
            <w:tcBorders>
              <w:top w:val="single" w:sz="2" w:space="0" w:color="939598"/>
              <w:bottom w:val="single" w:sz="8" w:space="0" w:color="939598"/>
            </w:tcBorders>
          </w:tcPr>
          <w:p w14:paraId="3B14F3AB" w14:textId="77777777" w:rsidR="00724131" w:rsidRDefault="00823349">
            <w:pPr>
              <w:pStyle w:val="TableParagraph"/>
              <w:spacing w:before="72"/>
              <w:ind w:right="182"/>
              <w:jc w:val="right"/>
              <w:rPr>
                <w:b/>
                <w:sz w:val="18"/>
              </w:rPr>
            </w:pPr>
            <w:r>
              <w:rPr>
                <w:b/>
                <w:color w:val="58595B"/>
                <w:sz w:val="18"/>
              </w:rPr>
              <w:t>185.9</w:t>
            </w:r>
          </w:p>
        </w:tc>
        <w:tc>
          <w:tcPr>
            <w:tcW w:w="1687" w:type="dxa"/>
            <w:tcBorders>
              <w:top w:val="single" w:sz="2" w:space="0" w:color="939598"/>
              <w:bottom w:val="single" w:sz="8" w:space="0" w:color="939598"/>
            </w:tcBorders>
          </w:tcPr>
          <w:p w14:paraId="2DD4C7A1" w14:textId="77777777" w:rsidR="00724131" w:rsidRDefault="00823349">
            <w:pPr>
              <w:pStyle w:val="TableParagraph"/>
              <w:spacing w:before="72"/>
              <w:ind w:right="338"/>
              <w:jc w:val="right"/>
              <w:rPr>
                <w:b/>
                <w:sz w:val="18"/>
              </w:rPr>
            </w:pPr>
            <w:r>
              <w:rPr>
                <w:b/>
                <w:color w:val="58595B"/>
                <w:sz w:val="18"/>
              </w:rPr>
              <w:t>44.0</w:t>
            </w:r>
          </w:p>
        </w:tc>
        <w:tc>
          <w:tcPr>
            <w:tcW w:w="1303" w:type="dxa"/>
            <w:tcBorders>
              <w:top w:val="single" w:sz="2" w:space="0" w:color="939598"/>
              <w:bottom w:val="single" w:sz="8" w:space="0" w:color="939598"/>
            </w:tcBorders>
          </w:tcPr>
          <w:p w14:paraId="56FB4387" w14:textId="77777777" w:rsidR="00724131" w:rsidRDefault="00823349">
            <w:pPr>
              <w:pStyle w:val="TableParagraph"/>
              <w:spacing w:before="72"/>
              <w:ind w:right="111"/>
              <w:jc w:val="right"/>
              <w:rPr>
                <w:b/>
                <w:sz w:val="18"/>
              </w:rPr>
            </w:pPr>
            <w:r>
              <w:rPr>
                <w:b/>
                <w:color w:val="58595B"/>
                <w:sz w:val="18"/>
              </w:rPr>
              <w:t>23.7</w:t>
            </w:r>
          </w:p>
        </w:tc>
      </w:tr>
    </w:tbl>
    <w:p w14:paraId="2A5F1274" w14:textId="77777777" w:rsidR="00724131" w:rsidRDefault="00823349">
      <w:pPr>
        <w:spacing w:before="96"/>
        <w:ind w:left="1417" w:right="228"/>
        <w:rPr>
          <w:sz w:val="15"/>
        </w:rPr>
      </w:pPr>
      <w:r>
        <w:rPr>
          <w:color w:val="58595B"/>
          <w:sz w:val="15"/>
        </w:rPr>
        <w:t>Source:  EPA Victoria.</w:t>
      </w:r>
    </w:p>
    <w:p w14:paraId="1C53B161" w14:textId="77777777" w:rsidR="00724131" w:rsidRDefault="00724131">
      <w:pPr>
        <w:rPr>
          <w:sz w:val="15"/>
        </w:rPr>
        <w:sectPr w:rsidR="00724131">
          <w:headerReference w:type="even" r:id="rId51"/>
          <w:headerReference w:type="default" r:id="rId52"/>
          <w:pgSz w:w="11910" w:h="16840"/>
          <w:pgMar w:top="980" w:right="1680" w:bottom="280" w:left="0" w:header="788" w:footer="0" w:gutter="0"/>
          <w:pgNumType w:start="360"/>
          <w:cols w:space="720"/>
        </w:sectPr>
      </w:pPr>
    </w:p>
    <w:p w14:paraId="51C891CE" w14:textId="77777777" w:rsidR="00724131" w:rsidRDefault="00724131">
      <w:pPr>
        <w:pStyle w:val="BodyText"/>
      </w:pPr>
    </w:p>
    <w:p w14:paraId="168E7530" w14:textId="77777777" w:rsidR="00724131" w:rsidRDefault="00724131">
      <w:pPr>
        <w:pStyle w:val="BodyText"/>
      </w:pPr>
    </w:p>
    <w:p w14:paraId="723274BF" w14:textId="77777777" w:rsidR="00724131" w:rsidRDefault="00724131">
      <w:pPr>
        <w:pStyle w:val="BodyText"/>
      </w:pPr>
    </w:p>
    <w:p w14:paraId="14B5BA13" w14:textId="77777777" w:rsidR="00724131" w:rsidRDefault="00724131">
      <w:pPr>
        <w:pStyle w:val="BodyText"/>
      </w:pPr>
    </w:p>
    <w:p w14:paraId="1AB039F4" w14:textId="77777777" w:rsidR="00724131" w:rsidRDefault="00724131">
      <w:pPr>
        <w:pStyle w:val="BodyText"/>
        <w:spacing w:before="8"/>
        <w:rPr>
          <w:sz w:val="17"/>
        </w:rPr>
      </w:pPr>
    </w:p>
    <w:p w14:paraId="75AC1151" w14:textId="77777777" w:rsidR="00724131" w:rsidRDefault="00823349">
      <w:pPr>
        <w:spacing w:before="1"/>
        <w:ind w:left="134" w:right="228"/>
        <w:rPr>
          <w:i/>
          <w:sz w:val="20"/>
        </w:rPr>
      </w:pPr>
      <w:r>
        <w:rPr>
          <w:i/>
          <w:color w:val="6D6E71"/>
          <w:sz w:val="20"/>
        </w:rPr>
        <w:t>Fees</w:t>
      </w:r>
    </w:p>
    <w:p w14:paraId="65213BCC" w14:textId="77777777" w:rsidR="00724131" w:rsidRDefault="00823349">
      <w:pPr>
        <w:pStyle w:val="BodyText"/>
        <w:spacing w:before="125" w:line="280" w:lineRule="auto"/>
        <w:ind w:left="134" w:right="1652"/>
        <w:jc w:val="both"/>
      </w:pPr>
      <w:r>
        <w:rPr>
          <w:color w:val="58595B"/>
        </w:rPr>
        <w:t>The EPA charges regulatory fees to recover the costs of administering licences and permits as well as for activities to audit or approve environmental works proposed by manufacturers, land developers and other project proponents. In 2015–16, regulatory fees are expected to generate just under $15 million. The fees cover:</w:t>
      </w:r>
    </w:p>
    <w:p w14:paraId="46FFE630" w14:textId="77777777" w:rsidR="00724131" w:rsidRDefault="00823349">
      <w:pPr>
        <w:pStyle w:val="ListParagraph"/>
        <w:numPr>
          <w:ilvl w:val="0"/>
          <w:numId w:val="31"/>
        </w:numPr>
        <w:tabs>
          <w:tab w:val="left" w:pos="305"/>
        </w:tabs>
        <w:ind w:hanging="170"/>
        <w:rPr>
          <w:sz w:val="20"/>
        </w:rPr>
      </w:pPr>
      <w:r>
        <w:rPr>
          <w:color w:val="58595B"/>
          <w:sz w:val="20"/>
        </w:rPr>
        <w:t>licence fees issued to premises to accept or discharge</w:t>
      </w:r>
      <w:r>
        <w:rPr>
          <w:color w:val="58595B"/>
          <w:spacing w:val="5"/>
          <w:sz w:val="20"/>
        </w:rPr>
        <w:t xml:space="preserve"> </w:t>
      </w:r>
      <w:r>
        <w:rPr>
          <w:color w:val="58595B"/>
          <w:sz w:val="20"/>
        </w:rPr>
        <w:t>waste</w:t>
      </w:r>
    </w:p>
    <w:p w14:paraId="622E9A8C" w14:textId="77777777" w:rsidR="00724131" w:rsidRDefault="00823349">
      <w:pPr>
        <w:pStyle w:val="ListParagraph"/>
        <w:numPr>
          <w:ilvl w:val="0"/>
          <w:numId w:val="31"/>
        </w:numPr>
        <w:tabs>
          <w:tab w:val="left" w:pos="305"/>
        </w:tabs>
        <w:spacing w:before="153"/>
        <w:ind w:hanging="170"/>
        <w:rPr>
          <w:sz w:val="20"/>
        </w:rPr>
      </w:pPr>
      <w:r>
        <w:rPr>
          <w:color w:val="58595B"/>
          <w:sz w:val="20"/>
        </w:rPr>
        <w:t>permits issued for waste transport and septic</w:t>
      </w:r>
      <w:r>
        <w:rPr>
          <w:color w:val="58595B"/>
          <w:spacing w:val="10"/>
          <w:sz w:val="20"/>
        </w:rPr>
        <w:t xml:space="preserve"> </w:t>
      </w:r>
      <w:r>
        <w:rPr>
          <w:color w:val="58595B"/>
          <w:sz w:val="20"/>
        </w:rPr>
        <w:t>tanks</w:t>
      </w:r>
    </w:p>
    <w:p w14:paraId="30EBE844" w14:textId="77777777" w:rsidR="00724131" w:rsidRDefault="00823349">
      <w:pPr>
        <w:pStyle w:val="ListParagraph"/>
        <w:numPr>
          <w:ilvl w:val="0"/>
          <w:numId w:val="31"/>
        </w:numPr>
        <w:tabs>
          <w:tab w:val="left" w:pos="305"/>
        </w:tabs>
        <w:spacing w:before="153" w:line="280" w:lineRule="auto"/>
        <w:ind w:right="1485" w:hanging="170"/>
        <w:rPr>
          <w:sz w:val="20"/>
        </w:rPr>
      </w:pPr>
      <w:r>
        <w:rPr>
          <w:color w:val="58595B"/>
          <w:sz w:val="20"/>
        </w:rPr>
        <w:t>works approvals required for industrial and waste management activities that have the potential for significant environmental</w:t>
      </w:r>
      <w:r>
        <w:rPr>
          <w:color w:val="58595B"/>
          <w:spacing w:val="5"/>
          <w:sz w:val="20"/>
        </w:rPr>
        <w:t xml:space="preserve"> </w:t>
      </w:r>
      <w:r>
        <w:rPr>
          <w:color w:val="58595B"/>
          <w:sz w:val="20"/>
        </w:rPr>
        <w:t>impact.</w:t>
      </w:r>
    </w:p>
    <w:p w14:paraId="653A58C2" w14:textId="77777777" w:rsidR="00724131" w:rsidRDefault="00823349">
      <w:pPr>
        <w:pStyle w:val="BodyText"/>
        <w:spacing w:before="172" w:line="280" w:lineRule="auto"/>
        <w:ind w:left="134" w:right="2248"/>
      </w:pPr>
      <w:r>
        <w:rPr>
          <w:color w:val="58595B"/>
        </w:rPr>
        <w:t>Although the EPA determines and administers these fees, the revenues are paid into the Consolidated Fund. The only exceptions are:</w:t>
      </w:r>
    </w:p>
    <w:p w14:paraId="0A6C0570" w14:textId="77777777" w:rsidR="00724131" w:rsidRDefault="00823349">
      <w:pPr>
        <w:pStyle w:val="ListParagraph"/>
        <w:numPr>
          <w:ilvl w:val="0"/>
          <w:numId w:val="31"/>
        </w:numPr>
        <w:tabs>
          <w:tab w:val="left" w:pos="305"/>
        </w:tabs>
        <w:ind w:hanging="170"/>
        <w:rPr>
          <w:sz w:val="20"/>
        </w:rPr>
      </w:pPr>
      <w:r>
        <w:rPr>
          <w:color w:val="58595B"/>
          <w:sz w:val="20"/>
        </w:rPr>
        <w:t>fees paid to a municipal council for septic tank permits, which the council may</w:t>
      </w:r>
      <w:r>
        <w:rPr>
          <w:color w:val="58595B"/>
          <w:spacing w:val="9"/>
          <w:sz w:val="20"/>
        </w:rPr>
        <w:t xml:space="preserve"> </w:t>
      </w:r>
      <w:r>
        <w:rPr>
          <w:color w:val="58595B"/>
          <w:sz w:val="20"/>
        </w:rPr>
        <w:t>retain</w:t>
      </w:r>
    </w:p>
    <w:p w14:paraId="6D194FEF" w14:textId="77777777" w:rsidR="00724131" w:rsidRDefault="00823349">
      <w:pPr>
        <w:pStyle w:val="ListParagraph"/>
        <w:numPr>
          <w:ilvl w:val="0"/>
          <w:numId w:val="31"/>
        </w:numPr>
        <w:tabs>
          <w:tab w:val="left" w:pos="305"/>
        </w:tabs>
        <w:spacing w:before="153"/>
        <w:ind w:hanging="170"/>
        <w:rPr>
          <w:sz w:val="20"/>
        </w:rPr>
      </w:pPr>
      <w:r>
        <w:rPr>
          <w:color w:val="58595B"/>
          <w:sz w:val="20"/>
        </w:rPr>
        <w:t xml:space="preserve">fees environmental auditors pay to the EPA, which the </w:t>
      </w:r>
      <w:r>
        <w:rPr>
          <w:color w:val="58595B"/>
          <w:spacing w:val="-4"/>
          <w:sz w:val="20"/>
        </w:rPr>
        <w:t xml:space="preserve">EPA </w:t>
      </w:r>
      <w:r>
        <w:rPr>
          <w:color w:val="58595B"/>
          <w:sz w:val="20"/>
        </w:rPr>
        <w:t>retains. These amounted</w:t>
      </w:r>
      <w:r>
        <w:rPr>
          <w:color w:val="58595B"/>
          <w:spacing w:val="-9"/>
          <w:sz w:val="20"/>
        </w:rPr>
        <w:t xml:space="preserve"> </w:t>
      </w:r>
      <w:r>
        <w:rPr>
          <w:color w:val="58595B"/>
          <w:sz w:val="20"/>
        </w:rPr>
        <w:t>to</w:t>
      </w:r>
    </w:p>
    <w:p w14:paraId="7F1C7124" w14:textId="77777777" w:rsidR="00724131" w:rsidRDefault="00823349">
      <w:pPr>
        <w:pStyle w:val="BodyText"/>
        <w:spacing w:before="40"/>
        <w:ind w:left="304" w:right="228"/>
      </w:pPr>
      <w:r>
        <w:rPr>
          <w:color w:val="58595B"/>
        </w:rPr>
        <w:t>$268,000 in 2014–15.</w:t>
      </w:r>
    </w:p>
    <w:p w14:paraId="012D72E2" w14:textId="77777777" w:rsidR="00724131" w:rsidRDefault="00724131">
      <w:pPr>
        <w:pStyle w:val="BodyText"/>
        <w:spacing w:before="2"/>
        <w:rPr>
          <w:sz w:val="23"/>
        </w:rPr>
      </w:pPr>
    </w:p>
    <w:p w14:paraId="479D04DE" w14:textId="77777777" w:rsidR="00724131" w:rsidRDefault="00823349">
      <w:pPr>
        <w:ind w:left="134" w:right="228"/>
        <w:rPr>
          <w:i/>
          <w:sz w:val="20"/>
        </w:rPr>
      </w:pPr>
      <w:r>
        <w:rPr>
          <w:i/>
          <w:color w:val="6D6E71"/>
          <w:sz w:val="20"/>
        </w:rPr>
        <w:t>Penalties and fines</w:t>
      </w:r>
    </w:p>
    <w:p w14:paraId="6DD09E66" w14:textId="77777777" w:rsidR="00724131" w:rsidRDefault="00823349">
      <w:pPr>
        <w:pStyle w:val="BodyText"/>
        <w:spacing w:before="125" w:line="280" w:lineRule="auto"/>
        <w:ind w:left="134" w:right="1883"/>
      </w:pPr>
      <w:r>
        <w:rPr>
          <w:color w:val="58595B"/>
        </w:rPr>
        <w:t>The EPA collects fines for a number of offences. These fines range from around $300–600 for littering or for noisy or smoky vehicles, through to penalties in the thousands of dollars for unlicensed emission of toxic substances or unlawful disposal of hazardous waste. Currently the EPA retains revenue from the litter fines only, councils retain penalty fines for offences related to littering, septic tanks or excessive noise. All other fines revenue is paid into the Consolidated Fund.</w:t>
      </w:r>
    </w:p>
    <w:p w14:paraId="7759ADFB" w14:textId="77777777" w:rsidR="00724131" w:rsidRDefault="00823349">
      <w:pPr>
        <w:pStyle w:val="BodyText"/>
        <w:spacing w:before="172" w:line="280" w:lineRule="auto"/>
        <w:ind w:left="134" w:right="1575"/>
      </w:pPr>
      <w:r>
        <w:rPr>
          <w:color w:val="58595B"/>
        </w:rPr>
        <w:t>After provision for doubtful debts, litter fines revenues are estimated to yield around $3.6 million in 2015–16, or just under five per cent of the EPA’s operating budget.</w:t>
      </w:r>
    </w:p>
    <w:p w14:paraId="46746AFF" w14:textId="77777777" w:rsidR="00724131" w:rsidRDefault="00054426">
      <w:pPr>
        <w:pStyle w:val="BodyText"/>
        <w:spacing w:before="7"/>
        <w:rPr>
          <w:sz w:val="10"/>
        </w:rPr>
      </w:pPr>
      <w:r>
        <w:pict w14:anchorId="03DCEF58">
          <v:shape id="_x0000_s1034" type="#_x0000_t202" style="position:absolute;margin-left:90.7pt;margin-top:7.3pt;width:433.75pt;height:191.85pt;z-index:1504;mso-wrap-distance-left:0;mso-wrap-distance-right:0;mso-position-horizontal-relative:page" fillcolor="#eaf2f3" stroked="f">
            <v:textbox style="mso-next-textbox:#_x0000_s1034" inset="0,0,0,0">
              <w:txbxContent>
                <w:p w14:paraId="461570E2" w14:textId="77777777" w:rsidR="00724131" w:rsidRDefault="00823349">
                  <w:pPr>
                    <w:spacing w:before="128"/>
                    <w:ind w:left="170" w:right="86"/>
                    <w:rPr>
                      <w:sz w:val="20"/>
                    </w:rPr>
                  </w:pPr>
                  <w:r>
                    <w:rPr>
                      <w:b/>
                      <w:color w:val="0095A7"/>
                      <w:sz w:val="20"/>
                    </w:rPr>
                    <w:t xml:space="preserve">BOX 21.1  </w:t>
                  </w:r>
                  <w:r>
                    <w:rPr>
                      <w:color w:val="0095A7"/>
                      <w:sz w:val="20"/>
                    </w:rPr>
                    <w:t>ENVIRONMENTAL LEVIES</w:t>
                  </w:r>
                </w:p>
                <w:p w14:paraId="3F986492" w14:textId="77777777" w:rsidR="00724131" w:rsidRDefault="00724131">
                  <w:pPr>
                    <w:pStyle w:val="BodyText"/>
                    <w:spacing w:before="9"/>
                    <w:rPr>
                      <w:sz w:val="15"/>
                    </w:rPr>
                  </w:pPr>
                </w:p>
                <w:p w14:paraId="5457000B" w14:textId="77777777" w:rsidR="00724131" w:rsidRDefault="00823349">
                  <w:pPr>
                    <w:ind w:left="170" w:right="86"/>
                    <w:rPr>
                      <w:i/>
                      <w:sz w:val="20"/>
                    </w:rPr>
                  </w:pPr>
                  <w:r>
                    <w:rPr>
                      <w:i/>
                      <w:color w:val="6D6E71"/>
                      <w:sz w:val="20"/>
                    </w:rPr>
                    <w:t>Municipal and Industrial Landfill Levy</w:t>
                  </w:r>
                </w:p>
                <w:p w14:paraId="469D6854" w14:textId="329B6241" w:rsidR="00724131" w:rsidRDefault="00823349" w:rsidP="00823349">
                  <w:pPr>
                    <w:pStyle w:val="BodyText"/>
                    <w:spacing w:before="125" w:line="280" w:lineRule="auto"/>
                    <w:ind w:left="170" w:right="86"/>
                  </w:pPr>
                  <w:r>
                    <w:rPr>
                      <w:color w:val="58595B"/>
                    </w:rPr>
                    <w:t>Introduced in 1992, Victoria’s M&amp;I Landfill Levy is paid on all waste disposed of at licensed landfills. Levies are charged on a per-tonne basis, and rates are based on fee units, as set out in Schedule DA of the Environment Protection Act 1970. There are also regional differences (between metropolitan and provincial centres and rural landfill sites). Landfill levy funds are distributed quarterly between EPA, Sustainability Victoria and Waste and Resource Recovery Groups, with any surplus funds paid into the Sustainability Fund. In July 2015, the annual landfill levy distribution regulations were replaced by a ministerial determination. Total cash receipts were $186 million</w:t>
                  </w:r>
                  <w:r>
                    <w:t xml:space="preserve"> </w:t>
                  </w:r>
                  <w:r>
                    <w:rPr>
                      <w:color w:val="58595B"/>
                    </w:rPr>
                    <w:t>in 2014-15, of which: EPA received $34 million (or 18.2 per cent), Sustainability Victoria received $22.6 million (12.2 per cent) and Waste and Resource Recovery Groups received</w:t>
                  </w:r>
                  <w:r>
                    <w:t xml:space="preserve"> </w:t>
                  </w:r>
                  <w:r>
                    <w:rPr>
                      <w:color w:val="58595B"/>
                    </w:rPr>
                    <w:t xml:space="preserve">$9.6 million (5.2 per cent). EPA distribution in 2015-16 is </w:t>
                  </w:r>
                  <w:r w:rsidR="00130597">
                    <w:rPr>
                      <w:color w:val="58595B"/>
                    </w:rPr>
                    <w:br/>
                  </w:r>
                  <w:r>
                    <w:rPr>
                      <w:color w:val="58595B"/>
                    </w:rPr>
                    <w:t>$27.7 million.</w:t>
                  </w:r>
                </w:p>
              </w:txbxContent>
            </v:textbox>
            <w10:wrap type="topAndBottom" anchorx="page"/>
          </v:shape>
        </w:pict>
      </w:r>
    </w:p>
    <w:p w14:paraId="7B39995E" w14:textId="77777777" w:rsidR="00724131" w:rsidRDefault="00724131">
      <w:pPr>
        <w:rPr>
          <w:sz w:val="10"/>
        </w:rPr>
        <w:sectPr w:rsidR="00724131">
          <w:pgSz w:w="11910" w:h="16840"/>
          <w:pgMar w:top="980" w:right="0" w:bottom="280" w:left="1680" w:header="788" w:footer="0" w:gutter="0"/>
          <w:cols w:space="720"/>
        </w:sectPr>
      </w:pPr>
    </w:p>
    <w:p w14:paraId="6BBD9818" w14:textId="77777777" w:rsidR="00724131" w:rsidRDefault="00724131">
      <w:pPr>
        <w:pStyle w:val="BodyText"/>
      </w:pPr>
    </w:p>
    <w:p w14:paraId="6380AEC0" w14:textId="77777777" w:rsidR="00724131" w:rsidRDefault="00724131">
      <w:pPr>
        <w:pStyle w:val="BodyText"/>
      </w:pPr>
    </w:p>
    <w:p w14:paraId="5ABCFA74" w14:textId="77777777" w:rsidR="00724131" w:rsidRDefault="00724131">
      <w:pPr>
        <w:pStyle w:val="BodyText"/>
      </w:pPr>
    </w:p>
    <w:p w14:paraId="1EE113E7" w14:textId="77777777" w:rsidR="00724131" w:rsidRDefault="00724131">
      <w:pPr>
        <w:pStyle w:val="BodyText"/>
      </w:pPr>
    </w:p>
    <w:p w14:paraId="3BC53DA4" w14:textId="77777777" w:rsidR="00724131" w:rsidRDefault="00724131">
      <w:pPr>
        <w:pStyle w:val="BodyText"/>
        <w:spacing w:before="4" w:after="1"/>
        <w:rPr>
          <w:sz w:val="21"/>
        </w:rPr>
      </w:pPr>
    </w:p>
    <w:p w14:paraId="18DA8350" w14:textId="77777777" w:rsidR="00724131" w:rsidRDefault="00054426">
      <w:pPr>
        <w:pStyle w:val="BodyText"/>
        <w:ind w:left="1417"/>
      </w:pPr>
      <w:r>
        <w:pict w14:anchorId="419ABFA8">
          <v:shape id="_x0000_s1033" type="#_x0000_t202" style="width:433.7pt;height:246.65pt;mso-left-percent:-10001;mso-top-percent:-10001;mso-position-horizontal:absolute;mso-position-horizontal-relative:char;mso-position-vertical:absolute;mso-position-vertical-relative:line;mso-left-percent:-10001;mso-top-percent:-10001" fillcolor="#eaf2f3" stroked="f">
            <v:textbox inset="0,0,0,0">
              <w:txbxContent>
                <w:p w14:paraId="7942ADA2" w14:textId="77777777" w:rsidR="00724131" w:rsidRDefault="00823349">
                  <w:pPr>
                    <w:spacing w:before="128"/>
                    <w:ind w:left="170" w:right="541"/>
                    <w:rPr>
                      <w:i/>
                      <w:sz w:val="20"/>
                    </w:rPr>
                  </w:pPr>
                  <w:r>
                    <w:rPr>
                      <w:i/>
                      <w:color w:val="6D6E71"/>
                      <w:sz w:val="20"/>
                    </w:rPr>
                    <w:t>Prescribed Industrial Waste Levy</w:t>
                  </w:r>
                </w:p>
                <w:p w14:paraId="0E0C1617" w14:textId="77777777" w:rsidR="00724131" w:rsidRDefault="00823349">
                  <w:pPr>
                    <w:pStyle w:val="BodyText"/>
                    <w:spacing w:before="125" w:line="280" w:lineRule="auto"/>
                    <w:ind w:left="170" w:right="141"/>
                  </w:pPr>
                  <w:r>
                    <w:rPr>
                      <w:color w:val="58595B"/>
                    </w:rPr>
                    <w:t xml:space="preserve">The </w:t>
                  </w:r>
                  <w:r>
                    <w:rPr>
                      <w:i/>
                      <w:color w:val="58595B"/>
                    </w:rPr>
                    <w:t xml:space="preserve">Environment Protection (Amendment) Act 2006 </w:t>
                  </w:r>
                  <w:r>
                    <w:rPr>
                      <w:color w:val="58595B"/>
                    </w:rPr>
                    <w:t>introduced increased and differential levies on the disposal of Prescribed Industrial Waste (PIW) to landfill, to reflect the level of hazard posed by different categories of PIW. The type of waste an existing landfill can accept is set in EPA licences. Category A is the highest hazard and is prohibited from disposal to landfill. Category C is the lowest hazard. EPA receives only part of the PIW Levy revenue</w:t>
                  </w:r>
                </w:p>
                <w:p w14:paraId="00B83C1D" w14:textId="77777777" w:rsidR="00724131" w:rsidRDefault="00823349">
                  <w:pPr>
                    <w:pStyle w:val="BodyText"/>
                    <w:spacing w:before="2" w:line="280" w:lineRule="auto"/>
                    <w:ind w:left="170" w:right="229"/>
                  </w:pPr>
                  <w:r>
                    <w:rPr>
                      <w:color w:val="58595B"/>
                    </w:rPr>
                    <w:t>for its operational budget. In 2015-16, EPA budgeted to receive $14.4 million (or 66 per cent of expected PIW revenue) – although this is at risk as a result of increased recycling claims. The remainder is reserved for special purposes through the PIW Minister’s Fund and the HazWaste/PIW Charter Fund.</w:t>
                  </w:r>
                </w:p>
                <w:p w14:paraId="36E6CA26" w14:textId="77777777" w:rsidR="00724131" w:rsidRDefault="00724131">
                  <w:pPr>
                    <w:pStyle w:val="BodyText"/>
                    <w:spacing w:before="10"/>
                    <w:rPr>
                      <w:sz w:val="19"/>
                    </w:rPr>
                  </w:pPr>
                </w:p>
                <w:p w14:paraId="4EE5F4B0" w14:textId="77777777" w:rsidR="00724131" w:rsidRDefault="00823349">
                  <w:pPr>
                    <w:ind w:left="170" w:right="541"/>
                    <w:rPr>
                      <w:i/>
                      <w:sz w:val="20"/>
                    </w:rPr>
                  </w:pPr>
                  <w:r>
                    <w:rPr>
                      <w:i/>
                      <w:color w:val="6D6E71"/>
                      <w:sz w:val="20"/>
                    </w:rPr>
                    <w:t>Environmental Protection Levy</w:t>
                  </w:r>
                </w:p>
                <w:p w14:paraId="66E8E3EB" w14:textId="77777777" w:rsidR="00724131" w:rsidRDefault="00823349">
                  <w:pPr>
                    <w:pStyle w:val="BodyText"/>
                    <w:spacing w:before="125" w:line="280" w:lineRule="auto"/>
                    <w:ind w:left="170" w:right="541"/>
                  </w:pPr>
                  <w:r>
                    <w:rPr>
                      <w:color w:val="58595B"/>
                    </w:rPr>
                    <w:t>The Environment Protection Levy is a three per cent levy charged on licence fees for licensed premises and is paid over and above the licence fee. Unlike the licence fee itself, which goes into the Consolidated Fund, the EPA retains the revenue from the licence</w:t>
                  </w:r>
                </w:p>
                <w:p w14:paraId="0F7CA25D" w14:textId="77777777" w:rsidR="00724131" w:rsidRDefault="00823349">
                  <w:pPr>
                    <w:pStyle w:val="BodyText"/>
                    <w:spacing w:before="2" w:line="280" w:lineRule="auto"/>
                    <w:ind w:left="170" w:right="541"/>
                  </w:pPr>
                  <w:r>
                    <w:rPr>
                      <w:color w:val="58595B"/>
                    </w:rPr>
                    <w:t>levy for its operations. It currently raises less than $300,000 each year (or 0.4 per cent of operating revenues).</w:t>
                  </w:r>
                </w:p>
              </w:txbxContent>
            </v:textbox>
            <w10:wrap type="none"/>
            <w10:anchorlock/>
          </v:shape>
        </w:pict>
      </w:r>
    </w:p>
    <w:p w14:paraId="11EC5986" w14:textId="77777777" w:rsidR="00724131" w:rsidRDefault="00724131">
      <w:pPr>
        <w:pStyle w:val="BodyText"/>
        <w:spacing w:before="8"/>
        <w:rPr>
          <w:sz w:val="28"/>
        </w:rPr>
      </w:pPr>
    </w:p>
    <w:p w14:paraId="33332BC4" w14:textId="77777777" w:rsidR="00724131" w:rsidRDefault="00823349">
      <w:pPr>
        <w:spacing w:before="75"/>
        <w:ind w:left="1417" w:right="228"/>
        <w:rPr>
          <w:i/>
          <w:sz w:val="20"/>
        </w:rPr>
      </w:pPr>
      <w:r>
        <w:rPr>
          <w:i/>
          <w:color w:val="6D6E71"/>
          <w:sz w:val="20"/>
        </w:rPr>
        <w:t>Investment income</w:t>
      </w:r>
    </w:p>
    <w:p w14:paraId="4D22DFFC" w14:textId="77777777" w:rsidR="00724131" w:rsidRDefault="00823349">
      <w:pPr>
        <w:pStyle w:val="BodyText"/>
        <w:spacing w:before="125" w:line="280" w:lineRule="auto"/>
        <w:ind w:left="1417" w:right="178"/>
      </w:pPr>
      <w:r>
        <w:rPr>
          <w:color w:val="58595B"/>
        </w:rPr>
        <w:t>The EPA receives some income from direct EPA investments each year – a small amount earned on non landfill levy sources and an estimated $200,000 each year on quarterly collections of the landfill levy before it is transferred to DELWP. In 2015–16, income from direct EPA investments is forecast to generate approximately $3.8 million.</w:t>
      </w:r>
    </w:p>
    <w:p w14:paraId="4DF7A1F5" w14:textId="77777777" w:rsidR="00724131" w:rsidRDefault="00823349">
      <w:pPr>
        <w:pStyle w:val="BodyText"/>
        <w:spacing w:before="172" w:line="280" w:lineRule="auto"/>
        <w:ind w:left="1417" w:right="228"/>
      </w:pPr>
      <w:r>
        <w:rPr>
          <w:color w:val="58595B"/>
        </w:rPr>
        <w:t>Before 1 July 2015, the EPA received investment income directly from the Sustainability Fund. DELWP now has custodial responsibility for the Sustainability Fund. But the EPA receives replacement grants, which are based on the fund’s actual investment income. The EPA expects revenue from replacement grants to account for 25 per cent of its operating revenue in 2015-16. Because replacement grants will fluctuate with investment returns, we classified this revenue as investment income for this report.</w:t>
      </w:r>
    </w:p>
    <w:p w14:paraId="300D24EC" w14:textId="77777777" w:rsidR="00724131" w:rsidRDefault="00724131">
      <w:pPr>
        <w:pStyle w:val="BodyText"/>
        <w:spacing w:before="4"/>
        <w:rPr>
          <w:sz w:val="22"/>
        </w:rPr>
      </w:pPr>
    </w:p>
    <w:p w14:paraId="034E4150" w14:textId="77777777" w:rsidR="00724131" w:rsidRDefault="00823349">
      <w:pPr>
        <w:pStyle w:val="ListParagraph"/>
        <w:numPr>
          <w:ilvl w:val="2"/>
          <w:numId w:val="19"/>
        </w:numPr>
        <w:tabs>
          <w:tab w:val="left" w:pos="2068"/>
        </w:tabs>
        <w:spacing w:before="0"/>
        <w:ind w:left="2067" w:hanging="650"/>
        <w:jc w:val="left"/>
        <w:rPr>
          <w:sz w:val="20"/>
        </w:rPr>
      </w:pPr>
      <w:r>
        <w:rPr>
          <w:color w:val="0095A7"/>
          <w:sz w:val="20"/>
        </w:rPr>
        <w:t>Changes over</w:t>
      </w:r>
      <w:r>
        <w:rPr>
          <w:color w:val="0095A7"/>
          <w:spacing w:val="-4"/>
          <w:sz w:val="20"/>
        </w:rPr>
        <w:t xml:space="preserve"> </w:t>
      </w:r>
      <w:r>
        <w:rPr>
          <w:color w:val="0095A7"/>
          <w:sz w:val="20"/>
        </w:rPr>
        <w:t>time</w:t>
      </w:r>
    </w:p>
    <w:p w14:paraId="6C2C49CA" w14:textId="77777777" w:rsidR="00724131" w:rsidRDefault="00823349">
      <w:pPr>
        <w:pStyle w:val="BodyText"/>
        <w:spacing w:before="153" w:line="280" w:lineRule="auto"/>
        <w:ind w:left="1417" w:right="228"/>
      </w:pPr>
      <w:r>
        <w:rPr>
          <w:color w:val="58595B"/>
        </w:rPr>
        <w:t>EPA funding arrangements have fluctuated in recent years. Before 2012-13, the EPA received 40–50 per cent of its budget via direct budget appropriation, with PIW levies the next largest source (accounting for 19–28 per cent each year) (figure 21.2).</w:t>
      </w:r>
    </w:p>
    <w:p w14:paraId="7A17BF45" w14:textId="77777777" w:rsidR="00724131" w:rsidRDefault="00724131">
      <w:pPr>
        <w:spacing w:line="280" w:lineRule="auto"/>
        <w:sectPr w:rsidR="00724131">
          <w:pgSz w:w="11910" w:h="16840"/>
          <w:pgMar w:top="980" w:right="1680" w:bottom="280" w:left="0" w:header="788" w:footer="0" w:gutter="0"/>
          <w:cols w:space="720"/>
        </w:sectPr>
      </w:pPr>
    </w:p>
    <w:p w14:paraId="7C11B8C4" w14:textId="77777777" w:rsidR="00724131" w:rsidRDefault="00724131">
      <w:pPr>
        <w:pStyle w:val="BodyText"/>
      </w:pPr>
    </w:p>
    <w:p w14:paraId="4EEA3D66" w14:textId="77777777" w:rsidR="00724131" w:rsidRDefault="00724131">
      <w:pPr>
        <w:pStyle w:val="BodyText"/>
      </w:pPr>
    </w:p>
    <w:p w14:paraId="0B42582F" w14:textId="77777777" w:rsidR="00724131" w:rsidRDefault="00724131">
      <w:pPr>
        <w:pStyle w:val="BodyText"/>
      </w:pPr>
    </w:p>
    <w:p w14:paraId="0B3DCCA8" w14:textId="77777777" w:rsidR="00724131" w:rsidRDefault="00724131">
      <w:pPr>
        <w:pStyle w:val="BodyText"/>
      </w:pPr>
    </w:p>
    <w:p w14:paraId="5CE10ABE" w14:textId="77777777" w:rsidR="00724131" w:rsidRDefault="00724131">
      <w:pPr>
        <w:pStyle w:val="BodyText"/>
        <w:spacing w:before="8"/>
        <w:rPr>
          <w:sz w:val="17"/>
        </w:rPr>
      </w:pPr>
    </w:p>
    <w:p w14:paraId="40660054" w14:textId="77777777" w:rsidR="00724131" w:rsidRDefault="00823349">
      <w:pPr>
        <w:spacing w:before="1"/>
        <w:ind w:left="134" w:right="228"/>
        <w:rPr>
          <w:sz w:val="20"/>
        </w:rPr>
      </w:pPr>
      <w:r>
        <w:rPr>
          <w:b/>
          <w:color w:val="0095A7"/>
          <w:sz w:val="20"/>
        </w:rPr>
        <w:t xml:space="preserve">FIGURE 21.2: </w:t>
      </w:r>
      <w:r>
        <w:rPr>
          <w:color w:val="0095A7"/>
          <w:sz w:val="20"/>
        </w:rPr>
        <w:t>SOURCES OF EPA OPERATIONAL REVENUES (%)</w:t>
      </w:r>
    </w:p>
    <w:p w14:paraId="2427602C" w14:textId="77777777" w:rsidR="00724131" w:rsidRDefault="00823349">
      <w:pPr>
        <w:pStyle w:val="BodyText"/>
        <w:rPr>
          <w:sz w:val="21"/>
        </w:rPr>
      </w:pPr>
      <w:r>
        <w:rPr>
          <w:noProof/>
        </w:rPr>
        <w:drawing>
          <wp:anchor distT="0" distB="0" distL="0" distR="0" simplePos="0" relativeHeight="1552" behindDoc="0" locked="0" layoutInCell="1" allowOverlap="1" wp14:anchorId="68B755CA" wp14:editId="5C630457">
            <wp:simplePos x="0" y="0"/>
            <wp:positionH relativeFrom="page">
              <wp:posOffset>1151991</wp:posOffset>
            </wp:positionH>
            <wp:positionV relativeFrom="paragraph">
              <wp:posOffset>178495</wp:posOffset>
            </wp:positionV>
            <wp:extent cx="5532251" cy="2639568"/>
            <wp:effectExtent l="0" t="0" r="0" b="0"/>
            <wp:wrapTopAndBottom/>
            <wp:docPr id="19"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2.jpeg"/>
                    <pic:cNvPicPr/>
                  </pic:nvPicPr>
                  <pic:blipFill>
                    <a:blip r:embed="rId53" cstate="print"/>
                    <a:stretch>
                      <a:fillRect/>
                    </a:stretch>
                  </pic:blipFill>
                  <pic:spPr>
                    <a:xfrm>
                      <a:off x="0" y="0"/>
                      <a:ext cx="5532251" cy="2639568"/>
                    </a:xfrm>
                    <a:prstGeom prst="rect">
                      <a:avLst/>
                    </a:prstGeom>
                  </pic:spPr>
                </pic:pic>
              </a:graphicData>
            </a:graphic>
          </wp:anchor>
        </w:drawing>
      </w:r>
    </w:p>
    <w:p w14:paraId="15A140AB" w14:textId="77777777" w:rsidR="00724131" w:rsidRDefault="00724131">
      <w:pPr>
        <w:pStyle w:val="BodyText"/>
        <w:spacing w:before="9"/>
        <w:rPr>
          <w:sz w:val="17"/>
        </w:rPr>
      </w:pPr>
    </w:p>
    <w:p w14:paraId="663A9AF0" w14:textId="77777777" w:rsidR="00724131" w:rsidRDefault="00823349">
      <w:pPr>
        <w:pStyle w:val="BodyText"/>
        <w:spacing w:line="280" w:lineRule="auto"/>
        <w:ind w:left="134" w:right="1559"/>
      </w:pPr>
      <w:r>
        <w:rPr>
          <w:color w:val="58595B"/>
        </w:rPr>
        <w:t>In 2012–13, the Victorian Government replaced annual appropriations to the EPA with additional allocations from the M&amp;I Landfill Levy. Allocations from this source rose from $5.9 million in 2011–12 to $30.7 million in 2012–13.</w:t>
      </w:r>
    </w:p>
    <w:p w14:paraId="7156D994" w14:textId="77777777" w:rsidR="00724131" w:rsidRDefault="00823349">
      <w:pPr>
        <w:pStyle w:val="BodyText"/>
        <w:spacing w:before="172" w:line="280" w:lineRule="auto"/>
        <w:ind w:left="134" w:right="1337"/>
      </w:pPr>
      <w:r>
        <w:rPr>
          <w:color w:val="58595B"/>
        </w:rPr>
        <w:t>M&amp;I Landfill levies rose markedly in mid-2010, when the Government introduced a schedule of stepped increases in levy rates. Since then, rates have risen significantly between 2010 and 2015 (table 21.2).</w:t>
      </w:r>
    </w:p>
    <w:p w14:paraId="2BE5EE4A" w14:textId="77777777" w:rsidR="00724131" w:rsidRDefault="00724131">
      <w:pPr>
        <w:pStyle w:val="BodyText"/>
        <w:spacing w:before="4"/>
        <w:rPr>
          <w:sz w:val="17"/>
        </w:rPr>
      </w:pPr>
    </w:p>
    <w:p w14:paraId="2EF35989" w14:textId="77777777" w:rsidR="00724131" w:rsidRDefault="00823349">
      <w:pPr>
        <w:pStyle w:val="BodyText"/>
        <w:spacing w:before="1"/>
        <w:ind w:left="134" w:right="228"/>
      </w:pPr>
      <w:r>
        <w:rPr>
          <w:b/>
          <w:color w:val="0095A7"/>
        </w:rPr>
        <w:t xml:space="preserve">TABLE 21.2: </w:t>
      </w:r>
      <w:r>
        <w:rPr>
          <w:color w:val="0095A7"/>
        </w:rPr>
        <w:t>SCHEDULE OF INCREASES TO M&amp;I AND PIW LANDFILL LEVY RATES</w:t>
      </w:r>
    </w:p>
    <w:p w14:paraId="48BEAFA4" w14:textId="77777777" w:rsidR="00724131" w:rsidRDefault="00823349">
      <w:pPr>
        <w:spacing w:before="40"/>
        <w:ind w:left="134" w:right="228"/>
        <w:rPr>
          <w:i/>
          <w:sz w:val="20"/>
        </w:rPr>
      </w:pPr>
      <w:r>
        <w:rPr>
          <w:i/>
          <w:color w:val="0095A7"/>
          <w:sz w:val="20"/>
        </w:rPr>
        <w:t>($ per tonne)</w:t>
      </w:r>
    </w:p>
    <w:p w14:paraId="5664FC5F" w14:textId="77777777" w:rsidR="00724131" w:rsidRDefault="00724131">
      <w:pPr>
        <w:pStyle w:val="BodyText"/>
        <w:spacing w:before="4"/>
        <w:rPr>
          <w:i/>
          <w:sz w:val="23"/>
        </w:rPr>
      </w:pPr>
    </w:p>
    <w:tbl>
      <w:tblPr>
        <w:tblW w:w="0" w:type="auto"/>
        <w:tblInd w:w="134"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1577"/>
        <w:gridCol w:w="1309"/>
        <w:gridCol w:w="958"/>
        <w:gridCol w:w="969"/>
        <w:gridCol w:w="968"/>
        <w:gridCol w:w="947"/>
        <w:gridCol w:w="964"/>
        <w:gridCol w:w="982"/>
      </w:tblGrid>
      <w:tr w:rsidR="00724131" w14:paraId="3489CA8F" w14:textId="77777777">
        <w:trPr>
          <w:trHeight w:hRule="exact" w:val="369"/>
        </w:trPr>
        <w:tc>
          <w:tcPr>
            <w:tcW w:w="1577" w:type="dxa"/>
            <w:shd w:val="clear" w:color="auto" w:fill="89BFCB"/>
          </w:tcPr>
          <w:p w14:paraId="7B32A186" w14:textId="77777777" w:rsidR="00724131" w:rsidRDefault="00823349">
            <w:pPr>
              <w:pStyle w:val="TableParagraph"/>
              <w:spacing w:before="76"/>
              <w:ind w:left="113"/>
              <w:rPr>
                <w:sz w:val="18"/>
              </w:rPr>
            </w:pPr>
            <w:r>
              <w:rPr>
                <w:color w:val="FFFFFF"/>
                <w:sz w:val="18"/>
              </w:rPr>
              <w:t>Year</w:t>
            </w:r>
          </w:p>
        </w:tc>
        <w:tc>
          <w:tcPr>
            <w:tcW w:w="1309" w:type="dxa"/>
            <w:shd w:val="clear" w:color="auto" w:fill="89BFCB"/>
          </w:tcPr>
          <w:p w14:paraId="606B89CA" w14:textId="77777777" w:rsidR="00724131" w:rsidRDefault="00724131"/>
        </w:tc>
        <w:tc>
          <w:tcPr>
            <w:tcW w:w="958" w:type="dxa"/>
            <w:shd w:val="clear" w:color="auto" w:fill="89BFCB"/>
          </w:tcPr>
          <w:p w14:paraId="1891EAD1" w14:textId="77777777" w:rsidR="00724131" w:rsidRDefault="00823349">
            <w:pPr>
              <w:pStyle w:val="TableParagraph"/>
              <w:spacing w:before="76"/>
              <w:ind w:right="100"/>
              <w:jc w:val="right"/>
              <w:rPr>
                <w:sz w:val="18"/>
              </w:rPr>
            </w:pPr>
            <w:r>
              <w:rPr>
                <w:color w:val="FFFFFF"/>
                <w:sz w:val="18"/>
              </w:rPr>
              <w:t>Rural</w:t>
            </w:r>
          </w:p>
        </w:tc>
        <w:tc>
          <w:tcPr>
            <w:tcW w:w="1937" w:type="dxa"/>
            <w:gridSpan w:val="2"/>
            <w:shd w:val="clear" w:color="auto" w:fill="89BFCB"/>
          </w:tcPr>
          <w:p w14:paraId="30EA2500" w14:textId="77777777" w:rsidR="00724131" w:rsidRDefault="00823349">
            <w:pPr>
              <w:pStyle w:val="TableParagraph"/>
              <w:spacing w:before="76"/>
              <w:ind w:left="185"/>
              <w:rPr>
                <w:sz w:val="18"/>
              </w:rPr>
            </w:pPr>
            <w:r>
              <w:rPr>
                <w:color w:val="FFFFFF"/>
                <w:sz w:val="18"/>
              </w:rPr>
              <w:t>Metro and provincial</w:t>
            </w:r>
          </w:p>
        </w:tc>
        <w:tc>
          <w:tcPr>
            <w:tcW w:w="2893" w:type="dxa"/>
            <w:gridSpan w:val="3"/>
            <w:shd w:val="clear" w:color="auto" w:fill="89BFCB"/>
          </w:tcPr>
          <w:p w14:paraId="219A3902" w14:textId="77777777" w:rsidR="00724131" w:rsidRDefault="00823349">
            <w:pPr>
              <w:pStyle w:val="TableParagraph"/>
              <w:spacing w:before="76"/>
              <w:ind w:left="885"/>
              <w:rPr>
                <w:sz w:val="18"/>
              </w:rPr>
            </w:pPr>
            <w:r>
              <w:rPr>
                <w:color w:val="FFFFFF"/>
                <w:sz w:val="18"/>
              </w:rPr>
              <w:t>PIW Rates – all regions</w:t>
            </w:r>
          </w:p>
        </w:tc>
      </w:tr>
      <w:tr w:rsidR="00724131" w14:paraId="680AB678" w14:textId="77777777">
        <w:trPr>
          <w:trHeight w:hRule="exact" w:val="513"/>
        </w:trPr>
        <w:tc>
          <w:tcPr>
            <w:tcW w:w="1577" w:type="dxa"/>
            <w:shd w:val="clear" w:color="auto" w:fill="89BFCB"/>
          </w:tcPr>
          <w:p w14:paraId="252C98B5" w14:textId="77777777" w:rsidR="00724131" w:rsidRDefault="00724131"/>
        </w:tc>
        <w:tc>
          <w:tcPr>
            <w:tcW w:w="1309" w:type="dxa"/>
            <w:shd w:val="clear" w:color="auto" w:fill="89BFCB"/>
          </w:tcPr>
          <w:p w14:paraId="3AEB198B" w14:textId="77777777" w:rsidR="00724131" w:rsidRDefault="00823349">
            <w:pPr>
              <w:pStyle w:val="TableParagraph"/>
              <w:spacing w:before="69" w:line="182" w:lineRule="exact"/>
              <w:ind w:right="106"/>
              <w:jc w:val="right"/>
              <w:rPr>
                <w:b/>
                <w:sz w:val="16"/>
              </w:rPr>
            </w:pPr>
            <w:r>
              <w:rPr>
                <w:b/>
                <w:color w:val="FFFFFF"/>
                <w:sz w:val="16"/>
              </w:rPr>
              <w:t>Municipal</w:t>
            </w:r>
          </w:p>
          <w:p w14:paraId="683FAF67" w14:textId="77777777" w:rsidR="00724131" w:rsidRDefault="00823349">
            <w:pPr>
              <w:pStyle w:val="TableParagraph"/>
              <w:spacing w:before="0" w:line="182" w:lineRule="exact"/>
              <w:ind w:right="106"/>
              <w:jc w:val="right"/>
              <w:rPr>
                <w:b/>
                <w:sz w:val="16"/>
              </w:rPr>
            </w:pPr>
            <w:r>
              <w:rPr>
                <w:b/>
                <w:color w:val="FFFFFF"/>
                <w:sz w:val="16"/>
              </w:rPr>
              <w:t>$</w:t>
            </w:r>
          </w:p>
        </w:tc>
        <w:tc>
          <w:tcPr>
            <w:tcW w:w="958" w:type="dxa"/>
            <w:shd w:val="clear" w:color="auto" w:fill="89BFCB"/>
          </w:tcPr>
          <w:p w14:paraId="6E38EE50" w14:textId="77777777" w:rsidR="00724131" w:rsidRDefault="00823349">
            <w:pPr>
              <w:pStyle w:val="TableParagraph"/>
              <w:spacing w:before="69" w:line="182" w:lineRule="exact"/>
              <w:ind w:right="100"/>
              <w:jc w:val="right"/>
              <w:rPr>
                <w:b/>
                <w:sz w:val="16"/>
              </w:rPr>
            </w:pPr>
            <w:r>
              <w:rPr>
                <w:b/>
                <w:color w:val="FFFFFF"/>
                <w:sz w:val="16"/>
              </w:rPr>
              <w:t>Industrial</w:t>
            </w:r>
          </w:p>
          <w:p w14:paraId="191B627C" w14:textId="77777777" w:rsidR="00724131" w:rsidRDefault="00823349">
            <w:pPr>
              <w:pStyle w:val="TableParagraph"/>
              <w:spacing w:before="0" w:line="182" w:lineRule="exact"/>
              <w:ind w:right="100"/>
              <w:jc w:val="right"/>
              <w:rPr>
                <w:b/>
                <w:sz w:val="16"/>
              </w:rPr>
            </w:pPr>
            <w:r>
              <w:rPr>
                <w:b/>
                <w:color w:val="FFFFFF"/>
                <w:sz w:val="16"/>
              </w:rPr>
              <w:t>$</w:t>
            </w:r>
          </w:p>
        </w:tc>
        <w:tc>
          <w:tcPr>
            <w:tcW w:w="969" w:type="dxa"/>
            <w:shd w:val="clear" w:color="auto" w:fill="89BFCB"/>
          </w:tcPr>
          <w:p w14:paraId="4A9DE66B" w14:textId="77777777" w:rsidR="00724131" w:rsidRDefault="00823349">
            <w:pPr>
              <w:pStyle w:val="TableParagraph"/>
              <w:spacing w:before="69" w:line="182" w:lineRule="exact"/>
              <w:ind w:right="106"/>
              <w:jc w:val="right"/>
              <w:rPr>
                <w:b/>
                <w:sz w:val="16"/>
              </w:rPr>
            </w:pPr>
            <w:r>
              <w:rPr>
                <w:b/>
                <w:color w:val="FFFFFF"/>
                <w:sz w:val="16"/>
              </w:rPr>
              <w:t>Municipal</w:t>
            </w:r>
          </w:p>
          <w:p w14:paraId="269D79A1" w14:textId="77777777" w:rsidR="00724131" w:rsidRDefault="00823349">
            <w:pPr>
              <w:pStyle w:val="TableParagraph"/>
              <w:spacing w:before="0" w:line="182" w:lineRule="exact"/>
              <w:ind w:right="106"/>
              <w:jc w:val="right"/>
              <w:rPr>
                <w:b/>
                <w:sz w:val="16"/>
              </w:rPr>
            </w:pPr>
            <w:r>
              <w:rPr>
                <w:b/>
                <w:color w:val="FFFFFF"/>
                <w:sz w:val="16"/>
              </w:rPr>
              <w:t>$</w:t>
            </w:r>
          </w:p>
        </w:tc>
        <w:tc>
          <w:tcPr>
            <w:tcW w:w="968" w:type="dxa"/>
            <w:shd w:val="clear" w:color="auto" w:fill="89BFCB"/>
          </w:tcPr>
          <w:p w14:paraId="024FD867" w14:textId="77777777" w:rsidR="00724131" w:rsidRDefault="00823349">
            <w:pPr>
              <w:pStyle w:val="TableParagraph"/>
              <w:spacing w:before="69" w:line="182" w:lineRule="exact"/>
              <w:ind w:right="111"/>
              <w:jc w:val="right"/>
              <w:rPr>
                <w:b/>
                <w:sz w:val="16"/>
              </w:rPr>
            </w:pPr>
            <w:r>
              <w:rPr>
                <w:b/>
                <w:color w:val="FFFFFF"/>
                <w:sz w:val="16"/>
              </w:rPr>
              <w:t>Industrial</w:t>
            </w:r>
          </w:p>
          <w:p w14:paraId="4C2DA2C3" w14:textId="77777777" w:rsidR="00724131" w:rsidRDefault="00823349">
            <w:pPr>
              <w:pStyle w:val="TableParagraph"/>
              <w:spacing w:before="0" w:line="182" w:lineRule="exact"/>
              <w:ind w:right="110"/>
              <w:jc w:val="right"/>
              <w:rPr>
                <w:b/>
                <w:sz w:val="16"/>
              </w:rPr>
            </w:pPr>
            <w:r>
              <w:rPr>
                <w:b/>
                <w:color w:val="FFFFFF"/>
                <w:sz w:val="16"/>
              </w:rPr>
              <w:t>$</w:t>
            </w:r>
          </w:p>
        </w:tc>
        <w:tc>
          <w:tcPr>
            <w:tcW w:w="947" w:type="dxa"/>
            <w:shd w:val="clear" w:color="auto" w:fill="89BFCB"/>
          </w:tcPr>
          <w:p w14:paraId="0DC9E74A" w14:textId="77777777" w:rsidR="00724131" w:rsidRDefault="00823349">
            <w:pPr>
              <w:pStyle w:val="TableParagraph"/>
              <w:spacing w:before="69" w:line="182" w:lineRule="exact"/>
              <w:ind w:right="93"/>
              <w:jc w:val="right"/>
              <w:rPr>
                <w:b/>
                <w:sz w:val="16"/>
              </w:rPr>
            </w:pPr>
            <w:r>
              <w:rPr>
                <w:b/>
                <w:color w:val="FFFFFF"/>
                <w:sz w:val="16"/>
              </w:rPr>
              <w:t>Asbestos</w:t>
            </w:r>
          </w:p>
          <w:p w14:paraId="15BAC133" w14:textId="77777777" w:rsidR="00724131" w:rsidRDefault="00823349">
            <w:pPr>
              <w:pStyle w:val="TableParagraph"/>
              <w:spacing w:before="0" w:line="182" w:lineRule="exact"/>
              <w:ind w:right="93"/>
              <w:jc w:val="right"/>
              <w:rPr>
                <w:b/>
                <w:sz w:val="16"/>
              </w:rPr>
            </w:pPr>
            <w:r>
              <w:rPr>
                <w:b/>
                <w:color w:val="FFFFFF"/>
                <w:sz w:val="16"/>
              </w:rPr>
              <w:t>$</w:t>
            </w:r>
          </w:p>
        </w:tc>
        <w:tc>
          <w:tcPr>
            <w:tcW w:w="964" w:type="dxa"/>
            <w:shd w:val="clear" w:color="auto" w:fill="89BFCB"/>
          </w:tcPr>
          <w:p w14:paraId="389287A9" w14:textId="77777777" w:rsidR="00724131" w:rsidRDefault="00823349">
            <w:pPr>
              <w:pStyle w:val="TableParagraph"/>
              <w:spacing w:before="69" w:line="182" w:lineRule="exact"/>
              <w:ind w:right="93"/>
              <w:jc w:val="right"/>
              <w:rPr>
                <w:b/>
                <w:sz w:val="16"/>
              </w:rPr>
            </w:pPr>
            <w:r>
              <w:rPr>
                <w:b/>
                <w:color w:val="FFFFFF"/>
                <w:sz w:val="16"/>
              </w:rPr>
              <w:t>PIW Cat C</w:t>
            </w:r>
          </w:p>
          <w:p w14:paraId="686B38D5" w14:textId="77777777" w:rsidR="00724131" w:rsidRDefault="00823349">
            <w:pPr>
              <w:pStyle w:val="TableParagraph"/>
              <w:spacing w:before="0" w:line="182" w:lineRule="exact"/>
              <w:ind w:right="93"/>
              <w:jc w:val="right"/>
              <w:rPr>
                <w:b/>
                <w:sz w:val="16"/>
              </w:rPr>
            </w:pPr>
            <w:r>
              <w:rPr>
                <w:b/>
                <w:color w:val="FFFFFF"/>
                <w:sz w:val="16"/>
              </w:rPr>
              <w:t>$</w:t>
            </w:r>
          </w:p>
        </w:tc>
        <w:tc>
          <w:tcPr>
            <w:tcW w:w="982" w:type="dxa"/>
            <w:shd w:val="clear" w:color="auto" w:fill="89BFCB"/>
          </w:tcPr>
          <w:p w14:paraId="7470266E" w14:textId="77777777" w:rsidR="00724131" w:rsidRDefault="00823349">
            <w:pPr>
              <w:pStyle w:val="TableParagraph"/>
              <w:spacing w:before="69" w:line="182" w:lineRule="exact"/>
              <w:ind w:right="111"/>
              <w:jc w:val="right"/>
              <w:rPr>
                <w:b/>
                <w:sz w:val="16"/>
              </w:rPr>
            </w:pPr>
            <w:r>
              <w:rPr>
                <w:b/>
                <w:color w:val="FFFFFF"/>
                <w:sz w:val="16"/>
              </w:rPr>
              <w:t>PIW Cat B</w:t>
            </w:r>
          </w:p>
          <w:p w14:paraId="0D7F4F1D" w14:textId="77777777" w:rsidR="00724131" w:rsidRDefault="00823349">
            <w:pPr>
              <w:pStyle w:val="TableParagraph"/>
              <w:spacing w:before="0" w:line="182" w:lineRule="exact"/>
              <w:ind w:right="111"/>
              <w:jc w:val="right"/>
              <w:rPr>
                <w:b/>
                <w:sz w:val="16"/>
              </w:rPr>
            </w:pPr>
            <w:r>
              <w:rPr>
                <w:b/>
                <w:color w:val="FFFFFF"/>
                <w:sz w:val="16"/>
              </w:rPr>
              <w:t>$</w:t>
            </w:r>
          </w:p>
        </w:tc>
      </w:tr>
      <w:tr w:rsidR="00724131" w14:paraId="4AC25601" w14:textId="77777777">
        <w:trPr>
          <w:trHeight w:hRule="exact" w:val="355"/>
        </w:trPr>
        <w:tc>
          <w:tcPr>
            <w:tcW w:w="1577" w:type="dxa"/>
            <w:tcBorders>
              <w:bottom w:val="single" w:sz="2" w:space="0" w:color="939598"/>
            </w:tcBorders>
          </w:tcPr>
          <w:p w14:paraId="7E06F680" w14:textId="77777777" w:rsidR="00724131" w:rsidRDefault="00823349">
            <w:pPr>
              <w:pStyle w:val="TableParagraph"/>
              <w:spacing w:before="72"/>
              <w:ind w:left="113"/>
              <w:rPr>
                <w:sz w:val="18"/>
              </w:rPr>
            </w:pPr>
            <w:r>
              <w:rPr>
                <w:color w:val="58595B"/>
                <w:sz w:val="18"/>
              </w:rPr>
              <w:t>2009–10</w:t>
            </w:r>
          </w:p>
        </w:tc>
        <w:tc>
          <w:tcPr>
            <w:tcW w:w="1309" w:type="dxa"/>
            <w:tcBorders>
              <w:bottom w:val="single" w:sz="2" w:space="0" w:color="939598"/>
            </w:tcBorders>
          </w:tcPr>
          <w:p w14:paraId="6C2B95B1" w14:textId="77777777" w:rsidR="00724131" w:rsidRDefault="00823349">
            <w:pPr>
              <w:pStyle w:val="TableParagraph"/>
              <w:spacing w:before="72"/>
              <w:ind w:right="106"/>
              <w:jc w:val="right"/>
              <w:rPr>
                <w:sz w:val="18"/>
              </w:rPr>
            </w:pPr>
            <w:r>
              <w:rPr>
                <w:color w:val="58595B"/>
                <w:sz w:val="18"/>
              </w:rPr>
              <w:t>7.00</w:t>
            </w:r>
          </w:p>
        </w:tc>
        <w:tc>
          <w:tcPr>
            <w:tcW w:w="958" w:type="dxa"/>
            <w:tcBorders>
              <w:bottom w:val="single" w:sz="2" w:space="0" w:color="939598"/>
            </w:tcBorders>
          </w:tcPr>
          <w:p w14:paraId="5F1A979E" w14:textId="77777777" w:rsidR="00724131" w:rsidRDefault="00823349">
            <w:pPr>
              <w:pStyle w:val="TableParagraph"/>
              <w:spacing w:before="72"/>
              <w:ind w:right="100"/>
              <w:jc w:val="right"/>
              <w:rPr>
                <w:sz w:val="18"/>
              </w:rPr>
            </w:pPr>
            <w:r>
              <w:rPr>
                <w:color w:val="58595B"/>
                <w:sz w:val="18"/>
              </w:rPr>
              <w:t>13.00</w:t>
            </w:r>
          </w:p>
        </w:tc>
        <w:tc>
          <w:tcPr>
            <w:tcW w:w="969" w:type="dxa"/>
            <w:tcBorders>
              <w:bottom w:val="single" w:sz="2" w:space="0" w:color="939598"/>
            </w:tcBorders>
          </w:tcPr>
          <w:p w14:paraId="1A376D08" w14:textId="77777777" w:rsidR="00724131" w:rsidRDefault="00823349">
            <w:pPr>
              <w:pStyle w:val="TableParagraph"/>
              <w:spacing w:before="72"/>
              <w:ind w:right="106"/>
              <w:jc w:val="right"/>
              <w:rPr>
                <w:sz w:val="18"/>
              </w:rPr>
            </w:pPr>
            <w:r>
              <w:rPr>
                <w:color w:val="58595B"/>
                <w:sz w:val="18"/>
              </w:rPr>
              <w:t>9.00</w:t>
            </w:r>
          </w:p>
        </w:tc>
        <w:tc>
          <w:tcPr>
            <w:tcW w:w="968" w:type="dxa"/>
            <w:tcBorders>
              <w:bottom w:val="single" w:sz="2" w:space="0" w:color="939598"/>
            </w:tcBorders>
          </w:tcPr>
          <w:p w14:paraId="5B5E7D35" w14:textId="77777777" w:rsidR="00724131" w:rsidRDefault="00823349">
            <w:pPr>
              <w:pStyle w:val="TableParagraph"/>
              <w:spacing w:before="72"/>
              <w:ind w:right="110"/>
              <w:jc w:val="right"/>
              <w:rPr>
                <w:sz w:val="18"/>
              </w:rPr>
            </w:pPr>
            <w:r>
              <w:rPr>
                <w:color w:val="58595B"/>
                <w:sz w:val="18"/>
              </w:rPr>
              <w:t>15.00</w:t>
            </w:r>
          </w:p>
        </w:tc>
        <w:tc>
          <w:tcPr>
            <w:tcW w:w="947" w:type="dxa"/>
            <w:tcBorders>
              <w:bottom w:val="single" w:sz="2" w:space="0" w:color="939598"/>
            </w:tcBorders>
          </w:tcPr>
          <w:p w14:paraId="52F64806" w14:textId="77777777" w:rsidR="00724131" w:rsidRDefault="00823349">
            <w:pPr>
              <w:pStyle w:val="TableParagraph"/>
              <w:spacing w:before="72"/>
              <w:ind w:right="93"/>
              <w:jc w:val="right"/>
              <w:rPr>
                <w:sz w:val="18"/>
              </w:rPr>
            </w:pPr>
            <w:r>
              <w:rPr>
                <w:color w:val="58595B"/>
                <w:sz w:val="18"/>
              </w:rPr>
              <w:t>30.00</w:t>
            </w:r>
          </w:p>
        </w:tc>
        <w:tc>
          <w:tcPr>
            <w:tcW w:w="964" w:type="dxa"/>
            <w:tcBorders>
              <w:bottom w:val="single" w:sz="2" w:space="0" w:color="939598"/>
            </w:tcBorders>
          </w:tcPr>
          <w:p w14:paraId="4D35EBFD" w14:textId="77777777" w:rsidR="00724131" w:rsidRDefault="00823349">
            <w:pPr>
              <w:pStyle w:val="TableParagraph"/>
              <w:spacing w:before="72"/>
              <w:ind w:right="93"/>
              <w:jc w:val="right"/>
              <w:rPr>
                <w:sz w:val="18"/>
              </w:rPr>
            </w:pPr>
            <w:r>
              <w:rPr>
                <w:color w:val="58595B"/>
                <w:sz w:val="18"/>
              </w:rPr>
              <w:t>70.00</w:t>
            </w:r>
          </w:p>
        </w:tc>
        <w:tc>
          <w:tcPr>
            <w:tcW w:w="982" w:type="dxa"/>
            <w:tcBorders>
              <w:bottom w:val="single" w:sz="2" w:space="0" w:color="939598"/>
            </w:tcBorders>
          </w:tcPr>
          <w:p w14:paraId="28AB32A3" w14:textId="77777777" w:rsidR="00724131" w:rsidRDefault="00823349">
            <w:pPr>
              <w:pStyle w:val="TableParagraph"/>
              <w:spacing w:before="72"/>
              <w:ind w:right="111"/>
              <w:jc w:val="right"/>
              <w:rPr>
                <w:sz w:val="18"/>
              </w:rPr>
            </w:pPr>
            <w:r>
              <w:rPr>
                <w:color w:val="58595B"/>
                <w:sz w:val="18"/>
              </w:rPr>
              <w:t>250</w:t>
            </w:r>
          </w:p>
        </w:tc>
      </w:tr>
      <w:tr w:rsidR="00724131" w14:paraId="555680E3" w14:textId="77777777">
        <w:trPr>
          <w:trHeight w:hRule="exact" w:val="358"/>
        </w:trPr>
        <w:tc>
          <w:tcPr>
            <w:tcW w:w="1577" w:type="dxa"/>
            <w:tcBorders>
              <w:top w:val="single" w:sz="2" w:space="0" w:color="939598"/>
              <w:bottom w:val="single" w:sz="2" w:space="0" w:color="939598"/>
            </w:tcBorders>
          </w:tcPr>
          <w:p w14:paraId="1C6A4672" w14:textId="77777777" w:rsidR="00724131" w:rsidRDefault="00823349">
            <w:pPr>
              <w:pStyle w:val="TableParagraph"/>
              <w:ind w:left="113"/>
              <w:rPr>
                <w:sz w:val="18"/>
              </w:rPr>
            </w:pPr>
            <w:r>
              <w:rPr>
                <w:color w:val="58595B"/>
                <w:sz w:val="18"/>
              </w:rPr>
              <w:t>2010–11</w:t>
            </w:r>
          </w:p>
        </w:tc>
        <w:tc>
          <w:tcPr>
            <w:tcW w:w="1309" w:type="dxa"/>
            <w:tcBorders>
              <w:top w:val="single" w:sz="2" w:space="0" w:color="939598"/>
              <w:bottom w:val="single" w:sz="2" w:space="0" w:color="939598"/>
            </w:tcBorders>
          </w:tcPr>
          <w:p w14:paraId="341D5456" w14:textId="77777777" w:rsidR="00724131" w:rsidRDefault="00823349">
            <w:pPr>
              <w:pStyle w:val="TableParagraph"/>
              <w:ind w:right="106"/>
              <w:jc w:val="right"/>
              <w:rPr>
                <w:sz w:val="18"/>
              </w:rPr>
            </w:pPr>
            <w:r>
              <w:rPr>
                <w:color w:val="58595B"/>
                <w:sz w:val="18"/>
              </w:rPr>
              <w:t>15.00</w:t>
            </w:r>
          </w:p>
        </w:tc>
        <w:tc>
          <w:tcPr>
            <w:tcW w:w="958" w:type="dxa"/>
            <w:tcBorders>
              <w:top w:val="single" w:sz="2" w:space="0" w:color="939598"/>
              <w:bottom w:val="single" w:sz="2" w:space="0" w:color="939598"/>
            </w:tcBorders>
          </w:tcPr>
          <w:p w14:paraId="643947AC" w14:textId="77777777" w:rsidR="00724131" w:rsidRDefault="00823349">
            <w:pPr>
              <w:pStyle w:val="TableParagraph"/>
              <w:ind w:right="100"/>
              <w:jc w:val="right"/>
              <w:rPr>
                <w:sz w:val="18"/>
              </w:rPr>
            </w:pPr>
            <w:r>
              <w:rPr>
                <w:color w:val="58595B"/>
                <w:sz w:val="18"/>
              </w:rPr>
              <w:t>25.00</w:t>
            </w:r>
          </w:p>
        </w:tc>
        <w:tc>
          <w:tcPr>
            <w:tcW w:w="969" w:type="dxa"/>
            <w:tcBorders>
              <w:top w:val="single" w:sz="2" w:space="0" w:color="939598"/>
              <w:bottom w:val="single" w:sz="2" w:space="0" w:color="939598"/>
            </w:tcBorders>
          </w:tcPr>
          <w:p w14:paraId="047F88ED" w14:textId="77777777" w:rsidR="00724131" w:rsidRDefault="00823349">
            <w:pPr>
              <w:pStyle w:val="TableParagraph"/>
              <w:ind w:right="106"/>
              <w:jc w:val="right"/>
              <w:rPr>
                <w:sz w:val="18"/>
              </w:rPr>
            </w:pPr>
            <w:r>
              <w:rPr>
                <w:color w:val="58595B"/>
                <w:sz w:val="18"/>
              </w:rPr>
              <w:t>30.00</w:t>
            </w:r>
          </w:p>
        </w:tc>
        <w:tc>
          <w:tcPr>
            <w:tcW w:w="968" w:type="dxa"/>
            <w:tcBorders>
              <w:top w:val="single" w:sz="2" w:space="0" w:color="939598"/>
              <w:bottom w:val="single" w:sz="2" w:space="0" w:color="939598"/>
            </w:tcBorders>
          </w:tcPr>
          <w:p w14:paraId="2BB48DBE" w14:textId="77777777" w:rsidR="00724131" w:rsidRDefault="00823349">
            <w:pPr>
              <w:pStyle w:val="TableParagraph"/>
              <w:ind w:right="110"/>
              <w:jc w:val="right"/>
              <w:rPr>
                <w:sz w:val="18"/>
              </w:rPr>
            </w:pPr>
            <w:r>
              <w:rPr>
                <w:color w:val="58595B"/>
                <w:sz w:val="18"/>
              </w:rPr>
              <w:t>30.00</w:t>
            </w:r>
          </w:p>
        </w:tc>
        <w:tc>
          <w:tcPr>
            <w:tcW w:w="947" w:type="dxa"/>
            <w:tcBorders>
              <w:top w:val="single" w:sz="2" w:space="0" w:color="939598"/>
              <w:bottom w:val="single" w:sz="2" w:space="0" w:color="939598"/>
            </w:tcBorders>
          </w:tcPr>
          <w:p w14:paraId="48AE7ADB" w14:textId="77777777" w:rsidR="00724131" w:rsidRDefault="00823349">
            <w:pPr>
              <w:pStyle w:val="TableParagraph"/>
              <w:ind w:right="93"/>
              <w:jc w:val="right"/>
              <w:rPr>
                <w:sz w:val="18"/>
              </w:rPr>
            </w:pPr>
            <w:r>
              <w:rPr>
                <w:color w:val="58595B"/>
                <w:sz w:val="18"/>
              </w:rPr>
              <w:t>30.00</w:t>
            </w:r>
          </w:p>
        </w:tc>
        <w:tc>
          <w:tcPr>
            <w:tcW w:w="964" w:type="dxa"/>
            <w:tcBorders>
              <w:top w:val="single" w:sz="2" w:space="0" w:color="939598"/>
              <w:bottom w:val="single" w:sz="2" w:space="0" w:color="939598"/>
            </w:tcBorders>
          </w:tcPr>
          <w:p w14:paraId="68ABEC50" w14:textId="77777777" w:rsidR="00724131" w:rsidRDefault="00823349">
            <w:pPr>
              <w:pStyle w:val="TableParagraph"/>
              <w:ind w:right="93"/>
              <w:jc w:val="right"/>
              <w:rPr>
                <w:sz w:val="18"/>
              </w:rPr>
            </w:pPr>
            <w:r>
              <w:rPr>
                <w:color w:val="58595B"/>
                <w:sz w:val="18"/>
              </w:rPr>
              <w:t>70.00</w:t>
            </w:r>
          </w:p>
        </w:tc>
        <w:tc>
          <w:tcPr>
            <w:tcW w:w="982" w:type="dxa"/>
            <w:tcBorders>
              <w:top w:val="single" w:sz="2" w:space="0" w:color="939598"/>
              <w:bottom w:val="single" w:sz="2" w:space="0" w:color="939598"/>
            </w:tcBorders>
          </w:tcPr>
          <w:p w14:paraId="2695A137" w14:textId="77777777" w:rsidR="00724131" w:rsidRDefault="00823349">
            <w:pPr>
              <w:pStyle w:val="TableParagraph"/>
              <w:ind w:right="111"/>
              <w:jc w:val="right"/>
              <w:rPr>
                <w:sz w:val="18"/>
              </w:rPr>
            </w:pPr>
            <w:r>
              <w:rPr>
                <w:color w:val="58595B"/>
                <w:sz w:val="18"/>
              </w:rPr>
              <w:t>250</w:t>
            </w:r>
          </w:p>
        </w:tc>
      </w:tr>
      <w:tr w:rsidR="00724131" w14:paraId="4246491D" w14:textId="77777777">
        <w:trPr>
          <w:trHeight w:hRule="exact" w:val="358"/>
        </w:trPr>
        <w:tc>
          <w:tcPr>
            <w:tcW w:w="1577" w:type="dxa"/>
            <w:tcBorders>
              <w:top w:val="single" w:sz="2" w:space="0" w:color="939598"/>
              <w:bottom w:val="single" w:sz="2" w:space="0" w:color="939598"/>
            </w:tcBorders>
          </w:tcPr>
          <w:p w14:paraId="729B705C" w14:textId="77777777" w:rsidR="00724131" w:rsidRDefault="00823349">
            <w:pPr>
              <w:pStyle w:val="TableParagraph"/>
              <w:ind w:left="113"/>
              <w:rPr>
                <w:sz w:val="18"/>
              </w:rPr>
            </w:pPr>
            <w:r>
              <w:rPr>
                <w:color w:val="58595B"/>
                <w:sz w:val="18"/>
              </w:rPr>
              <w:t>2011–12</w:t>
            </w:r>
          </w:p>
        </w:tc>
        <w:tc>
          <w:tcPr>
            <w:tcW w:w="1309" w:type="dxa"/>
            <w:tcBorders>
              <w:top w:val="single" w:sz="2" w:space="0" w:color="939598"/>
              <w:bottom w:val="single" w:sz="2" w:space="0" w:color="939598"/>
            </w:tcBorders>
          </w:tcPr>
          <w:p w14:paraId="503268D7" w14:textId="77777777" w:rsidR="00724131" w:rsidRDefault="00823349">
            <w:pPr>
              <w:pStyle w:val="TableParagraph"/>
              <w:ind w:right="106"/>
              <w:jc w:val="right"/>
              <w:rPr>
                <w:sz w:val="18"/>
              </w:rPr>
            </w:pPr>
            <w:r>
              <w:rPr>
                <w:color w:val="58595B"/>
                <w:sz w:val="18"/>
              </w:rPr>
              <w:t>22.00</w:t>
            </w:r>
          </w:p>
        </w:tc>
        <w:tc>
          <w:tcPr>
            <w:tcW w:w="958" w:type="dxa"/>
            <w:tcBorders>
              <w:top w:val="single" w:sz="2" w:space="0" w:color="939598"/>
              <w:bottom w:val="single" w:sz="2" w:space="0" w:color="939598"/>
            </w:tcBorders>
          </w:tcPr>
          <w:p w14:paraId="38ECDDD7" w14:textId="77777777" w:rsidR="00724131" w:rsidRDefault="00823349">
            <w:pPr>
              <w:pStyle w:val="TableParagraph"/>
              <w:ind w:right="100"/>
              <w:jc w:val="right"/>
              <w:rPr>
                <w:sz w:val="18"/>
              </w:rPr>
            </w:pPr>
            <w:r>
              <w:rPr>
                <w:color w:val="58595B"/>
                <w:sz w:val="18"/>
              </w:rPr>
              <w:t>38.50</w:t>
            </w:r>
          </w:p>
        </w:tc>
        <w:tc>
          <w:tcPr>
            <w:tcW w:w="969" w:type="dxa"/>
            <w:tcBorders>
              <w:top w:val="single" w:sz="2" w:space="0" w:color="939598"/>
              <w:bottom w:val="single" w:sz="2" w:space="0" w:color="939598"/>
            </w:tcBorders>
          </w:tcPr>
          <w:p w14:paraId="720763DC" w14:textId="77777777" w:rsidR="00724131" w:rsidRDefault="00823349">
            <w:pPr>
              <w:pStyle w:val="TableParagraph"/>
              <w:ind w:right="106"/>
              <w:jc w:val="right"/>
              <w:rPr>
                <w:sz w:val="18"/>
              </w:rPr>
            </w:pPr>
            <w:r>
              <w:rPr>
                <w:color w:val="58595B"/>
                <w:sz w:val="18"/>
              </w:rPr>
              <w:t>44.00</w:t>
            </w:r>
          </w:p>
        </w:tc>
        <w:tc>
          <w:tcPr>
            <w:tcW w:w="968" w:type="dxa"/>
            <w:tcBorders>
              <w:top w:val="single" w:sz="2" w:space="0" w:color="939598"/>
              <w:bottom w:val="single" w:sz="2" w:space="0" w:color="939598"/>
            </w:tcBorders>
          </w:tcPr>
          <w:p w14:paraId="208ED833" w14:textId="77777777" w:rsidR="00724131" w:rsidRDefault="00823349">
            <w:pPr>
              <w:pStyle w:val="TableParagraph"/>
              <w:ind w:right="110"/>
              <w:jc w:val="right"/>
              <w:rPr>
                <w:sz w:val="18"/>
              </w:rPr>
            </w:pPr>
            <w:r>
              <w:rPr>
                <w:color w:val="58595B"/>
                <w:sz w:val="18"/>
              </w:rPr>
              <w:t>44.00</w:t>
            </w:r>
          </w:p>
        </w:tc>
        <w:tc>
          <w:tcPr>
            <w:tcW w:w="947" w:type="dxa"/>
            <w:tcBorders>
              <w:top w:val="single" w:sz="2" w:space="0" w:color="939598"/>
              <w:bottom w:val="single" w:sz="2" w:space="0" w:color="939598"/>
            </w:tcBorders>
          </w:tcPr>
          <w:p w14:paraId="2308D7F3" w14:textId="77777777" w:rsidR="00724131" w:rsidRDefault="00823349">
            <w:pPr>
              <w:pStyle w:val="TableParagraph"/>
              <w:ind w:right="93"/>
              <w:jc w:val="right"/>
              <w:rPr>
                <w:sz w:val="18"/>
              </w:rPr>
            </w:pPr>
            <w:r>
              <w:rPr>
                <w:color w:val="58595B"/>
                <w:sz w:val="18"/>
              </w:rPr>
              <w:t>30.00</w:t>
            </w:r>
          </w:p>
        </w:tc>
        <w:tc>
          <w:tcPr>
            <w:tcW w:w="964" w:type="dxa"/>
            <w:tcBorders>
              <w:top w:val="single" w:sz="2" w:space="0" w:color="939598"/>
              <w:bottom w:val="single" w:sz="2" w:space="0" w:color="939598"/>
            </w:tcBorders>
          </w:tcPr>
          <w:p w14:paraId="25513A54" w14:textId="77777777" w:rsidR="00724131" w:rsidRDefault="00823349">
            <w:pPr>
              <w:pStyle w:val="TableParagraph"/>
              <w:ind w:right="93"/>
              <w:jc w:val="right"/>
              <w:rPr>
                <w:sz w:val="18"/>
              </w:rPr>
            </w:pPr>
            <w:r>
              <w:rPr>
                <w:color w:val="58595B"/>
                <w:sz w:val="18"/>
              </w:rPr>
              <w:t>70.00</w:t>
            </w:r>
          </w:p>
        </w:tc>
        <w:tc>
          <w:tcPr>
            <w:tcW w:w="982" w:type="dxa"/>
            <w:tcBorders>
              <w:top w:val="single" w:sz="2" w:space="0" w:color="939598"/>
              <w:bottom w:val="single" w:sz="2" w:space="0" w:color="939598"/>
            </w:tcBorders>
          </w:tcPr>
          <w:p w14:paraId="38377312" w14:textId="77777777" w:rsidR="00724131" w:rsidRDefault="00823349">
            <w:pPr>
              <w:pStyle w:val="TableParagraph"/>
              <w:ind w:right="111"/>
              <w:jc w:val="right"/>
              <w:rPr>
                <w:sz w:val="18"/>
              </w:rPr>
            </w:pPr>
            <w:r>
              <w:rPr>
                <w:color w:val="58595B"/>
                <w:sz w:val="18"/>
              </w:rPr>
              <w:t>250</w:t>
            </w:r>
          </w:p>
        </w:tc>
      </w:tr>
      <w:tr w:rsidR="00724131" w14:paraId="524135E8" w14:textId="77777777">
        <w:trPr>
          <w:trHeight w:hRule="exact" w:val="358"/>
        </w:trPr>
        <w:tc>
          <w:tcPr>
            <w:tcW w:w="1577" w:type="dxa"/>
            <w:tcBorders>
              <w:top w:val="single" w:sz="2" w:space="0" w:color="939598"/>
              <w:bottom w:val="single" w:sz="2" w:space="0" w:color="939598"/>
            </w:tcBorders>
          </w:tcPr>
          <w:p w14:paraId="1D6FB3A1" w14:textId="77777777" w:rsidR="00724131" w:rsidRDefault="00823349">
            <w:pPr>
              <w:pStyle w:val="TableParagraph"/>
              <w:ind w:left="113"/>
              <w:rPr>
                <w:sz w:val="18"/>
              </w:rPr>
            </w:pPr>
            <w:r>
              <w:rPr>
                <w:color w:val="58595B"/>
                <w:sz w:val="18"/>
              </w:rPr>
              <w:t>2012–13</w:t>
            </w:r>
          </w:p>
        </w:tc>
        <w:tc>
          <w:tcPr>
            <w:tcW w:w="1309" w:type="dxa"/>
            <w:tcBorders>
              <w:top w:val="single" w:sz="2" w:space="0" w:color="939598"/>
              <w:bottom w:val="single" w:sz="2" w:space="0" w:color="939598"/>
            </w:tcBorders>
          </w:tcPr>
          <w:p w14:paraId="614AF603" w14:textId="77777777" w:rsidR="00724131" w:rsidRDefault="00823349">
            <w:pPr>
              <w:pStyle w:val="TableParagraph"/>
              <w:ind w:right="106"/>
              <w:jc w:val="right"/>
              <w:rPr>
                <w:sz w:val="18"/>
              </w:rPr>
            </w:pPr>
            <w:r>
              <w:rPr>
                <w:color w:val="58595B"/>
                <w:sz w:val="18"/>
              </w:rPr>
              <w:t>24.20</w:t>
            </w:r>
          </w:p>
        </w:tc>
        <w:tc>
          <w:tcPr>
            <w:tcW w:w="958" w:type="dxa"/>
            <w:tcBorders>
              <w:top w:val="single" w:sz="2" w:space="0" w:color="939598"/>
              <w:bottom w:val="single" w:sz="2" w:space="0" w:color="939598"/>
            </w:tcBorders>
          </w:tcPr>
          <w:p w14:paraId="13CCB8B8" w14:textId="77777777" w:rsidR="00724131" w:rsidRDefault="00823349">
            <w:pPr>
              <w:pStyle w:val="TableParagraph"/>
              <w:ind w:right="100"/>
              <w:jc w:val="right"/>
              <w:rPr>
                <w:sz w:val="18"/>
              </w:rPr>
            </w:pPr>
            <w:r>
              <w:rPr>
                <w:color w:val="58595B"/>
                <w:sz w:val="18"/>
              </w:rPr>
              <w:t>42.40</w:t>
            </w:r>
          </w:p>
        </w:tc>
        <w:tc>
          <w:tcPr>
            <w:tcW w:w="969" w:type="dxa"/>
            <w:tcBorders>
              <w:top w:val="single" w:sz="2" w:space="0" w:color="939598"/>
              <w:bottom w:val="single" w:sz="2" w:space="0" w:color="939598"/>
            </w:tcBorders>
          </w:tcPr>
          <w:p w14:paraId="2FD72657" w14:textId="77777777" w:rsidR="00724131" w:rsidRDefault="00823349">
            <w:pPr>
              <w:pStyle w:val="TableParagraph"/>
              <w:ind w:right="106"/>
              <w:jc w:val="right"/>
              <w:rPr>
                <w:sz w:val="18"/>
              </w:rPr>
            </w:pPr>
            <w:r>
              <w:rPr>
                <w:color w:val="58595B"/>
                <w:sz w:val="18"/>
              </w:rPr>
              <w:t>48.40</w:t>
            </w:r>
          </w:p>
        </w:tc>
        <w:tc>
          <w:tcPr>
            <w:tcW w:w="968" w:type="dxa"/>
            <w:tcBorders>
              <w:top w:val="single" w:sz="2" w:space="0" w:color="939598"/>
              <w:bottom w:val="single" w:sz="2" w:space="0" w:color="939598"/>
            </w:tcBorders>
          </w:tcPr>
          <w:p w14:paraId="6BE6939F" w14:textId="77777777" w:rsidR="00724131" w:rsidRDefault="00823349">
            <w:pPr>
              <w:pStyle w:val="TableParagraph"/>
              <w:ind w:right="110"/>
              <w:jc w:val="right"/>
              <w:rPr>
                <w:sz w:val="18"/>
              </w:rPr>
            </w:pPr>
            <w:r>
              <w:rPr>
                <w:color w:val="58595B"/>
                <w:sz w:val="18"/>
              </w:rPr>
              <w:t>48.40</w:t>
            </w:r>
          </w:p>
        </w:tc>
        <w:tc>
          <w:tcPr>
            <w:tcW w:w="947" w:type="dxa"/>
            <w:tcBorders>
              <w:top w:val="single" w:sz="2" w:space="0" w:color="939598"/>
              <w:bottom w:val="single" w:sz="2" w:space="0" w:color="939598"/>
            </w:tcBorders>
          </w:tcPr>
          <w:p w14:paraId="07BA2790" w14:textId="77777777" w:rsidR="00724131" w:rsidRDefault="00823349">
            <w:pPr>
              <w:pStyle w:val="TableParagraph"/>
              <w:ind w:right="93"/>
              <w:jc w:val="right"/>
              <w:rPr>
                <w:sz w:val="18"/>
              </w:rPr>
            </w:pPr>
            <w:r>
              <w:rPr>
                <w:color w:val="58595B"/>
                <w:sz w:val="18"/>
              </w:rPr>
              <w:t>30.00</w:t>
            </w:r>
          </w:p>
        </w:tc>
        <w:tc>
          <w:tcPr>
            <w:tcW w:w="964" w:type="dxa"/>
            <w:tcBorders>
              <w:top w:val="single" w:sz="2" w:space="0" w:color="939598"/>
              <w:bottom w:val="single" w:sz="2" w:space="0" w:color="939598"/>
            </w:tcBorders>
          </w:tcPr>
          <w:p w14:paraId="0B8C68E7" w14:textId="77777777" w:rsidR="00724131" w:rsidRDefault="00823349">
            <w:pPr>
              <w:pStyle w:val="TableParagraph"/>
              <w:ind w:right="93"/>
              <w:jc w:val="right"/>
              <w:rPr>
                <w:sz w:val="18"/>
              </w:rPr>
            </w:pPr>
            <w:r>
              <w:rPr>
                <w:color w:val="58595B"/>
                <w:sz w:val="18"/>
              </w:rPr>
              <w:t>70.00</w:t>
            </w:r>
          </w:p>
        </w:tc>
        <w:tc>
          <w:tcPr>
            <w:tcW w:w="982" w:type="dxa"/>
            <w:tcBorders>
              <w:top w:val="single" w:sz="2" w:space="0" w:color="939598"/>
              <w:bottom w:val="single" w:sz="2" w:space="0" w:color="939598"/>
            </w:tcBorders>
          </w:tcPr>
          <w:p w14:paraId="24A11221" w14:textId="77777777" w:rsidR="00724131" w:rsidRDefault="00823349">
            <w:pPr>
              <w:pStyle w:val="TableParagraph"/>
              <w:ind w:right="111"/>
              <w:jc w:val="right"/>
              <w:rPr>
                <w:sz w:val="18"/>
              </w:rPr>
            </w:pPr>
            <w:r>
              <w:rPr>
                <w:color w:val="58595B"/>
                <w:sz w:val="18"/>
              </w:rPr>
              <w:t>250</w:t>
            </w:r>
          </w:p>
        </w:tc>
      </w:tr>
      <w:tr w:rsidR="00724131" w14:paraId="3A54E622" w14:textId="77777777">
        <w:trPr>
          <w:trHeight w:hRule="exact" w:val="358"/>
        </w:trPr>
        <w:tc>
          <w:tcPr>
            <w:tcW w:w="1577" w:type="dxa"/>
            <w:tcBorders>
              <w:top w:val="single" w:sz="2" w:space="0" w:color="939598"/>
              <w:bottom w:val="single" w:sz="2" w:space="0" w:color="939598"/>
            </w:tcBorders>
          </w:tcPr>
          <w:p w14:paraId="2ABDEEC8" w14:textId="77777777" w:rsidR="00724131" w:rsidRDefault="00823349">
            <w:pPr>
              <w:pStyle w:val="TableParagraph"/>
              <w:ind w:left="113"/>
              <w:rPr>
                <w:sz w:val="18"/>
              </w:rPr>
            </w:pPr>
            <w:r>
              <w:rPr>
                <w:color w:val="58595B"/>
                <w:sz w:val="18"/>
              </w:rPr>
              <w:t>2013–14</w:t>
            </w:r>
          </w:p>
        </w:tc>
        <w:tc>
          <w:tcPr>
            <w:tcW w:w="1309" w:type="dxa"/>
            <w:tcBorders>
              <w:top w:val="single" w:sz="2" w:space="0" w:color="939598"/>
              <w:bottom w:val="single" w:sz="2" w:space="0" w:color="939598"/>
            </w:tcBorders>
          </w:tcPr>
          <w:p w14:paraId="537E3EE7" w14:textId="77777777" w:rsidR="00724131" w:rsidRDefault="00823349">
            <w:pPr>
              <w:pStyle w:val="TableParagraph"/>
              <w:ind w:right="106"/>
              <w:jc w:val="right"/>
              <w:rPr>
                <w:sz w:val="18"/>
              </w:rPr>
            </w:pPr>
            <w:r>
              <w:rPr>
                <w:color w:val="58595B"/>
                <w:sz w:val="18"/>
              </w:rPr>
              <w:t>26.60</w:t>
            </w:r>
          </w:p>
        </w:tc>
        <w:tc>
          <w:tcPr>
            <w:tcW w:w="958" w:type="dxa"/>
            <w:tcBorders>
              <w:top w:val="single" w:sz="2" w:space="0" w:color="939598"/>
              <w:bottom w:val="single" w:sz="2" w:space="0" w:color="939598"/>
            </w:tcBorders>
          </w:tcPr>
          <w:p w14:paraId="2D40125D" w14:textId="77777777" w:rsidR="00724131" w:rsidRDefault="00823349">
            <w:pPr>
              <w:pStyle w:val="TableParagraph"/>
              <w:ind w:right="100"/>
              <w:jc w:val="right"/>
              <w:rPr>
                <w:sz w:val="18"/>
              </w:rPr>
            </w:pPr>
            <w:r>
              <w:rPr>
                <w:color w:val="58595B"/>
                <w:sz w:val="18"/>
              </w:rPr>
              <w:t>46.60</w:t>
            </w:r>
          </w:p>
        </w:tc>
        <w:tc>
          <w:tcPr>
            <w:tcW w:w="969" w:type="dxa"/>
            <w:tcBorders>
              <w:top w:val="single" w:sz="2" w:space="0" w:color="939598"/>
              <w:bottom w:val="single" w:sz="2" w:space="0" w:color="939598"/>
            </w:tcBorders>
          </w:tcPr>
          <w:p w14:paraId="0E0D4996" w14:textId="77777777" w:rsidR="00724131" w:rsidRDefault="00823349">
            <w:pPr>
              <w:pStyle w:val="TableParagraph"/>
              <w:ind w:right="106"/>
              <w:jc w:val="right"/>
              <w:rPr>
                <w:sz w:val="18"/>
              </w:rPr>
            </w:pPr>
            <w:r>
              <w:rPr>
                <w:color w:val="58595B"/>
                <w:sz w:val="18"/>
              </w:rPr>
              <w:t>53.20</w:t>
            </w:r>
          </w:p>
        </w:tc>
        <w:tc>
          <w:tcPr>
            <w:tcW w:w="968" w:type="dxa"/>
            <w:tcBorders>
              <w:top w:val="single" w:sz="2" w:space="0" w:color="939598"/>
              <w:bottom w:val="single" w:sz="2" w:space="0" w:color="939598"/>
            </w:tcBorders>
          </w:tcPr>
          <w:p w14:paraId="2ECCC421" w14:textId="77777777" w:rsidR="00724131" w:rsidRDefault="00823349">
            <w:pPr>
              <w:pStyle w:val="TableParagraph"/>
              <w:ind w:right="110"/>
              <w:jc w:val="right"/>
              <w:rPr>
                <w:sz w:val="18"/>
              </w:rPr>
            </w:pPr>
            <w:r>
              <w:rPr>
                <w:color w:val="58595B"/>
                <w:sz w:val="18"/>
              </w:rPr>
              <w:t>53.20</w:t>
            </w:r>
          </w:p>
        </w:tc>
        <w:tc>
          <w:tcPr>
            <w:tcW w:w="947" w:type="dxa"/>
            <w:tcBorders>
              <w:top w:val="single" w:sz="2" w:space="0" w:color="939598"/>
              <w:bottom w:val="single" w:sz="2" w:space="0" w:color="939598"/>
            </w:tcBorders>
          </w:tcPr>
          <w:p w14:paraId="008CE827" w14:textId="77777777" w:rsidR="00724131" w:rsidRDefault="00823349">
            <w:pPr>
              <w:pStyle w:val="TableParagraph"/>
              <w:ind w:right="93"/>
              <w:jc w:val="right"/>
              <w:rPr>
                <w:sz w:val="18"/>
              </w:rPr>
            </w:pPr>
            <w:r>
              <w:rPr>
                <w:color w:val="58595B"/>
                <w:sz w:val="18"/>
              </w:rPr>
              <w:t>30.00</w:t>
            </w:r>
          </w:p>
        </w:tc>
        <w:tc>
          <w:tcPr>
            <w:tcW w:w="964" w:type="dxa"/>
            <w:tcBorders>
              <w:top w:val="single" w:sz="2" w:space="0" w:color="939598"/>
              <w:bottom w:val="single" w:sz="2" w:space="0" w:color="939598"/>
            </w:tcBorders>
          </w:tcPr>
          <w:p w14:paraId="38B2E28E" w14:textId="77777777" w:rsidR="00724131" w:rsidRDefault="00823349">
            <w:pPr>
              <w:pStyle w:val="TableParagraph"/>
              <w:ind w:right="93"/>
              <w:jc w:val="right"/>
              <w:rPr>
                <w:sz w:val="18"/>
              </w:rPr>
            </w:pPr>
            <w:r>
              <w:rPr>
                <w:color w:val="58595B"/>
                <w:sz w:val="18"/>
              </w:rPr>
              <w:t>70.00</w:t>
            </w:r>
          </w:p>
        </w:tc>
        <w:tc>
          <w:tcPr>
            <w:tcW w:w="982" w:type="dxa"/>
            <w:tcBorders>
              <w:top w:val="single" w:sz="2" w:space="0" w:color="939598"/>
              <w:bottom w:val="single" w:sz="2" w:space="0" w:color="939598"/>
            </w:tcBorders>
          </w:tcPr>
          <w:p w14:paraId="41AA38E1" w14:textId="77777777" w:rsidR="00724131" w:rsidRDefault="00823349">
            <w:pPr>
              <w:pStyle w:val="TableParagraph"/>
              <w:ind w:right="111"/>
              <w:jc w:val="right"/>
              <w:rPr>
                <w:sz w:val="18"/>
              </w:rPr>
            </w:pPr>
            <w:r>
              <w:rPr>
                <w:color w:val="58595B"/>
                <w:sz w:val="18"/>
              </w:rPr>
              <w:t>250</w:t>
            </w:r>
          </w:p>
        </w:tc>
      </w:tr>
      <w:tr w:rsidR="00724131" w14:paraId="4F218412" w14:textId="77777777">
        <w:trPr>
          <w:trHeight w:hRule="exact" w:val="358"/>
        </w:trPr>
        <w:tc>
          <w:tcPr>
            <w:tcW w:w="1577" w:type="dxa"/>
            <w:tcBorders>
              <w:top w:val="single" w:sz="2" w:space="0" w:color="939598"/>
              <w:bottom w:val="single" w:sz="2" w:space="0" w:color="939598"/>
            </w:tcBorders>
          </w:tcPr>
          <w:p w14:paraId="660D6A62" w14:textId="77777777" w:rsidR="00724131" w:rsidRDefault="00823349">
            <w:pPr>
              <w:pStyle w:val="TableParagraph"/>
              <w:ind w:left="113"/>
              <w:rPr>
                <w:sz w:val="18"/>
              </w:rPr>
            </w:pPr>
            <w:r>
              <w:rPr>
                <w:color w:val="58595B"/>
                <w:sz w:val="18"/>
              </w:rPr>
              <w:t>2014–15</w:t>
            </w:r>
          </w:p>
        </w:tc>
        <w:tc>
          <w:tcPr>
            <w:tcW w:w="1309" w:type="dxa"/>
            <w:tcBorders>
              <w:top w:val="single" w:sz="2" w:space="0" w:color="939598"/>
              <w:bottom w:val="single" w:sz="2" w:space="0" w:color="939598"/>
            </w:tcBorders>
          </w:tcPr>
          <w:p w14:paraId="2BB72F1C" w14:textId="77777777" w:rsidR="00724131" w:rsidRDefault="00823349">
            <w:pPr>
              <w:pStyle w:val="TableParagraph"/>
              <w:ind w:right="106"/>
              <w:jc w:val="right"/>
              <w:rPr>
                <w:sz w:val="18"/>
              </w:rPr>
            </w:pPr>
            <w:r>
              <w:rPr>
                <w:color w:val="58595B"/>
                <w:sz w:val="18"/>
              </w:rPr>
              <w:t>29.30</w:t>
            </w:r>
          </w:p>
        </w:tc>
        <w:tc>
          <w:tcPr>
            <w:tcW w:w="958" w:type="dxa"/>
            <w:tcBorders>
              <w:top w:val="single" w:sz="2" w:space="0" w:color="939598"/>
              <w:bottom w:val="single" w:sz="2" w:space="0" w:color="939598"/>
            </w:tcBorders>
          </w:tcPr>
          <w:p w14:paraId="2D97022A" w14:textId="77777777" w:rsidR="00724131" w:rsidRDefault="00823349">
            <w:pPr>
              <w:pStyle w:val="TableParagraph"/>
              <w:ind w:right="100"/>
              <w:jc w:val="right"/>
              <w:rPr>
                <w:sz w:val="18"/>
              </w:rPr>
            </w:pPr>
            <w:r>
              <w:rPr>
                <w:color w:val="58595B"/>
                <w:sz w:val="18"/>
              </w:rPr>
              <w:t>51.30</w:t>
            </w:r>
          </w:p>
        </w:tc>
        <w:tc>
          <w:tcPr>
            <w:tcW w:w="969" w:type="dxa"/>
            <w:tcBorders>
              <w:top w:val="single" w:sz="2" w:space="0" w:color="939598"/>
              <w:bottom w:val="single" w:sz="2" w:space="0" w:color="939598"/>
            </w:tcBorders>
          </w:tcPr>
          <w:p w14:paraId="153AD98E" w14:textId="77777777" w:rsidR="00724131" w:rsidRDefault="00823349">
            <w:pPr>
              <w:pStyle w:val="TableParagraph"/>
              <w:ind w:right="106"/>
              <w:jc w:val="right"/>
              <w:rPr>
                <w:sz w:val="18"/>
              </w:rPr>
            </w:pPr>
            <w:r>
              <w:rPr>
                <w:color w:val="58595B"/>
                <w:sz w:val="18"/>
              </w:rPr>
              <w:t>58.50</w:t>
            </w:r>
          </w:p>
        </w:tc>
        <w:tc>
          <w:tcPr>
            <w:tcW w:w="968" w:type="dxa"/>
            <w:tcBorders>
              <w:top w:val="single" w:sz="2" w:space="0" w:color="939598"/>
              <w:bottom w:val="single" w:sz="2" w:space="0" w:color="939598"/>
            </w:tcBorders>
          </w:tcPr>
          <w:p w14:paraId="0DB8DD54" w14:textId="77777777" w:rsidR="00724131" w:rsidRDefault="00823349">
            <w:pPr>
              <w:pStyle w:val="TableParagraph"/>
              <w:ind w:right="110"/>
              <w:jc w:val="right"/>
              <w:rPr>
                <w:sz w:val="18"/>
              </w:rPr>
            </w:pPr>
            <w:r>
              <w:rPr>
                <w:color w:val="58595B"/>
                <w:sz w:val="18"/>
              </w:rPr>
              <w:t>58.50</w:t>
            </w:r>
          </w:p>
        </w:tc>
        <w:tc>
          <w:tcPr>
            <w:tcW w:w="947" w:type="dxa"/>
            <w:tcBorders>
              <w:top w:val="single" w:sz="2" w:space="0" w:color="939598"/>
              <w:bottom w:val="single" w:sz="2" w:space="0" w:color="939598"/>
            </w:tcBorders>
          </w:tcPr>
          <w:p w14:paraId="080F9099" w14:textId="77777777" w:rsidR="00724131" w:rsidRDefault="00823349">
            <w:pPr>
              <w:pStyle w:val="TableParagraph"/>
              <w:ind w:right="93"/>
              <w:jc w:val="right"/>
              <w:rPr>
                <w:sz w:val="18"/>
              </w:rPr>
            </w:pPr>
            <w:r>
              <w:rPr>
                <w:color w:val="58595B"/>
                <w:sz w:val="18"/>
              </w:rPr>
              <w:t>30.00</w:t>
            </w:r>
          </w:p>
        </w:tc>
        <w:tc>
          <w:tcPr>
            <w:tcW w:w="964" w:type="dxa"/>
            <w:tcBorders>
              <w:top w:val="single" w:sz="2" w:space="0" w:color="939598"/>
              <w:bottom w:val="single" w:sz="2" w:space="0" w:color="939598"/>
            </w:tcBorders>
          </w:tcPr>
          <w:p w14:paraId="582AF015" w14:textId="77777777" w:rsidR="00724131" w:rsidRDefault="00823349">
            <w:pPr>
              <w:pStyle w:val="TableParagraph"/>
              <w:ind w:right="93"/>
              <w:jc w:val="right"/>
              <w:rPr>
                <w:sz w:val="18"/>
              </w:rPr>
            </w:pPr>
            <w:r>
              <w:rPr>
                <w:color w:val="58595B"/>
                <w:sz w:val="18"/>
              </w:rPr>
              <w:t>70.00</w:t>
            </w:r>
          </w:p>
        </w:tc>
        <w:tc>
          <w:tcPr>
            <w:tcW w:w="982" w:type="dxa"/>
            <w:tcBorders>
              <w:top w:val="single" w:sz="2" w:space="0" w:color="939598"/>
              <w:bottom w:val="single" w:sz="2" w:space="0" w:color="939598"/>
            </w:tcBorders>
          </w:tcPr>
          <w:p w14:paraId="02493FCE" w14:textId="77777777" w:rsidR="00724131" w:rsidRDefault="00823349">
            <w:pPr>
              <w:pStyle w:val="TableParagraph"/>
              <w:ind w:right="111"/>
              <w:jc w:val="right"/>
              <w:rPr>
                <w:sz w:val="18"/>
              </w:rPr>
            </w:pPr>
            <w:r>
              <w:rPr>
                <w:color w:val="58595B"/>
                <w:sz w:val="18"/>
              </w:rPr>
              <w:t>250</w:t>
            </w:r>
          </w:p>
        </w:tc>
      </w:tr>
    </w:tbl>
    <w:p w14:paraId="53D49642" w14:textId="77777777" w:rsidR="00724131" w:rsidRDefault="00823349">
      <w:pPr>
        <w:spacing w:before="96" w:line="249" w:lineRule="auto"/>
        <w:ind w:left="134" w:right="1468"/>
        <w:rPr>
          <w:sz w:val="15"/>
        </w:rPr>
      </w:pPr>
      <w:r>
        <w:rPr>
          <w:color w:val="58595B"/>
          <w:sz w:val="15"/>
        </w:rPr>
        <w:t xml:space="preserve">Source: EPA Victoria 2014, </w:t>
      </w:r>
      <w:r>
        <w:rPr>
          <w:i/>
          <w:color w:val="58595B"/>
          <w:sz w:val="15"/>
        </w:rPr>
        <w:t>Future Funding Options – Environment Protection Authority</w:t>
      </w:r>
      <w:r>
        <w:rPr>
          <w:color w:val="58595B"/>
          <w:sz w:val="15"/>
        </w:rPr>
        <w:t>, Final Report, prepared for the EPA by PwC Australia, April, table 10, p. 62.</w:t>
      </w:r>
    </w:p>
    <w:p w14:paraId="1D954C27" w14:textId="77777777" w:rsidR="00724131" w:rsidRDefault="00724131">
      <w:pPr>
        <w:pStyle w:val="BodyText"/>
        <w:spacing w:before="7"/>
        <w:rPr>
          <w:sz w:val="18"/>
        </w:rPr>
      </w:pPr>
    </w:p>
    <w:p w14:paraId="03973669" w14:textId="77777777" w:rsidR="00724131" w:rsidRDefault="00823349">
      <w:pPr>
        <w:pStyle w:val="BodyText"/>
        <w:spacing w:line="280" w:lineRule="auto"/>
        <w:ind w:left="134" w:right="1680"/>
      </w:pPr>
      <w:r>
        <w:rPr>
          <w:color w:val="58595B"/>
        </w:rPr>
        <w:t>Theoretically, the switch from annual appropriations to a proportional allocation of the landfill levy gave the EPA access to a source of growth funding. But, in practice, the amount the EPA receives from the levy has not risen. Indeed, after the step change in 2012-13, distributions to the EPA have fallen in nominal terms (figure 21.3). Instead, the additional revenues have been accumulating in the Sustainability Fund.</w:t>
      </w:r>
    </w:p>
    <w:p w14:paraId="5B0EFD22" w14:textId="77777777" w:rsidR="00724131" w:rsidRDefault="00724131">
      <w:pPr>
        <w:spacing w:line="280" w:lineRule="auto"/>
        <w:sectPr w:rsidR="00724131">
          <w:pgSz w:w="11910" w:h="16840"/>
          <w:pgMar w:top="980" w:right="0" w:bottom="280" w:left="1680" w:header="788" w:footer="0" w:gutter="0"/>
          <w:cols w:space="720"/>
        </w:sectPr>
      </w:pPr>
    </w:p>
    <w:p w14:paraId="6911FAE2" w14:textId="77777777" w:rsidR="00724131" w:rsidRDefault="00724131">
      <w:pPr>
        <w:pStyle w:val="BodyText"/>
      </w:pPr>
    </w:p>
    <w:p w14:paraId="71D2A1C4" w14:textId="77777777" w:rsidR="00724131" w:rsidRDefault="00724131">
      <w:pPr>
        <w:pStyle w:val="BodyText"/>
      </w:pPr>
    </w:p>
    <w:p w14:paraId="3894CB19" w14:textId="77777777" w:rsidR="00724131" w:rsidRDefault="00724131">
      <w:pPr>
        <w:pStyle w:val="BodyText"/>
      </w:pPr>
    </w:p>
    <w:p w14:paraId="3F405154" w14:textId="77777777" w:rsidR="00724131" w:rsidRDefault="00724131">
      <w:pPr>
        <w:pStyle w:val="BodyText"/>
      </w:pPr>
    </w:p>
    <w:p w14:paraId="217CD5CA" w14:textId="77777777" w:rsidR="00724131" w:rsidRDefault="00724131">
      <w:pPr>
        <w:pStyle w:val="BodyText"/>
        <w:spacing w:before="8"/>
        <w:rPr>
          <w:sz w:val="17"/>
        </w:rPr>
      </w:pPr>
    </w:p>
    <w:p w14:paraId="4D226ACB" w14:textId="77777777" w:rsidR="00724131" w:rsidRDefault="00823349">
      <w:pPr>
        <w:pStyle w:val="BodyText"/>
        <w:spacing w:before="1" w:line="280" w:lineRule="auto"/>
        <w:ind w:left="1417" w:right="1925"/>
      </w:pPr>
      <w:r>
        <w:rPr>
          <w:b/>
          <w:color w:val="0095A7"/>
        </w:rPr>
        <w:t xml:space="preserve">FIGURE 21.3 </w:t>
      </w:r>
      <w:r>
        <w:rPr>
          <w:color w:val="0095A7"/>
        </w:rPr>
        <w:t>GOVERNMENT DISTRIBUTIONS TO EPA FROM MUNICIPAL AND INDUSTRIAL LANDFILL LEVY</w:t>
      </w:r>
    </w:p>
    <w:p w14:paraId="3C67C15E" w14:textId="77777777" w:rsidR="00724131" w:rsidRDefault="00823349">
      <w:pPr>
        <w:pStyle w:val="BodyText"/>
        <w:spacing w:before="8"/>
        <w:rPr>
          <w:sz w:val="17"/>
        </w:rPr>
      </w:pPr>
      <w:r>
        <w:rPr>
          <w:noProof/>
        </w:rPr>
        <w:drawing>
          <wp:anchor distT="0" distB="0" distL="0" distR="0" simplePos="0" relativeHeight="1576" behindDoc="0" locked="0" layoutInCell="1" allowOverlap="1" wp14:anchorId="5DAA7544" wp14:editId="6F618E9D">
            <wp:simplePos x="0" y="0"/>
            <wp:positionH relativeFrom="page">
              <wp:posOffset>899998</wp:posOffset>
            </wp:positionH>
            <wp:positionV relativeFrom="paragraph">
              <wp:posOffset>154375</wp:posOffset>
            </wp:positionV>
            <wp:extent cx="5531373" cy="2602992"/>
            <wp:effectExtent l="0" t="0" r="0" b="0"/>
            <wp:wrapTopAndBottom/>
            <wp:docPr id="21"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3.jpeg"/>
                    <pic:cNvPicPr/>
                  </pic:nvPicPr>
                  <pic:blipFill>
                    <a:blip r:embed="rId54" cstate="print"/>
                    <a:stretch>
                      <a:fillRect/>
                    </a:stretch>
                  </pic:blipFill>
                  <pic:spPr>
                    <a:xfrm>
                      <a:off x="0" y="0"/>
                      <a:ext cx="5531373" cy="2602992"/>
                    </a:xfrm>
                    <a:prstGeom prst="rect">
                      <a:avLst/>
                    </a:prstGeom>
                  </pic:spPr>
                </pic:pic>
              </a:graphicData>
            </a:graphic>
          </wp:anchor>
        </w:drawing>
      </w:r>
    </w:p>
    <w:p w14:paraId="737201E5" w14:textId="77777777" w:rsidR="00724131" w:rsidRDefault="00724131">
      <w:pPr>
        <w:pStyle w:val="BodyText"/>
        <w:spacing w:before="10"/>
        <w:rPr>
          <w:sz w:val="17"/>
        </w:rPr>
      </w:pPr>
    </w:p>
    <w:p w14:paraId="77BFAAB8" w14:textId="77777777" w:rsidR="00724131" w:rsidRDefault="00823349">
      <w:pPr>
        <w:pStyle w:val="BodyText"/>
        <w:spacing w:line="280" w:lineRule="auto"/>
        <w:ind w:left="1417" w:right="259"/>
      </w:pPr>
      <w:r>
        <w:rPr>
          <w:color w:val="58595B"/>
        </w:rPr>
        <w:t>At the same time, receipts from PIW levies have also fallen, and are projected to keep falling over the forward estimates to 2017–18 (figure 21.4). This result reflects lower levels of economic activity but also less prescribed industrial waste creation in response to the levy and in line with changes in Victoria’s industrial base. A rising incidence of illegal dumping and other strategies to avoid the levy is also contributing to falling revenues.</w:t>
      </w:r>
    </w:p>
    <w:p w14:paraId="0F0550DA" w14:textId="77777777" w:rsidR="00724131" w:rsidRDefault="00823349">
      <w:pPr>
        <w:pStyle w:val="BodyText"/>
        <w:spacing w:before="172" w:line="280" w:lineRule="auto"/>
        <w:ind w:left="1417" w:right="216"/>
      </w:pPr>
      <w:r>
        <w:rPr>
          <w:color w:val="58595B"/>
        </w:rPr>
        <w:t xml:space="preserve">Substantially offsetting the fall in PIW levy revenue, investment income grew strongly between </w:t>
      </w:r>
      <w:r>
        <w:rPr>
          <w:color w:val="58595B"/>
          <w:spacing w:val="-5"/>
        </w:rPr>
        <w:t xml:space="preserve">2012–13 </w:t>
      </w:r>
      <w:r>
        <w:rPr>
          <w:color w:val="58595B"/>
        </w:rPr>
        <w:t xml:space="preserve">and </w:t>
      </w:r>
      <w:r>
        <w:rPr>
          <w:color w:val="58595B"/>
          <w:spacing w:val="-3"/>
        </w:rPr>
        <w:t xml:space="preserve">2014–15. </w:t>
      </w:r>
      <w:r>
        <w:rPr>
          <w:color w:val="58595B"/>
        </w:rPr>
        <w:t xml:space="preserve">The </w:t>
      </w:r>
      <w:r>
        <w:rPr>
          <w:color w:val="58595B"/>
          <w:spacing w:val="-4"/>
        </w:rPr>
        <w:t xml:space="preserve">EPA </w:t>
      </w:r>
      <w:r>
        <w:rPr>
          <w:color w:val="58595B"/>
        </w:rPr>
        <w:t xml:space="preserve">derived </w:t>
      </w:r>
      <w:r>
        <w:rPr>
          <w:color w:val="58595B"/>
          <w:spacing w:val="-4"/>
        </w:rPr>
        <w:t xml:space="preserve">17–20 </w:t>
      </w:r>
      <w:r>
        <w:rPr>
          <w:color w:val="58595B"/>
        </w:rPr>
        <w:t xml:space="preserve">per cent of its operational budget from investment income over this period, predominantly from investing landfill levy balances in the Sustainability Fund. </w:t>
      </w:r>
      <w:r>
        <w:rPr>
          <w:color w:val="58595B"/>
          <w:spacing w:val="-3"/>
        </w:rPr>
        <w:t xml:space="preserve">However, </w:t>
      </w:r>
      <w:r>
        <w:rPr>
          <w:color w:val="58595B"/>
        </w:rPr>
        <w:t xml:space="preserve">in April </w:t>
      </w:r>
      <w:r>
        <w:rPr>
          <w:color w:val="58595B"/>
          <w:spacing w:val="-3"/>
        </w:rPr>
        <w:t xml:space="preserve">2013, </w:t>
      </w:r>
      <w:r>
        <w:rPr>
          <w:color w:val="58595B"/>
        </w:rPr>
        <w:t xml:space="preserve">the Ministerial Advisory Committee on Waste and Resource Recovery Governance Reform recommended transferring custody of the Sustainability Fund  from the </w:t>
      </w:r>
      <w:r>
        <w:rPr>
          <w:color w:val="58595B"/>
          <w:spacing w:val="-4"/>
        </w:rPr>
        <w:t xml:space="preserve">EPA </w:t>
      </w:r>
      <w:r>
        <w:rPr>
          <w:color w:val="58595B"/>
        </w:rPr>
        <w:t xml:space="preserve">to DELWP because </w:t>
      </w:r>
      <w:r>
        <w:rPr>
          <w:color w:val="58595B"/>
          <w:spacing w:val="-7"/>
        </w:rPr>
        <w:t xml:space="preserve">‘… </w:t>
      </w:r>
      <w:r>
        <w:rPr>
          <w:color w:val="58595B"/>
        </w:rPr>
        <w:t>the management of the landfill levy presents the potential for a perceived conflict of interest in management of the funds by agencies that are the primary recipients of those funds, such as Sustainability Victoria being the administrator but</w:t>
      </w:r>
      <w:r>
        <w:rPr>
          <w:color w:val="58595B"/>
          <w:spacing w:val="8"/>
        </w:rPr>
        <w:t xml:space="preserve"> </w:t>
      </w:r>
      <w:r>
        <w:rPr>
          <w:color w:val="58595B"/>
        </w:rPr>
        <w:t>also</w:t>
      </w:r>
    </w:p>
    <w:p w14:paraId="59FB8659" w14:textId="77777777" w:rsidR="00724131" w:rsidRDefault="00823349">
      <w:pPr>
        <w:pStyle w:val="BodyText"/>
        <w:spacing w:before="2"/>
        <w:ind w:left="1417" w:right="228"/>
        <w:rPr>
          <w:sz w:val="11"/>
        </w:rPr>
      </w:pPr>
      <w:r>
        <w:rPr>
          <w:color w:val="58595B"/>
        </w:rPr>
        <w:t>a recipient of such funds’ (box 21.2).</w:t>
      </w:r>
      <w:r>
        <w:rPr>
          <w:color w:val="58595B"/>
          <w:position w:val="7"/>
          <w:sz w:val="11"/>
        </w:rPr>
        <w:t>7</w:t>
      </w:r>
    </w:p>
    <w:p w14:paraId="215DE54B" w14:textId="77777777" w:rsidR="00724131" w:rsidRDefault="00724131">
      <w:pPr>
        <w:rPr>
          <w:sz w:val="11"/>
        </w:rPr>
        <w:sectPr w:rsidR="00724131">
          <w:pgSz w:w="11910" w:h="16840"/>
          <w:pgMar w:top="980" w:right="1680" w:bottom="280" w:left="0" w:header="788" w:footer="0" w:gutter="0"/>
          <w:cols w:space="720"/>
        </w:sectPr>
      </w:pPr>
    </w:p>
    <w:p w14:paraId="2A32235F" w14:textId="77777777" w:rsidR="00724131" w:rsidRDefault="00724131">
      <w:pPr>
        <w:pStyle w:val="BodyText"/>
      </w:pPr>
    </w:p>
    <w:p w14:paraId="6083C508" w14:textId="77777777" w:rsidR="00724131" w:rsidRDefault="00724131">
      <w:pPr>
        <w:pStyle w:val="BodyText"/>
      </w:pPr>
    </w:p>
    <w:p w14:paraId="3A2AB5B9" w14:textId="77777777" w:rsidR="00724131" w:rsidRDefault="00724131">
      <w:pPr>
        <w:pStyle w:val="BodyText"/>
      </w:pPr>
    </w:p>
    <w:p w14:paraId="138A50AD" w14:textId="77777777" w:rsidR="00724131" w:rsidRDefault="00724131">
      <w:pPr>
        <w:pStyle w:val="BodyText"/>
      </w:pPr>
    </w:p>
    <w:p w14:paraId="3C45C7DA" w14:textId="77777777" w:rsidR="00724131" w:rsidRDefault="00724131">
      <w:pPr>
        <w:pStyle w:val="BodyText"/>
        <w:spacing w:before="4" w:after="1"/>
        <w:rPr>
          <w:sz w:val="21"/>
        </w:rPr>
      </w:pPr>
    </w:p>
    <w:p w14:paraId="5C10C937" w14:textId="77777777" w:rsidR="00724131" w:rsidRDefault="00054426">
      <w:pPr>
        <w:pStyle w:val="BodyText"/>
        <w:ind w:left="134"/>
      </w:pPr>
      <w:r>
        <w:pict w14:anchorId="4A6CB19A">
          <v:shape id="_x0000_s1032" type="#_x0000_t202" style="width:432.75pt;height:317.65pt;mso-left-percent:-10001;mso-top-percent:-10001;mso-position-horizontal:absolute;mso-position-horizontal-relative:char;mso-position-vertical:absolute;mso-position-vertical-relative:line;mso-left-percent:-10001;mso-top-percent:-10001" fillcolor="#eaf2f3" stroked="f">
            <v:textbox inset="0,0,0,0">
              <w:txbxContent>
                <w:p w14:paraId="7373B91C" w14:textId="77777777" w:rsidR="00724131" w:rsidRDefault="00823349">
                  <w:pPr>
                    <w:pStyle w:val="BodyText"/>
                    <w:spacing w:before="128"/>
                    <w:ind w:left="170"/>
                  </w:pPr>
                  <w:r>
                    <w:rPr>
                      <w:b/>
                      <w:color w:val="0095A7"/>
                    </w:rPr>
                    <w:t xml:space="preserve">BOX 21.2 </w:t>
                  </w:r>
                  <w:r>
                    <w:rPr>
                      <w:color w:val="0095A7"/>
                    </w:rPr>
                    <w:t>TRANSFERRING THE SUSTAINABILITY FUND TO DELWP</w:t>
                  </w:r>
                </w:p>
                <w:p w14:paraId="39916B6C" w14:textId="77777777" w:rsidR="00724131" w:rsidRDefault="00823349">
                  <w:pPr>
                    <w:pStyle w:val="BodyText"/>
                    <w:spacing w:before="153" w:line="280" w:lineRule="auto"/>
                    <w:ind w:left="170" w:right="349"/>
                  </w:pPr>
                  <w:r>
                    <w:rPr>
                      <w:color w:val="58595B"/>
                      <w:spacing w:val="-8"/>
                    </w:rPr>
                    <w:t xml:space="preserve">To </w:t>
                  </w:r>
                  <w:r>
                    <w:rPr>
                      <w:color w:val="58595B"/>
                    </w:rPr>
                    <w:t>address potential conflicts of interest, and to streamline the complex institutional and governance arrangements for the Sustainability Fund, the Ministerial Advisory Committee on Waste and Resource Recovery Governance Reform recommended DELWP manage</w:t>
                  </w:r>
                  <w:r>
                    <w:rPr>
                      <w:color w:val="58595B"/>
                      <w:spacing w:val="-1"/>
                    </w:rPr>
                    <w:t xml:space="preserve"> </w:t>
                  </w:r>
                  <w:r>
                    <w:rPr>
                      <w:color w:val="58595B"/>
                    </w:rPr>
                    <w:t>the</w:t>
                  </w:r>
                </w:p>
                <w:p w14:paraId="1AD2D8A4" w14:textId="77777777" w:rsidR="00724131" w:rsidRDefault="00823349">
                  <w:pPr>
                    <w:spacing w:before="2" w:line="280" w:lineRule="auto"/>
                    <w:ind w:left="170"/>
                    <w:rPr>
                      <w:sz w:val="20"/>
                    </w:rPr>
                  </w:pPr>
                  <w:r>
                    <w:rPr>
                      <w:color w:val="58595B"/>
                      <w:sz w:val="20"/>
                    </w:rPr>
                    <w:t xml:space="preserve">Sustainability Fund. The amending legislation – the </w:t>
                  </w:r>
                  <w:r>
                    <w:rPr>
                      <w:i/>
                      <w:color w:val="58595B"/>
                      <w:sz w:val="20"/>
                    </w:rPr>
                    <w:t xml:space="preserve">Environment Protection and Sustainability Victoria Amendment Act 2014 </w:t>
                  </w:r>
                  <w:r>
                    <w:rPr>
                      <w:color w:val="58595B"/>
                      <w:sz w:val="20"/>
                    </w:rPr>
                    <w:t>– also changed the mechanism for distributing landfill</w:t>
                  </w:r>
                </w:p>
                <w:p w14:paraId="25CDCD38" w14:textId="77777777" w:rsidR="00724131" w:rsidRDefault="00823349">
                  <w:pPr>
                    <w:pStyle w:val="BodyText"/>
                    <w:spacing w:before="2"/>
                    <w:ind w:left="170"/>
                  </w:pPr>
                  <w:r>
                    <w:rPr>
                      <w:color w:val="58595B"/>
                    </w:rPr>
                    <w:t>levy revenue:</w:t>
                  </w:r>
                </w:p>
                <w:p w14:paraId="63469550" w14:textId="77777777" w:rsidR="00724131" w:rsidRDefault="00823349">
                  <w:pPr>
                    <w:pStyle w:val="ListParagraph"/>
                    <w:numPr>
                      <w:ilvl w:val="0"/>
                      <w:numId w:val="18"/>
                    </w:numPr>
                    <w:tabs>
                      <w:tab w:val="left" w:pos="341"/>
                    </w:tabs>
                    <w:spacing w:before="153" w:line="280" w:lineRule="auto"/>
                    <w:ind w:right="390" w:hanging="170"/>
                    <w:rPr>
                      <w:sz w:val="20"/>
                    </w:rPr>
                  </w:pPr>
                  <w:r>
                    <w:rPr>
                      <w:color w:val="58595B"/>
                      <w:sz w:val="20"/>
                    </w:rPr>
                    <w:t xml:space="preserve">The </w:t>
                  </w:r>
                  <w:r>
                    <w:rPr>
                      <w:color w:val="58595B"/>
                      <w:spacing w:val="-4"/>
                      <w:sz w:val="20"/>
                    </w:rPr>
                    <w:t xml:space="preserve">EPA </w:t>
                  </w:r>
                  <w:r>
                    <w:rPr>
                      <w:color w:val="58595B"/>
                      <w:sz w:val="20"/>
                    </w:rPr>
                    <w:t xml:space="preserve">pays all M&amp;I Landfill Levy revenue into a General Landfill Levy Account (which is still part of the EP </w:t>
                  </w:r>
                  <w:r>
                    <w:rPr>
                      <w:color w:val="58595B"/>
                      <w:spacing w:val="-3"/>
                      <w:sz w:val="20"/>
                    </w:rPr>
                    <w:t xml:space="preserve">Fund). </w:t>
                  </w:r>
                  <w:r>
                    <w:rPr>
                      <w:color w:val="58595B"/>
                      <w:sz w:val="20"/>
                    </w:rPr>
                    <w:t xml:space="preserve">Each quarter, the </w:t>
                  </w:r>
                  <w:r>
                    <w:rPr>
                      <w:color w:val="58595B"/>
                      <w:spacing w:val="-4"/>
                      <w:sz w:val="20"/>
                    </w:rPr>
                    <w:t xml:space="preserve">EPA </w:t>
                  </w:r>
                  <w:r>
                    <w:rPr>
                      <w:color w:val="58595B"/>
                      <w:sz w:val="20"/>
                    </w:rPr>
                    <w:t xml:space="preserve">transfers these revenues to a new M&amp;I Landfill Levy </w:t>
                  </w:r>
                  <w:r>
                    <w:rPr>
                      <w:color w:val="58595B"/>
                      <w:spacing w:val="-3"/>
                      <w:sz w:val="20"/>
                    </w:rPr>
                    <w:t xml:space="preserve">Trust </w:t>
                  </w:r>
                  <w:r>
                    <w:rPr>
                      <w:color w:val="58595B"/>
                      <w:sz w:val="20"/>
                    </w:rPr>
                    <w:t>Account held by</w:t>
                  </w:r>
                  <w:r>
                    <w:rPr>
                      <w:color w:val="58595B"/>
                      <w:spacing w:val="13"/>
                      <w:sz w:val="20"/>
                    </w:rPr>
                    <w:t xml:space="preserve"> </w:t>
                  </w:r>
                  <w:r>
                    <w:rPr>
                      <w:color w:val="58595B"/>
                      <w:spacing w:val="-6"/>
                      <w:sz w:val="20"/>
                    </w:rPr>
                    <w:t>DELWP.</w:t>
                  </w:r>
                </w:p>
                <w:p w14:paraId="25DB1234" w14:textId="77777777" w:rsidR="00724131" w:rsidRDefault="00823349">
                  <w:pPr>
                    <w:pStyle w:val="ListParagraph"/>
                    <w:numPr>
                      <w:ilvl w:val="0"/>
                      <w:numId w:val="18"/>
                    </w:numPr>
                    <w:tabs>
                      <w:tab w:val="left" w:pos="341"/>
                    </w:tabs>
                    <w:ind w:hanging="170"/>
                    <w:rPr>
                      <w:sz w:val="20"/>
                    </w:rPr>
                  </w:pPr>
                  <w:r>
                    <w:rPr>
                      <w:color w:val="58595B"/>
                      <w:sz w:val="20"/>
                    </w:rPr>
                    <w:t>DELWP distributes landfill levy revenue from this new</w:t>
                  </w:r>
                  <w:r>
                    <w:rPr>
                      <w:color w:val="58595B"/>
                      <w:spacing w:val="-5"/>
                      <w:sz w:val="20"/>
                    </w:rPr>
                    <w:t xml:space="preserve"> </w:t>
                  </w:r>
                  <w:r>
                    <w:rPr>
                      <w:color w:val="58595B"/>
                      <w:sz w:val="20"/>
                    </w:rPr>
                    <w:t>account.</w:t>
                  </w:r>
                </w:p>
                <w:p w14:paraId="60561D32" w14:textId="77777777" w:rsidR="00724131" w:rsidRDefault="00823349">
                  <w:pPr>
                    <w:pStyle w:val="ListParagraph"/>
                    <w:numPr>
                      <w:ilvl w:val="0"/>
                      <w:numId w:val="18"/>
                    </w:numPr>
                    <w:tabs>
                      <w:tab w:val="left" w:pos="341"/>
                    </w:tabs>
                    <w:spacing w:before="153" w:line="280" w:lineRule="auto"/>
                    <w:ind w:right="1100" w:hanging="170"/>
                    <w:rPr>
                      <w:sz w:val="20"/>
                    </w:rPr>
                  </w:pPr>
                  <w:r>
                    <w:rPr>
                      <w:color w:val="58595B"/>
                      <w:sz w:val="20"/>
                    </w:rPr>
                    <w:t>Landfill levy distributions occur via a ministerial determination instead of through regulations, so agencies receive more timely information about their</w:t>
                  </w:r>
                  <w:r>
                    <w:rPr>
                      <w:color w:val="58595B"/>
                      <w:spacing w:val="14"/>
                      <w:sz w:val="20"/>
                    </w:rPr>
                    <w:t xml:space="preserve"> </w:t>
                  </w:r>
                  <w:r>
                    <w:rPr>
                      <w:color w:val="58595B"/>
                      <w:sz w:val="20"/>
                    </w:rPr>
                    <w:t>distributions.</w:t>
                  </w:r>
                </w:p>
                <w:p w14:paraId="62AAEBDE" w14:textId="77777777" w:rsidR="00724131" w:rsidRDefault="00823349">
                  <w:pPr>
                    <w:pStyle w:val="ListParagraph"/>
                    <w:numPr>
                      <w:ilvl w:val="0"/>
                      <w:numId w:val="18"/>
                    </w:numPr>
                    <w:tabs>
                      <w:tab w:val="left" w:pos="341"/>
                    </w:tabs>
                    <w:spacing w:line="280" w:lineRule="auto"/>
                    <w:ind w:right="576" w:hanging="170"/>
                    <w:rPr>
                      <w:sz w:val="20"/>
                    </w:rPr>
                  </w:pPr>
                  <w:r>
                    <w:rPr>
                      <w:color w:val="58595B"/>
                      <w:sz w:val="20"/>
                    </w:rPr>
                    <w:t xml:space="preserve">DELWP pays any money remaining in the M&amp;I Landfill Levy </w:t>
                  </w:r>
                  <w:r>
                    <w:rPr>
                      <w:color w:val="58595B"/>
                      <w:spacing w:val="-3"/>
                      <w:sz w:val="20"/>
                    </w:rPr>
                    <w:t xml:space="preserve">Trust </w:t>
                  </w:r>
                  <w:r>
                    <w:rPr>
                      <w:color w:val="58595B"/>
                      <w:sz w:val="20"/>
                    </w:rPr>
                    <w:t>Account at the end of each quarter into the Sustainability Fund</w:t>
                  </w:r>
                  <w:r>
                    <w:rPr>
                      <w:color w:val="58595B"/>
                      <w:spacing w:val="3"/>
                      <w:sz w:val="20"/>
                    </w:rPr>
                    <w:t xml:space="preserve"> </w:t>
                  </w:r>
                  <w:r>
                    <w:rPr>
                      <w:color w:val="58595B"/>
                      <w:sz w:val="20"/>
                    </w:rPr>
                    <w:t>Account.</w:t>
                  </w:r>
                </w:p>
                <w:p w14:paraId="52278248" w14:textId="77777777" w:rsidR="00724131" w:rsidRDefault="00823349">
                  <w:pPr>
                    <w:pStyle w:val="BodyText"/>
                    <w:spacing w:before="172" w:line="280" w:lineRule="auto"/>
                    <w:ind w:left="170" w:right="240"/>
                  </w:pPr>
                  <w:r>
                    <w:rPr>
                      <w:color w:val="58595B"/>
                    </w:rPr>
                    <w:t>Both the Premier and the Minister for Environment, Climate Change and Water must approve any money paid from the Sustainability Fund Account. The fund can be used to foster environmentally sustainable uses of resources and best practices in waste management, or community action or innovation to reduce greenhouse gas substance emissions or to adapt or adjust to climate</w:t>
                  </w:r>
                  <w:r>
                    <w:rPr>
                      <w:color w:val="58595B"/>
                      <w:spacing w:val="-6"/>
                    </w:rPr>
                    <w:t xml:space="preserve"> </w:t>
                  </w:r>
                  <w:r>
                    <w:rPr>
                      <w:color w:val="58595B"/>
                    </w:rPr>
                    <w:t>change.</w:t>
                  </w:r>
                </w:p>
              </w:txbxContent>
            </v:textbox>
            <w10:wrap type="none"/>
            <w10:anchorlock/>
          </v:shape>
        </w:pict>
      </w:r>
    </w:p>
    <w:p w14:paraId="0B0426B7" w14:textId="77777777" w:rsidR="00724131" w:rsidRDefault="00724131">
      <w:pPr>
        <w:pStyle w:val="BodyText"/>
        <w:spacing w:before="11"/>
        <w:rPr>
          <w:sz w:val="27"/>
        </w:rPr>
      </w:pPr>
    </w:p>
    <w:p w14:paraId="394DE4E4" w14:textId="77777777" w:rsidR="00724131" w:rsidRDefault="00823349">
      <w:pPr>
        <w:pStyle w:val="Heading3"/>
        <w:numPr>
          <w:ilvl w:val="1"/>
          <w:numId w:val="19"/>
        </w:numPr>
        <w:tabs>
          <w:tab w:val="left" w:pos="713"/>
        </w:tabs>
        <w:spacing w:before="69"/>
        <w:ind w:left="712" w:hanging="578"/>
        <w:jc w:val="left"/>
      </w:pPr>
      <w:r>
        <w:rPr>
          <w:color w:val="0095A7"/>
        </w:rPr>
        <w:t>The case for</w:t>
      </w:r>
      <w:r>
        <w:rPr>
          <w:color w:val="0095A7"/>
          <w:spacing w:val="25"/>
        </w:rPr>
        <w:t xml:space="preserve"> </w:t>
      </w:r>
      <w:r>
        <w:rPr>
          <w:color w:val="0095A7"/>
        </w:rPr>
        <w:t>change</w:t>
      </w:r>
    </w:p>
    <w:p w14:paraId="7C52D152" w14:textId="77777777" w:rsidR="00724131" w:rsidRDefault="00823349">
      <w:pPr>
        <w:pStyle w:val="BodyText"/>
        <w:spacing w:before="145" w:line="280" w:lineRule="auto"/>
        <w:ind w:left="134" w:right="1893"/>
      </w:pPr>
      <w:r>
        <w:rPr>
          <w:color w:val="58595B"/>
        </w:rPr>
        <w:t>The combined effects of recent policy and budgetary decisions, ongoing economic trends and deficiencies with the regulatory framework for PIW has left the EPA with a set of funding arrangements that are increasingly volatile and uncertain. Some key revenue lines are also</w:t>
      </w:r>
    </w:p>
    <w:p w14:paraId="10353678" w14:textId="77777777" w:rsidR="00724131" w:rsidRDefault="00823349">
      <w:pPr>
        <w:pStyle w:val="BodyText"/>
        <w:spacing w:before="2" w:line="280" w:lineRule="auto"/>
        <w:ind w:left="134" w:right="1438"/>
      </w:pPr>
      <w:r>
        <w:rPr>
          <w:color w:val="58595B"/>
        </w:rPr>
        <w:t>poorly aligned to the EPA’s environment protection role. In particular, some stakeholders consider replacing annual appropriations with levy revenues has compromised the EPA’s independence.</w:t>
      </w:r>
    </w:p>
    <w:p w14:paraId="647760D9" w14:textId="77777777" w:rsidR="00724131" w:rsidRDefault="00823349">
      <w:pPr>
        <w:pStyle w:val="BodyText"/>
        <w:spacing w:before="2" w:line="280" w:lineRule="auto"/>
        <w:ind w:left="134" w:right="789"/>
      </w:pPr>
      <w:r>
        <w:rPr>
          <w:color w:val="58595B"/>
        </w:rPr>
        <w:t>EPA funding relies on future growth in landfill, when the intent of these levies was to reduce waste disposal to landfill.</w:t>
      </w:r>
    </w:p>
    <w:p w14:paraId="52CB5B11" w14:textId="77777777" w:rsidR="00724131" w:rsidRDefault="00823349">
      <w:pPr>
        <w:pStyle w:val="BodyText"/>
        <w:spacing w:before="172" w:line="280" w:lineRule="auto"/>
        <w:ind w:left="134" w:right="1911"/>
      </w:pPr>
      <w:r>
        <w:rPr>
          <w:color w:val="58595B"/>
        </w:rPr>
        <w:t>Echoing these concerns, in 2013 the EPA developed a long-term financial plan which documented problems with the sustainability of its funding:</w:t>
      </w:r>
    </w:p>
    <w:p w14:paraId="5E718D24" w14:textId="77777777" w:rsidR="00724131" w:rsidRDefault="00823349">
      <w:pPr>
        <w:pStyle w:val="ListParagraph"/>
        <w:numPr>
          <w:ilvl w:val="0"/>
          <w:numId w:val="31"/>
        </w:numPr>
        <w:tabs>
          <w:tab w:val="left" w:pos="305"/>
        </w:tabs>
        <w:ind w:hanging="170"/>
        <w:rPr>
          <w:sz w:val="20"/>
        </w:rPr>
      </w:pPr>
      <w:r>
        <w:rPr>
          <w:color w:val="58595B"/>
          <w:spacing w:val="-3"/>
          <w:sz w:val="20"/>
        </w:rPr>
        <w:t xml:space="preserve">key </w:t>
      </w:r>
      <w:r>
        <w:rPr>
          <w:color w:val="58595B"/>
          <w:sz w:val="20"/>
        </w:rPr>
        <w:t xml:space="preserve">funding sources are outside the </w:t>
      </w:r>
      <w:r>
        <w:rPr>
          <w:color w:val="58595B"/>
          <w:spacing w:val="-7"/>
          <w:sz w:val="20"/>
        </w:rPr>
        <w:t xml:space="preserve">EPA’s </w:t>
      </w:r>
      <w:r>
        <w:rPr>
          <w:color w:val="58595B"/>
          <w:sz w:val="20"/>
        </w:rPr>
        <w:t>control and generate highly variable revenue</w:t>
      </w:r>
      <w:r>
        <w:rPr>
          <w:color w:val="58595B"/>
          <w:spacing w:val="-12"/>
          <w:sz w:val="20"/>
        </w:rPr>
        <w:t xml:space="preserve"> </w:t>
      </w:r>
      <w:r>
        <w:rPr>
          <w:color w:val="58595B"/>
          <w:sz w:val="20"/>
        </w:rPr>
        <w:t>streams</w:t>
      </w:r>
    </w:p>
    <w:p w14:paraId="4540827B" w14:textId="77777777" w:rsidR="00724131" w:rsidRDefault="00823349">
      <w:pPr>
        <w:pStyle w:val="ListParagraph"/>
        <w:numPr>
          <w:ilvl w:val="0"/>
          <w:numId w:val="31"/>
        </w:numPr>
        <w:tabs>
          <w:tab w:val="left" w:pos="305"/>
        </w:tabs>
        <w:spacing w:before="153" w:line="280" w:lineRule="auto"/>
        <w:ind w:right="1615" w:hanging="170"/>
        <w:rPr>
          <w:sz w:val="20"/>
        </w:rPr>
      </w:pPr>
      <w:r>
        <w:rPr>
          <w:color w:val="58595B"/>
          <w:sz w:val="20"/>
        </w:rPr>
        <w:t xml:space="preserve">some funding sources involve an inherent conflict, impairing the </w:t>
      </w:r>
      <w:r>
        <w:rPr>
          <w:color w:val="58595B"/>
          <w:spacing w:val="-7"/>
          <w:sz w:val="20"/>
        </w:rPr>
        <w:t xml:space="preserve">EPA’s </w:t>
      </w:r>
      <w:r>
        <w:rPr>
          <w:color w:val="58595B"/>
          <w:sz w:val="20"/>
        </w:rPr>
        <w:t>capacity as a regulator to make independent decisions without affecting its revenue</w:t>
      </w:r>
      <w:r>
        <w:rPr>
          <w:color w:val="58595B"/>
          <w:spacing w:val="-2"/>
          <w:sz w:val="20"/>
        </w:rPr>
        <w:t xml:space="preserve"> </w:t>
      </w:r>
      <w:r>
        <w:rPr>
          <w:color w:val="58595B"/>
          <w:sz w:val="20"/>
        </w:rPr>
        <w:t>base</w:t>
      </w:r>
    </w:p>
    <w:p w14:paraId="56DA91CF" w14:textId="77777777" w:rsidR="00724131" w:rsidRDefault="00823349">
      <w:pPr>
        <w:pStyle w:val="ListParagraph"/>
        <w:numPr>
          <w:ilvl w:val="0"/>
          <w:numId w:val="31"/>
        </w:numPr>
        <w:tabs>
          <w:tab w:val="left" w:pos="305"/>
        </w:tabs>
        <w:spacing w:line="280" w:lineRule="auto"/>
        <w:ind w:right="2286" w:hanging="170"/>
        <w:rPr>
          <w:sz w:val="20"/>
        </w:rPr>
      </w:pPr>
      <w:r>
        <w:rPr>
          <w:color w:val="58595B"/>
          <w:sz w:val="20"/>
        </w:rPr>
        <w:t xml:space="preserve">revenue variability impacts the </w:t>
      </w:r>
      <w:r>
        <w:rPr>
          <w:color w:val="58595B"/>
          <w:spacing w:val="-7"/>
          <w:sz w:val="20"/>
        </w:rPr>
        <w:t xml:space="preserve">EPA’s </w:t>
      </w:r>
      <w:r>
        <w:rPr>
          <w:color w:val="58595B"/>
          <w:sz w:val="20"/>
        </w:rPr>
        <w:t>ability to budget for service levels and undertake environment protection</w:t>
      </w:r>
      <w:r>
        <w:rPr>
          <w:color w:val="58595B"/>
          <w:spacing w:val="3"/>
          <w:sz w:val="20"/>
        </w:rPr>
        <w:t xml:space="preserve"> </w:t>
      </w:r>
      <w:r>
        <w:rPr>
          <w:color w:val="58595B"/>
          <w:sz w:val="20"/>
        </w:rPr>
        <w:t>activities</w:t>
      </w:r>
    </w:p>
    <w:p w14:paraId="1A1885F9" w14:textId="77777777" w:rsidR="00724131" w:rsidRDefault="00823349">
      <w:pPr>
        <w:pStyle w:val="ListParagraph"/>
        <w:numPr>
          <w:ilvl w:val="0"/>
          <w:numId w:val="31"/>
        </w:numPr>
        <w:tabs>
          <w:tab w:val="left" w:pos="305"/>
        </w:tabs>
        <w:ind w:hanging="170"/>
        <w:rPr>
          <w:sz w:val="11"/>
        </w:rPr>
      </w:pPr>
      <w:r>
        <w:rPr>
          <w:color w:val="58595B"/>
          <w:sz w:val="20"/>
        </w:rPr>
        <w:t>strategic planning is also impacted by revenue variability and lack of certainty of</w:t>
      </w:r>
      <w:r>
        <w:rPr>
          <w:color w:val="58595B"/>
          <w:spacing w:val="5"/>
          <w:sz w:val="20"/>
        </w:rPr>
        <w:t xml:space="preserve"> </w:t>
      </w:r>
      <w:r>
        <w:rPr>
          <w:color w:val="58595B"/>
          <w:sz w:val="20"/>
        </w:rPr>
        <w:t>funding.</w:t>
      </w:r>
      <w:r>
        <w:rPr>
          <w:color w:val="58595B"/>
          <w:position w:val="7"/>
          <w:sz w:val="11"/>
        </w:rPr>
        <w:t>8</w:t>
      </w:r>
    </w:p>
    <w:p w14:paraId="39D857C8" w14:textId="77777777" w:rsidR="00724131" w:rsidRDefault="00724131">
      <w:pPr>
        <w:rPr>
          <w:sz w:val="11"/>
        </w:rPr>
        <w:sectPr w:rsidR="00724131">
          <w:pgSz w:w="11910" w:h="16840"/>
          <w:pgMar w:top="980" w:right="0" w:bottom="280" w:left="1680" w:header="788" w:footer="0" w:gutter="0"/>
          <w:cols w:space="720"/>
        </w:sectPr>
      </w:pPr>
    </w:p>
    <w:p w14:paraId="3BAC6195" w14:textId="77777777" w:rsidR="00724131" w:rsidRDefault="00724131">
      <w:pPr>
        <w:pStyle w:val="BodyText"/>
      </w:pPr>
    </w:p>
    <w:p w14:paraId="5F28675F" w14:textId="77777777" w:rsidR="00724131" w:rsidRDefault="00724131">
      <w:pPr>
        <w:pStyle w:val="BodyText"/>
      </w:pPr>
    </w:p>
    <w:p w14:paraId="2C1283FA" w14:textId="77777777" w:rsidR="00724131" w:rsidRDefault="00724131">
      <w:pPr>
        <w:pStyle w:val="BodyText"/>
      </w:pPr>
    </w:p>
    <w:p w14:paraId="5D5DC6D7" w14:textId="77777777" w:rsidR="00724131" w:rsidRDefault="00724131">
      <w:pPr>
        <w:pStyle w:val="BodyText"/>
      </w:pPr>
    </w:p>
    <w:p w14:paraId="71A208B5" w14:textId="77777777" w:rsidR="00724131" w:rsidRDefault="00724131">
      <w:pPr>
        <w:pStyle w:val="BodyText"/>
        <w:spacing w:before="8"/>
        <w:rPr>
          <w:sz w:val="17"/>
        </w:rPr>
      </w:pPr>
    </w:p>
    <w:p w14:paraId="70350974" w14:textId="77777777" w:rsidR="00724131" w:rsidRDefault="00823349">
      <w:pPr>
        <w:pStyle w:val="BodyText"/>
        <w:spacing w:before="1" w:line="280" w:lineRule="auto"/>
        <w:ind w:left="1417" w:right="173"/>
      </w:pPr>
      <w:r>
        <w:rPr>
          <w:color w:val="58595B"/>
          <w:spacing w:val="-5"/>
        </w:rPr>
        <w:t xml:space="preserve">Further, </w:t>
      </w:r>
      <w:r>
        <w:rPr>
          <w:color w:val="58595B"/>
          <w:spacing w:val="-3"/>
        </w:rPr>
        <w:t xml:space="preserve">when the </w:t>
      </w:r>
      <w:r>
        <w:rPr>
          <w:color w:val="58595B"/>
          <w:spacing w:val="-5"/>
        </w:rPr>
        <w:t xml:space="preserve">government subsequently </w:t>
      </w:r>
      <w:r>
        <w:rPr>
          <w:color w:val="58595B"/>
          <w:spacing w:val="-4"/>
        </w:rPr>
        <w:t xml:space="preserve">agreed </w:t>
      </w:r>
      <w:r>
        <w:rPr>
          <w:color w:val="58595B"/>
          <w:spacing w:val="-3"/>
        </w:rPr>
        <w:t xml:space="preserve">to the </w:t>
      </w:r>
      <w:r>
        <w:rPr>
          <w:color w:val="58595B"/>
          <w:spacing w:val="-4"/>
        </w:rPr>
        <w:t xml:space="preserve">Ministerial </w:t>
      </w:r>
      <w:r>
        <w:rPr>
          <w:color w:val="58595B"/>
          <w:spacing w:val="-3"/>
        </w:rPr>
        <w:t xml:space="preserve">Advisory </w:t>
      </w:r>
      <w:r>
        <w:rPr>
          <w:color w:val="58595B"/>
          <w:spacing w:val="-5"/>
        </w:rPr>
        <w:t xml:space="preserve">Committee’s </w:t>
      </w:r>
      <w:r>
        <w:rPr>
          <w:color w:val="58595B"/>
          <w:spacing w:val="-4"/>
        </w:rPr>
        <w:t xml:space="preserve">recommendation </w:t>
      </w:r>
      <w:r>
        <w:rPr>
          <w:color w:val="58595B"/>
        </w:rPr>
        <w:t xml:space="preserve">to </w:t>
      </w:r>
      <w:r>
        <w:rPr>
          <w:color w:val="58595B"/>
          <w:spacing w:val="-3"/>
        </w:rPr>
        <w:t xml:space="preserve">transfer </w:t>
      </w:r>
      <w:r>
        <w:rPr>
          <w:color w:val="58595B"/>
        </w:rPr>
        <w:t xml:space="preserve">the </w:t>
      </w:r>
      <w:r>
        <w:rPr>
          <w:color w:val="58595B"/>
          <w:spacing w:val="-3"/>
        </w:rPr>
        <w:t xml:space="preserve">Sustainability </w:t>
      </w:r>
      <w:r>
        <w:rPr>
          <w:color w:val="58595B"/>
          <w:spacing w:val="-4"/>
        </w:rPr>
        <w:t xml:space="preserve">Fund </w:t>
      </w:r>
      <w:r>
        <w:rPr>
          <w:color w:val="58595B"/>
        </w:rPr>
        <w:t xml:space="preserve">to </w:t>
      </w:r>
      <w:r>
        <w:rPr>
          <w:color w:val="58595B"/>
          <w:spacing w:val="-8"/>
        </w:rPr>
        <w:t xml:space="preserve">DELWP, </w:t>
      </w:r>
      <w:r>
        <w:rPr>
          <w:color w:val="58595B"/>
        </w:rPr>
        <w:t xml:space="preserve">the </w:t>
      </w:r>
      <w:r>
        <w:rPr>
          <w:color w:val="58595B"/>
          <w:spacing w:val="-6"/>
        </w:rPr>
        <w:t xml:space="preserve">EPA </w:t>
      </w:r>
      <w:r>
        <w:rPr>
          <w:color w:val="58595B"/>
        </w:rPr>
        <w:t>could no longer offset falls in</w:t>
      </w:r>
      <w:r>
        <w:rPr>
          <w:color w:val="58595B"/>
          <w:spacing w:val="-10"/>
        </w:rPr>
        <w:t xml:space="preserve"> </w:t>
      </w:r>
      <w:r>
        <w:rPr>
          <w:color w:val="58595B"/>
        </w:rPr>
        <w:t>other</w:t>
      </w:r>
      <w:r>
        <w:rPr>
          <w:color w:val="58595B"/>
          <w:spacing w:val="-10"/>
        </w:rPr>
        <w:t xml:space="preserve"> </w:t>
      </w:r>
      <w:r>
        <w:rPr>
          <w:color w:val="58595B"/>
          <w:spacing w:val="-3"/>
        </w:rPr>
        <w:t>revenue</w:t>
      </w:r>
      <w:r>
        <w:rPr>
          <w:color w:val="58595B"/>
          <w:spacing w:val="-10"/>
        </w:rPr>
        <w:t xml:space="preserve"> </w:t>
      </w:r>
      <w:r>
        <w:rPr>
          <w:color w:val="58595B"/>
        </w:rPr>
        <w:t>sources</w:t>
      </w:r>
      <w:r>
        <w:rPr>
          <w:color w:val="58595B"/>
          <w:spacing w:val="-10"/>
        </w:rPr>
        <w:t xml:space="preserve"> </w:t>
      </w:r>
      <w:r>
        <w:rPr>
          <w:color w:val="58595B"/>
        </w:rPr>
        <w:t>with</w:t>
      </w:r>
      <w:r>
        <w:rPr>
          <w:color w:val="58595B"/>
          <w:spacing w:val="-10"/>
        </w:rPr>
        <w:t xml:space="preserve"> </w:t>
      </w:r>
      <w:r>
        <w:rPr>
          <w:color w:val="58595B"/>
        </w:rPr>
        <w:t>growing</w:t>
      </w:r>
      <w:r>
        <w:rPr>
          <w:color w:val="58595B"/>
          <w:spacing w:val="-10"/>
        </w:rPr>
        <w:t xml:space="preserve"> </w:t>
      </w:r>
      <w:r>
        <w:rPr>
          <w:color w:val="58595B"/>
          <w:spacing w:val="-3"/>
        </w:rPr>
        <w:t>investment</w:t>
      </w:r>
      <w:r>
        <w:rPr>
          <w:color w:val="58595B"/>
          <w:spacing w:val="-10"/>
        </w:rPr>
        <w:t xml:space="preserve"> </w:t>
      </w:r>
      <w:r>
        <w:rPr>
          <w:color w:val="58595B"/>
        </w:rPr>
        <w:t>income</w:t>
      </w:r>
      <w:r>
        <w:rPr>
          <w:color w:val="58595B"/>
          <w:spacing w:val="-10"/>
        </w:rPr>
        <w:t xml:space="preserve"> </w:t>
      </w:r>
      <w:r>
        <w:rPr>
          <w:color w:val="58595B"/>
        </w:rPr>
        <w:t>from</w:t>
      </w:r>
      <w:r>
        <w:rPr>
          <w:color w:val="58595B"/>
          <w:spacing w:val="-10"/>
        </w:rPr>
        <w:t xml:space="preserve"> </w:t>
      </w:r>
      <w:r>
        <w:rPr>
          <w:color w:val="58595B"/>
        </w:rPr>
        <w:t>the</w:t>
      </w:r>
      <w:r>
        <w:rPr>
          <w:color w:val="58595B"/>
          <w:spacing w:val="-10"/>
        </w:rPr>
        <w:t xml:space="preserve"> </w:t>
      </w:r>
      <w:r>
        <w:rPr>
          <w:color w:val="58595B"/>
        </w:rPr>
        <w:t>fund.</w:t>
      </w:r>
      <w:r>
        <w:rPr>
          <w:color w:val="58595B"/>
          <w:spacing w:val="-10"/>
        </w:rPr>
        <w:t xml:space="preserve"> </w:t>
      </w:r>
      <w:r>
        <w:rPr>
          <w:color w:val="58595B"/>
          <w:spacing w:val="-3"/>
        </w:rPr>
        <w:t>Believing</w:t>
      </w:r>
      <w:r>
        <w:rPr>
          <w:color w:val="58595B"/>
          <w:spacing w:val="-10"/>
        </w:rPr>
        <w:t xml:space="preserve"> </w:t>
      </w:r>
      <w:r>
        <w:rPr>
          <w:color w:val="58595B"/>
          <w:spacing w:val="-3"/>
        </w:rPr>
        <w:t>that</w:t>
      </w:r>
      <w:r>
        <w:rPr>
          <w:color w:val="58595B"/>
          <w:spacing w:val="-10"/>
        </w:rPr>
        <w:t xml:space="preserve"> </w:t>
      </w:r>
      <w:r>
        <w:rPr>
          <w:color w:val="58595B"/>
        </w:rPr>
        <w:t>some</w:t>
      </w:r>
      <w:r>
        <w:rPr>
          <w:color w:val="58595B"/>
          <w:spacing w:val="-10"/>
        </w:rPr>
        <w:t xml:space="preserve"> </w:t>
      </w:r>
      <w:r>
        <w:rPr>
          <w:color w:val="58595B"/>
        </w:rPr>
        <w:t>40</w:t>
      </w:r>
      <w:r>
        <w:rPr>
          <w:color w:val="58595B"/>
          <w:spacing w:val="-10"/>
        </w:rPr>
        <w:t xml:space="preserve"> </w:t>
      </w:r>
      <w:r>
        <w:rPr>
          <w:color w:val="58595B"/>
        </w:rPr>
        <w:t>per cent</w:t>
      </w:r>
      <w:r>
        <w:rPr>
          <w:color w:val="58595B"/>
          <w:spacing w:val="-8"/>
        </w:rPr>
        <w:t xml:space="preserve"> </w:t>
      </w:r>
      <w:r>
        <w:rPr>
          <w:color w:val="58595B"/>
        </w:rPr>
        <w:t>of</w:t>
      </w:r>
      <w:r>
        <w:rPr>
          <w:color w:val="58595B"/>
          <w:spacing w:val="-8"/>
        </w:rPr>
        <w:t xml:space="preserve"> </w:t>
      </w:r>
      <w:r>
        <w:rPr>
          <w:color w:val="58595B"/>
        </w:rPr>
        <w:t>its</w:t>
      </w:r>
      <w:r>
        <w:rPr>
          <w:color w:val="58595B"/>
          <w:spacing w:val="-8"/>
        </w:rPr>
        <w:t xml:space="preserve"> </w:t>
      </w:r>
      <w:r>
        <w:rPr>
          <w:color w:val="58595B"/>
          <w:spacing w:val="-3"/>
        </w:rPr>
        <w:t>operating</w:t>
      </w:r>
      <w:r>
        <w:rPr>
          <w:color w:val="58595B"/>
          <w:spacing w:val="-8"/>
        </w:rPr>
        <w:t xml:space="preserve"> </w:t>
      </w:r>
      <w:r>
        <w:rPr>
          <w:color w:val="58595B"/>
          <w:spacing w:val="-3"/>
        </w:rPr>
        <w:t>revenues</w:t>
      </w:r>
      <w:r>
        <w:rPr>
          <w:color w:val="58595B"/>
          <w:spacing w:val="-8"/>
        </w:rPr>
        <w:t xml:space="preserve"> </w:t>
      </w:r>
      <w:r>
        <w:rPr>
          <w:color w:val="58595B"/>
        </w:rPr>
        <w:t>could</w:t>
      </w:r>
      <w:r>
        <w:rPr>
          <w:color w:val="58595B"/>
          <w:spacing w:val="-8"/>
        </w:rPr>
        <w:t xml:space="preserve"> </w:t>
      </w:r>
      <w:r>
        <w:rPr>
          <w:color w:val="58595B"/>
        </w:rPr>
        <w:t>be</w:t>
      </w:r>
      <w:r>
        <w:rPr>
          <w:color w:val="58595B"/>
          <w:spacing w:val="-8"/>
        </w:rPr>
        <w:t xml:space="preserve"> </w:t>
      </w:r>
      <w:r>
        <w:rPr>
          <w:color w:val="58595B"/>
        </w:rPr>
        <w:t>at</w:t>
      </w:r>
      <w:r>
        <w:rPr>
          <w:color w:val="58595B"/>
          <w:spacing w:val="-8"/>
        </w:rPr>
        <w:t xml:space="preserve"> </w:t>
      </w:r>
      <w:r>
        <w:rPr>
          <w:color w:val="58595B"/>
        </w:rPr>
        <w:t>risk,</w:t>
      </w:r>
      <w:r>
        <w:rPr>
          <w:color w:val="58595B"/>
          <w:spacing w:val="-8"/>
        </w:rPr>
        <w:t xml:space="preserve"> </w:t>
      </w:r>
      <w:r>
        <w:rPr>
          <w:color w:val="58595B"/>
        </w:rPr>
        <w:t>the</w:t>
      </w:r>
      <w:r>
        <w:rPr>
          <w:color w:val="58595B"/>
          <w:spacing w:val="-8"/>
        </w:rPr>
        <w:t xml:space="preserve"> </w:t>
      </w:r>
      <w:r>
        <w:rPr>
          <w:color w:val="58595B"/>
          <w:spacing w:val="-6"/>
        </w:rPr>
        <w:t>EPA</w:t>
      </w:r>
      <w:r>
        <w:rPr>
          <w:color w:val="58595B"/>
          <w:spacing w:val="-8"/>
        </w:rPr>
        <w:t xml:space="preserve"> </w:t>
      </w:r>
      <w:r>
        <w:rPr>
          <w:color w:val="58595B"/>
        </w:rPr>
        <w:t>engaged</w:t>
      </w:r>
      <w:r>
        <w:rPr>
          <w:color w:val="58595B"/>
          <w:spacing w:val="-8"/>
        </w:rPr>
        <w:t xml:space="preserve"> </w:t>
      </w:r>
      <w:r>
        <w:rPr>
          <w:color w:val="58595B"/>
        </w:rPr>
        <w:t>PwC</w:t>
      </w:r>
      <w:r>
        <w:rPr>
          <w:color w:val="58595B"/>
          <w:spacing w:val="-8"/>
        </w:rPr>
        <w:t xml:space="preserve"> </w:t>
      </w:r>
      <w:r>
        <w:rPr>
          <w:color w:val="58595B"/>
          <w:spacing w:val="-3"/>
        </w:rPr>
        <w:t>Australia</w:t>
      </w:r>
      <w:r>
        <w:rPr>
          <w:color w:val="58595B"/>
          <w:spacing w:val="-8"/>
        </w:rPr>
        <w:t xml:space="preserve"> </w:t>
      </w:r>
      <w:r>
        <w:rPr>
          <w:color w:val="58595B"/>
        </w:rPr>
        <w:t>to</w:t>
      </w:r>
      <w:r>
        <w:rPr>
          <w:color w:val="58595B"/>
          <w:spacing w:val="-8"/>
        </w:rPr>
        <w:t xml:space="preserve"> </w:t>
      </w:r>
      <w:r>
        <w:rPr>
          <w:color w:val="58595B"/>
          <w:spacing w:val="-3"/>
        </w:rPr>
        <w:t>review</w:t>
      </w:r>
      <w:r>
        <w:rPr>
          <w:color w:val="58595B"/>
          <w:spacing w:val="-8"/>
        </w:rPr>
        <w:t xml:space="preserve"> </w:t>
      </w:r>
      <w:r>
        <w:rPr>
          <w:color w:val="58595B"/>
        </w:rPr>
        <w:t>its</w:t>
      </w:r>
      <w:r>
        <w:rPr>
          <w:color w:val="58595B"/>
          <w:spacing w:val="-8"/>
        </w:rPr>
        <w:t xml:space="preserve"> </w:t>
      </w:r>
      <w:r>
        <w:rPr>
          <w:color w:val="58595B"/>
        </w:rPr>
        <w:t>funding and</w:t>
      </w:r>
      <w:r>
        <w:rPr>
          <w:color w:val="58595B"/>
          <w:spacing w:val="-14"/>
        </w:rPr>
        <w:t xml:space="preserve"> </w:t>
      </w:r>
      <w:r>
        <w:rPr>
          <w:color w:val="58595B"/>
        </w:rPr>
        <w:t>recommend</w:t>
      </w:r>
      <w:r>
        <w:rPr>
          <w:color w:val="58595B"/>
          <w:spacing w:val="-14"/>
        </w:rPr>
        <w:t xml:space="preserve"> </w:t>
      </w:r>
      <w:r>
        <w:rPr>
          <w:color w:val="58595B"/>
        </w:rPr>
        <w:t>a</w:t>
      </w:r>
      <w:r>
        <w:rPr>
          <w:color w:val="58595B"/>
          <w:spacing w:val="-14"/>
        </w:rPr>
        <w:t xml:space="preserve"> </w:t>
      </w:r>
      <w:r>
        <w:rPr>
          <w:color w:val="58595B"/>
        </w:rPr>
        <w:t>preferred</w:t>
      </w:r>
      <w:r>
        <w:rPr>
          <w:color w:val="58595B"/>
          <w:spacing w:val="-14"/>
        </w:rPr>
        <w:t xml:space="preserve"> </w:t>
      </w:r>
      <w:r>
        <w:rPr>
          <w:color w:val="58595B"/>
          <w:spacing w:val="-2"/>
        </w:rPr>
        <w:t>model.</w:t>
      </w:r>
    </w:p>
    <w:p w14:paraId="3DB8912A" w14:textId="77777777" w:rsidR="00724131" w:rsidRDefault="00823349">
      <w:pPr>
        <w:pStyle w:val="BodyText"/>
        <w:spacing w:before="172"/>
        <w:ind w:left="1417" w:right="228"/>
      </w:pPr>
      <w:r>
        <w:rPr>
          <w:color w:val="58595B"/>
        </w:rPr>
        <w:t>PwC Australia identified the following key issues with the EPA’s funding arrangements:</w:t>
      </w:r>
    </w:p>
    <w:p w14:paraId="6CA5D2FE" w14:textId="77777777" w:rsidR="00724131" w:rsidRDefault="00823349">
      <w:pPr>
        <w:pStyle w:val="ListParagraph"/>
        <w:numPr>
          <w:ilvl w:val="0"/>
          <w:numId w:val="17"/>
        </w:numPr>
        <w:tabs>
          <w:tab w:val="left" w:pos="1588"/>
        </w:tabs>
        <w:spacing w:before="153"/>
        <w:ind w:hanging="170"/>
        <w:rPr>
          <w:sz w:val="20"/>
        </w:rPr>
      </w:pPr>
      <w:r>
        <w:rPr>
          <w:color w:val="58595B"/>
          <w:sz w:val="20"/>
        </w:rPr>
        <w:t xml:space="preserve">government policy changes have diminished the </w:t>
      </w:r>
      <w:r>
        <w:rPr>
          <w:color w:val="58595B"/>
          <w:spacing w:val="-7"/>
          <w:sz w:val="20"/>
        </w:rPr>
        <w:t xml:space="preserve">EPA’s </w:t>
      </w:r>
      <w:r>
        <w:rPr>
          <w:color w:val="58595B"/>
          <w:sz w:val="20"/>
        </w:rPr>
        <w:t>control over investment</w:t>
      </w:r>
      <w:r>
        <w:rPr>
          <w:color w:val="58595B"/>
          <w:spacing w:val="-2"/>
          <w:sz w:val="20"/>
        </w:rPr>
        <w:t xml:space="preserve"> </w:t>
      </w:r>
      <w:r>
        <w:rPr>
          <w:color w:val="58595B"/>
          <w:sz w:val="20"/>
        </w:rPr>
        <w:t>income</w:t>
      </w:r>
    </w:p>
    <w:p w14:paraId="309C5934" w14:textId="77777777" w:rsidR="00724131" w:rsidRDefault="00823349">
      <w:pPr>
        <w:pStyle w:val="ListParagraph"/>
        <w:numPr>
          <w:ilvl w:val="0"/>
          <w:numId w:val="17"/>
        </w:numPr>
        <w:tabs>
          <w:tab w:val="left" w:pos="1588"/>
        </w:tabs>
        <w:spacing w:before="153" w:line="280" w:lineRule="auto"/>
        <w:ind w:right="426" w:hanging="170"/>
        <w:rPr>
          <w:sz w:val="20"/>
        </w:rPr>
      </w:pPr>
      <w:r>
        <w:rPr>
          <w:color w:val="58595B"/>
          <w:sz w:val="20"/>
        </w:rPr>
        <w:t xml:space="preserve">variability and risks affect </w:t>
      </w:r>
      <w:r>
        <w:rPr>
          <w:color w:val="58595B"/>
          <w:spacing w:val="-3"/>
          <w:sz w:val="20"/>
        </w:rPr>
        <w:t xml:space="preserve">key </w:t>
      </w:r>
      <w:r>
        <w:rPr>
          <w:color w:val="58595B"/>
          <w:sz w:val="20"/>
        </w:rPr>
        <w:t>funding sources, particularly the PIW Levy revenue, which has fallen in recent</w:t>
      </w:r>
      <w:r>
        <w:rPr>
          <w:color w:val="58595B"/>
          <w:spacing w:val="1"/>
          <w:sz w:val="20"/>
        </w:rPr>
        <w:t xml:space="preserve"> </w:t>
      </w:r>
      <w:r>
        <w:rPr>
          <w:color w:val="58595B"/>
          <w:sz w:val="20"/>
        </w:rPr>
        <w:t>years</w:t>
      </w:r>
    </w:p>
    <w:p w14:paraId="7916EE56" w14:textId="77777777" w:rsidR="00724131" w:rsidRDefault="00823349">
      <w:pPr>
        <w:pStyle w:val="ListParagraph"/>
        <w:numPr>
          <w:ilvl w:val="0"/>
          <w:numId w:val="17"/>
        </w:numPr>
        <w:tabs>
          <w:tab w:val="left" w:pos="1588"/>
        </w:tabs>
        <w:spacing w:line="280" w:lineRule="auto"/>
        <w:ind w:right="605" w:hanging="170"/>
        <w:rPr>
          <w:sz w:val="11"/>
        </w:rPr>
      </w:pPr>
      <w:r>
        <w:rPr>
          <w:color w:val="58595B"/>
          <w:sz w:val="20"/>
        </w:rPr>
        <w:t xml:space="preserve">funding arrangements are complex and not well aligned with the </w:t>
      </w:r>
      <w:r>
        <w:rPr>
          <w:color w:val="58595B"/>
          <w:spacing w:val="-7"/>
          <w:sz w:val="20"/>
        </w:rPr>
        <w:t xml:space="preserve">EPA’s </w:t>
      </w:r>
      <w:r>
        <w:rPr>
          <w:color w:val="58595B"/>
          <w:sz w:val="20"/>
        </w:rPr>
        <w:t>objectives, creating potential for perceived conflicts of</w:t>
      </w:r>
      <w:r>
        <w:rPr>
          <w:color w:val="58595B"/>
          <w:spacing w:val="12"/>
          <w:sz w:val="20"/>
        </w:rPr>
        <w:t xml:space="preserve"> </w:t>
      </w:r>
      <w:r>
        <w:rPr>
          <w:color w:val="58595B"/>
          <w:sz w:val="20"/>
        </w:rPr>
        <w:t>interest.</w:t>
      </w:r>
      <w:r>
        <w:rPr>
          <w:color w:val="58595B"/>
          <w:position w:val="7"/>
          <w:sz w:val="11"/>
        </w:rPr>
        <w:t>9</w:t>
      </w:r>
    </w:p>
    <w:p w14:paraId="7FC26042" w14:textId="77777777" w:rsidR="00724131" w:rsidRDefault="00823349">
      <w:pPr>
        <w:pStyle w:val="BodyText"/>
        <w:spacing w:before="172" w:line="280" w:lineRule="auto"/>
        <w:ind w:left="1417" w:right="228"/>
      </w:pPr>
      <w:r>
        <w:rPr>
          <w:color w:val="58595B"/>
        </w:rPr>
        <w:t>Each of these issues is discussed further below, together with the views of key stakeholders and the wider community.</w:t>
      </w:r>
    </w:p>
    <w:p w14:paraId="5EF3D077" w14:textId="77777777" w:rsidR="00724131" w:rsidRDefault="00724131">
      <w:pPr>
        <w:pStyle w:val="BodyText"/>
        <w:spacing w:before="4"/>
        <w:rPr>
          <w:sz w:val="22"/>
        </w:rPr>
      </w:pPr>
    </w:p>
    <w:p w14:paraId="4A91553F" w14:textId="77777777" w:rsidR="00724131" w:rsidRDefault="00823349">
      <w:pPr>
        <w:pStyle w:val="ListParagraph"/>
        <w:numPr>
          <w:ilvl w:val="2"/>
          <w:numId w:val="19"/>
        </w:numPr>
        <w:tabs>
          <w:tab w:val="left" w:pos="2045"/>
        </w:tabs>
        <w:spacing w:before="0"/>
        <w:ind w:left="2044" w:hanging="627"/>
        <w:jc w:val="left"/>
        <w:rPr>
          <w:sz w:val="20"/>
        </w:rPr>
      </w:pPr>
      <w:r>
        <w:rPr>
          <w:color w:val="0095A7"/>
          <w:sz w:val="20"/>
        </w:rPr>
        <w:t>Policy</w:t>
      </w:r>
      <w:r>
        <w:rPr>
          <w:color w:val="0095A7"/>
          <w:spacing w:val="1"/>
          <w:sz w:val="20"/>
        </w:rPr>
        <w:t xml:space="preserve"> </w:t>
      </w:r>
      <w:r>
        <w:rPr>
          <w:color w:val="0095A7"/>
          <w:sz w:val="20"/>
        </w:rPr>
        <w:t>changes</w:t>
      </w:r>
    </w:p>
    <w:p w14:paraId="448040EE" w14:textId="77777777" w:rsidR="00724131" w:rsidRDefault="00823349">
      <w:pPr>
        <w:pStyle w:val="BodyText"/>
        <w:spacing w:before="153" w:line="280" w:lineRule="auto"/>
        <w:ind w:left="1417" w:right="132"/>
      </w:pPr>
      <w:r>
        <w:rPr>
          <w:color w:val="58595B"/>
        </w:rPr>
        <w:t>The policy decision to transfer custody of the Sustainability Fund to DELWP raised initial uncertainty about how the EPA would fill the revenue void created by losing access to investment income. An investment income replacement grant from DELWP seems to partially resolve this issue for 2015-16. In 2015-16, the investment income replacement grant has been capped at $15 million; in future years, the EPA expects to receive only the actual investment returns.</w:t>
      </w:r>
    </w:p>
    <w:p w14:paraId="0747CBA6" w14:textId="77777777" w:rsidR="00724131" w:rsidRDefault="00724131">
      <w:pPr>
        <w:pStyle w:val="BodyText"/>
        <w:spacing w:before="4"/>
        <w:rPr>
          <w:sz w:val="22"/>
        </w:rPr>
      </w:pPr>
    </w:p>
    <w:p w14:paraId="685C42F8" w14:textId="77777777" w:rsidR="00724131" w:rsidRDefault="00823349">
      <w:pPr>
        <w:pStyle w:val="ListParagraph"/>
        <w:numPr>
          <w:ilvl w:val="2"/>
          <w:numId w:val="19"/>
        </w:numPr>
        <w:tabs>
          <w:tab w:val="left" w:pos="2067"/>
        </w:tabs>
        <w:spacing w:before="0"/>
        <w:ind w:left="2066" w:hanging="649"/>
        <w:jc w:val="left"/>
        <w:rPr>
          <w:sz w:val="20"/>
        </w:rPr>
      </w:pPr>
      <w:r>
        <w:rPr>
          <w:color w:val="0095A7"/>
          <w:sz w:val="20"/>
        </w:rPr>
        <w:t xml:space="preserve">Variability and uncertainty in </w:t>
      </w:r>
      <w:r>
        <w:rPr>
          <w:color w:val="0095A7"/>
          <w:spacing w:val="-3"/>
          <w:sz w:val="20"/>
        </w:rPr>
        <w:t xml:space="preserve">key </w:t>
      </w:r>
      <w:r>
        <w:rPr>
          <w:color w:val="0095A7"/>
          <w:sz w:val="20"/>
        </w:rPr>
        <w:t>funding</w:t>
      </w:r>
      <w:r>
        <w:rPr>
          <w:color w:val="0095A7"/>
          <w:spacing w:val="16"/>
          <w:sz w:val="20"/>
        </w:rPr>
        <w:t xml:space="preserve"> </w:t>
      </w:r>
      <w:r>
        <w:rPr>
          <w:color w:val="0095A7"/>
          <w:sz w:val="20"/>
        </w:rPr>
        <w:t>sources</w:t>
      </w:r>
    </w:p>
    <w:p w14:paraId="36820F9E" w14:textId="77777777" w:rsidR="00724131" w:rsidRDefault="00823349">
      <w:pPr>
        <w:pStyle w:val="BodyText"/>
        <w:spacing w:before="153" w:line="280" w:lineRule="auto"/>
        <w:ind w:left="1417" w:right="194"/>
      </w:pPr>
      <w:r>
        <w:rPr>
          <w:color w:val="58595B"/>
        </w:rPr>
        <w:t xml:space="preserve">The volatility and uncertainty of some of the </w:t>
      </w:r>
      <w:r>
        <w:rPr>
          <w:color w:val="58595B"/>
          <w:spacing w:val="-7"/>
        </w:rPr>
        <w:t xml:space="preserve">EPA’s </w:t>
      </w:r>
      <w:r>
        <w:rPr>
          <w:color w:val="58595B"/>
        </w:rPr>
        <w:t xml:space="preserve">major revenue sources makes it difficult for  the authority to plan and budget for core regulatory services, to maintain </w:t>
      </w:r>
      <w:r>
        <w:rPr>
          <w:color w:val="58595B"/>
          <w:spacing w:val="-3"/>
        </w:rPr>
        <w:t xml:space="preserve">key </w:t>
      </w:r>
      <w:r>
        <w:rPr>
          <w:color w:val="58595B"/>
        </w:rPr>
        <w:t>scientific assets  and capabilities, and to deliver multi-year strategies to address complex environmental</w:t>
      </w:r>
      <w:r>
        <w:rPr>
          <w:color w:val="58595B"/>
          <w:spacing w:val="-3"/>
        </w:rPr>
        <w:t xml:space="preserve"> </w:t>
      </w:r>
      <w:r>
        <w:rPr>
          <w:color w:val="58595B"/>
        </w:rPr>
        <w:t>problems.</w:t>
      </w:r>
    </w:p>
    <w:p w14:paraId="369DECFA" w14:textId="77777777" w:rsidR="00724131" w:rsidRDefault="00724131">
      <w:pPr>
        <w:pStyle w:val="BodyText"/>
        <w:spacing w:before="10"/>
        <w:rPr>
          <w:sz w:val="19"/>
        </w:rPr>
      </w:pPr>
    </w:p>
    <w:p w14:paraId="6398FEB9" w14:textId="77777777" w:rsidR="00724131" w:rsidRDefault="00823349">
      <w:pPr>
        <w:ind w:left="1417" w:right="228"/>
        <w:rPr>
          <w:i/>
          <w:sz w:val="20"/>
        </w:rPr>
      </w:pPr>
      <w:r>
        <w:rPr>
          <w:i/>
          <w:color w:val="6D6E71"/>
          <w:sz w:val="20"/>
        </w:rPr>
        <w:t>Investment income</w:t>
      </w:r>
    </w:p>
    <w:p w14:paraId="7F70D91E" w14:textId="77777777" w:rsidR="00724131" w:rsidRDefault="00823349">
      <w:pPr>
        <w:pStyle w:val="BodyText"/>
        <w:spacing w:before="125" w:line="280" w:lineRule="auto"/>
        <w:ind w:left="1417" w:right="132"/>
      </w:pPr>
      <w:r>
        <w:rPr>
          <w:color w:val="58595B"/>
        </w:rPr>
        <w:t>As future replacement grants from DELWP are yet to be negotiated but are expected to be based on actual returns, the EPA will continue to bear the risks of any market volatility. Currently,</w:t>
      </w:r>
    </w:p>
    <w:p w14:paraId="274652E7" w14:textId="77777777" w:rsidR="00724131" w:rsidRDefault="00823349">
      <w:pPr>
        <w:pStyle w:val="BodyText"/>
        <w:spacing w:before="2" w:line="280" w:lineRule="auto"/>
        <w:ind w:left="1417" w:right="277"/>
      </w:pPr>
      <w:r>
        <w:rPr>
          <w:color w:val="58595B"/>
        </w:rPr>
        <w:t>year-to-date investment returns are significantly less than expected and the EPA now estimates a likely $7.6 million shortfall in its 2015-16 investment income replacement grant from DELWP.</w:t>
      </w:r>
    </w:p>
    <w:p w14:paraId="4FE73D43" w14:textId="77777777" w:rsidR="00724131" w:rsidRDefault="00823349">
      <w:pPr>
        <w:pStyle w:val="BodyText"/>
        <w:spacing w:before="172" w:line="280" w:lineRule="auto"/>
        <w:ind w:left="1417" w:right="488"/>
      </w:pPr>
      <w:r>
        <w:rPr>
          <w:color w:val="58595B"/>
        </w:rPr>
        <w:t>We consider exposing as much as a quarter of the EPA’s total operating budget to market risk constitutes an unacceptably high degree of reliance on a volatile and risky revenue source.</w:t>
      </w:r>
    </w:p>
    <w:p w14:paraId="752608E8" w14:textId="77777777" w:rsidR="00724131" w:rsidRDefault="00823349">
      <w:pPr>
        <w:pStyle w:val="BodyText"/>
        <w:spacing w:before="2" w:line="280" w:lineRule="auto"/>
        <w:ind w:left="1417" w:right="228"/>
      </w:pPr>
      <w:r>
        <w:rPr>
          <w:color w:val="58595B"/>
        </w:rPr>
        <w:t>Indeed, the projected $7.6 million shortfall represents more than 10 per cent of the EPA’s annual operating budget for 2015-16.</w:t>
      </w:r>
    </w:p>
    <w:p w14:paraId="4F3096C1" w14:textId="77777777" w:rsidR="00724131" w:rsidRDefault="00823349">
      <w:pPr>
        <w:pStyle w:val="BodyText"/>
        <w:spacing w:before="172" w:line="280" w:lineRule="auto"/>
        <w:ind w:left="1417" w:right="228"/>
      </w:pPr>
      <w:r>
        <w:rPr>
          <w:color w:val="58595B"/>
        </w:rPr>
        <w:t>Further, such a high reliance on investment income is inconsistent with funding models for other regulators. The State Services Authority found only three of 69 regulators funded more than</w:t>
      </w:r>
    </w:p>
    <w:p w14:paraId="1614484D" w14:textId="77777777" w:rsidR="00724131" w:rsidRDefault="00823349">
      <w:pPr>
        <w:pStyle w:val="BodyText"/>
        <w:spacing w:before="2"/>
        <w:ind w:left="1417" w:right="228"/>
        <w:rPr>
          <w:sz w:val="11"/>
        </w:rPr>
      </w:pPr>
      <w:r>
        <w:rPr>
          <w:color w:val="58595B"/>
        </w:rPr>
        <w:t>10 per cent of their reported expenditure from investment income.</w:t>
      </w:r>
      <w:r>
        <w:rPr>
          <w:color w:val="58595B"/>
          <w:position w:val="7"/>
          <w:sz w:val="11"/>
        </w:rPr>
        <w:t>10</w:t>
      </w:r>
    </w:p>
    <w:p w14:paraId="232671D0" w14:textId="77777777" w:rsidR="00724131" w:rsidRDefault="00724131">
      <w:pPr>
        <w:pStyle w:val="BodyText"/>
        <w:spacing w:before="2"/>
        <w:rPr>
          <w:sz w:val="23"/>
        </w:rPr>
      </w:pPr>
    </w:p>
    <w:p w14:paraId="14E9091D" w14:textId="77777777" w:rsidR="00724131" w:rsidRDefault="00823349">
      <w:pPr>
        <w:ind w:left="1417" w:right="228"/>
        <w:rPr>
          <w:i/>
          <w:sz w:val="20"/>
        </w:rPr>
      </w:pPr>
      <w:r>
        <w:rPr>
          <w:i/>
          <w:color w:val="6D6E71"/>
          <w:sz w:val="20"/>
        </w:rPr>
        <w:t>Prescribed industrial waste revenue</w:t>
      </w:r>
    </w:p>
    <w:p w14:paraId="4B0F5B20" w14:textId="77777777" w:rsidR="00724131" w:rsidRDefault="00823349">
      <w:pPr>
        <w:pStyle w:val="BodyText"/>
        <w:spacing w:before="125" w:line="280" w:lineRule="auto"/>
        <w:ind w:left="1417" w:right="200"/>
        <w:jc w:val="both"/>
      </w:pPr>
      <w:r>
        <w:rPr>
          <w:color w:val="58595B"/>
        </w:rPr>
        <w:t>Revenue from the PIW Levy – which currently represents almost a fifth of EPA’s total operational revenue – is also increasingly volatile and uncertain. Recent court challenges to the levy are only adding to this uncertainty. In the current financial year, for example, the EPA advises that up  to</w:t>
      </w:r>
    </w:p>
    <w:p w14:paraId="2727C04E" w14:textId="77777777" w:rsidR="00724131" w:rsidRDefault="00823349">
      <w:pPr>
        <w:pStyle w:val="BodyText"/>
        <w:spacing w:before="2"/>
        <w:ind w:left="1417" w:right="228"/>
      </w:pPr>
      <w:r>
        <w:rPr>
          <w:color w:val="58595B"/>
        </w:rPr>
        <w:t>$7.5 million in PIW levies is at risk due to litigation.</w:t>
      </w:r>
    </w:p>
    <w:p w14:paraId="3B093678" w14:textId="77777777" w:rsidR="00724131" w:rsidRDefault="00724131">
      <w:pPr>
        <w:sectPr w:rsidR="00724131">
          <w:pgSz w:w="11910" w:h="16840"/>
          <w:pgMar w:top="980" w:right="1680" w:bottom="280" w:left="0" w:header="788" w:footer="0" w:gutter="0"/>
          <w:cols w:space="720"/>
        </w:sectPr>
      </w:pPr>
    </w:p>
    <w:p w14:paraId="6B7B7408" w14:textId="77777777" w:rsidR="00724131" w:rsidRDefault="00724131">
      <w:pPr>
        <w:pStyle w:val="BodyText"/>
      </w:pPr>
    </w:p>
    <w:p w14:paraId="7A1F39F5" w14:textId="77777777" w:rsidR="00724131" w:rsidRDefault="00724131">
      <w:pPr>
        <w:pStyle w:val="BodyText"/>
      </w:pPr>
    </w:p>
    <w:p w14:paraId="1AFF714E" w14:textId="77777777" w:rsidR="00724131" w:rsidRDefault="00724131">
      <w:pPr>
        <w:pStyle w:val="BodyText"/>
      </w:pPr>
    </w:p>
    <w:p w14:paraId="54AA7635" w14:textId="77777777" w:rsidR="00724131" w:rsidRDefault="00724131">
      <w:pPr>
        <w:pStyle w:val="BodyText"/>
      </w:pPr>
    </w:p>
    <w:p w14:paraId="2A85A3ED" w14:textId="77777777" w:rsidR="00724131" w:rsidRDefault="00724131">
      <w:pPr>
        <w:pStyle w:val="BodyText"/>
        <w:spacing w:before="8"/>
        <w:rPr>
          <w:sz w:val="17"/>
        </w:rPr>
      </w:pPr>
    </w:p>
    <w:p w14:paraId="63EE7850" w14:textId="77777777" w:rsidR="00724131" w:rsidRDefault="00823349">
      <w:pPr>
        <w:pStyle w:val="BodyText"/>
        <w:spacing w:before="1" w:line="280" w:lineRule="auto"/>
        <w:ind w:left="134" w:right="1729"/>
      </w:pPr>
      <w:r>
        <w:rPr>
          <w:color w:val="58595B"/>
        </w:rPr>
        <w:t xml:space="preserve">As well as year-to-year volatility, total PIW Levy revenue has fallen significantly over time, from over </w:t>
      </w:r>
      <w:r>
        <w:rPr>
          <w:color w:val="58595B"/>
          <w:spacing w:val="2"/>
        </w:rPr>
        <w:t xml:space="preserve">$34 </w:t>
      </w:r>
      <w:r>
        <w:rPr>
          <w:color w:val="58595B"/>
        </w:rPr>
        <w:t xml:space="preserve">million in </w:t>
      </w:r>
      <w:r>
        <w:rPr>
          <w:color w:val="58595B"/>
          <w:spacing w:val="-5"/>
        </w:rPr>
        <w:t xml:space="preserve">2010-11 </w:t>
      </w:r>
      <w:r>
        <w:rPr>
          <w:color w:val="58595B"/>
        </w:rPr>
        <w:t xml:space="preserve">to a projected </w:t>
      </w:r>
      <w:r>
        <w:rPr>
          <w:color w:val="58595B"/>
          <w:spacing w:val="-3"/>
        </w:rPr>
        <w:t xml:space="preserve">$21.9 </w:t>
      </w:r>
      <w:r>
        <w:rPr>
          <w:color w:val="58595B"/>
        </w:rPr>
        <w:t xml:space="preserve">million in </w:t>
      </w:r>
      <w:r>
        <w:rPr>
          <w:color w:val="58595B"/>
          <w:spacing w:val="-3"/>
        </w:rPr>
        <w:t xml:space="preserve">2015-16. </w:t>
      </w:r>
      <w:r>
        <w:rPr>
          <w:color w:val="58595B"/>
        </w:rPr>
        <w:t xml:space="preserve">By </w:t>
      </w:r>
      <w:r>
        <w:rPr>
          <w:color w:val="58595B"/>
          <w:spacing w:val="-6"/>
        </w:rPr>
        <w:t xml:space="preserve">2017-18, </w:t>
      </w:r>
      <w:r>
        <w:rPr>
          <w:color w:val="58595B"/>
        </w:rPr>
        <w:t>the levy</w:t>
      </w:r>
      <w:r>
        <w:rPr>
          <w:color w:val="58595B"/>
          <w:spacing w:val="24"/>
        </w:rPr>
        <w:t xml:space="preserve"> </w:t>
      </w:r>
      <w:r>
        <w:rPr>
          <w:color w:val="58595B"/>
        </w:rPr>
        <w:t>is</w:t>
      </w:r>
    </w:p>
    <w:p w14:paraId="4E8A7E43" w14:textId="77777777" w:rsidR="00724131" w:rsidRDefault="00823349">
      <w:pPr>
        <w:pStyle w:val="BodyText"/>
        <w:spacing w:before="2" w:line="280" w:lineRule="auto"/>
        <w:ind w:left="134" w:right="1515"/>
      </w:pPr>
      <w:r>
        <w:rPr>
          <w:color w:val="58595B"/>
        </w:rPr>
        <w:t>projected to generate just $14.8 million, with the EPA’s share falling to $10.7 million (figure 21.4). This trend reflects the combined effects of changes to Victoria’s industrial base, waste policy initiatives to reduce waste going to landfill and rising incidence of either illegal dumping or of waste management practices which are environmentally unsafe or undesirable.</w:t>
      </w:r>
    </w:p>
    <w:p w14:paraId="321AAB14" w14:textId="77777777" w:rsidR="00724131" w:rsidRDefault="00724131">
      <w:pPr>
        <w:pStyle w:val="BodyText"/>
        <w:spacing w:before="4"/>
        <w:rPr>
          <w:sz w:val="17"/>
        </w:rPr>
      </w:pPr>
    </w:p>
    <w:p w14:paraId="4421F6D5" w14:textId="77777777" w:rsidR="00724131" w:rsidRDefault="00823349">
      <w:pPr>
        <w:spacing w:before="1"/>
        <w:ind w:left="134" w:right="228"/>
        <w:rPr>
          <w:sz w:val="20"/>
        </w:rPr>
      </w:pPr>
      <w:r>
        <w:rPr>
          <w:b/>
          <w:color w:val="0095A7"/>
          <w:sz w:val="20"/>
        </w:rPr>
        <w:t xml:space="preserve">FIGURE 21.4: </w:t>
      </w:r>
      <w:r>
        <w:rPr>
          <w:color w:val="0095A7"/>
          <w:sz w:val="20"/>
        </w:rPr>
        <w:t>PRESCRIBED INDUSTRIAL WASTE LEVY REVENUE</w:t>
      </w:r>
    </w:p>
    <w:p w14:paraId="660717AD" w14:textId="77777777" w:rsidR="00724131" w:rsidRDefault="00823349">
      <w:pPr>
        <w:pStyle w:val="BodyText"/>
        <w:rPr>
          <w:sz w:val="21"/>
        </w:rPr>
      </w:pPr>
      <w:r>
        <w:rPr>
          <w:noProof/>
        </w:rPr>
        <w:drawing>
          <wp:anchor distT="0" distB="0" distL="0" distR="0" simplePos="0" relativeHeight="1624" behindDoc="0" locked="0" layoutInCell="1" allowOverlap="1" wp14:anchorId="46E64580" wp14:editId="0B051034">
            <wp:simplePos x="0" y="0"/>
            <wp:positionH relativeFrom="page">
              <wp:posOffset>1151991</wp:posOffset>
            </wp:positionH>
            <wp:positionV relativeFrom="paragraph">
              <wp:posOffset>178479</wp:posOffset>
            </wp:positionV>
            <wp:extent cx="5529515" cy="2529840"/>
            <wp:effectExtent l="0" t="0" r="0" b="0"/>
            <wp:wrapTopAndBottom/>
            <wp:docPr id="23"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4.jpeg"/>
                    <pic:cNvPicPr/>
                  </pic:nvPicPr>
                  <pic:blipFill>
                    <a:blip r:embed="rId55" cstate="print"/>
                    <a:stretch>
                      <a:fillRect/>
                    </a:stretch>
                  </pic:blipFill>
                  <pic:spPr>
                    <a:xfrm>
                      <a:off x="0" y="0"/>
                      <a:ext cx="5529515" cy="2529840"/>
                    </a:xfrm>
                    <a:prstGeom prst="rect">
                      <a:avLst/>
                    </a:prstGeom>
                  </pic:spPr>
                </pic:pic>
              </a:graphicData>
            </a:graphic>
          </wp:anchor>
        </w:drawing>
      </w:r>
    </w:p>
    <w:p w14:paraId="392440EF" w14:textId="77777777" w:rsidR="00724131" w:rsidRDefault="00724131">
      <w:pPr>
        <w:pStyle w:val="BodyText"/>
        <w:rPr>
          <w:sz w:val="23"/>
        </w:rPr>
      </w:pPr>
    </w:p>
    <w:p w14:paraId="3EDBD8AE" w14:textId="77777777" w:rsidR="00724131" w:rsidRDefault="00823349">
      <w:pPr>
        <w:ind w:left="134" w:right="228"/>
        <w:rPr>
          <w:i/>
          <w:sz w:val="20"/>
        </w:rPr>
      </w:pPr>
      <w:r>
        <w:rPr>
          <w:i/>
          <w:color w:val="6D6E71"/>
          <w:sz w:val="20"/>
        </w:rPr>
        <w:t>Municipal and Industrial Landfill Levy revenue</w:t>
      </w:r>
    </w:p>
    <w:p w14:paraId="13146C79" w14:textId="77777777" w:rsidR="00724131" w:rsidRDefault="00823349">
      <w:pPr>
        <w:pStyle w:val="BodyText"/>
        <w:spacing w:before="125" w:line="280" w:lineRule="auto"/>
        <w:ind w:left="134" w:right="1337"/>
      </w:pPr>
      <w:r>
        <w:rPr>
          <w:color w:val="58595B"/>
        </w:rPr>
        <w:t>Although scheduled increases in the M&amp;I Landfill Levy should ensure growth over time, revenue from this source is somewhat uncertain. Distributions are determined year to year, and they have been subject to government imposed savings.</w:t>
      </w:r>
    </w:p>
    <w:p w14:paraId="11920898" w14:textId="77777777" w:rsidR="00724131" w:rsidRDefault="00724131">
      <w:pPr>
        <w:pStyle w:val="BodyText"/>
        <w:spacing w:before="10"/>
        <w:rPr>
          <w:sz w:val="19"/>
        </w:rPr>
      </w:pPr>
    </w:p>
    <w:p w14:paraId="2A607042" w14:textId="77777777" w:rsidR="00724131" w:rsidRDefault="00823349">
      <w:pPr>
        <w:ind w:left="134" w:right="228"/>
        <w:rPr>
          <w:i/>
          <w:sz w:val="20"/>
        </w:rPr>
      </w:pPr>
      <w:r>
        <w:rPr>
          <w:i/>
          <w:color w:val="6D6E71"/>
          <w:sz w:val="20"/>
        </w:rPr>
        <w:t>Grants</w:t>
      </w:r>
    </w:p>
    <w:p w14:paraId="50BF60ED" w14:textId="77777777" w:rsidR="00724131" w:rsidRDefault="00823349">
      <w:pPr>
        <w:pStyle w:val="BodyText"/>
        <w:spacing w:before="125" w:line="280" w:lineRule="auto"/>
        <w:ind w:left="134" w:right="1468"/>
      </w:pPr>
      <w:r>
        <w:rPr>
          <w:color w:val="58595B"/>
        </w:rPr>
        <w:t>Grant funding is also largely determined year to year. And while overall grant funding has been reasonably stable, these funds are typically earmarked for specific programs or one-off projects, and so cannot offset volatility in other revenue lines. Currently the EPA relies on ERC approved grants to fund strategic ‘hotspot’ projects – such as illegally dumped waste – that might be regarded as an environmental regulator’s core functions.</w:t>
      </w:r>
    </w:p>
    <w:p w14:paraId="58F652D7" w14:textId="77777777" w:rsidR="00724131" w:rsidRDefault="00724131">
      <w:pPr>
        <w:pStyle w:val="BodyText"/>
        <w:spacing w:before="4"/>
        <w:rPr>
          <w:sz w:val="22"/>
        </w:rPr>
      </w:pPr>
    </w:p>
    <w:p w14:paraId="7CD4EDC6" w14:textId="77777777" w:rsidR="00724131" w:rsidRDefault="00823349">
      <w:pPr>
        <w:pStyle w:val="ListParagraph"/>
        <w:numPr>
          <w:ilvl w:val="2"/>
          <w:numId w:val="19"/>
        </w:numPr>
        <w:tabs>
          <w:tab w:val="left" w:pos="781"/>
        </w:tabs>
        <w:spacing w:before="0"/>
        <w:ind w:left="780" w:hanging="646"/>
        <w:jc w:val="left"/>
        <w:rPr>
          <w:sz w:val="20"/>
        </w:rPr>
      </w:pPr>
      <w:r>
        <w:rPr>
          <w:color w:val="0095A7"/>
          <w:sz w:val="20"/>
        </w:rPr>
        <w:t>Complexity and potential for conflicts of</w:t>
      </w:r>
      <w:r>
        <w:rPr>
          <w:color w:val="0095A7"/>
          <w:spacing w:val="9"/>
          <w:sz w:val="20"/>
        </w:rPr>
        <w:t xml:space="preserve"> </w:t>
      </w:r>
      <w:r>
        <w:rPr>
          <w:color w:val="0095A7"/>
          <w:sz w:val="20"/>
        </w:rPr>
        <w:t>interest</w:t>
      </w:r>
    </w:p>
    <w:p w14:paraId="0FB2C5CF" w14:textId="77777777" w:rsidR="00724131" w:rsidRDefault="00724131">
      <w:pPr>
        <w:pStyle w:val="BodyText"/>
        <w:spacing w:before="9"/>
        <w:rPr>
          <w:sz w:val="15"/>
        </w:rPr>
      </w:pPr>
    </w:p>
    <w:p w14:paraId="585B59DC" w14:textId="77777777" w:rsidR="00724131" w:rsidRDefault="00823349">
      <w:pPr>
        <w:ind w:left="134" w:right="228"/>
        <w:rPr>
          <w:i/>
          <w:sz w:val="20"/>
        </w:rPr>
      </w:pPr>
      <w:r>
        <w:rPr>
          <w:i/>
          <w:color w:val="6D6E71"/>
          <w:sz w:val="20"/>
        </w:rPr>
        <w:t>Complexity</w:t>
      </w:r>
    </w:p>
    <w:p w14:paraId="43932796" w14:textId="77777777" w:rsidR="00724131" w:rsidRDefault="00823349">
      <w:pPr>
        <w:pStyle w:val="BodyText"/>
        <w:spacing w:before="125" w:line="280" w:lineRule="auto"/>
        <w:ind w:left="134" w:right="1459"/>
      </w:pPr>
      <w:r>
        <w:rPr>
          <w:color w:val="58595B"/>
        </w:rPr>
        <w:t>The EPA’s funding arrangements are complex, with the agency collecting, holding, managing and reporting on several revenue sources in addition to its own operating budget. According to PwC Australia, this undue complexity:</w:t>
      </w:r>
    </w:p>
    <w:p w14:paraId="7F627716" w14:textId="77777777" w:rsidR="00724131" w:rsidRDefault="00823349">
      <w:pPr>
        <w:pStyle w:val="ListParagraph"/>
        <w:numPr>
          <w:ilvl w:val="0"/>
          <w:numId w:val="31"/>
        </w:numPr>
        <w:tabs>
          <w:tab w:val="left" w:pos="305"/>
        </w:tabs>
        <w:ind w:hanging="170"/>
        <w:rPr>
          <w:sz w:val="20"/>
        </w:rPr>
      </w:pPr>
      <w:r>
        <w:rPr>
          <w:color w:val="58595B"/>
          <w:sz w:val="20"/>
        </w:rPr>
        <w:t>reduces transparency of</w:t>
      </w:r>
      <w:r>
        <w:rPr>
          <w:color w:val="58595B"/>
          <w:spacing w:val="15"/>
          <w:sz w:val="20"/>
        </w:rPr>
        <w:t xml:space="preserve"> </w:t>
      </w:r>
      <w:r>
        <w:rPr>
          <w:color w:val="58595B"/>
          <w:sz w:val="20"/>
        </w:rPr>
        <w:t>reporting</w:t>
      </w:r>
    </w:p>
    <w:p w14:paraId="7F7F7FC6" w14:textId="77777777" w:rsidR="00724131" w:rsidRDefault="00823349">
      <w:pPr>
        <w:pStyle w:val="ListParagraph"/>
        <w:numPr>
          <w:ilvl w:val="0"/>
          <w:numId w:val="31"/>
        </w:numPr>
        <w:tabs>
          <w:tab w:val="left" w:pos="305"/>
        </w:tabs>
        <w:spacing w:before="153"/>
        <w:ind w:hanging="170"/>
        <w:rPr>
          <w:sz w:val="20"/>
        </w:rPr>
      </w:pPr>
      <w:r>
        <w:rPr>
          <w:color w:val="58595B"/>
          <w:sz w:val="20"/>
        </w:rPr>
        <w:t xml:space="preserve">makes it difficult to understand the </w:t>
      </w:r>
      <w:r>
        <w:rPr>
          <w:color w:val="58595B"/>
          <w:spacing w:val="-7"/>
          <w:sz w:val="20"/>
        </w:rPr>
        <w:t xml:space="preserve">EPA’s </w:t>
      </w:r>
      <w:r>
        <w:rPr>
          <w:color w:val="58595B"/>
          <w:sz w:val="20"/>
        </w:rPr>
        <w:t>actual operational budget and its business</w:t>
      </w:r>
      <w:r>
        <w:rPr>
          <w:color w:val="58595B"/>
          <w:spacing w:val="29"/>
          <w:sz w:val="20"/>
        </w:rPr>
        <w:t xml:space="preserve"> </w:t>
      </w:r>
      <w:r>
        <w:rPr>
          <w:color w:val="58595B"/>
          <w:sz w:val="20"/>
        </w:rPr>
        <w:t>activities</w:t>
      </w:r>
    </w:p>
    <w:p w14:paraId="5955C7A3" w14:textId="77777777" w:rsidR="00724131" w:rsidRDefault="00823349">
      <w:pPr>
        <w:pStyle w:val="ListParagraph"/>
        <w:numPr>
          <w:ilvl w:val="0"/>
          <w:numId w:val="31"/>
        </w:numPr>
        <w:tabs>
          <w:tab w:val="left" w:pos="305"/>
        </w:tabs>
        <w:spacing w:before="153"/>
        <w:ind w:hanging="170"/>
        <w:rPr>
          <w:sz w:val="20"/>
        </w:rPr>
      </w:pPr>
      <w:r>
        <w:rPr>
          <w:color w:val="58595B"/>
          <w:sz w:val="20"/>
        </w:rPr>
        <w:t>reduces</w:t>
      </w:r>
      <w:r>
        <w:rPr>
          <w:color w:val="58595B"/>
          <w:spacing w:val="16"/>
          <w:sz w:val="20"/>
        </w:rPr>
        <w:t xml:space="preserve"> </w:t>
      </w:r>
      <w:r>
        <w:rPr>
          <w:color w:val="58595B"/>
          <w:sz w:val="20"/>
        </w:rPr>
        <w:t>efficiency</w:t>
      </w:r>
    </w:p>
    <w:p w14:paraId="4AD8AA08" w14:textId="77777777" w:rsidR="00724131" w:rsidRDefault="00823349">
      <w:pPr>
        <w:pStyle w:val="ListParagraph"/>
        <w:numPr>
          <w:ilvl w:val="0"/>
          <w:numId w:val="31"/>
        </w:numPr>
        <w:tabs>
          <w:tab w:val="left" w:pos="305"/>
        </w:tabs>
        <w:spacing w:before="153"/>
        <w:ind w:hanging="170"/>
        <w:rPr>
          <w:sz w:val="20"/>
        </w:rPr>
      </w:pPr>
      <w:r>
        <w:rPr>
          <w:color w:val="58595B"/>
          <w:sz w:val="20"/>
        </w:rPr>
        <w:t>imposes additional cost, including costs of collecting, administering and reporting on</w:t>
      </w:r>
      <w:r>
        <w:rPr>
          <w:color w:val="58595B"/>
          <w:spacing w:val="26"/>
          <w:sz w:val="20"/>
        </w:rPr>
        <w:t xml:space="preserve"> </w:t>
      </w:r>
      <w:r>
        <w:rPr>
          <w:color w:val="58595B"/>
          <w:sz w:val="20"/>
        </w:rPr>
        <w:t>funds.</w:t>
      </w:r>
    </w:p>
    <w:p w14:paraId="74FFCB5F" w14:textId="77777777" w:rsidR="00724131" w:rsidRDefault="00724131">
      <w:pPr>
        <w:rPr>
          <w:sz w:val="20"/>
        </w:rPr>
        <w:sectPr w:rsidR="00724131">
          <w:pgSz w:w="11910" w:h="16840"/>
          <w:pgMar w:top="980" w:right="0" w:bottom="280" w:left="1680" w:header="788" w:footer="0" w:gutter="0"/>
          <w:cols w:space="720"/>
        </w:sectPr>
      </w:pPr>
    </w:p>
    <w:p w14:paraId="1429ECE2" w14:textId="77777777" w:rsidR="00724131" w:rsidRDefault="00724131">
      <w:pPr>
        <w:pStyle w:val="BodyText"/>
      </w:pPr>
    </w:p>
    <w:p w14:paraId="277146D6" w14:textId="77777777" w:rsidR="00724131" w:rsidRDefault="00724131">
      <w:pPr>
        <w:pStyle w:val="BodyText"/>
      </w:pPr>
    </w:p>
    <w:p w14:paraId="3FB74414" w14:textId="77777777" w:rsidR="00724131" w:rsidRDefault="00724131">
      <w:pPr>
        <w:pStyle w:val="BodyText"/>
      </w:pPr>
    </w:p>
    <w:p w14:paraId="74BB7FEA" w14:textId="77777777" w:rsidR="00724131" w:rsidRDefault="00724131">
      <w:pPr>
        <w:pStyle w:val="BodyText"/>
      </w:pPr>
    </w:p>
    <w:p w14:paraId="58272D3E" w14:textId="77777777" w:rsidR="00724131" w:rsidRDefault="00724131">
      <w:pPr>
        <w:pStyle w:val="BodyText"/>
        <w:spacing w:before="8"/>
        <w:rPr>
          <w:sz w:val="17"/>
        </w:rPr>
      </w:pPr>
    </w:p>
    <w:p w14:paraId="71FF7977" w14:textId="77777777" w:rsidR="00724131" w:rsidRDefault="00823349">
      <w:pPr>
        <w:pStyle w:val="BodyText"/>
        <w:spacing w:before="1" w:line="280" w:lineRule="auto"/>
        <w:ind w:left="1417" w:right="294"/>
        <w:jc w:val="both"/>
      </w:pPr>
      <w:r>
        <w:rPr>
          <w:color w:val="58595B"/>
        </w:rPr>
        <w:t>The EPA is no longer responsible for administering and reporting on the Sustainability Fund, but it retains responsibilities for the PIW Levy, and also collects fees and fines that are passed on to the Consolidated Fund.</w:t>
      </w:r>
    </w:p>
    <w:p w14:paraId="70E3B12E" w14:textId="77777777" w:rsidR="00724131" w:rsidRDefault="00724131">
      <w:pPr>
        <w:pStyle w:val="BodyText"/>
        <w:spacing w:before="10"/>
        <w:rPr>
          <w:sz w:val="19"/>
        </w:rPr>
      </w:pPr>
    </w:p>
    <w:p w14:paraId="6A1121BA" w14:textId="77777777" w:rsidR="00724131" w:rsidRDefault="00823349">
      <w:pPr>
        <w:ind w:left="1417" w:right="228"/>
        <w:rPr>
          <w:i/>
          <w:sz w:val="20"/>
        </w:rPr>
      </w:pPr>
      <w:r>
        <w:rPr>
          <w:i/>
          <w:color w:val="6D6E71"/>
          <w:sz w:val="20"/>
        </w:rPr>
        <w:t>Potential for conflict of interest</w:t>
      </w:r>
    </w:p>
    <w:p w14:paraId="2E47CBB1" w14:textId="77777777" w:rsidR="00724131" w:rsidRDefault="00823349">
      <w:pPr>
        <w:pStyle w:val="BodyText"/>
        <w:spacing w:before="125" w:line="280" w:lineRule="auto"/>
        <w:ind w:left="1417" w:right="278"/>
        <w:jc w:val="both"/>
      </w:pPr>
      <w:r>
        <w:rPr>
          <w:color w:val="58595B"/>
        </w:rPr>
        <w:t>Current funding arrangements are poorly aligned with the EPA’s objectives as an environmental regulator. In particular, its reliance on the M&amp;I Landfill Levy, PIW Levy and litter fines may create perverse incentives and involve either perceived or actual conflicts of interest.</w:t>
      </w:r>
    </w:p>
    <w:p w14:paraId="135E0717" w14:textId="77777777" w:rsidR="00724131" w:rsidRDefault="00823349">
      <w:pPr>
        <w:pStyle w:val="BodyText"/>
        <w:spacing w:before="172" w:line="280" w:lineRule="auto"/>
        <w:ind w:left="1417" w:right="228"/>
      </w:pPr>
      <w:r>
        <w:rPr>
          <w:color w:val="58595B"/>
        </w:rPr>
        <w:t>Landfill levies currently comprise more than half (56 per cent) of the EPA’s operating budget. While the policy objective of these levies was to reduce waste flows, achieving this objective should ultimately result in declining landfill levy collections. This leaves the EPA with a potential conflict between reducing waste and encouraging revenue-generating landfill.</w:t>
      </w:r>
    </w:p>
    <w:p w14:paraId="1942C344" w14:textId="77777777" w:rsidR="00724131" w:rsidRDefault="00823349">
      <w:pPr>
        <w:pStyle w:val="BodyText"/>
        <w:spacing w:before="172" w:line="280" w:lineRule="auto"/>
        <w:ind w:left="1417" w:right="178"/>
      </w:pPr>
      <w:r>
        <w:rPr>
          <w:color w:val="58595B"/>
        </w:rPr>
        <w:t>For the M&amp;I Landfill levy, any conflict may be more perceived than real, because it generates more revenue than the EPA needs. It is unlikely any fall in this revenue would affect the EPA’s funding. However, community perceptions about a conflict may be reinforced by design flaws that inhibit its effectiveness in driving behavioural change (discussed below).</w:t>
      </w:r>
    </w:p>
    <w:p w14:paraId="3149CD3D" w14:textId="77777777" w:rsidR="00724131" w:rsidRDefault="00823349">
      <w:pPr>
        <w:pStyle w:val="BodyText"/>
        <w:spacing w:before="172" w:line="280" w:lineRule="auto"/>
        <w:ind w:left="1417" w:right="228"/>
      </w:pPr>
      <w:r>
        <w:rPr>
          <w:color w:val="58595B"/>
        </w:rPr>
        <w:t>More concerning is the significant contribution of litter fines to the EPA budget. Maintaining access to this revenue stream carries a real risk that the EPA’s resource allocation priorities will be skewed towards relatively low level environmental concerns.</w:t>
      </w:r>
    </w:p>
    <w:p w14:paraId="77536636" w14:textId="77777777" w:rsidR="00724131" w:rsidRDefault="00724131">
      <w:pPr>
        <w:pStyle w:val="BodyText"/>
        <w:spacing w:before="4"/>
        <w:rPr>
          <w:sz w:val="22"/>
        </w:rPr>
      </w:pPr>
    </w:p>
    <w:p w14:paraId="558529A4" w14:textId="77777777" w:rsidR="00724131" w:rsidRDefault="00823349">
      <w:pPr>
        <w:pStyle w:val="ListParagraph"/>
        <w:numPr>
          <w:ilvl w:val="2"/>
          <w:numId w:val="19"/>
        </w:numPr>
        <w:tabs>
          <w:tab w:val="left" w:pos="2064"/>
        </w:tabs>
        <w:spacing w:before="0"/>
        <w:ind w:left="2063" w:hanging="646"/>
        <w:jc w:val="left"/>
        <w:rPr>
          <w:sz w:val="20"/>
        </w:rPr>
      </w:pPr>
      <w:r>
        <w:rPr>
          <w:color w:val="0095A7"/>
          <w:sz w:val="20"/>
        </w:rPr>
        <w:t>Community</w:t>
      </w:r>
      <w:r>
        <w:rPr>
          <w:color w:val="0095A7"/>
          <w:spacing w:val="4"/>
          <w:sz w:val="20"/>
        </w:rPr>
        <w:t xml:space="preserve"> </w:t>
      </w:r>
      <w:r>
        <w:rPr>
          <w:color w:val="0095A7"/>
          <w:sz w:val="20"/>
        </w:rPr>
        <w:t>views</w:t>
      </w:r>
    </w:p>
    <w:p w14:paraId="709B5483" w14:textId="77777777" w:rsidR="00724131" w:rsidRDefault="00823349">
      <w:pPr>
        <w:pStyle w:val="BodyText"/>
        <w:spacing w:before="153" w:line="280" w:lineRule="auto"/>
        <w:ind w:left="1417" w:right="188"/>
      </w:pPr>
      <w:r>
        <w:rPr>
          <w:color w:val="58595B"/>
        </w:rPr>
        <w:t>Stakeholder comments on the EPA’s resourcing – included in one in four submissions – indicated very little support for the current funding model. Several stakeholders were concerned about</w:t>
      </w:r>
    </w:p>
    <w:p w14:paraId="120620ED" w14:textId="77777777" w:rsidR="00724131" w:rsidRDefault="00823349">
      <w:pPr>
        <w:pStyle w:val="BodyText"/>
        <w:spacing w:before="2" w:line="280" w:lineRule="auto"/>
        <w:ind w:left="1417" w:right="228"/>
      </w:pPr>
      <w:r>
        <w:rPr>
          <w:color w:val="58595B"/>
        </w:rPr>
        <w:t>the perverse incentives of the EPA’s increasing reliance on revenues from the M&amp;I Landfill Levy where successfully reducing wastes could reduce revenues for the EPA’s operations.</w:t>
      </w:r>
    </w:p>
    <w:p w14:paraId="1029D6FA" w14:textId="77777777" w:rsidR="00724131" w:rsidRDefault="00823349">
      <w:pPr>
        <w:spacing w:before="172" w:line="280" w:lineRule="auto"/>
        <w:ind w:left="1984" w:right="789"/>
        <w:rPr>
          <w:sz w:val="20"/>
        </w:rPr>
      </w:pPr>
      <w:r>
        <w:rPr>
          <w:i/>
          <w:color w:val="231F20"/>
          <w:sz w:val="20"/>
        </w:rPr>
        <w:t xml:space="preserve">The current mix of funding is inappropriate and offensive to best practice public sector financial management. </w:t>
      </w:r>
      <w:r>
        <w:rPr>
          <w:color w:val="231F20"/>
          <w:sz w:val="20"/>
        </w:rPr>
        <w:t>(Ken Coghill et al, Monash Business School submission, p. 17)</w:t>
      </w:r>
    </w:p>
    <w:p w14:paraId="3028F51C" w14:textId="77777777" w:rsidR="00724131" w:rsidRDefault="00823349">
      <w:pPr>
        <w:spacing w:before="172" w:line="280" w:lineRule="auto"/>
        <w:ind w:left="1984" w:right="959"/>
        <w:jc w:val="both"/>
        <w:rPr>
          <w:sz w:val="20"/>
        </w:rPr>
      </w:pPr>
      <w:r>
        <w:rPr>
          <w:i/>
          <w:color w:val="231F20"/>
          <w:sz w:val="20"/>
        </w:rPr>
        <w:t xml:space="preserve">The distribution of the landfill levy appears inconsistent with the purpose for which the levy is collected; that is to promote and support recycling, waste reduction and waste management. </w:t>
      </w:r>
      <w:r>
        <w:rPr>
          <w:color w:val="231F20"/>
          <w:sz w:val="20"/>
        </w:rPr>
        <w:t>(City of Kingston submission, p. 4)</w:t>
      </w:r>
    </w:p>
    <w:p w14:paraId="2E50072B" w14:textId="77777777" w:rsidR="00724131" w:rsidRDefault="00823349">
      <w:pPr>
        <w:pStyle w:val="BodyText"/>
        <w:spacing w:before="172"/>
        <w:ind w:left="1417" w:right="228"/>
      </w:pPr>
      <w:r>
        <w:rPr>
          <w:color w:val="58595B"/>
        </w:rPr>
        <w:t>Others stressed the importance of secure funding to preserve the EPA’s independence:</w:t>
      </w:r>
    </w:p>
    <w:p w14:paraId="4F2FC7D9" w14:textId="77777777" w:rsidR="00724131" w:rsidRDefault="00724131">
      <w:pPr>
        <w:pStyle w:val="BodyText"/>
        <w:spacing w:before="3"/>
        <w:rPr>
          <w:sz w:val="18"/>
        </w:rPr>
      </w:pPr>
    </w:p>
    <w:p w14:paraId="7712B7C1" w14:textId="77777777" w:rsidR="00724131" w:rsidRDefault="00823349">
      <w:pPr>
        <w:spacing w:line="280" w:lineRule="auto"/>
        <w:ind w:left="1984" w:right="910"/>
        <w:rPr>
          <w:sz w:val="20"/>
        </w:rPr>
      </w:pPr>
      <w:r>
        <w:rPr>
          <w:i/>
          <w:color w:val="231F20"/>
          <w:sz w:val="20"/>
        </w:rPr>
        <w:t xml:space="preserve">In order for the EPA to be truly independent it must have a reliable and sustainable funding base, otherwise EPA will always be at the mercy of changing attitudes towards the environment, an increasingly politicised topic. </w:t>
      </w:r>
      <w:r>
        <w:rPr>
          <w:color w:val="231F20"/>
          <w:sz w:val="20"/>
        </w:rPr>
        <w:t>(Community and Public Sector Union submission, p. 29)</w:t>
      </w:r>
    </w:p>
    <w:p w14:paraId="242064D8" w14:textId="77777777" w:rsidR="00724131" w:rsidRDefault="00823349">
      <w:pPr>
        <w:pStyle w:val="BodyText"/>
        <w:spacing w:before="172" w:line="280" w:lineRule="auto"/>
        <w:ind w:left="1417" w:right="132"/>
      </w:pPr>
      <w:r>
        <w:rPr>
          <w:color w:val="58595B"/>
        </w:rPr>
        <w:t>Most participants suggested financing the EPA from consolidated revenue as a state government expense, in accordance with Victorian government and OECD principles and guidelines. At the same time, landfill levies and industrial waste levies should be paid into consolidated revenue.</w:t>
      </w:r>
    </w:p>
    <w:p w14:paraId="09C98485" w14:textId="77777777" w:rsidR="00724131" w:rsidRDefault="00823349">
      <w:pPr>
        <w:spacing w:before="172" w:line="280" w:lineRule="auto"/>
        <w:ind w:left="1984" w:right="1315"/>
        <w:jc w:val="both"/>
        <w:rPr>
          <w:sz w:val="20"/>
        </w:rPr>
      </w:pPr>
      <w:r>
        <w:rPr>
          <w:i/>
          <w:color w:val="231F20"/>
          <w:sz w:val="20"/>
        </w:rPr>
        <w:t xml:space="preserve">The EPA’s role is for the protection of all Victorians and the whole of Victoria’s environment and should be publicly funded rather than a cost recovery model. </w:t>
      </w:r>
      <w:r>
        <w:rPr>
          <w:color w:val="231F20"/>
          <w:sz w:val="20"/>
        </w:rPr>
        <w:t>(Qenos submission, p. 2)</w:t>
      </w:r>
    </w:p>
    <w:p w14:paraId="12ED91D3" w14:textId="77777777" w:rsidR="00724131" w:rsidRDefault="00724131">
      <w:pPr>
        <w:spacing w:line="280" w:lineRule="auto"/>
        <w:jc w:val="both"/>
        <w:rPr>
          <w:sz w:val="20"/>
        </w:rPr>
        <w:sectPr w:rsidR="00724131">
          <w:pgSz w:w="11910" w:h="16840"/>
          <w:pgMar w:top="980" w:right="1680" w:bottom="280" w:left="0" w:header="788" w:footer="0" w:gutter="0"/>
          <w:cols w:space="720"/>
        </w:sectPr>
      </w:pPr>
    </w:p>
    <w:p w14:paraId="3F000546" w14:textId="77777777" w:rsidR="00724131" w:rsidRDefault="00724131">
      <w:pPr>
        <w:pStyle w:val="BodyText"/>
      </w:pPr>
    </w:p>
    <w:p w14:paraId="7ED71C0D" w14:textId="77777777" w:rsidR="00724131" w:rsidRDefault="00724131">
      <w:pPr>
        <w:pStyle w:val="BodyText"/>
      </w:pPr>
    </w:p>
    <w:p w14:paraId="1D5C25D2" w14:textId="77777777" w:rsidR="00724131" w:rsidRDefault="00724131">
      <w:pPr>
        <w:pStyle w:val="BodyText"/>
      </w:pPr>
    </w:p>
    <w:p w14:paraId="7323AFF2" w14:textId="77777777" w:rsidR="00724131" w:rsidRDefault="00724131">
      <w:pPr>
        <w:pStyle w:val="BodyText"/>
      </w:pPr>
    </w:p>
    <w:p w14:paraId="3B21BBC5" w14:textId="77777777" w:rsidR="00724131" w:rsidRDefault="00724131">
      <w:pPr>
        <w:pStyle w:val="BodyText"/>
        <w:spacing w:before="8"/>
        <w:rPr>
          <w:sz w:val="17"/>
        </w:rPr>
      </w:pPr>
    </w:p>
    <w:p w14:paraId="182D3AED" w14:textId="77777777" w:rsidR="00724131" w:rsidRDefault="00823349">
      <w:pPr>
        <w:pStyle w:val="BodyText"/>
        <w:spacing w:before="1" w:line="280" w:lineRule="auto"/>
        <w:ind w:left="134" w:right="1883"/>
      </w:pPr>
      <w:r>
        <w:rPr>
          <w:color w:val="58595B"/>
        </w:rPr>
        <w:t>Several submissions suggested better ways to use the landfill levies. For example the Waste Management Association of Australia stated:</w:t>
      </w:r>
    </w:p>
    <w:p w14:paraId="1A3A5F15" w14:textId="77777777" w:rsidR="00724131" w:rsidRDefault="00823349">
      <w:pPr>
        <w:spacing w:before="172" w:line="280" w:lineRule="auto"/>
        <w:ind w:left="701" w:right="2007"/>
        <w:rPr>
          <w:i/>
          <w:sz w:val="20"/>
        </w:rPr>
      </w:pPr>
      <w:r>
        <w:rPr>
          <w:i/>
          <w:color w:val="231F20"/>
          <w:sz w:val="20"/>
        </w:rPr>
        <w:t xml:space="preserve">…If </w:t>
      </w:r>
      <w:r>
        <w:rPr>
          <w:i/>
          <w:color w:val="231F20"/>
          <w:spacing w:val="-3"/>
          <w:sz w:val="20"/>
        </w:rPr>
        <w:t xml:space="preserve">the issue </w:t>
      </w:r>
      <w:r>
        <w:rPr>
          <w:i/>
          <w:color w:val="231F20"/>
          <w:sz w:val="20"/>
        </w:rPr>
        <w:t xml:space="preserve">is </w:t>
      </w:r>
      <w:r>
        <w:rPr>
          <w:i/>
          <w:color w:val="231F20"/>
          <w:spacing w:val="-3"/>
          <w:sz w:val="20"/>
        </w:rPr>
        <w:t xml:space="preserve">one </w:t>
      </w:r>
      <w:r>
        <w:rPr>
          <w:i/>
          <w:color w:val="231F20"/>
          <w:sz w:val="20"/>
        </w:rPr>
        <w:t xml:space="preserve">of </w:t>
      </w:r>
      <w:r>
        <w:rPr>
          <w:i/>
          <w:color w:val="231F20"/>
          <w:spacing w:val="-3"/>
          <w:sz w:val="20"/>
        </w:rPr>
        <w:t xml:space="preserve">resourcing, </w:t>
      </w:r>
      <w:r>
        <w:rPr>
          <w:i/>
          <w:color w:val="231F20"/>
          <w:sz w:val="20"/>
        </w:rPr>
        <w:t xml:space="preserve">it is </w:t>
      </w:r>
      <w:r>
        <w:rPr>
          <w:i/>
          <w:color w:val="231F20"/>
          <w:spacing w:val="-3"/>
          <w:sz w:val="20"/>
        </w:rPr>
        <w:t xml:space="preserve">recommended additional resources </w:t>
      </w:r>
      <w:r>
        <w:rPr>
          <w:i/>
          <w:color w:val="231F20"/>
          <w:sz w:val="20"/>
        </w:rPr>
        <w:t xml:space="preserve">be </w:t>
      </w:r>
      <w:r>
        <w:rPr>
          <w:i/>
          <w:color w:val="231F20"/>
          <w:spacing w:val="-3"/>
          <w:sz w:val="20"/>
        </w:rPr>
        <w:t xml:space="preserve">engaged using the funding collected </w:t>
      </w:r>
      <w:r>
        <w:rPr>
          <w:i/>
          <w:color w:val="231F20"/>
          <w:sz w:val="20"/>
        </w:rPr>
        <w:t xml:space="preserve">from </w:t>
      </w:r>
      <w:r>
        <w:rPr>
          <w:i/>
          <w:color w:val="231F20"/>
          <w:spacing w:val="-3"/>
          <w:sz w:val="20"/>
        </w:rPr>
        <w:t xml:space="preserve">the </w:t>
      </w:r>
      <w:r>
        <w:rPr>
          <w:i/>
          <w:color w:val="231F20"/>
          <w:sz w:val="20"/>
        </w:rPr>
        <w:t xml:space="preserve">Landfill </w:t>
      </w:r>
      <w:r>
        <w:rPr>
          <w:i/>
          <w:color w:val="231F20"/>
          <w:spacing w:val="-5"/>
          <w:sz w:val="20"/>
        </w:rPr>
        <w:t xml:space="preserve">Levy. </w:t>
      </w:r>
      <w:r>
        <w:rPr>
          <w:i/>
          <w:color w:val="231F20"/>
          <w:spacing w:val="-3"/>
          <w:sz w:val="20"/>
        </w:rPr>
        <w:t xml:space="preserve">Currently the bulk </w:t>
      </w:r>
      <w:r>
        <w:rPr>
          <w:i/>
          <w:color w:val="231F20"/>
          <w:sz w:val="20"/>
        </w:rPr>
        <w:t xml:space="preserve">of </w:t>
      </w:r>
      <w:r>
        <w:rPr>
          <w:i/>
          <w:color w:val="231F20"/>
          <w:spacing w:val="-3"/>
          <w:sz w:val="20"/>
        </w:rPr>
        <w:t xml:space="preserve">the levy </w:t>
      </w:r>
      <w:r>
        <w:rPr>
          <w:i/>
          <w:color w:val="231F20"/>
          <w:spacing w:val="-4"/>
          <w:sz w:val="20"/>
        </w:rPr>
        <w:t xml:space="preserve">money </w:t>
      </w:r>
      <w:r>
        <w:rPr>
          <w:i/>
          <w:color w:val="231F20"/>
          <w:sz w:val="20"/>
        </w:rPr>
        <w:t xml:space="preserve">is </w:t>
      </w:r>
      <w:r>
        <w:rPr>
          <w:i/>
          <w:color w:val="231F20"/>
          <w:spacing w:val="-4"/>
          <w:sz w:val="20"/>
        </w:rPr>
        <w:t xml:space="preserve">kept </w:t>
      </w:r>
      <w:r>
        <w:rPr>
          <w:i/>
          <w:color w:val="231F20"/>
          <w:spacing w:val="-3"/>
          <w:sz w:val="20"/>
        </w:rPr>
        <w:t xml:space="preserve">within the </w:t>
      </w:r>
      <w:r>
        <w:rPr>
          <w:i/>
          <w:color w:val="231F20"/>
          <w:sz w:val="20"/>
        </w:rPr>
        <w:t xml:space="preserve">Department of </w:t>
      </w:r>
      <w:r>
        <w:rPr>
          <w:i/>
          <w:color w:val="231F20"/>
          <w:spacing w:val="-3"/>
          <w:sz w:val="20"/>
        </w:rPr>
        <w:t xml:space="preserve">Environment, Land, </w:t>
      </w:r>
      <w:r>
        <w:rPr>
          <w:i/>
          <w:color w:val="231F20"/>
          <w:spacing w:val="-4"/>
          <w:sz w:val="20"/>
        </w:rPr>
        <w:t xml:space="preserve">Water </w:t>
      </w:r>
      <w:r>
        <w:rPr>
          <w:i/>
          <w:color w:val="231F20"/>
          <w:spacing w:val="-3"/>
          <w:sz w:val="20"/>
        </w:rPr>
        <w:t xml:space="preserve">and Planning </w:t>
      </w:r>
      <w:r>
        <w:rPr>
          <w:i/>
          <w:color w:val="231F20"/>
          <w:spacing w:val="-4"/>
          <w:sz w:val="20"/>
        </w:rPr>
        <w:t>(DELWP)</w:t>
      </w:r>
    </w:p>
    <w:p w14:paraId="4C5E58F5" w14:textId="77777777" w:rsidR="00724131" w:rsidRDefault="00823349">
      <w:pPr>
        <w:spacing w:before="2" w:line="280" w:lineRule="auto"/>
        <w:ind w:left="701" w:right="1765"/>
        <w:rPr>
          <w:sz w:val="20"/>
        </w:rPr>
      </w:pPr>
      <w:r>
        <w:rPr>
          <w:i/>
          <w:color w:val="231F20"/>
          <w:spacing w:val="-3"/>
          <w:sz w:val="20"/>
        </w:rPr>
        <w:t xml:space="preserve">sustainability fund </w:t>
      </w:r>
      <w:r>
        <w:rPr>
          <w:i/>
          <w:color w:val="231F20"/>
          <w:sz w:val="20"/>
        </w:rPr>
        <w:t xml:space="preserve">for </w:t>
      </w:r>
      <w:r>
        <w:rPr>
          <w:i/>
          <w:color w:val="231F20"/>
          <w:spacing w:val="-3"/>
          <w:sz w:val="20"/>
        </w:rPr>
        <w:t xml:space="preserve">projects which </w:t>
      </w:r>
      <w:r>
        <w:rPr>
          <w:i/>
          <w:color w:val="231F20"/>
          <w:spacing w:val="-4"/>
          <w:sz w:val="20"/>
        </w:rPr>
        <w:t xml:space="preserve">have </w:t>
      </w:r>
      <w:r>
        <w:rPr>
          <w:i/>
          <w:color w:val="231F20"/>
          <w:sz w:val="20"/>
        </w:rPr>
        <w:t xml:space="preserve">not </w:t>
      </w:r>
      <w:r>
        <w:rPr>
          <w:i/>
          <w:color w:val="231F20"/>
          <w:spacing w:val="-3"/>
          <w:sz w:val="20"/>
        </w:rPr>
        <w:t xml:space="preserve">yet been identified. </w:t>
      </w:r>
      <w:r>
        <w:rPr>
          <w:i/>
          <w:color w:val="231F20"/>
          <w:sz w:val="20"/>
        </w:rPr>
        <w:t xml:space="preserve">WMAA </w:t>
      </w:r>
      <w:r>
        <w:rPr>
          <w:i/>
          <w:color w:val="231F20"/>
          <w:spacing w:val="-3"/>
          <w:sz w:val="20"/>
        </w:rPr>
        <w:t xml:space="preserve">would prefer that </w:t>
      </w:r>
      <w:r>
        <w:rPr>
          <w:i/>
          <w:color w:val="231F20"/>
          <w:sz w:val="20"/>
        </w:rPr>
        <w:t xml:space="preserve">a portion of </w:t>
      </w:r>
      <w:r>
        <w:rPr>
          <w:i/>
          <w:color w:val="231F20"/>
          <w:spacing w:val="-3"/>
          <w:sz w:val="20"/>
        </w:rPr>
        <w:t xml:space="preserve">this </w:t>
      </w:r>
      <w:r>
        <w:rPr>
          <w:i/>
          <w:color w:val="231F20"/>
          <w:spacing w:val="-4"/>
          <w:sz w:val="20"/>
        </w:rPr>
        <w:t xml:space="preserve">money </w:t>
      </w:r>
      <w:r>
        <w:rPr>
          <w:i/>
          <w:color w:val="231F20"/>
          <w:sz w:val="20"/>
        </w:rPr>
        <w:t xml:space="preserve">is </w:t>
      </w:r>
      <w:r>
        <w:rPr>
          <w:i/>
          <w:color w:val="231F20"/>
          <w:spacing w:val="-3"/>
          <w:sz w:val="20"/>
        </w:rPr>
        <w:t xml:space="preserve">used </w:t>
      </w:r>
      <w:r>
        <w:rPr>
          <w:i/>
          <w:color w:val="231F20"/>
          <w:sz w:val="20"/>
        </w:rPr>
        <w:t xml:space="preserve">to </w:t>
      </w:r>
      <w:r>
        <w:rPr>
          <w:i/>
          <w:color w:val="231F20"/>
          <w:spacing w:val="-3"/>
          <w:sz w:val="20"/>
        </w:rPr>
        <w:t xml:space="preserve">ensure </w:t>
      </w:r>
      <w:r>
        <w:rPr>
          <w:i/>
          <w:color w:val="231F20"/>
          <w:spacing w:val="-4"/>
          <w:sz w:val="20"/>
        </w:rPr>
        <w:t xml:space="preserve">EPA </w:t>
      </w:r>
      <w:r>
        <w:rPr>
          <w:i/>
          <w:color w:val="231F20"/>
          <w:sz w:val="20"/>
        </w:rPr>
        <w:t xml:space="preserve">is </w:t>
      </w:r>
      <w:r>
        <w:rPr>
          <w:i/>
          <w:color w:val="231F20"/>
          <w:spacing w:val="-4"/>
          <w:sz w:val="20"/>
        </w:rPr>
        <w:t xml:space="preserve">adequately </w:t>
      </w:r>
      <w:r>
        <w:rPr>
          <w:i/>
          <w:color w:val="231F20"/>
          <w:spacing w:val="-3"/>
          <w:sz w:val="20"/>
        </w:rPr>
        <w:t xml:space="preserve">resourced. </w:t>
      </w:r>
      <w:r>
        <w:rPr>
          <w:color w:val="231F20"/>
          <w:spacing w:val="-4"/>
          <w:sz w:val="20"/>
        </w:rPr>
        <w:t xml:space="preserve">(submission, p. </w:t>
      </w:r>
      <w:r>
        <w:rPr>
          <w:color w:val="231F20"/>
          <w:spacing w:val="-6"/>
          <w:sz w:val="20"/>
        </w:rPr>
        <w:t>3)</w:t>
      </w:r>
    </w:p>
    <w:p w14:paraId="5A878EE9" w14:textId="77777777" w:rsidR="00724131" w:rsidRDefault="00823349">
      <w:pPr>
        <w:pStyle w:val="BodyText"/>
        <w:spacing w:before="172" w:line="280" w:lineRule="auto"/>
        <w:ind w:left="134" w:right="1838"/>
      </w:pPr>
      <w:r>
        <w:rPr>
          <w:color w:val="58595B"/>
        </w:rPr>
        <w:t>A number of local councils argued they should receive a greater proportion of landfill levies to help fund the costs of investing in waste management and recycling, investigating and prosecuting illegal dumping offences, and rehabilitating legacy landfills. They saw the current</w:t>
      </w:r>
    </w:p>
    <w:p w14:paraId="1D826DAB" w14:textId="77777777" w:rsidR="00724131" w:rsidRDefault="00823349">
      <w:pPr>
        <w:pStyle w:val="BodyText"/>
        <w:spacing w:before="2" w:line="280" w:lineRule="auto"/>
        <w:ind w:left="134" w:right="1468"/>
      </w:pPr>
      <w:r>
        <w:rPr>
          <w:color w:val="58595B"/>
        </w:rPr>
        <w:t>use of the levy as particularly unfair on councils, because councils are the source of substantial revenue to the EPA but receive very little financial support for their own programs to reduce pollution and greenhouse gas emissions. This is particularly sensitive for councils that perceive that the EPA’s operational limitations are the cause of cost shifting to councils.</w:t>
      </w:r>
    </w:p>
    <w:p w14:paraId="2FB5F79D" w14:textId="77777777" w:rsidR="00724131" w:rsidRDefault="00724131">
      <w:pPr>
        <w:pStyle w:val="BodyText"/>
        <w:spacing w:before="4"/>
        <w:rPr>
          <w:sz w:val="22"/>
        </w:rPr>
      </w:pPr>
    </w:p>
    <w:p w14:paraId="72E9083D" w14:textId="77777777" w:rsidR="00724131" w:rsidRDefault="00823349">
      <w:pPr>
        <w:pStyle w:val="ListParagraph"/>
        <w:numPr>
          <w:ilvl w:val="2"/>
          <w:numId w:val="19"/>
        </w:numPr>
        <w:tabs>
          <w:tab w:val="left" w:pos="781"/>
        </w:tabs>
        <w:spacing w:before="0"/>
        <w:ind w:left="780" w:hanging="646"/>
        <w:jc w:val="left"/>
        <w:rPr>
          <w:sz w:val="20"/>
        </w:rPr>
      </w:pPr>
      <w:r>
        <w:rPr>
          <w:color w:val="0095A7"/>
          <w:sz w:val="20"/>
        </w:rPr>
        <w:t xml:space="preserve">DELWP and </w:t>
      </w:r>
      <w:r>
        <w:rPr>
          <w:color w:val="0095A7"/>
          <w:spacing w:val="-4"/>
          <w:sz w:val="20"/>
        </w:rPr>
        <w:t>EPA</w:t>
      </w:r>
      <w:r>
        <w:rPr>
          <w:color w:val="0095A7"/>
          <w:spacing w:val="-8"/>
          <w:sz w:val="20"/>
        </w:rPr>
        <w:t xml:space="preserve"> </w:t>
      </w:r>
      <w:r>
        <w:rPr>
          <w:color w:val="0095A7"/>
          <w:sz w:val="20"/>
        </w:rPr>
        <w:t>views</w:t>
      </w:r>
    </w:p>
    <w:p w14:paraId="70EE13ED" w14:textId="77777777" w:rsidR="00724131" w:rsidRDefault="00823349">
      <w:pPr>
        <w:pStyle w:val="BodyText"/>
        <w:spacing w:before="153" w:line="280" w:lineRule="auto"/>
        <w:ind w:left="134" w:right="1704"/>
      </w:pPr>
      <w:r>
        <w:rPr>
          <w:color w:val="58595B"/>
        </w:rPr>
        <w:t>In a joint assessment of future funding options DELWP and the EPA stated a modern regulator must be funded in a way that</w:t>
      </w:r>
    </w:p>
    <w:p w14:paraId="787F7064" w14:textId="77777777" w:rsidR="00724131" w:rsidRDefault="00823349">
      <w:pPr>
        <w:pStyle w:val="ListParagraph"/>
        <w:numPr>
          <w:ilvl w:val="0"/>
          <w:numId w:val="31"/>
        </w:numPr>
        <w:tabs>
          <w:tab w:val="left" w:pos="305"/>
        </w:tabs>
        <w:ind w:hanging="170"/>
        <w:rPr>
          <w:sz w:val="20"/>
        </w:rPr>
      </w:pPr>
      <w:r>
        <w:rPr>
          <w:color w:val="58595B"/>
          <w:sz w:val="20"/>
        </w:rPr>
        <w:t>ensures its regulatory</w:t>
      </w:r>
      <w:r>
        <w:rPr>
          <w:color w:val="58595B"/>
          <w:spacing w:val="9"/>
          <w:sz w:val="20"/>
        </w:rPr>
        <w:t xml:space="preserve"> </w:t>
      </w:r>
      <w:r>
        <w:rPr>
          <w:color w:val="58595B"/>
          <w:sz w:val="20"/>
        </w:rPr>
        <w:t>independence</w:t>
      </w:r>
    </w:p>
    <w:p w14:paraId="4C07B1ED" w14:textId="77777777" w:rsidR="00724131" w:rsidRDefault="00823349">
      <w:pPr>
        <w:pStyle w:val="ListParagraph"/>
        <w:numPr>
          <w:ilvl w:val="0"/>
          <w:numId w:val="31"/>
        </w:numPr>
        <w:tabs>
          <w:tab w:val="left" w:pos="305"/>
        </w:tabs>
        <w:spacing w:before="153"/>
        <w:ind w:hanging="170"/>
        <w:rPr>
          <w:sz w:val="20"/>
        </w:rPr>
      </w:pPr>
      <w:r>
        <w:rPr>
          <w:color w:val="58595B"/>
          <w:sz w:val="20"/>
        </w:rPr>
        <w:t>is sustainable in the long</w:t>
      </w:r>
      <w:r>
        <w:rPr>
          <w:color w:val="58595B"/>
          <w:spacing w:val="3"/>
          <w:sz w:val="20"/>
        </w:rPr>
        <w:t xml:space="preserve"> </w:t>
      </w:r>
      <w:r>
        <w:rPr>
          <w:color w:val="58595B"/>
          <w:sz w:val="20"/>
        </w:rPr>
        <w:t>term</w:t>
      </w:r>
    </w:p>
    <w:p w14:paraId="5E41A5D7" w14:textId="77777777" w:rsidR="00724131" w:rsidRDefault="00823349">
      <w:pPr>
        <w:pStyle w:val="ListParagraph"/>
        <w:numPr>
          <w:ilvl w:val="0"/>
          <w:numId w:val="31"/>
        </w:numPr>
        <w:tabs>
          <w:tab w:val="left" w:pos="305"/>
        </w:tabs>
        <w:spacing w:before="153"/>
        <w:ind w:hanging="170"/>
        <w:rPr>
          <w:sz w:val="20"/>
        </w:rPr>
      </w:pPr>
      <w:r>
        <w:rPr>
          <w:color w:val="58595B"/>
          <w:sz w:val="20"/>
        </w:rPr>
        <w:t>enables the regulator to deliver on its core</w:t>
      </w:r>
      <w:r>
        <w:rPr>
          <w:color w:val="58595B"/>
          <w:spacing w:val="5"/>
          <w:sz w:val="20"/>
        </w:rPr>
        <w:t xml:space="preserve"> </w:t>
      </w:r>
      <w:r>
        <w:rPr>
          <w:color w:val="58595B"/>
          <w:sz w:val="20"/>
        </w:rPr>
        <w:t>functions.</w:t>
      </w:r>
    </w:p>
    <w:p w14:paraId="178413A8" w14:textId="77777777" w:rsidR="00724131" w:rsidRDefault="00724131">
      <w:pPr>
        <w:pStyle w:val="BodyText"/>
        <w:spacing w:before="3"/>
        <w:rPr>
          <w:sz w:val="18"/>
        </w:rPr>
      </w:pPr>
    </w:p>
    <w:p w14:paraId="40F2D2BF" w14:textId="77777777" w:rsidR="00724131" w:rsidRDefault="00823349">
      <w:pPr>
        <w:pStyle w:val="BodyText"/>
        <w:spacing w:line="280" w:lineRule="auto"/>
        <w:ind w:left="134" w:right="1337"/>
      </w:pPr>
      <w:r>
        <w:rPr>
          <w:color w:val="58595B"/>
        </w:rPr>
        <w:t>The agencies noted ‘… inadequate or volatile funding for core services is a distraction which increases the risk to the community of unacceptable environmental practices going unchecked or inadequately monitored,’ and concluded:</w:t>
      </w:r>
    </w:p>
    <w:p w14:paraId="3E8BC480" w14:textId="77777777" w:rsidR="00724131" w:rsidRDefault="00823349">
      <w:pPr>
        <w:spacing w:before="172" w:line="280" w:lineRule="auto"/>
        <w:ind w:left="701" w:right="1911"/>
        <w:rPr>
          <w:sz w:val="11"/>
        </w:rPr>
      </w:pPr>
      <w:r>
        <w:rPr>
          <w:i/>
          <w:color w:val="231F20"/>
          <w:sz w:val="20"/>
        </w:rPr>
        <w:t>… the existing funding model is inadequate to meet the requirements of EPA’s regulatory services responsibilities and its environment protection role.</w:t>
      </w:r>
      <w:r>
        <w:rPr>
          <w:color w:val="231F20"/>
          <w:position w:val="7"/>
          <w:sz w:val="11"/>
        </w:rPr>
        <w:t>11</w:t>
      </w:r>
    </w:p>
    <w:p w14:paraId="12FE378C" w14:textId="77777777" w:rsidR="00724131" w:rsidRDefault="00724131">
      <w:pPr>
        <w:pStyle w:val="BodyText"/>
        <w:spacing w:before="1"/>
        <w:rPr>
          <w:sz w:val="19"/>
        </w:rPr>
      </w:pPr>
    </w:p>
    <w:p w14:paraId="3DA5AF8E" w14:textId="77777777" w:rsidR="00724131" w:rsidRDefault="00823349">
      <w:pPr>
        <w:pStyle w:val="Heading3"/>
        <w:numPr>
          <w:ilvl w:val="1"/>
          <w:numId w:val="16"/>
        </w:numPr>
        <w:tabs>
          <w:tab w:val="left" w:pos="712"/>
        </w:tabs>
      </w:pPr>
      <w:r>
        <w:rPr>
          <w:color w:val="0095A7"/>
        </w:rPr>
        <w:t>Funding objectives and</w:t>
      </w:r>
      <w:r>
        <w:rPr>
          <w:color w:val="0095A7"/>
          <w:spacing w:val="22"/>
        </w:rPr>
        <w:t xml:space="preserve"> </w:t>
      </w:r>
      <w:r>
        <w:rPr>
          <w:color w:val="0095A7"/>
        </w:rPr>
        <w:t>principles</w:t>
      </w:r>
    </w:p>
    <w:p w14:paraId="184CAF2F" w14:textId="77777777" w:rsidR="00724131" w:rsidRDefault="00823349">
      <w:pPr>
        <w:pStyle w:val="BodyText"/>
        <w:spacing w:before="145" w:line="280" w:lineRule="auto"/>
        <w:ind w:left="134" w:right="1337"/>
      </w:pPr>
      <w:r>
        <w:rPr>
          <w:color w:val="58595B"/>
        </w:rPr>
        <w:t>We based our proposed funding arrangements for the EPA on the following broad funding objectives and principles.</w:t>
      </w:r>
    </w:p>
    <w:p w14:paraId="50E95452" w14:textId="77777777" w:rsidR="00724131" w:rsidRDefault="00724131">
      <w:pPr>
        <w:pStyle w:val="BodyText"/>
        <w:spacing w:before="4"/>
        <w:rPr>
          <w:sz w:val="22"/>
        </w:rPr>
      </w:pPr>
    </w:p>
    <w:p w14:paraId="2254BB1D" w14:textId="77777777" w:rsidR="00724131" w:rsidRDefault="00823349">
      <w:pPr>
        <w:pStyle w:val="ListParagraph"/>
        <w:numPr>
          <w:ilvl w:val="2"/>
          <w:numId w:val="16"/>
        </w:numPr>
        <w:tabs>
          <w:tab w:val="left" w:pos="758"/>
        </w:tabs>
        <w:spacing w:before="0"/>
        <w:ind w:hanging="623"/>
        <w:jc w:val="left"/>
        <w:rPr>
          <w:sz w:val="20"/>
        </w:rPr>
      </w:pPr>
      <w:r>
        <w:rPr>
          <w:color w:val="0095A7"/>
          <w:sz w:val="20"/>
        </w:rPr>
        <w:t>Funding</w:t>
      </w:r>
      <w:r>
        <w:rPr>
          <w:color w:val="0095A7"/>
          <w:spacing w:val="-7"/>
          <w:sz w:val="20"/>
        </w:rPr>
        <w:t xml:space="preserve"> </w:t>
      </w:r>
      <w:r>
        <w:rPr>
          <w:color w:val="0095A7"/>
          <w:sz w:val="20"/>
        </w:rPr>
        <w:t>objectives</w:t>
      </w:r>
    </w:p>
    <w:p w14:paraId="279AFB8A" w14:textId="77777777" w:rsidR="00724131" w:rsidRDefault="00823349">
      <w:pPr>
        <w:pStyle w:val="BodyText"/>
        <w:spacing w:before="153" w:line="280" w:lineRule="auto"/>
        <w:ind w:left="134" w:right="1578"/>
        <w:rPr>
          <w:sz w:val="11"/>
        </w:rPr>
      </w:pPr>
      <w:r>
        <w:rPr>
          <w:color w:val="58595B"/>
        </w:rPr>
        <w:t>Future funding arrangements need to ensure both sufficient resources for the EPA to carry out its core functions and also greater year-to-year certainty about its overall operating budget. The EPA needs greater revenue certainty to deliver multi year strategies, including developing and retaining appropriate scientific capabilities. In its report for the EPA, PwC Australia identified the following objectives:</w:t>
      </w:r>
      <w:r>
        <w:rPr>
          <w:color w:val="58595B"/>
          <w:position w:val="7"/>
          <w:sz w:val="11"/>
        </w:rPr>
        <w:t>12</w:t>
      </w:r>
    </w:p>
    <w:p w14:paraId="7FB092DA" w14:textId="77777777" w:rsidR="00724131" w:rsidRDefault="00823349">
      <w:pPr>
        <w:pStyle w:val="ListParagraph"/>
        <w:numPr>
          <w:ilvl w:val="0"/>
          <w:numId w:val="31"/>
        </w:numPr>
        <w:tabs>
          <w:tab w:val="left" w:pos="305"/>
        </w:tabs>
        <w:ind w:hanging="170"/>
        <w:rPr>
          <w:sz w:val="20"/>
        </w:rPr>
      </w:pPr>
      <w:r>
        <w:rPr>
          <w:b/>
          <w:color w:val="58595B"/>
          <w:sz w:val="20"/>
        </w:rPr>
        <w:t xml:space="preserve">Sufficiency </w:t>
      </w:r>
      <w:r>
        <w:rPr>
          <w:color w:val="58595B"/>
          <w:sz w:val="20"/>
        </w:rPr>
        <w:t>– the ability of funding streams to meet operating needs</w:t>
      </w:r>
      <w:r>
        <w:rPr>
          <w:color w:val="58595B"/>
          <w:spacing w:val="29"/>
          <w:sz w:val="20"/>
        </w:rPr>
        <w:t xml:space="preserve"> </w:t>
      </w:r>
      <w:r>
        <w:rPr>
          <w:color w:val="58595B"/>
          <w:sz w:val="20"/>
        </w:rPr>
        <w:t>sufficiently</w:t>
      </w:r>
    </w:p>
    <w:p w14:paraId="33FEBE77" w14:textId="77777777" w:rsidR="00724131" w:rsidRDefault="00823349">
      <w:pPr>
        <w:pStyle w:val="ListParagraph"/>
        <w:numPr>
          <w:ilvl w:val="0"/>
          <w:numId w:val="31"/>
        </w:numPr>
        <w:tabs>
          <w:tab w:val="left" w:pos="305"/>
        </w:tabs>
        <w:spacing w:before="153"/>
        <w:ind w:hanging="170"/>
        <w:rPr>
          <w:sz w:val="20"/>
        </w:rPr>
      </w:pPr>
      <w:r>
        <w:rPr>
          <w:b/>
          <w:color w:val="58595B"/>
          <w:spacing w:val="2"/>
          <w:sz w:val="20"/>
        </w:rPr>
        <w:t xml:space="preserve">Certainty </w:t>
      </w:r>
      <w:r>
        <w:rPr>
          <w:color w:val="58595B"/>
          <w:sz w:val="20"/>
        </w:rPr>
        <w:t>– the predictability of funding streams and potential to enable planning for the</w:t>
      </w:r>
      <w:r>
        <w:rPr>
          <w:color w:val="58595B"/>
          <w:spacing w:val="4"/>
          <w:sz w:val="20"/>
        </w:rPr>
        <w:t xml:space="preserve"> </w:t>
      </w:r>
      <w:r>
        <w:rPr>
          <w:color w:val="58595B"/>
          <w:sz w:val="20"/>
        </w:rPr>
        <w:t>future</w:t>
      </w:r>
    </w:p>
    <w:p w14:paraId="4EDDAC14" w14:textId="77777777" w:rsidR="00724131" w:rsidRDefault="00823349">
      <w:pPr>
        <w:pStyle w:val="ListParagraph"/>
        <w:numPr>
          <w:ilvl w:val="0"/>
          <w:numId w:val="31"/>
        </w:numPr>
        <w:tabs>
          <w:tab w:val="left" w:pos="305"/>
        </w:tabs>
        <w:spacing w:before="153"/>
        <w:ind w:hanging="170"/>
        <w:rPr>
          <w:sz w:val="20"/>
        </w:rPr>
      </w:pPr>
      <w:r>
        <w:rPr>
          <w:b/>
          <w:color w:val="58595B"/>
          <w:sz w:val="20"/>
        </w:rPr>
        <w:t xml:space="preserve">Simplicity </w:t>
      </w:r>
      <w:r>
        <w:rPr>
          <w:color w:val="58595B"/>
          <w:sz w:val="20"/>
        </w:rPr>
        <w:t xml:space="preserve">– the cost and </w:t>
      </w:r>
      <w:r>
        <w:rPr>
          <w:color w:val="58595B"/>
          <w:spacing w:val="2"/>
          <w:sz w:val="20"/>
        </w:rPr>
        <w:t xml:space="preserve">effort </w:t>
      </w:r>
      <w:r>
        <w:rPr>
          <w:color w:val="58595B"/>
          <w:sz w:val="20"/>
        </w:rPr>
        <w:t>to administer and comply with the funding</w:t>
      </w:r>
      <w:r>
        <w:rPr>
          <w:color w:val="58595B"/>
          <w:spacing w:val="19"/>
          <w:sz w:val="20"/>
        </w:rPr>
        <w:t xml:space="preserve"> </w:t>
      </w:r>
      <w:r>
        <w:rPr>
          <w:color w:val="58595B"/>
          <w:sz w:val="20"/>
        </w:rPr>
        <w:t>model</w:t>
      </w:r>
    </w:p>
    <w:p w14:paraId="291F54BB" w14:textId="77777777" w:rsidR="00724131" w:rsidRDefault="00823349">
      <w:pPr>
        <w:pStyle w:val="ListParagraph"/>
        <w:numPr>
          <w:ilvl w:val="0"/>
          <w:numId w:val="31"/>
        </w:numPr>
        <w:tabs>
          <w:tab w:val="left" w:pos="305"/>
        </w:tabs>
        <w:spacing w:before="153" w:line="280" w:lineRule="auto"/>
        <w:ind w:right="2145" w:hanging="170"/>
        <w:rPr>
          <w:sz w:val="20"/>
        </w:rPr>
      </w:pPr>
      <w:r>
        <w:rPr>
          <w:b/>
          <w:color w:val="58595B"/>
          <w:sz w:val="20"/>
        </w:rPr>
        <w:t xml:space="preserve">Alignment of incentives and outcomes </w:t>
      </w:r>
      <w:r>
        <w:rPr>
          <w:color w:val="58595B"/>
          <w:sz w:val="20"/>
        </w:rPr>
        <w:t>– whether the model creates a conflict or has a positive/negative effect on the activities and operations of the</w:t>
      </w:r>
      <w:r>
        <w:rPr>
          <w:color w:val="58595B"/>
          <w:spacing w:val="13"/>
          <w:sz w:val="20"/>
        </w:rPr>
        <w:t xml:space="preserve"> </w:t>
      </w:r>
      <w:r>
        <w:rPr>
          <w:color w:val="58595B"/>
          <w:spacing w:val="-4"/>
          <w:sz w:val="20"/>
        </w:rPr>
        <w:t>EPA</w:t>
      </w:r>
    </w:p>
    <w:p w14:paraId="32025F21" w14:textId="77777777" w:rsidR="00724131" w:rsidRDefault="00823349">
      <w:pPr>
        <w:pStyle w:val="ListParagraph"/>
        <w:numPr>
          <w:ilvl w:val="0"/>
          <w:numId w:val="31"/>
        </w:numPr>
        <w:tabs>
          <w:tab w:val="left" w:pos="305"/>
        </w:tabs>
        <w:ind w:hanging="170"/>
        <w:rPr>
          <w:sz w:val="20"/>
        </w:rPr>
      </w:pPr>
      <w:r>
        <w:rPr>
          <w:b/>
          <w:color w:val="58595B"/>
          <w:sz w:val="20"/>
        </w:rPr>
        <w:t xml:space="preserve">Practicality </w:t>
      </w:r>
      <w:r>
        <w:rPr>
          <w:color w:val="58595B"/>
          <w:sz w:val="20"/>
        </w:rPr>
        <w:t>– ease of implementation and support from government and other</w:t>
      </w:r>
      <w:r>
        <w:rPr>
          <w:color w:val="58595B"/>
          <w:spacing w:val="32"/>
          <w:sz w:val="20"/>
        </w:rPr>
        <w:t xml:space="preserve"> </w:t>
      </w:r>
      <w:r>
        <w:rPr>
          <w:color w:val="58595B"/>
          <w:sz w:val="20"/>
        </w:rPr>
        <w:t>parties.</w:t>
      </w:r>
    </w:p>
    <w:p w14:paraId="20083C9F" w14:textId="77777777" w:rsidR="00724131" w:rsidRDefault="00724131">
      <w:pPr>
        <w:rPr>
          <w:sz w:val="20"/>
        </w:rPr>
        <w:sectPr w:rsidR="00724131">
          <w:pgSz w:w="11910" w:h="16840"/>
          <w:pgMar w:top="980" w:right="0" w:bottom="280" w:left="1680" w:header="788" w:footer="0" w:gutter="0"/>
          <w:cols w:space="720"/>
        </w:sectPr>
      </w:pPr>
    </w:p>
    <w:p w14:paraId="770A6C1C" w14:textId="77777777" w:rsidR="00724131" w:rsidRDefault="00724131">
      <w:pPr>
        <w:pStyle w:val="BodyText"/>
      </w:pPr>
    </w:p>
    <w:p w14:paraId="65E271E5" w14:textId="77777777" w:rsidR="00724131" w:rsidRDefault="00724131">
      <w:pPr>
        <w:pStyle w:val="BodyText"/>
      </w:pPr>
    </w:p>
    <w:p w14:paraId="3B38449E" w14:textId="77777777" w:rsidR="00724131" w:rsidRDefault="00724131">
      <w:pPr>
        <w:pStyle w:val="BodyText"/>
      </w:pPr>
    </w:p>
    <w:p w14:paraId="78AD46D9" w14:textId="77777777" w:rsidR="00724131" w:rsidRDefault="00724131">
      <w:pPr>
        <w:pStyle w:val="BodyText"/>
      </w:pPr>
    </w:p>
    <w:p w14:paraId="2A83F0CA" w14:textId="77777777" w:rsidR="00724131" w:rsidRDefault="00724131">
      <w:pPr>
        <w:pStyle w:val="BodyText"/>
        <w:spacing w:before="8"/>
        <w:rPr>
          <w:sz w:val="17"/>
        </w:rPr>
      </w:pPr>
    </w:p>
    <w:p w14:paraId="22B935E6" w14:textId="77777777" w:rsidR="00724131" w:rsidRDefault="00823349">
      <w:pPr>
        <w:pStyle w:val="BodyText"/>
        <w:spacing w:before="1" w:line="280" w:lineRule="auto"/>
        <w:ind w:left="1417" w:right="1244"/>
      </w:pPr>
      <w:r>
        <w:rPr>
          <w:color w:val="58595B"/>
        </w:rPr>
        <w:t>The EPA and DELWP identified a similar set of criteria but added ’independence’ and ‘stakeholder confidence and acceptance’.</w:t>
      </w:r>
    </w:p>
    <w:p w14:paraId="36557B18" w14:textId="77777777" w:rsidR="00724131" w:rsidRDefault="00724131">
      <w:pPr>
        <w:pStyle w:val="BodyText"/>
        <w:spacing w:before="4"/>
        <w:rPr>
          <w:sz w:val="22"/>
        </w:rPr>
      </w:pPr>
    </w:p>
    <w:p w14:paraId="08600696" w14:textId="77777777" w:rsidR="00724131" w:rsidRDefault="00823349">
      <w:pPr>
        <w:pStyle w:val="ListParagraph"/>
        <w:numPr>
          <w:ilvl w:val="2"/>
          <w:numId w:val="16"/>
        </w:numPr>
        <w:tabs>
          <w:tab w:val="left" w:pos="2064"/>
        </w:tabs>
        <w:spacing w:before="0"/>
        <w:ind w:left="2063" w:hanging="646"/>
        <w:jc w:val="left"/>
        <w:rPr>
          <w:sz w:val="20"/>
        </w:rPr>
      </w:pPr>
      <w:r>
        <w:rPr>
          <w:color w:val="0095A7"/>
          <w:sz w:val="20"/>
        </w:rPr>
        <w:t>Best practice principles for funding regulatory</w:t>
      </w:r>
      <w:r>
        <w:rPr>
          <w:color w:val="0095A7"/>
          <w:spacing w:val="22"/>
          <w:sz w:val="20"/>
        </w:rPr>
        <w:t xml:space="preserve"> </w:t>
      </w:r>
      <w:r>
        <w:rPr>
          <w:color w:val="0095A7"/>
          <w:sz w:val="20"/>
        </w:rPr>
        <w:t>agencies</w:t>
      </w:r>
    </w:p>
    <w:p w14:paraId="66E96B2D" w14:textId="77777777" w:rsidR="00724131" w:rsidRDefault="00823349">
      <w:pPr>
        <w:pStyle w:val="BodyText"/>
        <w:spacing w:before="153" w:line="280" w:lineRule="auto"/>
        <w:ind w:left="1417" w:right="228"/>
      </w:pPr>
      <w:r>
        <w:rPr>
          <w:color w:val="58595B"/>
        </w:rPr>
        <w:t>Department of Treasury and Finance (DTF) cost recovery guidelines set out criteria for determining the most appropriate source of funding for different types of government activity (table 21.3). Relevant elements of the guidelines support the case for:</w:t>
      </w:r>
    </w:p>
    <w:p w14:paraId="23C19084" w14:textId="77777777" w:rsidR="00724131" w:rsidRDefault="00823349">
      <w:pPr>
        <w:pStyle w:val="ListParagraph"/>
        <w:numPr>
          <w:ilvl w:val="0"/>
          <w:numId w:val="15"/>
        </w:numPr>
        <w:tabs>
          <w:tab w:val="left" w:pos="1588"/>
        </w:tabs>
        <w:spacing w:line="280" w:lineRule="auto"/>
        <w:ind w:right="414" w:hanging="170"/>
        <w:rPr>
          <w:sz w:val="20"/>
        </w:rPr>
      </w:pPr>
      <w:r>
        <w:rPr>
          <w:color w:val="58595B"/>
          <w:sz w:val="20"/>
        </w:rPr>
        <w:t>taxpayer funding of public good type activities (for the EPA, this might include basic scientific research and general environmental monitoring and reporting functions that cannot be attributed to particular firms or</w:t>
      </w:r>
      <w:r>
        <w:rPr>
          <w:color w:val="58595B"/>
          <w:spacing w:val="16"/>
          <w:sz w:val="20"/>
        </w:rPr>
        <w:t xml:space="preserve"> </w:t>
      </w:r>
      <w:r>
        <w:rPr>
          <w:color w:val="58595B"/>
          <w:sz w:val="20"/>
        </w:rPr>
        <w:t>industries)</w:t>
      </w:r>
    </w:p>
    <w:p w14:paraId="53D1D265" w14:textId="77777777" w:rsidR="00724131" w:rsidRDefault="00823349">
      <w:pPr>
        <w:pStyle w:val="ListParagraph"/>
        <w:numPr>
          <w:ilvl w:val="0"/>
          <w:numId w:val="15"/>
        </w:numPr>
        <w:tabs>
          <w:tab w:val="left" w:pos="1588"/>
        </w:tabs>
        <w:spacing w:line="280" w:lineRule="auto"/>
        <w:ind w:right="714" w:hanging="170"/>
        <w:rPr>
          <w:sz w:val="20"/>
        </w:rPr>
      </w:pPr>
      <w:r>
        <w:rPr>
          <w:color w:val="58595B"/>
          <w:sz w:val="20"/>
        </w:rPr>
        <w:t>cost recovery of private goods (for the EPA, examples might include works approvals and environmental</w:t>
      </w:r>
      <w:r>
        <w:rPr>
          <w:color w:val="58595B"/>
          <w:spacing w:val="-16"/>
          <w:sz w:val="20"/>
        </w:rPr>
        <w:t xml:space="preserve"> </w:t>
      </w:r>
      <w:r>
        <w:rPr>
          <w:color w:val="58595B"/>
          <w:sz w:val="20"/>
        </w:rPr>
        <w:t>audits)</w:t>
      </w:r>
    </w:p>
    <w:p w14:paraId="3381609B" w14:textId="77777777" w:rsidR="00724131" w:rsidRDefault="00823349">
      <w:pPr>
        <w:pStyle w:val="ListParagraph"/>
        <w:numPr>
          <w:ilvl w:val="0"/>
          <w:numId w:val="15"/>
        </w:numPr>
        <w:tabs>
          <w:tab w:val="left" w:pos="1588"/>
        </w:tabs>
        <w:spacing w:line="280" w:lineRule="auto"/>
        <w:ind w:right="541" w:hanging="170"/>
        <w:rPr>
          <w:sz w:val="20"/>
        </w:rPr>
      </w:pPr>
      <w:r>
        <w:rPr>
          <w:color w:val="58595B"/>
          <w:sz w:val="20"/>
        </w:rPr>
        <w:t xml:space="preserve">cost recovery of regulatory activities associated with controlling negative externalities, such as pollution (such as the </w:t>
      </w:r>
      <w:r>
        <w:rPr>
          <w:color w:val="58595B"/>
          <w:spacing w:val="-7"/>
          <w:sz w:val="20"/>
        </w:rPr>
        <w:t xml:space="preserve">EPA’s </w:t>
      </w:r>
      <w:r>
        <w:rPr>
          <w:color w:val="58595B"/>
          <w:sz w:val="20"/>
        </w:rPr>
        <w:t>licence</w:t>
      </w:r>
      <w:r>
        <w:rPr>
          <w:color w:val="58595B"/>
          <w:spacing w:val="16"/>
          <w:sz w:val="20"/>
        </w:rPr>
        <w:t xml:space="preserve"> </w:t>
      </w:r>
      <w:r>
        <w:rPr>
          <w:color w:val="58595B"/>
          <w:spacing w:val="-3"/>
          <w:sz w:val="20"/>
        </w:rPr>
        <w:t>fees).</w:t>
      </w:r>
    </w:p>
    <w:p w14:paraId="0563F414" w14:textId="77777777" w:rsidR="00724131" w:rsidRDefault="00724131">
      <w:pPr>
        <w:pStyle w:val="BodyText"/>
        <w:spacing w:before="4"/>
        <w:rPr>
          <w:sz w:val="17"/>
        </w:rPr>
      </w:pPr>
    </w:p>
    <w:p w14:paraId="6697479B" w14:textId="77777777" w:rsidR="00724131" w:rsidRDefault="00823349">
      <w:pPr>
        <w:pStyle w:val="BodyText"/>
        <w:spacing w:before="1" w:line="280" w:lineRule="auto"/>
        <w:ind w:left="1417" w:right="2392"/>
      </w:pPr>
      <w:r>
        <w:rPr>
          <w:b/>
          <w:color w:val="0095A7"/>
        </w:rPr>
        <w:t xml:space="preserve">TABLE 21.3: </w:t>
      </w:r>
      <w:r>
        <w:rPr>
          <w:color w:val="0095A7"/>
        </w:rPr>
        <w:t>TYPES OF GOODS, GOVERNMENT REGULATION AND CHARGING CONSIDERATIONS</w:t>
      </w:r>
    </w:p>
    <w:p w14:paraId="54A2E2D1" w14:textId="77777777" w:rsidR="00724131" w:rsidRDefault="00724131">
      <w:pPr>
        <w:pStyle w:val="BodyText"/>
        <w:spacing w:before="2"/>
        <w:rPr>
          <w:sz w:val="15"/>
        </w:rPr>
      </w:pPr>
    </w:p>
    <w:tbl>
      <w:tblPr>
        <w:tblW w:w="0" w:type="auto"/>
        <w:tblInd w:w="1417"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3487"/>
        <w:gridCol w:w="1641"/>
        <w:gridCol w:w="3546"/>
      </w:tblGrid>
      <w:tr w:rsidR="00724131" w14:paraId="0D9DFFCE" w14:textId="77777777">
        <w:trPr>
          <w:trHeight w:hRule="exact" w:val="358"/>
        </w:trPr>
        <w:tc>
          <w:tcPr>
            <w:tcW w:w="3487" w:type="dxa"/>
            <w:shd w:val="clear" w:color="auto" w:fill="89BFCB"/>
          </w:tcPr>
          <w:p w14:paraId="07E46025" w14:textId="77777777" w:rsidR="00724131" w:rsidRDefault="00823349">
            <w:pPr>
              <w:pStyle w:val="TableParagraph"/>
              <w:spacing w:before="75"/>
              <w:ind w:left="56" w:right="318"/>
              <w:rPr>
                <w:sz w:val="18"/>
              </w:rPr>
            </w:pPr>
            <w:r>
              <w:rPr>
                <w:color w:val="FFFFFF"/>
                <w:sz w:val="18"/>
              </w:rPr>
              <w:t>Description</w:t>
            </w:r>
          </w:p>
        </w:tc>
        <w:tc>
          <w:tcPr>
            <w:tcW w:w="1641" w:type="dxa"/>
            <w:shd w:val="clear" w:color="auto" w:fill="89BFCB"/>
          </w:tcPr>
          <w:p w14:paraId="5F49145A" w14:textId="77777777" w:rsidR="00724131" w:rsidRDefault="00823349">
            <w:pPr>
              <w:pStyle w:val="TableParagraph"/>
              <w:spacing w:before="75"/>
              <w:ind w:left="85" w:right="185"/>
              <w:rPr>
                <w:sz w:val="18"/>
              </w:rPr>
            </w:pPr>
            <w:r>
              <w:rPr>
                <w:color w:val="FFFFFF"/>
                <w:sz w:val="18"/>
              </w:rPr>
              <w:t>Examples</w:t>
            </w:r>
          </w:p>
        </w:tc>
        <w:tc>
          <w:tcPr>
            <w:tcW w:w="3546" w:type="dxa"/>
            <w:shd w:val="clear" w:color="auto" w:fill="89BFCB"/>
          </w:tcPr>
          <w:p w14:paraId="119EA148" w14:textId="77777777" w:rsidR="00724131" w:rsidRDefault="00823349">
            <w:pPr>
              <w:pStyle w:val="TableParagraph"/>
              <w:spacing w:before="75"/>
              <w:ind w:left="88" w:right="16"/>
              <w:rPr>
                <w:sz w:val="18"/>
              </w:rPr>
            </w:pPr>
            <w:r>
              <w:rPr>
                <w:color w:val="FFFFFF"/>
                <w:sz w:val="18"/>
              </w:rPr>
              <w:t>Charging considerations</w:t>
            </w:r>
          </w:p>
        </w:tc>
      </w:tr>
      <w:tr w:rsidR="00724131" w14:paraId="70BDBD64" w14:textId="77777777">
        <w:trPr>
          <w:trHeight w:hRule="exact" w:val="2172"/>
        </w:trPr>
        <w:tc>
          <w:tcPr>
            <w:tcW w:w="3487" w:type="dxa"/>
            <w:tcBorders>
              <w:bottom w:val="single" w:sz="2" w:space="0" w:color="939598"/>
            </w:tcBorders>
          </w:tcPr>
          <w:p w14:paraId="016B419B" w14:textId="77777777" w:rsidR="00724131" w:rsidRDefault="00823349">
            <w:pPr>
              <w:pStyle w:val="TableParagraph"/>
              <w:spacing w:before="44" w:line="254" w:lineRule="auto"/>
              <w:ind w:left="56" w:right="318"/>
              <w:rPr>
                <w:sz w:val="18"/>
              </w:rPr>
            </w:pPr>
            <w:r>
              <w:rPr>
                <w:color w:val="58595B"/>
                <w:sz w:val="18"/>
              </w:rPr>
              <w:t>‘Pure’ public goods display the following characteristics:</w:t>
            </w:r>
          </w:p>
          <w:p w14:paraId="0AC07A87" w14:textId="77777777" w:rsidR="00724131" w:rsidRDefault="00823349">
            <w:pPr>
              <w:pStyle w:val="TableParagraph"/>
              <w:numPr>
                <w:ilvl w:val="0"/>
                <w:numId w:val="14"/>
              </w:numPr>
              <w:tabs>
                <w:tab w:val="left" w:pos="284"/>
              </w:tabs>
              <w:spacing w:before="57" w:line="254" w:lineRule="auto"/>
              <w:ind w:right="117"/>
              <w:rPr>
                <w:sz w:val="18"/>
              </w:rPr>
            </w:pPr>
            <w:r>
              <w:rPr>
                <w:color w:val="58595B"/>
                <w:sz w:val="18"/>
              </w:rPr>
              <w:t>they are non excludable, which means that anyone can have access to them once they are provided,</w:t>
            </w:r>
            <w:r>
              <w:rPr>
                <w:color w:val="58595B"/>
                <w:spacing w:val="7"/>
                <w:sz w:val="18"/>
              </w:rPr>
              <w:t xml:space="preserve"> </w:t>
            </w:r>
            <w:r>
              <w:rPr>
                <w:color w:val="58595B"/>
                <w:sz w:val="18"/>
              </w:rPr>
              <w:t>and</w:t>
            </w:r>
          </w:p>
          <w:p w14:paraId="15294EC2" w14:textId="77777777" w:rsidR="00724131" w:rsidRDefault="00823349">
            <w:pPr>
              <w:pStyle w:val="TableParagraph"/>
              <w:numPr>
                <w:ilvl w:val="0"/>
                <w:numId w:val="14"/>
              </w:numPr>
              <w:tabs>
                <w:tab w:val="left" w:pos="284"/>
              </w:tabs>
              <w:spacing w:before="57" w:line="254" w:lineRule="auto"/>
              <w:ind w:right="83"/>
              <w:rPr>
                <w:sz w:val="18"/>
              </w:rPr>
            </w:pPr>
            <w:r>
              <w:rPr>
                <w:color w:val="58595B"/>
                <w:sz w:val="18"/>
              </w:rPr>
              <w:t>they are non rivalrous, which means that any person can benefit from them, without diminishing anyone else’s enjoyment.</w:t>
            </w:r>
          </w:p>
        </w:tc>
        <w:tc>
          <w:tcPr>
            <w:tcW w:w="1641" w:type="dxa"/>
            <w:tcBorders>
              <w:bottom w:val="single" w:sz="2" w:space="0" w:color="939598"/>
            </w:tcBorders>
          </w:tcPr>
          <w:p w14:paraId="6CBF32EA" w14:textId="77777777" w:rsidR="00724131" w:rsidRDefault="00823349">
            <w:pPr>
              <w:pStyle w:val="TableParagraph"/>
              <w:spacing w:before="44" w:line="451" w:lineRule="auto"/>
              <w:ind w:left="85" w:right="185"/>
              <w:rPr>
                <w:sz w:val="18"/>
              </w:rPr>
            </w:pPr>
            <w:r>
              <w:rPr>
                <w:color w:val="58595B"/>
                <w:sz w:val="18"/>
              </w:rPr>
              <w:t>National defence Street lighting</w:t>
            </w:r>
          </w:p>
        </w:tc>
        <w:tc>
          <w:tcPr>
            <w:tcW w:w="3546" w:type="dxa"/>
            <w:tcBorders>
              <w:bottom w:val="single" w:sz="2" w:space="0" w:color="939598"/>
            </w:tcBorders>
          </w:tcPr>
          <w:p w14:paraId="7E1139AC" w14:textId="77777777" w:rsidR="00724131" w:rsidRDefault="00823349">
            <w:pPr>
              <w:pStyle w:val="TableParagraph"/>
              <w:spacing w:before="44" w:line="254" w:lineRule="auto"/>
              <w:ind w:left="88" w:right="16"/>
              <w:rPr>
                <w:sz w:val="18"/>
              </w:rPr>
            </w:pPr>
            <w:r>
              <w:rPr>
                <w:color w:val="58595B"/>
                <w:sz w:val="18"/>
              </w:rPr>
              <w:t>Given the wide ranging and non exclusive nature of the benefits, there is a strong case for funding pure public goods</w:t>
            </w:r>
          </w:p>
          <w:p w14:paraId="75DE6B0D" w14:textId="77777777" w:rsidR="00724131" w:rsidRDefault="00823349">
            <w:pPr>
              <w:pStyle w:val="TableParagraph"/>
              <w:spacing w:before="1" w:line="254" w:lineRule="auto"/>
              <w:ind w:left="88" w:right="16"/>
              <w:rPr>
                <w:sz w:val="18"/>
              </w:rPr>
            </w:pPr>
            <w:r>
              <w:rPr>
                <w:color w:val="58595B"/>
                <w:sz w:val="18"/>
              </w:rPr>
              <w:t>from the community as a whole through general taxation.</w:t>
            </w:r>
          </w:p>
        </w:tc>
      </w:tr>
      <w:tr w:rsidR="00724131" w14:paraId="32C7201E" w14:textId="77777777">
        <w:trPr>
          <w:trHeight w:hRule="exact" w:val="2671"/>
        </w:trPr>
        <w:tc>
          <w:tcPr>
            <w:tcW w:w="3487" w:type="dxa"/>
            <w:tcBorders>
              <w:top w:val="single" w:sz="2" w:space="0" w:color="939598"/>
              <w:bottom w:val="single" w:sz="2" w:space="0" w:color="939598"/>
            </w:tcBorders>
          </w:tcPr>
          <w:p w14:paraId="3A17A648" w14:textId="77777777" w:rsidR="00724131" w:rsidRDefault="00823349">
            <w:pPr>
              <w:pStyle w:val="TableParagraph"/>
              <w:spacing w:before="44" w:line="254" w:lineRule="auto"/>
              <w:ind w:left="56" w:right="99"/>
              <w:jc w:val="both"/>
              <w:rPr>
                <w:sz w:val="18"/>
              </w:rPr>
            </w:pPr>
            <w:r>
              <w:rPr>
                <w:color w:val="58595B"/>
                <w:sz w:val="18"/>
              </w:rPr>
              <w:t>‘Selective’ public goods are public goods that benefit specific groups. For example, the groups may be differentiated by:</w:t>
            </w:r>
          </w:p>
          <w:p w14:paraId="3852E2DC" w14:textId="77777777" w:rsidR="00724131" w:rsidRDefault="00823349">
            <w:pPr>
              <w:pStyle w:val="TableParagraph"/>
              <w:numPr>
                <w:ilvl w:val="0"/>
                <w:numId w:val="13"/>
              </w:numPr>
              <w:tabs>
                <w:tab w:val="left" w:pos="284"/>
              </w:tabs>
              <w:spacing w:before="57" w:line="254" w:lineRule="auto"/>
              <w:ind w:right="593"/>
              <w:rPr>
                <w:sz w:val="18"/>
              </w:rPr>
            </w:pPr>
            <w:r>
              <w:rPr>
                <w:color w:val="58595B"/>
                <w:sz w:val="18"/>
              </w:rPr>
              <w:t xml:space="preserve">area of interest </w:t>
            </w:r>
            <w:r>
              <w:rPr>
                <w:color w:val="58595B"/>
                <w:spacing w:val="-3"/>
                <w:sz w:val="18"/>
              </w:rPr>
              <w:t xml:space="preserve">(e.g. </w:t>
            </w:r>
            <w:r>
              <w:rPr>
                <w:color w:val="58595B"/>
                <w:sz w:val="18"/>
              </w:rPr>
              <w:t>all Victorian beef producers), or</w:t>
            </w:r>
          </w:p>
          <w:p w14:paraId="5ED5EF6E" w14:textId="77777777" w:rsidR="00724131" w:rsidRDefault="00823349">
            <w:pPr>
              <w:pStyle w:val="TableParagraph"/>
              <w:numPr>
                <w:ilvl w:val="0"/>
                <w:numId w:val="13"/>
              </w:numPr>
              <w:tabs>
                <w:tab w:val="left" w:pos="284"/>
              </w:tabs>
              <w:spacing w:before="57" w:line="254" w:lineRule="auto"/>
              <w:ind w:right="253"/>
              <w:rPr>
                <w:sz w:val="18"/>
              </w:rPr>
            </w:pPr>
            <w:r>
              <w:rPr>
                <w:color w:val="58595B"/>
                <w:sz w:val="18"/>
              </w:rPr>
              <w:t xml:space="preserve">geographical region </w:t>
            </w:r>
            <w:r>
              <w:rPr>
                <w:color w:val="58595B"/>
                <w:spacing w:val="-3"/>
                <w:sz w:val="18"/>
              </w:rPr>
              <w:t xml:space="preserve">(e.g. </w:t>
            </w:r>
            <w:r>
              <w:rPr>
                <w:color w:val="58595B"/>
                <w:sz w:val="18"/>
              </w:rPr>
              <w:t>wine grape growers in the Yarra</w:t>
            </w:r>
            <w:r>
              <w:rPr>
                <w:color w:val="58595B"/>
                <w:spacing w:val="-15"/>
                <w:sz w:val="18"/>
              </w:rPr>
              <w:t xml:space="preserve"> </w:t>
            </w:r>
            <w:r>
              <w:rPr>
                <w:color w:val="58595B"/>
                <w:sz w:val="18"/>
              </w:rPr>
              <w:t>Valley).</w:t>
            </w:r>
          </w:p>
        </w:tc>
        <w:tc>
          <w:tcPr>
            <w:tcW w:w="1641" w:type="dxa"/>
            <w:tcBorders>
              <w:top w:val="single" w:sz="2" w:space="0" w:color="939598"/>
              <w:bottom w:val="single" w:sz="2" w:space="0" w:color="939598"/>
            </w:tcBorders>
          </w:tcPr>
          <w:p w14:paraId="504F432D" w14:textId="77777777" w:rsidR="00724131" w:rsidRDefault="00823349">
            <w:pPr>
              <w:pStyle w:val="TableParagraph"/>
              <w:spacing w:before="44"/>
              <w:ind w:left="85" w:right="185"/>
              <w:rPr>
                <w:sz w:val="18"/>
              </w:rPr>
            </w:pPr>
            <w:r>
              <w:rPr>
                <w:color w:val="58595B"/>
                <w:sz w:val="18"/>
              </w:rPr>
              <w:t>Basic</w:t>
            </w:r>
          </w:p>
          <w:p w14:paraId="0BD0E4A0" w14:textId="77777777" w:rsidR="00724131" w:rsidRDefault="00823349">
            <w:pPr>
              <w:pStyle w:val="TableParagraph"/>
              <w:spacing w:before="13"/>
              <w:ind w:left="85" w:right="85"/>
              <w:rPr>
                <w:sz w:val="18"/>
              </w:rPr>
            </w:pPr>
            <w:r>
              <w:rPr>
                <w:color w:val="58595B"/>
                <w:sz w:val="18"/>
              </w:rPr>
              <w:t>strategic research</w:t>
            </w:r>
          </w:p>
          <w:p w14:paraId="67DF8858" w14:textId="77777777" w:rsidR="00724131" w:rsidRDefault="00724131">
            <w:pPr>
              <w:pStyle w:val="TableParagraph"/>
              <w:spacing w:before="10"/>
              <w:rPr>
                <w:sz w:val="15"/>
              </w:rPr>
            </w:pPr>
          </w:p>
          <w:p w14:paraId="057E76FB" w14:textId="77777777" w:rsidR="00724131" w:rsidRDefault="00823349">
            <w:pPr>
              <w:pStyle w:val="TableParagraph"/>
              <w:spacing w:before="0" w:line="254" w:lineRule="auto"/>
              <w:ind w:left="85" w:right="85"/>
              <w:rPr>
                <w:sz w:val="18"/>
              </w:rPr>
            </w:pPr>
            <w:r>
              <w:rPr>
                <w:color w:val="58595B"/>
                <w:sz w:val="18"/>
              </w:rPr>
              <w:t>Development of new crop varieties</w:t>
            </w:r>
          </w:p>
        </w:tc>
        <w:tc>
          <w:tcPr>
            <w:tcW w:w="3546" w:type="dxa"/>
            <w:tcBorders>
              <w:top w:val="single" w:sz="2" w:space="0" w:color="939598"/>
              <w:bottom w:val="single" w:sz="2" w:space="0" w:color="939598"/>
            </w:tcBorders>
          </w:tcPr>
          <w:p w14:paraId="5FA73AF2" w14:textId="77777777" w:rsidR="00724131" w:rsidRDefault="00823349">
            <w:pPr>
              <w:pStyle w:val="TableParagraph"/>
              <w:spacing w:before="44" w:line="254" w:lineRule="auto"/>
              <w:ind w:left="88" w:right="16"/>
              <w:rPr>
                <w:sz w:val="18"/>
              </w:rPr>
            </w:pPr>
            <w:r>
              <w:rPr>
                <w:color w:val="58595B"/>
                <w:sz w:val="18"/>
              </w:rPr>
              <w:t>A number of policy initiatives have been introduced to enable these type of public goods to be funded by the beneficiaries</w:t>
            </w:r>
          </w:p>
          <w:p w14:paraId="2D8D45DC" w14:textId="77777777" w:rsidR="00724131" w:rsidRDefault="00823349">
            <w:pPr>
              <w:pStyle w:val="TableParagraph"/>
              <w:spacing w:before="1" w:line="254" w:lineRule="auto"/>
              <w:ind w:left="88" w:right="16"/>
              <w:rPr>
                <w:sz w:val="18"/>
              </w:rPr>
            </w:pPr>
            <w:r>
              <w:rPr>
                <w:color w:val="58595B"/>
                <w:sz w:val="18"/>
              </w:rPr>
              <w:t>– e.g. legislation that allows compulsory levies to be introduced on identifiable groups that benefit from research</w:t>
            </w:r>
          </w:p>
          <w:p w14:paraId="1FBDCAA3" w14:textId="77777777" w:rsidR="00724131" w:rsidRDefault="00823349">
            <w:pPr>
              <w:pStyle w:val="TableParagraph"/>
              <w:spacing w:before="1"/>
              <w:ind w:left="88" w:right="16"/>
              <w:rPr>
                <w:sz w:val="18"/>
              </w:rPr>
            </w:pPr>
            <w:r>
              <w:rPr>
                <w:color w:val="58595B"/>
                <w:sz w:val="18"/>
              </w:rPr>
              <w:t>and development.</w:t>
            </w:r>
          </w:p>
          <w:p w14:paraId="4F138E27" w14:textId="77777777" w:rsidR="00724131" w:rsidRDefault="00724131">
            <w:pPr>
              <w:pStyle w:val="TableParagraph"/>
              <w:spacing w:before="10"/>
              <w:rPr>
                <w:sz w:val="15"/>
              </w:rPr>
            </w:pPr>
          </w:p>
          <w:p w14:paraId="3C415E30" w14:textId="77777777" w:rsidR="00724131" w:rsidRDefault="00823349">
            <w:pPr>
              <w:pStyle w:val="TableParagraph"/>
              <w:spacing w:before="0" w:line="254" w:lineRule="auto"/>
              <w:ind w:left="88" w:right="150"/>
              <w:jc w:val="both"/>
              <w:rPr>
                <w:sz w:val="18"/>
              </w:rPr>
            </w:pPr>
            <w:r>
              <w:rPr>
                <w:color w:val="58595B"/>
                <w:sz w:val="18"/>
              </w:rPr>
              <w:t>Funds may come from the budgets of the government departments responsible for the relevant activity/benefit group, where there are external benefits to society.</w:t>
            </w:r>
          </w:p>
        </w:tc>
      </w:tr>
      <w:tr w:rsidR="00724131" w14:paraId="6DFC2D58" w14:textId="77777777">
        <w:trPr>
          <w:trHeight w:hRule="exact" w:val="2451"/>
        </w:trPr>
        <w:tc>
          <w:tcPr>
            <w:tcW w:w="3487" w:type="dxa"/>
            <w:tcBorders>
              <w:top w:val="single" w:sz="2" w:space="0" w:color="939598"/>
              <w:bottom w:val="single" w:sz="2" w:space="0" w:color="939598"/>
            </w:tcBorders>
          </w:tcPr>
          <w:p w14:paraId="1C280015" w14:textId="77777777" w:rsidR="00724131" w:rsidRDefault="00823349">
            <w:pPr>
              <w:pStyle w:val="TableParagraph"/>
              <w:spacing w:before="44" w:line="254" w:lineRule="auto"/>
              <w:ind w:left="56" w:right="68"/>
              <w:rPr>
                <w:sz w:val="18"/>
              </w:rPr>
            </w:pPr>
            <w:r>
              <w:rPr>
                <w:color w:val="58595B"/>
                <w:sz w:val="18"/>
              </w:rPr>
              <w:t>Club goods are those where people can be excluded from its benefits at low cost (unlike a public good) but its use by one person (within the ‘club’) does not detract from its use by another (at least until congestion becomes an issue).</w:t>
            </w:r>
          </w:p>
          <w:p w14:paraId="4597EFA8" w14:textId="77777777" w:rsidR="00724131" w:rsidRDefault="00724131">
            <w:pPr>
              <w:pStyle w:val="TableParagraph"/>
              <w:spacing w:before="10"/>
              <w:rPr>
                <w:sz w:val="14"/>
              </w:rPr>
            </w:pPr>
          </w:p>
          <w:p w14:paraId="70D1EB8D" w14:textId="77777777" w:rsidR="00724131" w:rsidRDefault="00823349">
            <w:pPr>
              <w:pStyle w:val="TableParagraph"/>
              <w:spacing w:before="0" w:line="254" w:lineRule="auto"/>
              <w:ind w:left="56" w:right="218"/>
              <w:rPr>
                <w:sz w:val="18"/>
              </w:rPr>
            </w:pPr>
            <w:r>
              <w:rPr>
                <w:color w:val="58595B"/>
                <w:sz w:val="18"/>
              </w:rPr>
              <w:t>The key difference between a club good and (selective) public goods is that the ability to exclude implies the feasibility  of charging for</w:t>
            </w:r>
            <w:r>
              <w:rPr>
                <w:color w:val="58595B"/>
                <w:spacing w:val="5"/>
                <w:sz w:val="18"/>
              </w:rPr>
              <w:t xml:space="preserve"> </w:t>
            </w:r>
            <w:r>
              <w:rPr>
                <w:color w:val="58595B"/>
                <w:sz w:val="18"/>
              </w:rPr>
              <w:t>use.</w:t>
            </w:r>
          </w:p>
        </w:tc>
        <w:tc>
          <w:tcPr>
            <w:tcW w:w="1641" w:type="dxa"/>
            <w:tcBorders>
              <w:top w:val="single" w:sz="2" w:space="0" w:color="939598"/>
              <w:bottom w:val="single" w:sz="2" w:space="0" w:color="939598"/>
            </w:tcBorders>
          </w:tcPr>
          <w:p w14:paraId="4046732A" w14:textId="77777777" w:rsidR="00724131" w:rsidRDefault="00823349">
            <w:pPr>
              <w:pStyle w:val="TableParagraph"/>
              <w:spacing w:before="44"/>
              <w:ind w:left="85" w:right="185"/>
              <w:rPr>
                <w:sz w:val="18"/>
              </w:rPr>
            </w:pPr>
            <w:r>
              <w:rPr>
                <w:color w:val="58595B"/>
                <w:sz w:val="18"/>
              </w:rPr>
              <w:t>Cable television</w:t>
            </w:r>
          </w:p>
          <w:p w14:paraId="69BCDE4F" w14:textId="77777777" w:rsidR="00724131" w:rsidRDefault="00724131">
            <w:pPr>
              <w:pStyle w:val="TableParagraph"/>
              <w:spacing w:before="10"/>
              <w:rPr>
                <w:sz w:val="15"/>
              </w:rPr>
            </w:pPr>
          </w:p>
          <w:p w14:paraId="0DA9648E" w14:textId="77777777" w:rsidR="00724131" w:rsidRDefault="00823349">
            <w:pPr>
              <w:pStyle w:val="TableParagraph"/>
              <w:spacing w:before="0"/>
              <w:ind w:left="85" w:right="185"/>
              <w:rPr>
                <w:sz w:val="18"/>
              </w:rPr>
            </w:pPr>
            <w:r>
              <w:rPr>
                <w:color w:val="58595B"/>
                <w:sz w:val="18"/>
              </w:rPr>
              <w:t>Private schools</w:t>
            </w:r>
          </w:p>
          <w:p w14:paraId="3683459F" w14:textId="77777777" w:rsidR="00724131" w:rsidRDefault="00724131">
            <w:pPr>
              <w:pStyle w:val="TableParagraph"/>
              <w:spacing w:before="10"/>
              <w:rPr>
                <w:sz w:val="15"/>
              </w:rPr>
            </w:pPr>
          </w:p>
          <w:p w14:paraId="6512BAC7" w14:textId="77777777" w:rsidR="00724131" w:rsidRDefault="00823349">
            <w:pPr>
              <w:pStyle w:val="TableParagraph"/>
              <w:spacing w:before="0" w:line="254" w:lineRule="auto"/>
              <w:ind w:left="85" w:right="235"/>
              <w:rPr>
                <w:sz w:val="18"/>
              </w:rPr>
            </w:pPr>
            <w:r>
              <w:rPr>
                <w:color w:val="58595B"/>
                <w:sz w:val="18"/>
              </w:rPr>
              <w:t>National parks (where entrance fees can be charged)</w:t>
            </w:r>
          </w:p>
        </w:tc>
        <w:tc>
          <w:tcPr>
            <w:tcW w:w="3546" w:type="dxa"/>
            <w:tcBorders>
              <w:top w:val="single" w:sz="2" w:space="0" w:color="939598"/>
              <w:bottom w:val="single" w:sz="2" w:space="0" w:color="939598"/>
            </w:tcBorders>
          </w:tcPr>
          <w:p w14:paraId="1A945237" w14:textId="77777777" w:rsidR="00724131" w:rsidRDefault="00823349">
            <w:pPr>
              <w:pStyle w:val="TableParagraph"/>
              <w:spacing w:before="44" w:line="254" w:lineRule="auto"/>
              <w:ind w:left="88" w:right="16"/>
              <w:rPr>
                <w:sz w:val="18"/>
              </w:rPr>
            </w:pPr>
            <w:r>
              <w:rPr>
                <w:color w:val="58595B"/>
                <w:sz w:val="18"/>
              </w:rPr>
              <w:t>Club goods may be provided (and funded) by member owned collectives (such</w:t>
            </w:r>
          </w:p>
          <w:p w14:paraId="4722CD5D" w14:textId="77777777" w:rsidR="00724131" w:rsidRDefault="00823349">
            <w:pPr>
              <w:pStyle w:val="TableParagraph"/>
              <w:spacing w:before="1"/>
              <w:ind w:left="88" w:right="16"/>
              <w:rPr>
                <w:sz w:val="18"/>
              </w:rPr>
            </w:pPr>
            <w:r>
              <w:rPr>
                <w:color w:val="58595B"/>
                <w:sz w:val="18"/>
              </w:rPr>
              <w:t>as an industry organisation).</w:t>
            </w:r>
          </w:p>
          <w:p w14:paraId="1D2D4A45" w14:textId="77777777" w:rsidR="00724131" w:rsidRDefault="00724131">
            <w:pPr>
              <w:pStyle w:val="TableParagraph"/>
              <w:spacing w:before="10"/>
              <w:rPr>
                <w:sz w:val="15"/>
              </w:rPr>
            </w:pPr>
          </w:p>
          <w:p w14:paraId="6D86F89A" w14:textId="77777777" w:rsidR="00724131" w:rsidRDefault="00823349">
            <w:pPr>
              <w:pStyle w:val="TableParagraph"/>
              <w:spacing w:before="0" w:line="254" w:lineRule="auto"/>
              <w:ind w:left="88" w:right="82"/>
              <w:rPr>
                <w:sz w:val="18"/>
              </w:rPr>
            </w:pPr>
            <w:r>
              <w:rPr>
                <w:color w:val="58595B"/>
                <w:sz w:val="18"/>
              </w:rPr>
              <w:t>In some cases, the public sector may  also provide club goods, in which case charging the members of the ‘club’ can be an efficient way of recovering</w:t>
            </w:r>
            <w:r>
              <w:rPr>
                <w:color w:val="58595B"/>
                <w:spacing w:val="25"/>
                <w:sz w:val="18"/>
              </w:rPr>
              <w:t xml:space="preserve"> </w:t>
            </w:r>
            <w:r>
              <w:rPr>
                <w:color w:val="58595B"/>
                <w:sz w:val="18"/>
              </w:rPr>
              <w:t>costs.</w:t>
            </w:r>
          </w:p>
        </w:tc>
      </w:tr>
    </w:tbl>
    <w:p w14:paraId="7E647D7B" w14:textId="77777777" w:rsidR="00724131" w:rsidRDefault="00724131">
      <w:pPr>
        <w:spacing w:line="254" w:lineRule="auto"/>
        <w:rPr>
          <w:sz w:val="18"/>
        </w:rPr>
        <w:sectPr w:rsidR="00724131">
          <w:headerReference w:type="even" r:id="rId56"/>
          <w:headerReference w:type="default" r:id="rId57"/>
          <w:pgSz w:w="11910" w:h="16840"/>
          <w:pgMar w:top="980" w:right="1680" w:bottom="280" w:left="0" w:header="788" w:footer="0" w:gutter="0"/>
          <w:pgNumType w:start="370"/>
          <w:cols w:space="720"/>
        </w:sectPr>
      </w:pPr>
    </w:p>
    <w:p w14:paraId="702EC2E7" w14:textId="77777777" w:rsidR="00724131" w:rsidRDefault="00724131">
      <w:pPr>
        <w:pStyle w:val="BodyText"/>
      </w:pPr>
    </w:p>
    <w:p w14:paraId="4CF8156C" w14:textId="77777777" w:rsidR="00724131" w:rsidRDefault="00724131">
      <w:pPr>
        <w:pStyle w:val="BodyText"/>
      </w:pPr>
    </w:p>
    <w:p w14:paraId="645AB3AA" w14:textId="77777777" w:rsidR="00724131" w:rsidRDefault="00724131">
      <w:pPr>
        <w:pStyle w:val="BodyText"/>
      </w:pPr>
    </w:p>
    <w:p w14:paraId="06AB5C06" w14:textId="77777777" w:rsidR="00724131" w:rsidRDefault="00724131">
      <w:pPr>
        <w:pStyle w:val="BodyText"/>
      </w:pPr>
    </w:p>
    <w:p w14:paraId="76F60ECB" w14:textId="77777777" w:rsidR="00724131" w:rsidRDefault="00724131">
      <w:pPr>
        <w:pStyle w:val="BodyText"/>
        <w:spacing w:before="4" w:after="1"/>
        <w:rPr>
          <w:sz w:val="21"/>
        </w:rPr>
      </w:pPr>
    </w:p>
    <w:tbl>
      <w:tblPr>
        <w:tblW w:w="0" w:type="auto"/>
        <w:tblInd w:w="134"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3508"/>
        <w:gridCol w:w="1501"/>
        <w:gridCol w:w="3665"/>
      </w:tblGrid>
      <w:tr w:rsidR="00724131" w14:paraId="2D1C2806" w14:textId="77777777">
        <w:trPr>
          <w:trHeight w:hRule="exact" w:val="358"/>
        </w:trPr>
        <w:tc>
          <w:tcPr>
            <w:tcW w:w="3508" w:type="dxa"/>
            <w:shd w:val="clear" w:color="auto" w:fill="89BFCB"/>
          </w:tcPr>
          <w:p w14:paraId="58A27FED" w14:textId="77777777" w:rsidR="00724131" w:rsidRDefault="00823349">
            <w:pPr>
              <w:pStyle w:val="TableParagraph"/>
              <w:spacing w:before="75"/>
              <w:ind w:left="56" w:right="760"/>
              <w:rPr>
                <w:sz w:val="18"/>
              </w:rPr>
            </w:pPr>
            <w:r>
              <w:rPr>
                <w:color w:val="FFFFFF"/>
                <w:sz w:val="18"/>
              </w:rPr>
              <w:t>Description</w:t>
            </w:r>
          </w:p>
        </w:tc>
        <w:tc>
          <w:tcPr>
            <w:tcW w:w="1501" w:type="dxa"/>
            <w:shd w:val="clear" w:color="auto" w:fill="89BFCB"/>
          </w:tcPr>
          <w:p w14:paraId="6D127C70" w14:textId="77777777" w:rsidR="00724131" w:rsidRDefault="00823349">
            <w:pPr>
              <w:pStyle w:val="TableParagraph"/>
              <w:spacing w:before="75"/>
              <w:ind w:left="63"/>
              <w:rPr>
                <w:sz w:val="18"/>
              </w:rPr>
            </w:pPr>
            <w:r>
              <w:rPr>
                <w:color w:val="FFFFFF"/>
                <w:sz w:val="18"/>
              </w:rPr>
              <w:t>Examples</w:t>
            </w:r>
          </w:p>
        </w:tc>
        <w:tc>
          <w:tcPr>
            <w:tcW w:w="3665" w:type="dxa"/>
            <w:shd w:val="clear" w:color="auto" w:fill="89BFCB"/>
          </w:tcPr>
          <w:p w14:paraId="793CD09E" w14:textId="77777777" w:rsidR="00724131" w:rsidRDefault="00823349">
            <w:pPr>
              <w:pStyle w:val="TableParagraph"/>
              <w:spacing w:before="75"/>
              <w:ind w:left="206"/>
              <w:rPr>
                <w:sz w:val="18"/>
              </w:rPr>
            </w:pPr>
            <w:r>
              <w:rPr>
                <w:color w:val="FFFFFF"/>
                <w:sz w:val="18"/>
              </w:rPr>
              <w:t>Charging considerations</w:t>
            </w:r>
          </w:p>
        </w:tc>
      </w:tr>
      <w:tr w:rsidR="00724131" w14:paraId="7A41E6E3" w14:textId="77777777">
        <w:trPr>
          <w:trHeight w:hRule="exact" w:val="1952"/>
        </w:trPr>
        <w:tc>
          <w:tcPr>
            <w:tcW w:w="3508" w:type="dxa"/>
            <w:tcBorders>
              <w:bottom w:val="single" w:sz="2" w:space="0" w:color="939598"/>
            </w:tcBorders>
          </w:tcPr>
          <w:p w14:paraId="2C3833F1" w14:textId="77777777" w:rsidR="00724131" w:rsidRDefault="00823349">
            <w:pPr>
              <w:pStyle w:val="TableParagraph"/>
              <w:spacing w:before="44" w:line="254" w:lineRule="auto"/>
              <w:ind w:left="56" w:right="760"/>
              <w:rPr>
                <w:sz w:val="18"/>
              </w:rPr>
            </w:pPr>
            <w:r>
              <w:rPr>
                <w:color w:val="58595B"/>
                <w:sz w:val="18"/>
              </w:rPr>
              <w:t>Private goods display the following characteristics:</w:t>
            </w:r>
          </w:p>
          <w:p w14:paraId="032D5C27" w14:textId="77777777" w:rsidR="00724131" w:rsidRDefault="00823349">
            <w:pPr>
              <w:pStyle w:val="TableParagraph"/>
              <w:numPr>
                <w:ilvl w:val="0"/>
                <w:numId w:val="12"/>
              </w:numPr>
              <w:tabs>
                <w:tab w:val="left" w:pos="284"/>
              </w:tabs>
              <w:spacing w:before="57" w:line="254" w:lineRule="auto"/>
              <w:ind w:right="300"/>
              <w:rPr>
                <w:sz w:val="18"/>
              </w:rPr>
            </w:pPr>
            <w:r>
              <w:rPr>
                <w:color w:val="58595B"/>
                <w:sz w:val="18"/>
              </w:rPr>
              <w:t>they are excludable – it is physically, technically and/or legally</w:t>
            </w:r>
            <w:r>
              <w:rPr>
                <w:color w:val="58595B"/>
                <w:spacing w:val="20"/>
                <w:sz w:val="18"/>
              </w:rPr>
              <w:t xml:space="preserve"> </w:t>
            </w:r>
            <w:r>
              <w:rPr>
                <w:color w:val="58595B"/>
                <w:sz w:val="18"/>
              </w:rPr>
              <w:t>possible</w:t>
            </w:r>
          </w:p>
          <w:p w14:paraId="7E34EF19" w14:textId="77777777" w:rsidR="00724131" w:rsidRDefault="00823349">
            <w:pPr>
              <w:pStyle w:val="TableParagraph"/>
              <w:spacing w:before="1"/>
              <w:ind w:left="283" w:right="61"/>
              <w:rPr>
                <w:sz w:val="18"/>
              </w:rPr>
            </w:pPr>
            <w:r>
              <w:rPr>
                <w:color w:val="58595B"/>
                <w:sz w:val="18"/>
              </w:rPr>
              <w:t>to prevent use by another party, and</w:t>
            </w:r>
          </w:p>
          <w:p w14:paraId="4FC5955C" w14:textId="77777777" w:rsidR="00724131" w:rsidRDefault="00823349">
            <w:pPr>
              <w:pStyle w:val="TableParagraph"/>
              <w:numPr>
                <w:ilvl w:val="0"/>
                <w:numId w:val="12"/>
              </w:numPr>
              <w:tabs>
                <w:tab w:val="left" w:pos="284"/>
              </w:tabs>
              <w:spacing w:before="69" w:line="254" w:lineRule="auto"/>
              <w:ind w:right="76"/>
              <w:rPr>
                <w:sz w:val="18"/>
              </w:rPr>
            </w:pPr>
            <w:r>
              <w:rPr>
                <w:color w:val="58595B"/>
                <w:sz w:val="18"/>
              </w:rPr>
              <w:t xml:space="preserve">they are rivalrous, which means consumption/benefit by one </w:t>
            </w:r>
            <w:r>
              <w:rPr>
                <w:color w:val="58595B"/>
                <w:spacing w:val="2"/>
                <w:sz w:val="18"/>
              </w:rPr>
              <w:t xml:space="preserve">party </w:t>
            </w:r>
            <w:r>
              <w:rPr>
                <w:color w:val="58595B"/>
                <w:sz w:val="18"/>
              </w:rPr>
              <w:t>rules out consumption/benefit by</w:t>
            </w:r>
            <w:r>
              <w:rPr>
                <w:color w:val="58595B"/>
                <w:spacing w:val="12"/>
                <w:sz w:val="18"/>
              </w:rPr>
              <w:t xml:space="preserve"> </w:t>
            </w:r>
            <w:r>
              <w:rPr>
                <w:color w:val="58595B"/>
                <w:sz w:val="18"/>
              </w:rPr>
              <w:t>another.</w:t>
            </w:r>
          </w:p>
        </w:tc>
        <w:tc>
          <w:tcPr>
            <w:tcW w:w="1501" w:type="dxa"/>
            <w:tcBorders>
              <w:bottom w:val="single" w:sz="2" w:space="0" w:color="939598"/>
            </w:tcBorders>
          </w:tcPr>
          <w:p w14:paraId="69FFBDF7" w14:textId="77777777" w:rsidR="00724131" w:rsidRDefault="00823349">
            <w:pPr>
              <w:pStyle w:val="TableParagraph"/>
              <w:spacing w:before="44"/>
              <w:ind w:left="63"/>
              <w:rPr>
                <w:sz w:val="18"/>
              </w:rPr>
            </w:pPr>
            <w:r>
              <w:rPr>
                <w:color w:val="58595B"/>
                <w:sz w:val="18"/>
              </w:rPr>
              <w:t>Birth certificate</w:t>
            </w:r>
          </w:p>
          <w:p w14:paraId="13279AE1" w14:textId="77777777" w:rsidR="00724131" w:rsidRDefault="00724131">
            <w:pPr>
              <w:pStyle w:val="TableParagraph"/>
              <w:spacing w:before="10"/>
              <w:rPr>
                <w:sz w:val="15"/>
              </w:rPr>
            </w:pPr>
          </w:p>
          <w:p w14:paraId="716D5DA9" w14:textId="77777777" w:rsidR="00724131" w:rsidRDefault="00823349">
            <w:pPr>
              <w:pStyle w:val="TableParagraph"/>
              <w:spacing w:before="0" w:line="254" w:lineRule="auto"/>
              <w:ind w:left="63" w:right="297"/>
              <w:rPr>
                <w:sz w:val="18"/>
              </w:rPr>
            </w:pPr>
            <w:r>
              <w:rPr>
                <w:color w:val="58595B"/>
                <w:sz w:val="18"/>
              </w:rPr>
              <w:t>Research and development tailored to a specific</w:t>
            </w:r>
          </w:p>
          <w:p w14:paraId="0BAF17E1" w14:textId="77777777" w:rsidR="00724131" w:rsidRDefault="00823349">
            <w:pPr>
              <w:pStyle w:val="TableParagraph"/>
              <w:spacing w:before="1"/>
              <w:ind w:left="63"/>
              <w:rPr>
                <w:sz w:val="18"/>
              </w:rPr>
            </w:pPr>
            <w:r>
              <w:rPr>
                <w:color w:val="58595B"/>
                <w:sz w:val="18"/>
              </w:rPr>
              <w:t>party</w:t>
            </w:r>
          </w:p>
        </w:tc>
        <w:tc>
          <w:tcPr>
            <w:tcW w:w="3665" w:type="dxa"/>
            <w:tcBorders>
              <w:bottom w:val="single" w:sz="2" w:space="0" w:color="939598"/>
            </w:tcBorders>
          </w:tcPr>
          <w:p w14:paraId="5733D366" w14:textId="77777777" w:rsidR="00724131" w:rsidRDefault="00823349">
            <w:pPr>
              <w:pStyle w:val="TableParagraph"/>
              <w:spacing w:before="44" w:line="254" w:lineRule="auto"/>
              <w:ind w:left="206"/>
              <w:rPr>
                <w:sz w:val="18"/>
              </w:rPr>
            </w:pPr>
            <w:r>
              <w:rPr>
                <w:color w:val="58595B"/>
                <w:sz w:val="18"/>
              </w:rPr>
              <w:t>There is a strong case for recovering the costs of a private good from those who benefit from it.</w:t>
            </w:r>
          </w:p>
        </w:tc>
      </w:tr>
      <w:tr w:rsidR="00724131" w14:paraId="02D1435A" w14:textId="77777777">
        <w:trPr>
          <w:trHeight w:hRule="exact" w:val="1621"/>
        </w:trPr>
        <w:tc>
          <w:tcPr>
            <w:tcW w:w="3508" w:type="dxa"/>
            <w:tcBorders>
              <w:top w:val="single" w:sz="2" w:space="0" w:color="939598"/>
              <w:bottom w:val="single" w:sz="2" w:space="0" w:color="939598"/>
            </w:tcBorders>
          </w:tcPr>
          <w:p w14:paraId="4D4395D0" w14:textId="77777777" w:rsidR="00724131" w:rsidRDefault="00823349">
            <w:pPr>
              <w:pStyle w:val="TableParagraph"/>
              <w:spacing w:before="44" w:line="254" w:lineRule="auto"/>
              <w:ind w:left="56" w:right="61"/>
              <w:rPr>
                <w:sz w:val="18"/>
              </w:rPr>
            </w:pPr>
            <w:r>
              <w:rPr>
                <w:color w:val="58595B"/>
                <w:sz w:val="18"/>
              </w:rPr>
              <w:t>Merit goods have the property that the community as a whole desires a higher use of the output than would be likely than if they were charged at full cost. Similarly, some goods display positive externalities because they also benefit unrelated third parties.</w:t>
            </w:r>
          </w:p>
        </w:tc>
        <w:tc>
          <w:tcPr>
            <w:tcW w:w="1501" w:type="dxa"/>
            <w:tcBorders>
              <w:top w:val="single" w:sz="2" w:space="0" w:color="939598"/>
              <w:bottom w:val="single" w:sz="2" w:space="0" w:color="939598"/>
            </w:tcBorders>
          </w:tcPr>
          <w:p w14:paraId="34D73670" w14:textId="77777777" w:rsidR="00724131" w:rsidRDefault="00823349">
            <w:pPr>
              <w:pStyle w:val="TableParagraph"/>
              <w:spacing w:before="44" w:line="451" w:lineRule="auto"/>
              <w:ind w:left="63" w:right="547"/>
              <w:rPr>
                <w:sz w:val="18"/>
              </w:rPr>
            </w:pPr>
            <w:r>
              <w:rPr>
                <w:color w:val="58595B"/>
                <w:sz w:val="18"/>
              </w:rPr>
              <w:t>Education Healthcare Exercise The Arts</w:t>
            </w:r>
          </w:p>
        </w:tc>
        <w:tc>
          <w:tcPr>
            <w:tcW w:w="3665" w:type="dxa"/>
            <w:tcBorders>
              <w:top w:val="single" w:sz="2" w:space="0" w:color="939598"/>
              <w:bottom w:val="single" w:sz="2" w:space="0" w:color="939598"/>
            </w:tcBorders>
          </w:tcPr>
          <w:p w14:paraId="3F50336A" w14:textId="77777777" w:rsidR="00724131" w:rsidRDefault="00823349">
            <w:pPr>
              <w:pStyle w:val="TableParagraph"/>
              <w:spacing w:before="44" w:line="254" w:lineRule="auto"/>
              <w:ind w:left="206"/>
              <w:rPr>
                <w:sz w:val="18"/>
              </w:rPr>
            </w:pPr>
            <w:r>
              <w:rPr>
                <w:color w:val="58595B"/>
                <w:sz w:val="18"/>
              </w:rPr>
              <w:t>There may be a case for charging at less than full cost – i.e. providing a government subsidy – because there may be both private and public benefits.</w:t>
            </w:r>
          </w:p>
        </w:tc>
      </w:tr>
      <w:tr w:rsidR="00724131" w14:paraId="59FDDAD9" w14:textId="77777777">
        <w:trPr>
          <w:trHeight w:hRule="exact" w:val="2231"/>
        </w:trPr>
        <w:tc>
          <w:tcPr>
            <w:tcW w:w="3508" w:type="dxa"/>
            <w:tcBorders>
              <w:top w:val="single" w:sz="2" w:space="0" w:color="939598"/>
              <w:bottom w:val="single" w:sz="2" w:space="0" w:color="939598"/>
            </w:tcBorders>
          </w:tcPr>
          <w:p w14:paraId="31117F01" w14:textId="77777777" w:rsidR="00724131" w:rsidRDefault="00823349">
            <w:pPr>
              <w:pStyle w:val="TableParagraph"/>
              <w:spacing w:before="44" w:line="254" w:lineRule="auto"/>
              <w:ind w:left="56" w:right="416"/>
              <w:rPr>
                <w:sz w:val="18"/>
              </w:rPr>
            </w:pPr>
            <w:r>
              <w:rPr>
                <w:color w:val="58595B"/>
                <w:sz w:val="18"/>
              </w:rPr>
              <w:t>There is often a need for Government regulation in order to reduce the risk of harm or damage that may</w:t>
            </w:r>
            <w:r>
              <w:rPr>
                <w:color w:val="58595B"/>
                <w:spacing w:val="10"/>
                <w:sz w:val="18"/>
              </w:rPr>
              <w:t xml:space="preserve"> </w:t>
            </w:r>
            <w:r>
              <w:rPr>
                <w:color w:val="58595B"/>
                <w:sz w:val="18"/>
              </w:rPr>
              <w:t>arise</w:t>
            </w:r>
          </w:p>
          <w:p w14:paraId="074222C2" w14:textId="77777777" w:rsidR="00724131" w:rsidRDefault="00823349">
            <w:pPr>
              <w:pStyle w:val="TableParagraph"/>
              <w:spacing w:before="1" w:line="254" w:lineRule="auto"/>
              <w:ind w:left="56" w:right="440"/>
              <w:rPr>
                <w:sz w:val="18"/>
              </w:rPr>
            </w:pPr>
            <w:r>
              <w:rPr>
                <w:color w:val="58595B"/>
                <w:sz w:val="18"/>
              </w:rPr>
              <w:t>to consumers, the whole community or the environment.</w:t>
            </w:r>
          </w:p>
        </w:tc>
        <w:tc>
          <w:tcPr>
            <w:tcW w:w="1501" w:type="dxa"/>
            <w:tcBorders>
              <w:top w:val="single" w:sz="2" w:space="0" w:color="939598"/>
              <w:bottom w:val="single" w:sz="2" w:space="0" w:color="939598"/>
            </w:tcBorders>
          </w:tcPr>
          <w:p w14:paraId="0F3C2B58" w14:textId="77777777" w:rsidR="00724131" w:rsidRDefault="00823349">
            <w:pPr>
              <w:pStyle w:val="TableParagraph"/>
              <w:spacing w:before="44" w:line="254" w:lineRule="auto"/>
              <w:ind w:left="63" w:right="527"/>
              <w:rPr>
                <w:sz w:val="18"/>
              </w:rPr>
            </w:pPr>
            <w:r>
              <w:rPr>
                <w:color w:val="58595B"/>
                <w:sz w:val="18"/>
              </w:rPr>
              <w:t>Regulation to address:</w:t>
            </w:r>
          </w:p>
          <w:p w14:paraId="125791A8" w14:textId="77777777" w:rsidR="00724131" w:rsidRDefault="00724131">
            <w:pPr>
              <w:pStyle w:val="TableParagraph"/>
              <w:spacing w:before="10"/>
              <w:rPr>
                <w:sz w:val="14"/>
              </w:rPr>
            </w:pPr>
          </w:p>
          <w:p w14:paraId="447BA6D5" w14:textId="77777777" w:rsidR="00724131" w:rsidRDefault="00823349">
            <w:pPr>
              <w:pStyle w:val="TableParagraph"/>
              <w:spacing w:before="0" w:line="254" w:lineRule="auto"/>
              <w:ind w:left="63" w:right="457"/>
              <w:rPr>
                <w:sz w:val="18"/>
              </w:rPr>
            </w:pPr>
            <w:r>
              <w:rPr>
                <w:color w:val="58595B"/>
                <w:sz w:val="18"/>
              </w:rPr>
              <w:t>Negative externalities</w:t>
            </w:r>
          </w:p>
          <w:p w14:paraId="56BC1A2F" w14:textId="77777777" w:rsidR="00724131" w:rsidRDefault="00724131">
            <w:pPr>
              <w:pStyle w:val="TableParagraph"/>
              <w:spacing w:before="10"/>
              <w:rPr>
                <w:sz w:val="14"/>
              </w:rPr>
            </w:pPr>
          </w:p>
          <w:p w14:paraId="094570FE" w14:textId="77777777" w:rsidR="00724131" w:rsidRDefault="00823349">
            <w:pPr>
              <w:pStyle w:val="TableParagraph"/>
              <w:spacing w:before="0" w:line="254" w:lineRule="auto"/>
              <w:ind w:left="63"/>
              <w:rPr>
                <w:sz w:val="18"/>
              </w:rPr>
            </w:pPr>
            <w:r>
              <w:rPr>
                <w:color w:val="58595B"/>
                <w:sz w:val="18"/>
              </w:rPr>
              <w:t>Inadequate information</w:t>
            </w:r>
          </w:p>
          <w:p w14:paraId="480C73AD" w14:textId="77777777" w:rsidR="00724131" w:rsidRDefault="00724131">
            <w:pPr>
              <w:pStyle w:val="TableParagraph"/>
              <w:spacing w:before="10"/>
              <w:rPr>
                <w:sz w:val="14"/>
              </w:rPr>
            </w:pPr>
          </w:p>
          <w:p w14:paraId="20BE7E8E" w14:textId="77777777" w:rsidR="00724131" w:rsidRDefault="00823349">
            <w:pPr>
              <w:pStyle w:val="TableParagraph"/>
              <w:spacing w:before="0"/>
              <w:ind w:left="63"/>
              <w:rPr>
                <w:sz w:val="18"/>
              </w:rPr>
            </w:pPr>
            <w:r>
              <w:rPr>
                <w:color w:val="58595B"/>
                <w:sz w:val="18"/>
              </w:rPr>
              <w:t>Market power</w:t>
            </w:r>
          </w:p>
        </w:tc>
        <w:tc>
          <w:tcPr>
            <w:tcW w:w="3665" w:type="dxa"/>
            <w:tcBorders>
              <w:top w:val="single" w:sz="2" w:space="0" w:color="939598"/>
              <w:bottom w:val="single" w:sz="2" w:space="0" w:color="939598"/>
            </w:tcBorders>
          </w:tcPr>
          <w:p w14:paraId="4709C4BC" w14:textId="77777777" w:rsidR="00724131" w:rsidRDefault="00823349">
            <w:pPr>
              <w:pStyle w:val="TableParagraph"/>
              <w:spacing w:before="44" w:line="254" w:lineRule="auto"/>
              <w:ind w:left="206" w:right="188"/>
              <w:rPr>
                <w:sz w:val="18"/>
              </w:rPr>
            </w:pPr>
            <w:r>
              <w:rPr>
                <w:color w:val="58595B"/>
                <w:sz w:val="18"/>
              </w:rPr>
              <w:t>On economic efficiency grounds, there  is a case for the administrative costs of regulation to be internalised into the cost structure of the regulated</w:t>
            </w:r>
            <w:r>
              <w:rPr>
                <w:color w:val="58595B"/>
                <w:spacing w:val="13"/>
                <w:sz w:val="18"/>
              </w:rPr>
              <w:t xml:space="preserve"> </w:t>
            </w:r>
            <w:r>
              <w:rPr>
                <w:color w:val="58595B"/>
                <w:sz w:val="18"/>
              </w:rPr>
              <w:t>industry.</w:t>
            </w:r>
          </w:p>
          <w:p w14:paraId="5CCD2E25" w14:textId="77777777" w:rsidR="00724131" w:rsidRDefault="00724131">
            <w:pPr>
              <w:pStyle w:val="TableParagraph"/>
              <w:spacing w:before="10"/>
              <w:rPr>
                <w:sz w:val="14"/>
              </w:rPr>
            </w:pPr>
          </w:p>
          <w:p w14:paraId="46703714" w14:textId="77777777" w:rsidR="00724131" w:rsidRDefault="00823349">
            <w:pPr>
              <w:pStyle w:val="TableParagraph"/>
              <w:spacing w:before="0" w:line="254" w:lineRule="auto"/>
              <w:ind w:left="206" w:right="275"/>
              <w:rPr>
                <w:sz w:val="18"/>
              </w:rPr>
            </w:pPr>
            <w:r>
              <w:rPr>
                <w:color w:val="58595B"/>
                <w:sz w:val="18"/>
              </w:rPr>
              <w:t>Practical considerations normally mean charges are imposed on businesses (but may ultimately be shared with consumers with costs shifting along the production line).</w:t>
            </w:r>
          </w:p>
        </w:tc>
      </w:tr>
    </w:tbl>
    <w:p w14:paraId="7AC195D6" w14:textId="77777777" w:rsidR="00724131" w:rsidRDefault="00823349">
      <w:pPr>
        <w:spacing w:before="96" w:line="249" w:lineRule="auto"/>
        <w:ind w:left="134" w:right="1337"/>
        <w:rPr>
          <w:sz w:val="15"/>
        </w:rPr>
      </w:pPr>
      <w:r>
        <w:rPr>
          <w:color w:val="58595B"/>
          <w:sz w:val="15"/>
        </w:rPr>
        <w:t xml:space="preserve">Source: Department of Treasury and Finance 2013, </w:t>
      </w:r>
      <w:r>
        <w:rPr>
          <w:i/>
          <w:color w:val="58595B"/>
          <w:sz w:val="15"/>
        </w:rPr>
        <w:t>Cost recovery guidelines</w:t>
      </w:r>
      <w:r>
        <w:rPr>
          <w:color w:val="58595B"/>
          <w:sz w:val="15"/>
        </w:rPr>
        <w:t>, Melbourne. Also incorporates information formerly published in the ‘Guidelines for setting fees and user charges imposed by departments and central government agencies’.</w:t>
      </w:r>
    </w:p>
    <w:p w14:paraId="6F9E3F3B" w14:textId="77777777" w:rsidR="00724131" w:rsidRDefault="00724131">
      <w:pPr>
        <w:pStyle w:val="BodyText"/>
        <w:rPr>
          <w:sz w:val="14"/>
        </w:rPr>
      </w:pPr>
    </w:p>
    <w:p w14:paraId="24ECAA74" w14:textId="77777777" w:rsidR="00724131" w:rsidRDefault="00823349">
      <w:pPr>
        <w:pStyle w:val="Heading3"/>
        <w:numPr>
          <w:ilvl w:val="1"/>
          <w:numId w:val="16"/>
        </w:numPr>
        <w:tabs>
          <w:tab w:val="left" w:pos="713"/>
        </w:tabs>
        <w:spacing w:before="100"/>
        <w:ind w:left="712" w:hanging="578"/>
      </w:pPr>
      <w:r>
        <w:rPr>
          <w:color w:val="0095A7"/>
        </w:rPr>
        <w:t>How other regulators are</w:t>
      </w:r>
      <w:r>
        <w:rPr>
          <w:color w:val="0095A7"/>
          <w:spacing w:val="27"/>
        </w:rPr>
        <w:t xml:space="preserve"> </w:t>
      </w:r>
      <w:r>
        <w:rPr>
          <w:color w:val="0095A7"/>
        </w:rPr>
        <w:t>funded</w:t>
      </w:r>
    </w:p>
    <w:p w14:paraId="2653ECE6" w14:textId="77777777" w:rsidR="00724131" w:rsidRDefault="00823349">
      <w:pPr>
        <w:pStyle w:val="BodyText"/>
        <w:spacing w:before="145" w:line="280" w:lineRule="auto"/>
        <w:ind w:left="134" w:right="1911"/>
      </w:pPr>
      <w:r>
        <w:rPr>
          <w:color w:val="58595B"/>
        </w:rPr>
        <w:t>While some regulators receive the majority of their funding through a direct government appropriation, others rely on a mix of appropriations, licence fees and other cost recovery arrangements, and industry levies. No funding model is likely to suit all regulators equally. Funding arrangements applied to other regulators nevertheless demonstrate the range of options that may be appropriate for the EPA.</w:t>
      </w:r>
    </w:p>
    <w:p w14:paraId="7CB3F557" w14:textId="77777777" w:rsidR="00724131" w:rsidRDefault="00724131">
      <w:pPr>
        <w:pStyle w:val="BodyText"/>
        <w:spacing w:before="4"/>
        <w:rPr>
          <w:sz w:val="22"/>
        </w:rPr>
      </w:pPr>
    </w:p>
    <w:p w14:paraId="1ED7F6E1" w14:textId="77777777" w:rsidR="00724131" w:rsidRDefault="00823349">
      <w:pPr>
        <w:pStyle w:val="ListParagraph"/>
        <w:numPr>
          <w:ilvl w:val="2"/>
          <w:numId w:val="16"/>
        </w:numPr>
        <w:tabs>
          <w:tab w:val="left" w:pos="761"/>
        </w:tabs>
        <w:spacing w:before="0"/>
        <w:ind w:left="760" w:hanging="626"/>
        <w:jc w:val="left"/>
        <w:rPr>
          <w:sz w:val="20"/>
        </w:rPr>
      </w:pPr>
      <w:r>
        <w:rPr>
          <w:color w:val="0095A7"/>
          <w:sz w:val="20"/>
        </w:rPr>
        <w:t>Other Victorian</w:t>
      </w:r>
      <w:r>
        <w:rPr>
          <w:color w:val="0095A7"/>
          <w:spacing w:val="10"/>
          <w:sz w:val="20"/>
        </w:rPr>
        <w:t xml:space="preserve"> </w:t>
      </w:r>
      <w:r>
        <w:rPr>
          <w:color w:val="0095A7"/>
          <w:sz w:val="20"/>
        </w:rPr>
        <w:t>regulators</w:t>
      </w:r>
    </w:p>
    <w:p w14:paraId="5E26DB58" w14:textId="77777777" w:rsidR="00724131" w:rsidRDefault="00823349">
      <w:pPr>
        <w:pStyle w:val="BodyText"/>
        <w:spacing w:before="153" w:line="280" w:lineRule="auto"/>
        <w:ind w:left="134" w:right="1468"/>
        <w:rPr>
          <w:sz w:val="11"/>
        </w:rPr>
      </w:pPr>
      <w:r>
        <w:rPr>
          <w:color w:val="58595B"/>
        </w:rPr>
        <w:t>Victoria’s EPA is unusual in having no budget appropriation. The State Services Authority found that the vast majority (77 per cent) of Victorian regulators received at least some base funding from budget appropriations.</w:t>
      </w:r>
      <w:r>
        <w:rPr>
          <w:color w:val="58595B"/>
          <w:position w:val="7"/>
          <w:sz w:val="11"/>
        </w:rPr>
        <w:t>13</w:t>
      </w:r>
    </w:p>
    <w:p w14:paraId="13B9B55C" w14:textId="77777777" w:rsidR="00724131" w:rsidRDefault="00823349">
      <w:pPr>
        <w:pStyle w:val="BodyText"/>
        <w:spacing w:before="172"/>
        <w:ind w:left="134" w:right="228"/>
      </w:pPr>
      <w:r>
        <w:rPr>
          <w:color w:val="58595B"/>
        </w:rPr>
        <w:t>Almost all Victorian regulators also relied on cost recovery charges in some way, including:</w:t>
      </w:r>
    </w:p>
    <w:p w14:paraId="566F3D99" w14:textId="77777777" w:rsidR="00724131" w:rsidRDefault="00823349">
      <w:pPr>
        <w:pStyle w:val="ListParagraph"/>
        <w:numPr>
          <w:ilvl w:val="0"/>
          <w:numId w:val="31"/>
        </w:numPr>
        <w:tabs>
          <w:tab w:val="left" w:pos="305"/>
        </w:tabs>
        <w:spacing w:before="153" w:line="280" w:lineRule="auto"/>
        <w:ind w:right="1798" w:hanging="170"/>
        <w:rPr>
          <w:sz w:val="20"/>
        </w:rPr>
      </w:pPr>
      <w:r>
        <w:rPr>
          <w:color w:val="58595B"/>
          <w:sz w:val="20"/>
        </w:rPr>
        <w:t>regulatory fees, such as licensing and inspection fees charged to regulated entities to cover the cost of regulatory</w:t>
      </w:r>
      <w:r>
        <w:rPr>
          <w:color w:val="58595B"/>
          <w:spacing w:val="13"/>
          <w:sz w:val="20"/>
        </w:rPr>
        <w:t xml:space="preserve"> </w:t>
      </w:r>
      <w:r>
        <w:rPr>
          <w:color w:val="58595B"/>
          <w:sz w:val="20"/>
        </w:rPr>
        <w:t>activities</w:t>
      </w:r>
    </w:p>
    <w:p w14:paraId="049AF2BF" w14:textId="77777777" w:rsidR="00724131" w:rsidRDefault="00823349">
      <w:pPr>
        <w:pStyle w:val="ListParagraph"/>
        <w:numPr>
          <w:ilvl w:val="0"/>
          <w:numId w:val="31"/>
        </w:numPr>
        <w:tabs>
          <w:tab w:val="left" w:pos="305"/>
        </w:tabs>
        <w:spacing w:line="280" w:lineRule="auto"/>
        <w:ind w:right="1765" w:hanging="170"/>
        <w:rPr>
          <w:sz w:val="20"/>
        </w:rPr>
      </w:pPr>
      <w:r>
        <w:rPr>
          <w:color w:val="58595B"/>
          <w:sz w:val="20"/>
        </w:rPr>
        <w:t>hypothecated levies or industry-specific levies for which the revenue is specifically collected to fund regulatory</w:t>
      </w:r>
      <w:r>
        <w:rPr>
          <w:color w:val="58595B"/>
          <w:spacing w:val="11"/>
          <w:sz w:val="20"/>
        </w:rPr>
        <w:t xml:space="preserve"> </w:t>
      </w:r>
      <w:r>
        <w:rPr>
          <w:color w:val="58595B"/>
          <w:sz w:val="20"/>
        </w:rPr>
        <w:t>activities</w:t>
      </w:r>
    </w:p>
    <w:p w14:paraId="475F4CE6" w14:textId="77777777" w:rsidR="00724131" w:rsidRDefault="00823349">
      <w:pPr>
        <w:pStyle w:val="ListParagraph"/>
        <w:numPr>
          <w:ilvl w:val="0"/>
          <w:numId w:val="31"/>
        </w:numPr>
        <w:tabs>
          <w:tab w:val="left" w:pos="305"/>
        </w:tabs>
        <w:spacing w:line="280" w:lineRule="auto"/>
        <w:ind w:right="1824" w:hanging="170"/>
        <w:rPr>
          <w:sz w:val="20"/>
        </w:rPr>
      </w:pPr>
      <w:r>
        <w:rPr>
          <w:color w:val="58595B"/>
          <w:sz w:val="20"/>
        </w:rPr>
        <w:t>user charges to recover the cost of additional services, such as publications, data services, and the</w:t>
      </w:r>
      <w:r>
        <w:rPr>
          <w:color w:val="58595B"/>
          <w:spacing w:val="-9"/>
          <w:sz w:val="20"/>
        </w:rPr>
        <w:t xml:space="preserve"> </w:t>
      </w:r>
      <w:r>
        <w:rPr>
          <w:color w:val="58595B"/>
          <w:sz w:val="20"/>
        </w:rPr>
        <w:t>like.</w:t>
      </w:r>
    </w:p>
    <w:p w14:paraId="2E15E048" w14:textId="77777777" w:rsidR="00724131" w:rsidRDefault="00823349">
      <w:pPr>
        <w:pStyle w:val="BodyText"/>
        <w:spacing w:before="172" w:line="280" w:lineRule="auto"/>
        <w:ind w:left="134" w:right="1337"/>
      </w:pPr>
      <w:r>
        <w:rPr>
          <w:color w:val="58595B"/>
        </w:rPr>
        <w:t>Some regulators are fully funded by industry fees or levies. For others, cost recovery represents only a minor source of overall operating revenues.</w:t>
      </w:r>
    </w:p>
    <w:p w14:paraId="184A03FF" w14:textId="77777777" w:rsidR="00724131" w:rsidRDefault="00724131">
      <w:pPr>
        <w:spacing w:line="280" w:lineRule="auto"/>
        <w:sectPr w:rsidR="00724131">
          <w:pgSz w:w="11910" w:h="16840"/>
          <w:pgMar w:top="980" w:right="0" w:bottom="280" w:left="1680" w:header="788" w:footer="0" w:gutter="0"/>
          <w:cols w:space="720"/>
        </w:sectPr>
      </w:pPr>
    </w:p>
    <w:p w14:paraId="6A881F4E" w14:textId="77777777" w:rsidR="00724131" w:rsidRDefault="00724131">
      <w:pPr>
        <w:pStyle w:val="BodyText"/>
      </w:pPr>
    </w:p>
    <w:p w14:paraId="0325F318" w14:textId="77777777" w:rsidR="00724131" w:rsidRDefault="00724131">
      <w:pPr>
        <w:pStyle w:val="BodyText"/>
      </w:pPr>
    </w:p>
    <w:p w14:paraId="61EB8794" w14:textId="77777777" w:rsidR="00724131" w:rsidRDefault="00724131">
      <w:pPr>
        <w:pStyle w:val="BodyText"/>
      </w:pPr>
    </w:p>
    <w:p w14:paraId="23BD2AE3" w14:textId="77777777" w:rsidR="00724131" w:rsidRDefault="00724131">
      <w:pPr>
        <w:pStyle w:val="BodyText"/>
      </w:pPr>
    </w:p>
    <w:p w14:paraId="2B230315" w14:textId="77777777" w:rsidR="00724131" w:rsidRDefault="00724131">
      <w:pPr>
        <w:pStyle w:val="BodyText"/>
        <w:spacing w:before="8"/>
        <w:rPr>
          <w:sz w:val="17"/>
        </w:rPr>
      </w:pPr>
    </w:p>
    <w:p w14:paraId="793A1471" w14:textId="77777777" w:rsidR="00724131" w:rsidRDefault="00823349">
      <w:pPr>
        <w:pStyle w:val="BodyText"/>
        <w:spacing w:before="1" w:line="280" w:lineRule="auto"/>
        <w:ind w:left="1417" w:right="121"/>
      </w:pPr>
      <w:r>
        <w:rPr>
          <w:color w:val="58595B"/>
        </w:rPr>
        <w:t>Recovering the costs of industry regulation from regulated entities is considered appropriate provided those costs are reasonable and efficient. In Victoria the requirement to issue a regulatory impact statement for significant categories of fees and charges and to consult with affected stakeholders before determining the nature and level of those charges helps to ensure some level of accountability by regulatory authorities and may encourage them to improve their efficiency.</w:t>
      </w:r>
    </w:p>
    <w:p w14:paraId="442F2EC2" w14:textId="77777777" w:rsidR="00724131" w:rsidRDefault="00823349">
      <w:pPr>
        <w:pStyle w:val="BodyText"/>
        <w:spacing w:before="172" w:line="280" w:lineRule="auto"/>
        <w:ind w:left="1417" w:right="163"/>
      </w:pPr>
      <w:r>
        <w:rPr>
          <w:color w:val="58595B"/>
        </w:rPr>
        <w:t>On the other hand, using general industry levies to fund regulatory activities does not clearly link the levy charged with the direct cost of providing regulatory services. General industry levies may be appropriate in certain circumstances, but they can be abused if there is little accountability back to industry for the cost and quality of the services</w:t>
      </w:r>
      <w:r>
        <w:rPr>
          <w:color w:val="58595B"/>
          <w:spacing w:val="20"/>
        </w:rPr>
        <w:t xml:space="preserve"> </w:t>
      </w:r>
      <w:r>
        <w:rPr>
          <w:color w:val="58595B"/>
        </w:rPr>
        <w:t>funded.</w:t>
      </w:r>
    </w:p>
    <w:p w14:paraId="61219E1E" w14:textId="77777777" w:rsidR="00724131" w:rsidRDefault="00724131">
      <w:pPr>
        <w:pStyle w:val="BodyText"/>
        <w:spacing w:before="4"/>
        <w:rPr>
          <w:sz w:val="22"/>
        </w:rPr>
      </w:pPr>
    </w:p>
    <w:p w14:paraId="61BBD657" w14:textId="77777777" w:rsidR="00724131" w:rsidRDefault="00823349">
      <w:pPr>
        <w:pStyle w:val="ListParagraph"/>
        <w:numPr>
          <w:ilvl w:val="2"/>
          <w:numId w:val="16"/>
        </w:numPr>
        <w:tabs>
          <w:tab w:val="left" w:pos="2067"/>
        </w:tabs>
        <w:spacing w:before="0"/>
        <w:ind w:left="2066" w:hanging="649"/>
        <w:jc w:val="left"/>
        <w:rPr>
          <w:sz w:val="20"/>
        </w:rPr>
      </w:pPr>
      <w:r>
        <w:rPr>
          <w:color w:val="0095A7"/>
          <w:spacing w:val="-3"/>
          <w:sz w:val="20"/>
        </w:rPr>
        <w:t xml:space="preserve">EPAs </w:t>
      </w:r>
      <w:r>
        <w:rPr>
          <w:color w:val="0095A7"/>
          <w:sz w:val="20"/>
        </w:rPr>
        <w:t>in other</w:t>
      </w:r>
      <w:r>
        <w:rPr>
          <w:color w:val="0095A7"/>
          <w:spacing w:val="10"/>
          <w:sz w:val="20"/>
        </w:rPr>
        <w:t xml:space="preserve"> </w:t>
      </w:r>
      <w:r>
        <w:rPr>
          <w:color w:val="0095A7"/>
          <w:sz w:val="20"/>
        </w:rPr>
        <w:t>jurisdictions</w:t>
      </w:r>
    </w:p>
    <w:p w14:paraId="7E1AA197" w14:textId="77777777" w:rsidR="00724131" w:rsidRDefault="00823349">
      <w:pPr>
        <w:pStyle w:val="BodyText"/>
        <w:spacing w:before="153" w:line="280" w:lineRule="auto"/>
        <w:ind w:left="1417" w:right="638"/>
      </w:pPr>
      <w:r>
        <w:rPr>
          <w:color w:val="58595B"/>
        </w:rPr>
        <w:t xml:space="preserve">Although some regulators receive a majority of their funding from </w:t>
      </w:r>
      <w:r>
        <w:rPr>
          <w:color w:val="58595B"/>
          <w:spacing w:val="-3"/>
        </w:rPr>
        <w:t xml:space="preserve">industry, </w:t>
      </w:r>
      <w:r>
        <w:rPr>
          <w:color w:val="58595B"/>
        </w:rPr>
        <w:t xml:space="preserve">this is </w:t>
      </w:r>
      <w:r>
        <w:rPr>
          <w:color w:val="58595B"/>
          <w:spacing w:val="-3"/>
        </w:rPr>
        <w:t xml:space="preserve">unusual </w:t>
      </w:r>
      <w:r>
        <w:rPr>
          <w:color w:val="58595B"/>
        </w:rPr>
        <w:t xml:space="preserve">for </w:t>
      </w:r>
      <w:r>
        <w:rPr>
          <w:color w:val="58595B"/>
          <w:spacing w:val="-3"/>
        </w:rPr>
        <w:t xml:space="preserve">environmental </w:t>
      </w:r>
      <w:r>
        <w:rPr>
          <w:color w:val="58595B"/>
        </w:rPr>
        <w:t xml:space="preserve">regulators. </w:t>
      </w:r>
      <w:r>
        <w:rPr>
          <w:color w:val="58595B"/>
          <w:spacing w:val="-3"/>
        </w:rPr>
        <w:t xml:space="preserve">Environmental </w:t>
      </w:r>
      <w:r>
        <w:rPr>
          <w:color w:val="58595B"/>
        </w:rPr>
        <w:t xml:space="preserve">regulators in the United Kingdom, New Zealand and most other Australian states receive the majority of their funding through direct </w:t>
      </w:r>
      <w:r>
        <w:rPr>
          <w:color w:val="58595B"/>
          <w:spacing w:val="-3"/>
        </w:rPr>
        <w:t>government</w:t>
      </w:r>
    </w:p>
    <w:p w14:paraId="5EB623D3" w14:textId="77777777" w:rsidR="00724131" w:rsidRDefault="00823349">
      <w:pPr>
        <w:pStyle w:val="BodyText"/>
        <w:spacing w:before="2"/>
        <w:ind w:left="1417"/>
      </w:pPr>
      <w:r>
        <w:rPr>
          <w:color w:val="58595B"/>
        </w:rPr>
        <w:t xml:space="preserve">appropriations, </w:t>
      </w:r>
      <w:r>
        <w:rPr>
          <w:color w:val="58595B"/>
          <w:spacing w:val="-3"/>
        </w:rPr>
        <w:t xml:space="preserve">supplemented </w:t>
      </w:r>
      <w:r>
        <w:rPr>
          <w:color w:val="58595B"/>
        </w:rPr>
        <w:t>to varying degrees with licence fees and other cost recovery charges:</w:t>
      </w:r>
    </w:p>
    <w:p w14:paraId="0C894D2B" w14:textId="77777777" w:rsidR="00724131" w:rsidRDefault="00823349">
      <w:pPr>
        <w:pStyle w:val="ListParagraph"/>
        <w:numPr>
          <w:ilvl w:val="0"/>
          <w:numId w:val="11"/>
        </w:numPr>
        <w:tabs>
          <w:tab w:val="left" w:pos="1588"/>
        </w:tabs>
        <w:spacing w:before="153" w:line="280" w:lineRule="auto"/>
        <w:ind w:right="215" w:hanging="170"/>
        <w:rPr>
          <w:sz w:val="20"/>
        </w:rPr>
      </w:pPr>
      <w:r>
        <w:rPr>
          <w:color w:val="58595B"/>
          <w:spacing w:val="-3"/>
          <w:sz w:val="20"/>
        </w:rPr>
        <w:t xml:space="preserve">For </w:t>
      </w:r>
      <w:r>
        <w:rPr>
          <w:color w:val="58595B"/>
          <w:sz w:val="20"/>
        </w:rPr>
        <w:t xml:space="preserve">the UK </w:t>
      </w:r>
      <w:r>
        <w:rPr>
          <w:color w:val="58595B"/>
          <w:spacing w:val="-4"/>
          <w:sz w:val="20"/>
        </w:rPr>
        <w:t xml:space="preserve">Environment </w:t>
      </w:r>
      <w:r>
        <w:rPr>
          <w:color w:val="58595B"/>
          <w:spacing w:val="-5"/>
          <w:sz w:val="20"/>
        </w:rPr>
        <w:t xml:space="preserve">Agency, </w:t>
      </w:r>
      <w:r>
        <w:rPr>
          <w:color w:val="58595B"/>
          <w:spacing w:val="-4"/>
          <w:sz w:val="20"/>
        </w:rPr>
        <w:t xml:space="preserve">government </w:t>
      </w:r>
      <w:r>
        <w:rPr>
          <w:color w:val="58595B"/>
          <w:spacing w:val="-3"/>
          <w:sz w:val="20"/>
        </w:rPr>
        <w:t xml:space="preserve">appropriations contributed </w:t>
      </w:r>
      <w:r>
        <w:rPr>
          <w:color w:val="58595B"/>
          <w:sz w:val="20"/>
        </w:rPr>
        <w:t xml:space="preserve">62 per cent of </w:t>
      </w:r>
      <w:r>
        <w:rPr>
          <w:color w:val="58595B"/>
          <w:spacing w:val="-3"/>
          <w:sz w:val="20"/>
        </w:rPr>
        <w:t xml:space="preserve">operating </w:t>
      </w:r>
      <w:r>
        <w:rPr>
          <w:color w:val="58595B"/>
          <w:spacing w:val="-4"/>
          <w:sz w:val="20"/>
        </w:rPr>
        <w:t>revenue</w:t>
      </w:r>
      <w:r>
        <w:rPr>
          <w:color w:val="58595B"/>
          <w:spacing w:val="-8"/>
          <w:sz w:val="20"/>
        </w:rPr>
        <w:t xml:space="preserve"> </w:t>
      </w:r>
      <w:r>
        <w:rPr>
          <w:color w:val="58595B"/>
          <w:sz w:val="20"/>
        </w:rPr>
        <w:t>in</w:t>
      </w:r>
      <w:r>
        <w:rPr>
          <w:color w:val="58595B"/>
          <w:spacing w:val="-8"/>
          <w:sz w:val="20"/>
        </w:rPr>
        <w:t xml:space="preserve"> 2012-13, </w:t>
      </w:r>
      <w:r>
        <w:rPr>
          <w:color w:val="58595B"/>
          <w:sz w:val="20"/>
        </w:rPr>
        <w:t>with</w:t>
      </w:r>
      <w:r>
        <w:rPr>
          <w:color w:val="58595B"/>
          <w:spacing w:val="-8"/>
          <w:sz w:val="20"/>
        </w:rPr>
        <w:t xml:space="preserve"> </w:t>
      </w:r>
      <w:r>
        <w:rPr>
          <w:color w:val="58595B"/>
          <w:spacing w:val="-3"/>
          <w:sz w:val="20"/>
        </w:rPr>
        <w:t>user</w:t>
      </w:r>
      <w:r>
        <w:rPr>
          <w:color w:val="58595B"/>
          <w:spacing w:val="-8"/>
          <w:sz w:val="20"/>
        </w:rPr>
        <w:t xml:space="preserve"> </w:t>
      </w:r>
      <w:r>
        <w:rPr>
          <w:color w:val="58595B"/>
          <w:spacing w:val="-3"/>
          <w:sz w:val="20"/>
        </w:rPr>
        <w:t>charges,</w:t>
      </w:r>
      <w:r>
        <w:rPr>
          <w:color w:val="58595B"/>
          <w:spacing w:val="-8"/>
          <w:sz w:val="20"/>
        </w:rPr>
        <w:t xml:space="preserve"> </w:t>
      </w:r>
      <w:r>
        <w:rPr>
          <w:color w:val="58595B"/>
          <w:sz w:val="20"/>
        </w:rPr>
        <w:t>licence</w:t>
      </w:r>
      <w:r>
        <w:rPr>
          <w:color w:val="58595B"/>
          <w:spacing w:val="-8"/>
          <w:sz w:val="20"/>
        </w:rPr>
        <w:t xml:space="preserve"> </w:t>
      </w:r>
      <w:r>
        <w:rPr>
          <w:color w:val="58595B"/>
          <w:spacing w:val="-3"/>
          <w:sz w:val="20"/>
        </w:rPr>
        <w:t>fees</w:t>
      </w:r>
      <w:r>
        <w:rPr>
          <w:color w:val="58595B"/>
          <w:spacing w:val="-8"/>
          <w:sz w:val="20"/>
        </w:rPr>
        <w:t xml:space="preserve"> </w:t>
      </w:r>
      <w:r>
        <w:rPr>
          <w:color w:val="58595B"/>
          <w:sz w:val="20"/>
        </w:rPr>
        <w:t>and</w:t>
      </w:r>
      <w:r>
        <w:rPr>
          <w:color w:val="58595B"/>
          <w:spacing w:val="-8"/>
          <w:sz w:val="20"/>
        </w:rPr>
        <w:t xml:space="preserve"> </w:t>
      </w:r>
      <w:r>
        <w:rPr>
          <w:color w:val="58595B"/>
          <w:spacing w:val="-3"/>
          <w:sz w:val="20"/>
        </w:rPr>
        <w:t>penalties</w:t>
      </w:r>
      <w:r>
        <w:rPr>
          <w:color w:val="58595B"/>
          <w:spacing w:val="-8"/>
          <w:sz w:val="20"/>
        </w:rPr>
        <w:t xml:space="preserve"> </w:t>
      </w:r>
      <w:r>
        <w:rPr>
          <w:color w:val="58595B"/>
          <w:spacing w:val="-3"/>
          <w:sz w:val="20"/>
        </w:rPr>
        <w:t>making</w:t>
      </w:r>
      <w:r>
        <w:rPr>
          <w:color w:val="58595B"/>
          <w:spacing w:val="-8"/>
          <w:sz w:val="20"/>
        </w:rPr>
        <w:t xml:space="preserve"> </w:t>
      </w:r>
      <w:r>
        <w:rPr>
          <w:color w:val="58595B"/>
          <w:sz w:val="20"/>
        </w:rPr>
        <w:t>up</w:t>
      </w:r>
      <w:r>
        <w:rPr>
          <w:color w:val="58595B"/>
          <w:spacing w:val="-8"/>
          <w:sz w:val="20"/>
        </w:rPr>
        <w:t xml:space="preserve"> </w:t>
      </w:r>
      <w:r>
        <w:rPr>
          <w:color w:val="58595B"/>
          <w:sz w:val="20"/>
        </w:rPr>
        <w:t>a</w:t>
      </w:r>
      <w:r>
        <w:rPr>
          <w:color w:val="58595B"/>
          <w:spacing w:val="-8"/>
          <w:sz w:val="20"/>
        </w:rPr>
        <w:t xml:space="preserve"> </w:t>
      </w:r>
      <w:r>
        <w:rPr>
          <w:color w:val="58595B"/>
          <w:sz w:val="20"/>
        </w:rPr>
        <w:t>further</w:t>
      </w:r>
      <w:r>
        <w:rPr>
          <w:color w:val="58595B"/>
          <w:spacing w:val="-8"/>
          <w:sz w:val="20"/>
        </w:rPr>
        <w:t xml:space="preserve"> </w:t>
      </w:r>
      <w:r>
        <w:rPr>
          <w:color w:val="58595B"/>
          <w:sz w:val="20"/>
        </w:rPr>
        <w:t>32</w:t>
      </w:r>
      <w:r>
        <w:rPr>
          <w:color w:val="58595B"/>
          <w:spacing w:val="-8"/>
          <w:sz w:val="20"/>
        </w:rPr>
        <w:t xml:space="preserve"> </w:t>
      </w:r>
      <w:r>
        <w:rPr>
          <w:color w:val="58595B"/>
          <w:sz w:val="20"/>
        </w:rPr>
        <w:t>per</w:t>
      </w:r>
      <w:r>
        <w:rPr>
          <w:color w:val="58595B"/>
          <w:spacing w:val="-8"/>
          <w:sz w:val="20"/>
        </w:rPr>
        <w:t xml:space="preserve"> </w:t>
      </w:r>
      <w:r>
        <w:rPr>
          <w:color w:val="58595B"/>
          <w:sz w:val="20"/>
        </w:rPr>
        <w:t>cent.</w:t>
      </w:r>
    </w:p>
    <w:p w14:paraId="0A62133C" w14:textId="77777777" w:rsidR="00724131" w:rsidRDefault="00823349">
      <w:pPr>
        <w:pStyle w:val="ListParagraph"/>
        <w:numPr>
          <w:ilvl w:val="0"/>
          <w:numId w:val="11"/>
        </w:numPr>
        <w:tabs>
          <w:tab w:val="left" w:pos="1588"/>
        </w:tabs>
        <w:spacing w:line="280" w:lineRule="auto"/>
        <w:ind w:right="187" w:hanging="170"/>
        <w:rPr>
          <w:sz w:val="20"/>
        </w:rPr>
      </w:pPr>
      <w:r>
        <w:rPr>
          <w:color w:val="58595B"/>
          <w:sz w:val="20"/>
        </w:rPr>
        <w:t>In New Zealand, government appropriations made up 78 per cent of the environmental regulator’s</w:t>
      </w:r>
      <w:r>
        <w:rPr>
          <w:color w:val="58595B"/>
          <w:spacing w:val="-7"/>
          <w:sz w:val="20"/>
        </w:rPr>
        <w:t xml:space="preserve"> </w:t>
      </w:r>
      <w:r>
        <w:rPr>
          <w:color w:val="58595B"/>
          <w:sz w:val="20"/>
        </w:rPr>
        <w:t>funding,</w:t>
      </w:r>
      <w:r>
        <w:rPr>
          <w:color w:val="58595B"/>
          <w:spacing w:val="-7"/>
          <w:sz w:val="20"/>
        </w:rPr>
        <w:t xml:space="preserve"> </w:t>
      </w:r>
      <w:r>
        <w:rPr>
          <w:color w:val="58595B"/>
          <w:sz w:val="20"/>
        </w:rPr>
        <w:t>with</w:t>
      </w:r>
      <w:r>
        <w:rPr>
          <w:color w:val="58595B"/>
          <w:spacing w:val="-7"/>
          <w:sz w:val="20"/>
        </w:rPr>
        <w:t xml:space="preserve"> </w:t>
      </w:r>
      <w:r>
        <w:rPr>
          <w:color w:val="58595B"/>
          <w:sz w:val="20"/>
        </w:rPr>
        <w:t>user</w:t>
      </w:r>
      <w:r>
        <w:rPr>
          <w:color w:val="58595B"/>
          <w:spacing w:val="-7"/>
          <w:sz w:val="20"/>
        </w:rPr>
        <w:t xml:space="preserve"> </w:t>
      </w:r>
      <w:r>
        <w:rPr>
          <w:color w:val="58595B"/>
          <w:sz w:val="20"/>
        </w:rPr>
        <w:t>charges,</w:t>
      </w:r>
      <w:r>
        <w:rPr>
          <w:color w:val="58595B"/>
          <w:spacing w:val="-7"/>
          <w:sz w:val="20"/>
        </w:rPr>
        <w:t xml:space="preserve"> </w:t>
      </w:r>
      <w:r>
        <w:rPr>
          <w:color w:val="58595B"/>
          <w:sz w:val="20"/>
        </w:rPr>
        <w:t>licence</w:t>
      </w:r>
      <w:r>
        <w:rPr>
          <w:color w:val="58595B"/>
          <w:spacing w:val="-7"/>
          <w:sz w:val="20"/>
        </w:rPr>
        <w:t xml:space="preserve"> </w:t>
      </w:r>
      <w:r>
        <w:rPr>
          <w:color w:val="58595B"/>
          <w:sz w:val="20"/>
        </w:rPr>
        <w:t>fees</w:t>
      </w:r>
      <w:r>
        <w:rPr>
          <w:color w:val="58595B"/>
          <w:spacing w:val="-7"/>
          <w:sz w:val="20"/>
        </w:rPr>
        <w:t xml:space="preserve"> </w:t>
      </w:r>
      <w:r>
        <w:rPr>
          <w:color w:val="58595B"/>
          <w:sz w:val="20"/>
        </w:rPr>
        <w:t>and</w:t>
      </w:r>
      <w:r>
        <w:rPr>
          <w:color w:val="58595B"/>
          <w:spacing w:val="-7"/>
          <w:sz w:val="20"/>
        </w:rPr>
        <w:t xml:space="preserve"> </w:t>
      </w:r>
      <w:r>
        <w:rPr>
          <w:color w:val="58595B"/>
          <w:sz w:val="20"/>
        </w:rPr>
        <w:t>penalties</w:t>
      </w:r>
      <w:r>
        <w:rPr>
          <w:color w:val="58595B"/>
          <w:spacing w:val="-7"/>
          <w:sz w:val="20"/>
        </w:rPr>
        <w:t xml:space="preserve"> </w:t>
      </w:r>
      <w:r>
        <w:rPr>
          <w:color w:val="58595B"/>
          <w:sz w:val="20"/>
        </w:rPr>
        <w:t>making</w:t>
      </w:r>
      <w:r>
        <w:rPr>
          <w:color w:val="58595B"/>
          <w:spacing w:val="-7"/>
          <w:sz w:val="20"/>
        </w:rPr>
        <w:t xml:space="preserve"> </w:t>
      </w:r>
      <w:r>
        <w:rPr>
          <w:color w:val="58595B"/>
          <w:sz w:val="20"/>
        </w:rPr>
        <w:t>up</w:t>
      </w:r>
      <w:r>
        <w:rPr>
          <w:color w:val="58595B"/>
          <w:spacing w:val="-7"/>
          <w:sz w:val="20"/>
        </w:rPr>
        <w:t xml:space="preserve"> </w:t>
      </w:r>
      <w:r>
        <w:rPr>
          <w:color w:val="58595B"/>
          <w:sz w:val="20"/>
        </w:rPr>
        <w:t>around</w:t>
      </w:r>
      <w:r>
        <w:rPr>
          <w:color w:val="58595B"/>
          <w:spacing w:val="-7"/>
          <w:sz w:val="20"/>
        </w:rPr>
        <w:t xml:space="preserve"> </w:t>
      </w:r>
      <w:r>
        <w:rPr>
          <w:color w:val="58595B"/>
          <w:sz w:val="20"/>
        </w:rPr>
        <w:t>20</w:t>
      </w:r>
      <w:r>
        <w:rPr>
          <w:color w:val="58595B"/>
          <w:spacing w:val="-7"/>
          <w:sz w:val="20"/>
        </w:rPr>
        <w:t xml:space="preserve"> </w:t>
      </w:r>
      <w:r>
        <w:rPr>
          <w:color w:val="58595B"/>
          <w:sz w:val="20"/>
        </w:rPr>
        <w:t>per</w:t>
      </w:r>
      <w:r>
        <w:rPr>
          <w:color w:val="58595B"/>
          <w:spacing w:val="-7"/>
          <w:sz w:val="20"/>
        </w:rPr>
        <w:t xml:space="preserve"> </w:t>
      </w:r>
      <w:r>
        <w:rPr>
          <w:color w:val="58595B"/>
          <w:sz w:val="20"/>
        </w:rPr>
        <w:t>cent.</w:t>
      </w:r>
    </w:p>
    <w:p w14:paraId="6F88A981" w14:textId="77777777" w:rsidR="00724131" w:rsidRDefault="00823349">
      <w:pPr>
        <w:pStyle w:val="ListParagraph"/>
        <w:numPr>
          <w:ilvl w:val="0"/>
          <w:numId w:val="11"/>
        </w:numPr>
        <w:tabs>
          <w:tab w:val="left" w:pos="1588"/>
        </w:tabs>
        <w:spacing w:line="280" w:lineRule="auto"/>
        <w:ind w:right="131" w:hanging="170"/>
        <w:rPr>
          <w:sz w:val="20"/>
        </w:rPr>
      </w:pPr>
      <w:r>
        <w:rPr>
          <w:color w:val="58595B"/>
          <w:sz w:val="20"/>
        </w:rPr>
        <w:t xml:space="preserve">In other Australian jurisdictions, only South Australia relies heavily on revenue from levies on waste, which comprise </w:t>
      </w:r>
      <w:r>
        <w:rPr>
          <w:color w:val="58595B"/>
          <w:spacing w:val="2"/>
          <w:sz w:val="20"/>
        </w:rPr>
        <w:t xml:space="preserve">54 </w:t>
      </w:r>
      <w:r>
        <w:rPr>
          <w:color w:val="58595B"/>
          <w:sz w:val="20"/>
        </w:rPr>
        <w:t xml:space="preserve">per cent of its operating budget, while fees and charges contribute </w:t>
      </w:r>
      <w:r>
        <w:rPr>
          <w:color w:val="58595B"/>
          <w:spacing w:val="-7"/>
          <w:sz w:val="20"/>
        </w:rPr>
        <w:t xml:space="preserve">41 </w:t>
      </w:r>
      <w:r>
        <w:rPr>
          <w:color w:val="58595B"/>
          <w:sz w:val="20"/>
        </w:rPr>
        <w:t>per cent and grants a further 4.3 per cent. By</w:t>
      </w:r>
      <w:r>
        <w:rPr>
          <w:color w:val="58595B"/>
          <w:spacing w:val="14"/>
          <w:sz w:val="20"/>
        </w:rPr>
        <w:t xml:space="preserve"> </w:t>
      </w:r>
      <w:r>
        <w:rPr>
          <w:color w:val="58595B"/>
          <w:sz w:val="20"/>
        </w:rPr>
        <w:t>comparison:</w:t>
      </w:r>
    </w:p>
    <w:p w14:paraId="68DBA95B" w14:textId="77777777" w:rsidR="00724131" w:rsidRDefault="00823349">
      <w:pPr>
        <w:pStyle w:val="ListParagraph"/>
        <w:numPr>
          <w:ilvl w:val="3"/>
          <w:numId w:val="16"/>
        </w:numPr>
        <w:tabs>
          <w:tab w:val="left" w:pos="1928"/>
        </w:tabs>
        <w:spacing w:before="172" w:line="280" w:lineRule="auto"/>
        <w:ind w:right="1351" w:hanging="340"/>
        <w:rPr>
          <w:sz w:val="20"/>
        </w:rPr>
      </w:pPr>
      <w:r>
        <w:rPr>
          <w:color w:val="58595B"/>
          <w:sz w:val="20"/>
        </w:rPr>
        <w:t>New South Wales receives over 86 per cent of its funding through government appropriations and another 9.5 per cent through</w:t>
      </w:r>
      <w:r>
        <w:rPr>
          <w:color w:val="58595B"/>
          <w:spacing w:val="6"/>
          <w:sz w:val="20"/>
        </w:rPr>
        <w:t xml:space="preserve"> </w:t>
      </w:r>
      <w:r>
        <w:rPr>
          <w:color w:val="58595B"/>
          <w:sz w:val="20"/>
        </w:rPr>
        <w:t>grants</w:t>
      </w:r>
    </w:p>
    <w:p w14:paraId="4DFCECB0" w14:textId="77777777" w:rsidR="00724131" w:rsidRDefault="00823349">
      <w:pPr>
        <w:pStyle w:val="ListParagraph"/>
        <w:numPr>
          <w:ilvl w:val="3"/>
          <w:numId w:val="16"/>
        </w:numPr>
        <w:tabs>
          <w:tab w:val="left" w:pos="1928"/>
        </w:tabs>
        <w:spacing w:before="172"/>
        <w:ind w:hanging="340"/>
        <w:rPr>
          <w:sz w:val="20"/>
        </w:rPr>
      </w:pPr>
      <w:r>
        <w:rPr>
          <w:color w:val="58595B"/>
          <w:sz w:val="20"/>
        </w:rPr>
        <w:t>Queensland receives around 87 per cent through government appropriations and</w:t>
      </w:r>
      <w:r>
        <w:rPr>
          <w:color w:val="58595B"/>
          <w:spacing w:val="1"/>
          <w:sz w:val="20"/>
        </w:rPr>
        <w:t xml:space="preserve"> </w:t>
      </w:r>
      <w:r>
        <w:rPr>
          <w:color w:val="58595B"/>
          <w:sz w:val="20"/>
        </w:rPr>
        <w:t>another</w:t>
      </w:r>
    </w:p>
    <w:p w14:paraId="7B10F39A" w14:textId="77777777" w:rsidR="00724131" w:rsidRDefault="00823349">
      <w:pPr>
        <w:pStyle w:val="BodyText"/>
        <w:spacing w:before="40"/>
        <w:ind w:left="1927" w:right="228"/>
      </w:pPr>
      <w:r>
        <w:rPr>
          <w:color w:val="58595B"/>
        </w:rPr>
        <w:t>6.4 per cent through grants</w:t>
      </w:r>
    </w:p>
    <w:p w14:paraId="545E48B7" w14:textId="77777777" w:rsidR="00724131" w:rsidRDefault="00724131">
      <w:pPr>
        <w:pStyle w:val="BodyText"/>
        <w:spacing w:before="3"/>
        <w:rPr>
          <w:sz w:val="18"/>
        </w:rPr>
      </w:pPr>
    </w:p>
    <w:p w14:paraId="4018725E" w14:textId="77777777" w:rsidR="00724131" w:rsidRDefault="00823349">
      <w:pPr>
        <w:pStyle w:val="ListParagraph"/>
        <w:numPr>
          <w:ilvl w:val="3"/>
          <w:numId w:val="16"/>
        </w:numPr>
        <w:tabs>
          <w:tab w:val="left" w:pos="1928"/>
        </w:tabs>
        <w:spacing w:before="0"/>
        <w:ind w:hanging="340"/>
        <w:rPr>
          <w:sz w:val="11"/>
        </w:rPr>
      </w:pPr>
      <w:r>
        <w:rPr>
          <w:color w:val="58595B"/>
          <w:sz w:val="20"/>
        </w:rPr>
        <w:t>Western Australia receives over 93 per cent through government</w:t>
      </w:r>
      <w:r>
        <w:rPr>
          <w:color w:val="58595B"/>
          <w:spacing w:val="-24"/>
          <w:sz w:val="20"/>
        </w:rPr>
        <w:t xml:space="preserve"> </w:t>
      </w:r>
      <w:r>
        <w:rPr>
          <w:color w:val="58595B"/>
          <w:sz w:val="20"/>
        </w:rPr>
        <w:t>appropriations.</w:t>
      </w:r>
      <w:r>
        <w:rPr>
          <w:color w:val="58595B"/>
          <w:position w:val="7"/>
          <w:sz w:val="11"/>
        </w:rPr>
        <w:t>14</w:t>
      </w:r>
    </w:p>
    <w:p w14:paraId="04E84A7B" w14:textId="77777777" w:rsidR="00724131" w:rsidRDefault="00724131">
      <w:pPr>
        <w:pStyle w:val="BodyText"/>
        <w:spacing w:before="4"/>
        <w:rPr>
          <w:sz w:val="22"/>
        </w:rPr>
      </w:pPr>
    </w:p>
    <w:p w14:paraId="5E7E0B5A" w14:textId="77777777" w:rsidR="00724131" w:rsidRDefault="00823349">
      <w:pPr>
        <w:pStyle w:val="Heading3"/>
        <w:ind w:right="228"/>
      </w:pPr>
      <w:r>
        <w:rPr>
          <w:color w:val="0095A7"/>
        </w:rPr>
        <w:t>21.6  Future funding options for Victoria’s EPA</w:t>
      </w:r>
    </w:p>
    <w:p w14:paraId="24865E27" w14:textId="77777777" w:rsidR="00724131" w:rsidRDefault="00823349">
      <w:pPr>
        <w:pStyle w:val="BodyText"/>
        <w:spacing w:before="145" w:line="280" w:lineRule="auto"/>
        <w:ind w:left="1417" w:right="365"/>
      </w:pPr>
      <w:r>
        <w:rPr>
          <w:color w:val="58595B"/>
        </w:rPr>
        <w:t>We propose a new funding model be developed for the EPA that provides a more balanced mix of revenue sources, including an increased reliance on cost recovery and user charges. One possible revenue neutral option that could deliver increased stability and better align with the EPA’s regulatory mission is outlined in section 21.6.5 below.</w:t>
      </w:r>
    </w:p>
    <w:p w14:paraId="51D6CB91" w14:textId="77777777" w:rsidR="00724131" w:rsidRDefault="00823349">
      <w:pPr>
        <w:pStyle w:val="BodyText"/>
        <w:spacing w:before="172" w:line="280" w:lineRule="auto"/>
        <w:ind w:left="1417" w:right="488"/>
      </w:pPr>
      <w:r>
        <w:rPr>
          <w:color w:val="58595B"/>
        </w:rPr>
        <w:t>In considering future funding options for the EPA, we assessed the potential contributions of the following revenue sources against the criteria of sufficiency, certainty, simplicity, incentive alignment, practicality, independence and stakeholder acceptance outlined earlier:</w:t>
      </w:r>
    </w:p>
    <w:p w14:paraId="384C6BDE" w14:textId="77777777" w:rsidR="00724131" w:rsidRDefault="00823349">
      <w:pPr>
        <w:pStyle w:val="ListParagraph"/>
        <w:numPr>
          <w:ilvl w:val="0"/>
          <w:numId w:val="11"/>
        </w:numPr>
        <w:tabs>
          <w:tab w:val="left" w:pos="1588"/>
        </w:tabs>
        <w:ind w:hanging="170"/>
        <w:rPr>
          <w:sz w:val="20"/>
        </w:rPr>
      </w:pPr>
      <w:r>
        <w:rPr>
          <w:color w:val="58595B"/>
          <w:sz w:val="20"/>
        </w:rPr>
        <w:t>appropriations</w:t>
      </w:r>
    </w:p>
    <w:p w14:paraId="66D2F698" w14:textId="77777777" w:rsidR="00724131" w:rsidRDefault="00823349">
      <w:pPr>
        <w:pStyle w:val="ListParagraph"/>
        <w:numPr>
          <w:ilvl w:val="0"/>
          <w:numId w:val="11"/>
        </w:numPr>
        <w:tabs>
          <w:tab w:val="left" w:pos="1588"/>
        </w:tabs>
        <w:spacing w:before="153"/>
        <w:ind w:hanging="170"/>
        <w:rPr>
          <w:sz w:val="20"/>
        </w:rPr>
      </w:pPr>
      <w:r>
        <w:rPr>
          <w:color w:val="58595B"/>
          <w:sz w:val="20"/>
        </w:rPr>
        <w:t>levies (including the M&amp;I Landfill and PIW</w:t>
      </w:r>
      <w:r>
        <w:rPr>
          <w:color w:val="58595B"/>
          <w:spacing w:val="-9"/>
          <w:sz w:val="20"/>
        </w:rPr>
        <w:t xml:space="preserve"> </w:t>
      </w:r>
      <w:r>
        <w:rPr>
          <w:color w:val="58595B"/>
          <w:sz w:val="20"/>
        </w:rPr>
        <w:t>levies)</w:t>
      </w:r>
    </w:p>
    <w:p w14:paraId="464B01FB" w14:textId="77777777" w:rsidR="00724131" w:rsidRDefault="00823349">
      <w:pPr>
        <w:pStyle w:val="ListParagraph"/>
        <w:numPr>
          <w:ilvl w:val="0"/>
          <w:numId w:val="11"/>
        </w:numPr>
        <w:tabs>
          <w:tab w:val="left" w:pos="1588"/>
        </w:tabs>
        <w:spacing w:before="153"/>
        <w:ind w:hanging="170"/>
        <w:rPr>
          <w:sz w:val="20"/>
        </w:rPr>
      </w:pPr>
      <w:r>
        <w:rPr>
          <w:color w:val="58595B"/>
          <w:sz w:val="20"/>
        </w:rPr>
        <w:t>pollution</w:t>
      </w:r>
      <w:r>
        <w:rPr>
          <w:color w:val="58595B"/>
          <w:spacing w:val="5"/>
          <w:sz w:val="20"/>
        </w:rPr>
        <w:t xml:space="preserve"> </w:t>
      </w:r>
      <w:r>
        <w:rPr>
          <w:color w:val="58595B"/>
          <w:sz w:val="20"/>
        </w:rPr>
        <w:t>taxes</w:t>
      </w:r>
    </w:p>
    <w:p w14:paraId="4697CF14" w14:textId="77777777" w:rsidR="00724131" w:rsidRDefault="00823349">
      <w:pPr>
        <w:pStyle w:val="ListParagraph"/>
        <w:numPr>
          <w:ilvl w:val="0"/>
          <w:numId w:val="11"/>
        </w:numPr>
        <w:tabs>
          <w:tab w:val="left" w:pos="1588"/>
        </w:tabs>
        <w:spacing w:before="153"/>
        <w:ind w:hanging="170"/>
        <w:rPr>
          <w:sz w:val="20"/>
        </w:rPr>
      </w:pPr>
      <w:r>
        <w:rPr>
          <w:color w:val="58595B"/>
          <w:sz w:val="20"/>
        </w:rPr>
        <w:t>licence</w:t>
      </w:r>
      <w:r>
        <w:rPr>
          <w:color w:val="58595B"/>
          <w:spacing w:val="4"/>
          <w:sz w:val="20"/>
        </w:rPr>
        <w:t xml:space="preserve"> </w:t>
      </w:r>
      <w:r>
        <w:rPr>
          <w:color w:val="58595B"/>
          <w:sz w:val="20"/>
        </w:rPr>
        <w:t>fees</w:t>
      </w:r>
    </w:p>
    <w:p w14:paraId="48F00463" w14:textId="77777777" w:rsidR="00724131" w:rsidRDefault="00823349">
      <w:pPr>
        <w:pStyle w:val="ListParagraph"/>
        <w:numPr>
          <w:ilvl w:val="0"/>
          <w:numId w:val="11"/>
        </w:numPr>
        <w:tabs>
          <w:tab w:val="left" w:pos="1588"/>
        </w:tabs>
        <w:spacing w:before="153"/>
        <w:ind w:hanging="170"/>
        <w:rPr>
          <w:sz w:val="20"/>
        </w:rPr>
      </w:pPr>
      <w:r>
        <w:rPr>
          <w:color w:val="58595B"/>
          <w:sz w:val="20"/>
        </w:rPr>
        <w:t>charges for</w:t>
      </w:r>
      <w:r>
        <w:rPr>
          <w:color w:val="58595B"/>
          <w:spacing w:val="15"/>
          <w:sz w:val="20"/>
        </w:rPr>
        <w:t xml:space="preserve"> </w:t>
      </w:r>
      <w:r>
        <w:rPr>
          <w:color w:val="58595B"/>
          <w:sz w:val="20"/>
        </w:rPr>
        <w:t>services</w:t>
      </w:r>
    </w:p>
    <w:p w14:paraId="3AE526CD" w14:textId="77777777" w:rsidR="00724131" w:rsidRDefault="00823349">
      <w:pPr>
        <w:pStyle w:val="ListParagraph"/>
        <w:numPr>
          <w:ilvl w:val="0"/>
          <w:numId w:val="11"/>
        </w:numPr>
        <w:tabs>
          <w:tab w:val="left" w:pos="1588"/>
        </w:tabs>
        <w:spacing w:before="153"/>
        <w:ind w:hanging="170"/>
        <w:rPr>
          <w:sz w:val="20"/>
        </w:rPr>
      </w:pPr>
      <w:r>
        <w:rPr>
          <w:color w:val="58595B"/>
          <w:sz w:val="20"/>
        </w:rPr>
        <w:t>fines and</w:t>
      </w:r>
      <w:r>
        <w:rPr>
          <w:color w:val="58595B"/>
          <w:spacing w:val="8"/>
          <w:sz w:val="20"/>
        </w:rPr>
        <w:t xml:space="preserve"> </w:t>
      </w:r>
      <w:r>
        <w:rPr>
          <w:color w:val="58595B"/>
          <w:sz w:val="20"/>
        </w:rPr>
        <w:t>penalties.</w:t>
      </w:r>
    </w:p>
    <w:p w14:paraId="040E6257" w14:textId="77777777" w:rsidR="00724131" w:rsidRDefault="00724131">
      <w:pPr>
        <w:rPr>
          <w:sz w:val="20"/>
        </w:rPr>
        <w:sectPr w:rsidR="00724131">
          <w:pgSz w:w="11910" w:h="16840"/>
          <w:pgMar w:top="980" w:right="1680" w:bottom="280" w:left="0" w:header="788" w:footer="0" w:gutter="0"/>
          <w:cols w:space="720"/>
        </w:sectPr>
      </w:pPr>
    </w:p>
    <w:p w14:paraId="36DF4B3E" w14:textId="77777777" w:rsidR="00724131" w:rsidRDefault="00724131">
      <w:pPr>
        <w:pStyle w:val="BodyText"/>
      </w:pPr>
    </w:p>
    <w:p w14:paraId="2F5666BC" w14:textId="77777777" w:rsidR="00724131" w:rsidRDefault="00724131">
      <w:pPr>
        <w:pStyle w:val="BodyText"/>
      </w:pPr>
    </w:p>
    <w:p w14:paraId="20B012A4" w14:textId="77777777" w:rsidR="00724131" w:rsidRDefault="00724131">
      <w:pPr>
        <w:pStyle w:val="BodyText"/>
      </w:pPr>
    </w:p>
    <w:p w14:paraId="1DC7D6FA" w14:textId="77777777" w:rsidR="00724131" w:rsidRDefault="00724131">
      <w:pPr>
        <w:pStyle w:val="BodyText"/>
      </w:pPr>
    </w:p>
    <w:p w14:paraId="168EED8B" w14:textId="77777777" w:rsidR="00724131" w:rsidRDefault="00724131">
      <w:pPr>
        <w:pStyle w:val="BodyText"/>
        <w:spacing w:before="8"/>
        <w:rPr>
          <w:sz w:val="17"/>
        </w:rPr>
      </w:pPr>
    </w:p>
    <w:p w14:paraId="043BB43B" w14:textId="77777777" w:rsidR="00724131" w:rsidRDefault="00823349">
      <w:pPr>
        <w:pStyle w:val="ListParagraph"/>
        <w:numPr>
          <w:ilvl w:val="2"/>
          <w:numId w:val="10"/>
        </w:numPr>
        <w:tabs>
          <w:tab w:val="left" w:pos="759"/>
        </w:tabs>
        <w:spacing w:before="1"/>
        <w:ind w:hanging="624"/>
        <w:jc w:val="left"/>
        <w:rPr>
          <w:sz w:val="20"/>
        </w:rPr>
      </w:pPr>
      <w:r>
        <w:rPr>
          <w:color w:val="0095A7"/>
          <w:sz w:val="20"/>
        </w:rPr>
        <w:t>Appropriations</w:t>
      </w:r>
    </w:p>
    <w:p w14:paraId="017E00E5" w14:textId="77777777" w:rsidR="00724131" w:rsidRDefault="00823349">
      <w:pPr>
        <w:pStyle w:val="BodyText"/>
        <w:spacing w:before="153" w:line="280" w:lineRule="auto"/>
        <w:ind w:left="134" w:right="1911"/>
      </w:pPr>
      <w:r>
        <w:rPr>
          <w:color w:val="58595B"/>
        </w:rPr>
        <w:t>A number of stakeholders believe the EPA should receive a significant portion of its funding through a direct budget appropriation.</w:t>
      </w:r>
    </w:p>
    <w:p w14:paraId="59F51347" w14:textId="77777777" w:rsidR="00724131" w:rsidRDefault="00823349">
      <w:pPr>
        <w:pStyle w:val="BodyText"/>
        <w:spacing w:before="172" w:line="280" w:lineRule="auto"/>
        <w:ind w:left="134" w:right="1468"/>
      </w:pPr>
      <w:r>
        <w:rPr>
          <w:color w:val="58595B"/>
        </w:rPr>
        <w:t>Reinstating a significant funding contribution through direct government appropriations would simplify the EPA’s funding arrangements and better align with its core mission than relying on levies. It may also improve funding certainty if it reduces the EPA’s reliance on more volatile funding sources. This approach is consistent with arrangements in most other jurisdictions and would better satisfy community expectations for an independent regulator.</w:t>
      </w:r>
    </w:p>
    <w:p w14:paraId="29F16C94" w14:textId="77777777" w:rsidR="00724131" w:rsidRDefault="00823349">
      <w:pPr>
        <w:pStyle w:val="BodyText"/>
        <w:spacing w:before="172" w:line="280" w:lineRule="auto"/>
        <w:ind w:left="134" w:right="1337"/>
      </w:pPr>
      <w:r>
        <w:rPr>
          <w:color w:val="58595B"/>
        </w:rPr>
        <w:t>Restoring budget funding could be revenue neutral (at least in principle) if the Parliament reassigned revenues from the M&amp;I Landfill Levy to the Consolidated Fund, and then redistributed these funds to agencies and activities (including the EPA) through direct appropriations.</w:t>
      </w:r>
    </w:p>
    <w:p w14:paraId="2DDF2A48" w14:textId="77777777" w:rsidR="00724131" w:rsidRDefault="00823349">
      <w:pPr>
        <w:pStyle w:val="BodyText"/>
        <w:spacing w:before="172" w:line="280" w:lineRule="auto"/>
        <w:ind w:left="134" w:right="1468"/>
      </w:pPr>
      <w:r>
        <w:rPr>
          <w:color w:val="58595B"/>
        </w:rPr>
        <w:t>We believe this option should be actively considered in the longer term. However, for the immediate future we acknowledge that reinstatement of a budget appropriation may not be practical as the current hypothecated levy revenues have had the support of both parties and successive governments over a number of years. There would also be ongoing issues of funding sufficiency and certainty, given competing claims on the Consolidated Fund.</w:t>
      </w:r>
    </w:p>
    <w:p w14:paraId="6565CEB1" w14:textId="77777777" w:rsidR="00724131" w:rsidRDefault="00724131">
      <w:pPr>
        <w:pStyle w:val="BodyText"/>
        <w:spacing w:before="4"/>
        <w:rPr>
          <w:sz w:val="22"/>
        </w:rPr>
      </w:pPr>
    </w:p>
    <w:p w14:paraId="0DB74188" w14:textId="77777777" w:rsidR="00724131" w:rsidRDefault="00823349">
      <w:pPr>
        <w:pStyle w:val="ListParagraph"/>
        <w:numPr>
          <w:ilvl w:val="2"/>
          <w:numId w:val="10"/>
        </w:numPr>
        <w:tabs>
          <w:tab w:val="left" w:pos="782"/>
        </w:tabs>
        <w:spacing w:before="0"/>
        <w:ind w:left="781" w:hanging="647"/>
        <w:jc w:val="left"/>
        <w:rPr>
          <w:sz w:val="20"/>
        </w:rPr>
      </w:pPr>
      <w:r>
        <w:rPr>
          <w:color w:val="0095A7"/>
          <w:sz w:val="20"/>
        </w:rPr>
        <w:t>Levies</w:t>
      </w:r>
    </w:p>
    <w:p w14:paraId="4A59C118" w14:textId="77777777" w:rsidR="00724131" w:rsidRDefault="00823349">
      <w:pPr>
        <w:pStyle w:val="BodyText"/>
        <w:spacing w:before="153"/>
        <w:ind w:left="134" w:right="228"/>
      </w:pPr>
      <w:r>
        <w:rPr>
          <w:color w:val="58595B"/>
        </w:rPr>
        <w:t>Currently, the M&amp;I Landfill and the PIW levies are the EPA’s principal sources of levy revenue.</w:t>
      </w:r>
    </w:p>
    <w:p w14:paraId="70518285" w14:textId="77777777" w:rsidR="00724131" w:rsidRDefault="00724131">
      <w:pPr>
        <w:pStyle w:val="BodyText"/>
        <w:spacing w:before="2"/>
        <w:rPr>
          <w:sz w:val="23"/>
        </w:rPr>
      </w:pPr>
    </w:p>
    <w:p w14:paraId="02090921" w14:textId="77777777" w:rsidR="00724131" w:rsidRDefault="00823349">
      <w:pPr>
        <w:ind w:left="134" w:right="228"/>
        <w:rPr>
          <w:i/>
          <w:sz w:val="20"/>
        </w:rPr>
      </w:pPr>
      <w:r>
        <w:rPr>
          <w:i/>
          <w:color w:val="6D6E71"/>
          <w:sz w:val="20"/>
        </w:rPr>
        <w:t>Municipal and Industrial Landfill Levy</w:t>
      </w:r>
    </w:p>
    <w:p w14:paraId="2FAFDE2D" w14:textId="77777777" w:rsidR="00724131" w:rsidRDefault="00823349">
      <w:pPr>
        <w:pStyle w:val="BodyText"/>
        <w:spacing w:before="125" w:line="280" w:lineRule="auto"/>
        <w:ind w:left="134" w:right="1468"/>
      </w:pPr>
      <w:r>
        <w:rPr>
          <w:color w:val="58595B"/>
        </w:rPr>
        <w:t>Revenue from the M&amp;I Landfill Levy is more likely to secure funding sufficiency and certainty for the EPA, given the political and budgetary impediments to reinstating a direct budget appropriation. It is also more practical, because it does not involve any changes to current legislative arrangements.</w:t>
      </w:r>
    </w:p>
    <w:p w14:paraId="08EB3E1E" w14:textId="77777777" w:rsidR="00724131" w:rsidRDefault="00823349">
      <w:pPr>
        <w:pStyle w:val="BodyText"/>
        <w:spacing w:before="172" w:line="280" w:lineRule="auto"/>
        <w:ind w:left="134" w:right="1337"/>
      </w:pPr>
      <w:r>
        <w:rPr>
          <w:color w:val="58595B"/>
        </w:rPr>
        <w:t>By contrast, the community is concerned about conflicts of interests (whether actual or perceived) relating to the EPA’s increasing reliance on levies. But of more concern to us are questions about whether the levy satisfies the objectives for which it was originally designed.</w:t>
      </w:r>
    </w:p>
    <w:p w14:paraId="43BAC03E" w14:textId="77777777" w:rsidR="00724131" w:rsidRDefault="00823349">
      <w:pPr>
        <w:pStyle w:val="BodyText"/>
        <w:spacing w:before="172" w:line="280" w:lineRule="auto"/>
        <w:ind w:left="134" w:right="1911"/>
      </w:pPr>
      <w:r>
        <w:rPr>
          <w:color w:val="58595B"/>
        </w:rPr>
        <w:t>To increase community acceptance of the EPA’s ongoing reliance on landfill levies, we recommend redesign of the M&amp;I Landfill Levy to better meet its regulatory objectives, and maintain a sustainable source of funding environment protection activities.</w:t>
      </w:r>
    </w:p>
    <w:p w14:paraId="6E6DDEF7" w14:textId="77777777" w:rsidR="00724131" w:rsidRDefault="00823349">
      <w:pPr>
        <w:pStyle w:val="BodyText"/>
        <w:spacing w:before="172" w:line="280" w:lineRule="auto"/>
        <w:ind w:left="134" w:right="1468"/>
      </w:pPr>
      <w:r>
        <w:rPr>
          <w:color w:val="58595B"/>
          <w:spacing w:val="-3"/>
        </w:rPr>
        <w:t xml:space="preserve">The </w:t>
      </w:r>
      <w:r>
        <w:rPr>
          <w:color w:val="58595B"/>
          <w:spacing w:val="-5"/>
        </w:rPr>
        <w:t xml:space="preserve">levy’s stated rationale was </w:t>
      </w:r>
      <w:r>
        <w:rPr>
          <w:color w:val="58595B"/>
          <w:spacing w:val="-3"/>
        </w:rPr>
        <w:t xml:space="preserve">to </w:t>
      </w:r>
      <w:r>
        <w:rPr>
          <w:color w:val="58595B"/>
          <w:spacing w:val="-4"/>
        </w:rPr>
        <w:t xml:space="preserve">send </w:t>
      </w:r>
      <w:r>
        <w:rPr>
          <w:color w:val="58595B"/>
        </w:rPr>
        <w:t xml:space="preserve">a </w:t>
      </w:r>
      <w:r>
        <w:rPr>
          <w:color w:val="58595B"/>
          <w:spacing w:val="-3"/>
        </w:rPr>
        <w:t xml:space="preserve">price </w:t>
      </w:r>
      <w:r>
        <w:rPr>
          <w:color w:val="58595B"/>
          <w:spacing w:val="-4"/>
        </w:rPr>
        <w:t xml:space="preserve">signal </w:t>
      </w:r>
      <w:r>
        <w:rPr>
          <w:color w:val="58595B"/>
          <w:spacing w:val="-3"/>
        </w:rPr>
        <w:t xml:space="preserve">to </w:t>
      </w:r>
      <w:r>
        <w:rPr>
          <w:color w:val="58595B"/>
          <w:spacing w:val="-5"/>
        </w:rPr>
        <w:t xml:space="preserve">households, </w:t>
      </w:r>
      <w:r>
        <w:rPr>
          <w:color w:val="58595B"/>
          <w:spacing w:val="-3"/>
        </w:rPr>
        <w:t xml:space="preserve">firms </w:t>
      </w:r>
      <w:r>
        <w:rPr>
          <w:color w:val="58595B"/>
          <w:spacing w:val="-4"/>
        </w:rPr>
        <w:t xml:space="preserve">and </w:t>
      </w:r>
      <w:r>
        <w:rPr>
          <w:color w:val="58595B"/>
          <w:spacing w:val="-5"/>
        </w:rPr>
        <w:t xml:space="preserve">waste management facilities </w:t>
      </w:r>
      <w:r>
        <w:rPr>
          <w:color w:val="58595B"/>
          <w:spacing w:val="-3"/>
        </w:rPr>
        <w:t xml:space="preserve">to </w:t>
      </w:r>
      <w:r>
        <w:rPr>
          <w:color w:val="58595B"/>
          <w:spacing w:val="-4"/>
        </w:rPr>
        <w:t xml:space="preserve">reduce </w:t>
      </w:r>
      <w:r>
        <w:rPr>
          <w:color w:val="58595B"/>
          <w:spacing w:val="-5"/>
        </w:rPr>
        <w:t xml:space="preserve">disposals </w:t>
      </w:r>
      <w:r>
        <w:rPr>
          <w:color w:val="58595B"/>
          <w:spacing w:val="-3"/>
        </w:rPr>
        <w:t xml:space="preserve">to </w:t>
      </w:r>
      <w:r>
        <w:rPr>
          <w:color w:val="58595B"/>
          <w:spacing w:val="-5"/>
        </w:rPr>
        <w:t xml:space="preserve">landfills, </w:t>
      </w:r>
      <w:r>
        <w:rPr>
          <w:color w:val="58595B"/>
          <w:spacing w:val="-4"/>
        </w:rPr>
        <w:t xml:space="preserve">and </w:t>
      </w:r>
      <w:r>
        <w:rPr>
          <w:color w:val="58595B"/>
          <w:spacing w:val="-3"/>
        </w:rPr>
        <w:t xml:space="preserve">to </w:t>
      </w:r>
      <w:r>
        <w:rPr>
          <w:color w:val="58595B"/>
          <w:spacing w:val="-5"/>
        </w:rPr>
        <w:t xml:space="preserve">encourage reuse </w:t>
      </w:r>
      <w:r>
        <w:rPr>
          <w:color w:val="58595B"/>
          <w:spacing w:val="-4"/>
        </w:rPr>
        <w:t xml:space="preserve">and </w:t>
      </w:r>
      <w:r>
        <w:rPr>
          <w:color w:val="58595B"/>
          <w:spacing w:val="-7"/>
        </w:rPr>
        <w:t>recycling.</w:t>
      </w:r>
      <w:r>
        <w:rPr>
          <w:color w:val="58595B"/>
          <w:spacing w:val="-7"/>
          <w:position w:val="7"/>
          <w:sz w:val="11"/>
        </w:rPr>
        <w:t xml:space="preserve">15 </w:t>
      </w:r>
      <w:r>
        <w:rPr>
          <w:color w:val="58595B"/>
          <w:spacing w:val="-10"/>
        </w:rPr>
        <w:t xml:space="preserve">Yet </w:t>
      </w:r>
      <w:r>
        <w:rPr>
          <w:color w:val="58595B"/>
          <w:spacing w:val="-5"/>
        </w:rPr>
        <w:t xml:space="preserve">despite </w:t>
      </w:r>
      <w:r>
        <w:rPr>
          <w:color w:val="58595B"/>
          <w:spacing w:val="-6"/>
        </w:rPr>
        <w:t xml:space="preserve">substantial </w:t>
      </w:r>
      <w:r>
        <w:rPr>
          <w:color w:val="58595B"/>
          <w:spacing w:val="-5"/>
        </w:rPr>
        <w:t xml:space="preserve">increases </w:t>
      </w:r>
      <w:r>
        <w:rPr>
          <w:color w:val="58595B"/>
          <w:spacing w:val="-3"/>
        </w:rPr>
        <w:t xml:space="preserve">in the </w:t>
      </w:r>
      <w:r>
        <w:rPr>
          <w:color w:val="58595B"/>
          <w:spacing w:val="-4"/>
        </w:rPr>
        <w:t xml:space="preserve">levy </w:t>
      </w:r>
      <w:r>
        <w:rPr>
          <w:color w:val="58595B"/>
          <w:spacing w:val="-6"/>
        </w:rPr>
        <w:t xml:space="preserve">over </w:t>
      </w:r>
      <w:r>
        <w:rPr>
          <w:color w:val="58595B"/>
          <w:spacing w:val="-4"/>
        </w:rPr>
        <w:t xml:space="preserve">recent </w:t>
      </w:r>
      <w:r>
        <w:rPr>
          <w:color w:val="58595B"/>
          <w:spacing w:val="-5"/>
        </w:rPr>
        <w:t xml:space="preserve">years, waste disposal </w:t>
      </w:r>
      <w:r>
        <w:rPr>
          <w:color w:val="58595B"/>
          <w:spacing w:val="-3"/>
        </w:rPr>
        <w:t xml:space="preserve">to </w:t>
      </w:r>
      <w:r>
        <w:rPr>
          <w:color w:val="58595B"/>
          <w:spacing w:val="-4"/>
        </w:rPr>
        <w:t xml:space="preserve">landfill </w:t>
      </w:r>
      <w:r>
        <w:rPr>
          <w:color w:val="58595B"/>
          <w:spacing w:val="-5"/>
        </w:rPr>
        <w:t xml:space="preserve">continues </w:t>
      </w:r>
      <w:r>
        <w:rPr>
          <w:color w:val="58595B"/>
          <w:spacing w:val="-3"/>
        </w:rPr>
        <w:t xml:space="preserve">to </w:t>
      </w:r>
      <w:r>
        <w:rPr>
          <w:color w:val="58595B"/>
          <w:spacing w:val="-6"/>
        </w:rPr>
        <w:t xml:space="preserve">grow. </w:t>
      </w:r>
      <w:r>
        <w:rPr>
          <w:color w:val="58595B"/>
          <w:spacing w:val="-5"/>
        </w:rPr>
        <w:t xml:space="preserve">Indeed, </w:t>
      </w:r>
      <w:r>
        <w:rPr>
          <w:color w:val="58595B"/>
          <w:spacing w:val="-6"/>
        </w:rPr>
        <w:t xml:space="preserve">over </w:t>
      </w:r>
      <w:r>
        <w:rPr>
          <w:color w:val="58595B"/>
          <w:spacing w:val="-3"/>
        </w:rPr>
        <w:t xml:space="preserve">the </w:t>
      </w:r>
      <w:r>
        <w:rPr>
          <w:color w:val="58595B"/>
          <w:spacing w:val="-5"/>
        </w:rPr>
        <w:t xml:space="preserve">past </w:t>
      </w:r>
      <w:r>
        <w:rPr>
          <w:color w:val="58595B"/>
          <w:spacing w:val="-6"/>
        </w:rPr>
        <w:t xml:space="preserve">10 </w:t>
      </w:r>
      <w:r>
        <w:rPr>
          <w:color w:val="58595B"/>
          <w:spacing w:val="-5"/>
        </w:rPr>
        <w:t xml:space="preserve">years, </w:t>
      </w:r>
      <w:r>
        <w:rPr>
          <w:color w:val="58595B"/>
          <w:spacing w:val="-3"/>
        </w:rPr>
        <w:t xml:space="preserve">the </w:t>
      </w:r>
      <w:r>
        <w:rPr>
          <w:color w:val="58595B"/>
          <w:spacing w:val="-5"/>
        </w:rPr>
        <w:t xml:space="preserve">average amount </w:t>
      </w:r>
      <w:r>
        <w:rPr>
          <w:color w:val="58595B"/>
          <w:spacing w:val="-3"/>
        </w:rPr>
        <w:t xml:space="preserve">of </w:t>
      </w:r>
      <w:r>
        <w:rPr>
          <w:color w:val="58595B"/>
          <w:spacing w:val="-5"/>
        </w:rPr>
        <w:t xml:space="preserve">waste </w:t>
      </w:r>
      <w:r>
        <w:rPr>
          <w:color w:val="58595B"/>
          <w:spacing w:val="-4"/>
        </w:rPr>
        <w:t xml:space="preserve">attributable </w:t>
      </w:r>
      <w:r>
        <w:rPr>
          <w:color w:val="58595B"/>
          <w:spacing w:val="-3"/>
        </w:rPr>
        <w:t xml:space="preserve">to </w:t>
      </w:r>
      <w:r>
        <w:rPr>
          <w:color w:val="58595B"/>
          <w:spacing w:val="-4"/>
        </w:rPr>
        <w:t xml:space="preserve">each Victorian every </w:t>
      </w:r>
      <w:r>
        <w:rPr>
          <w:color w:val="58595B"/>
          <w:spacing w:val="-5"/>
        </w:rPr>
        <w:t>year increased by</w:t>
      </w:r>
    </w:p>
    <w:p w14:paraId="080F9EC6" w14:textId="77777777" w:rsidR="00724131" w:rsidRDefault="00823349">
      <w:pPr>
        <w:pStyle w:val="BodyText"/>
        <w:spacing w:before="2" w:line="280" w:lineRule="auto"/>
        <w:ind w:left="134" w:right="1680"/>
      </w:pPr>
      <w:r>
        <w:rPr>
          <w:color w:val="58595B"/>
        </w:rPr>
        <w:t xml:space="preserve">29 </w:t>
      </w:r>
      <w:r>
        <w:rPr>
          <w:color w:val="58595B"/>
          <w:spacing w:val="-3"/>
        </w:rPr>
        <w:t xml:space="preserve">per </w:t>
      </w:r>
      <w:r>
        <w:rPr>
          <w:color w:val="58595B"/>
          <w:spacing w:val="-7"/>
        </w:rPr>
        <w:t>cent.</w:t>
      </w:r>
      <w:r>
        <w:rPr>
          <w:color w:val="58595B"/>
          <w:spacing w:val="-7"/>
          <w:position w:val="7"/>
          <w:sz w:val="11"/>
        </w:rPr>
        <w:t xml:space="preserve">16 </w:t>
      </w:r>
      <w:r>
        <w:rPr>
          <w:color w:val="58595B"/>
          <w:spacing w:val="-5"/>
        </w:rPr>
        <w:t xml:space="preserve">Recovery </w:t>
      </w:r>
      <w:r>
        <w:rPr>
          <w:color w:val="58595B"/>
          <w:spacing w:val="-4"/>
        </w:rPr>
        <w:t xml:space="preserve">rates </w:t>
      </w:r>
      <w:r>
        <w:rPr>
          <w:color w:val="58595B"/>
          <w:spacing w:val="-3"/>
        </w:rPr>
        <w:t xml:space="preserve">for </w:t>
      </w:r>
      <w:r>
        <w:rPr>
          <w:color w:val="58595B"/>
          <w:spacing w:val="-5"/>
        </w:rPr>
        <w:t xml:space="preserve">municipal </w:t>
      </w:r>
      <w:r>
        <w:rPr>
          <w:color w:val="58595B"/>
          <w:spacing w:val="-4"/>
        </w:rPr>
        <w:t xml:space="preserve">solid </w:t>
      </w:r>
      <w:r>
        <w:rPr>
          <w:color w:val="58595B"/>
          <w:spacing w:val="-5"/>
        </w:rPr>
        <w:t xml:space="preserve">waste </w:t>
      </w:r>
      <w:r>
        <w:rPr>
          <w:color w:val="58595B"/>
          <w:spacing w:val="-6"/>
        </w:rPr>
        <w:t xml:space="preserve">have </w:t>
      </w:r>
      <w:r>
        <w:rPr>
          <w:color w:val="58595B"/>
          <w:spacing w:val="-4"/>
        </w:rPr>
        <w:t xml:space="preserve">stalled </w:t>
      </w:r>
      <w:r>
        <w:rPr>
          <w:color w:val="58595B"/>
          <w:spacing w:val="-3"/>
        </w:rPr>
        <w:t xml:space="preserve">at </w:t>
      </w:r>
      <w:r>
        <w:rPr>
          <w:color w:val="58595B"/>
          <w:spacing w:val="-5"/>
        </w:rPr>
        <w:t xml:space="preserve">just </w:t>
      </w:r>
      <w:r>
        <w:rPr>
          <w:color w:val="58595B"/>
        </w:rPr>
        <w:t xml:space="preserve">44 </w:t>
      </w:r>
      <w:r>
        <w:rPr>
          <w:color w:val="58595B"/>
          <w:spacing w:val="-3"/>
        </w:rPr>
        <w:t xml:space="preserve">per </w:t>
      </w:r>
      <w:r>
        <w:rPr>
          <w:color w:val="58595B"/>
          <w:spacing w:val="-4"/>
        </w:rPr>
        <w:t xml:space="preserve">cent </w:t>
      </w:r>
      <w:r>
        <w:rPr>
          <w:color w:val="58595B"/>
          <w:spacing w:val="-3"/>
        </w:rPr>
        <w:t xml:space="preserve">in </w:t>
      </w:r>
      <w:r>
        <w:rPr>
          <w:color w:val="58595B"/>
          <w:spacing w:val="-4"/>
        </w:rPr>
        <w:t xml:space="preserve">both </w:t>
      </w:r>
      <w:r>
        <w:rPr>
          <w:color w:val="58595B"/>
          <w:spacing w:val="-10"/>
        </w:rPr>
        <w:t xml:space="preserve">2011 </w:t>
      </w:r>
      <w:r>
        <w:rPr>
          <w:color w:val="58595B"/>
          <w:spacing w:val="-4"/>
        </w:rPr>
        <w:t xml:space="preserve">and </w:t>
      </w:r>
      <w:r>
        <w:rPr>
          <w:color w:val="58595B"/>
          <w:spacing w:val="-8"/>
        </w:rPr>
        <w:t xml:space="preserve">2014, </w:t>
      </w:r>
      <w:r>
        <w:rPr>
          <w:color w:val="58595B"/>
          <w:spacing w:val="-5"/>
        </w:rPr>
        <w:t xml:space="preserve">well </w:t>
      </w:r>
      <w:r>
        <w:rPr>
          <w:color w:val="58595B"/>
          <w:spacing w:val="-4"/>
        </w:rPr>
        <w:t xml:space="preserve">below </w:t>
      </w:r>
      <w:r>
        <w:rPr>
          <w:color w:val="58595B"/>
          <w:spacing w:val="-3"/>
        </w:rPr>
        <w:t xml:space="preserve">the </w:t>
      </w:r>
      <w:r>
        <w:rPr>
          <w:i/>
          <w:color w:val="58595B"/>
          <w:spacing w:val="-7"/>
        </w:rPr>
        <w:t xml:space="preserve">Towards </w:t>
      </w:r>
      <w:r>
        <w:rPr>
          <w:i/>
          <w:color w:val="58595B"/>
          <w:spacing w:val="-4"/>
        </w:rPr>
        <w:t xml:space="preserve">Zero </w:t>
      </w:r>
      <w:r>
        <w:rPr>
          <w:i/>
          <w:color w:val="58595B"/>
          <w:spacing w:val="-5"/>
        </w:rPr>
        <w:t xml:space="preserve">Waste </w:t>
      </w:r>
      <w:r>
        <w:rPr>
          <w:color w:val="58595B"/>
          <w:spacing w:val="-5"/>
        </w:rPr>
        <w:t xml:space="preserve">target </w:t>
      </w:r>
      <w:r>
        <w:rPr>
          <w:color w:val="58595B"/>
          <w:spacing w:val="-3"/>
        </w:rPr>
        <w:t xml:space="preserve">of </w:t>
      </w:r>
      <w:r>
        <w:rPr>
          <w:color w:val="58595B"/>
        </w:rPr>
        <w:t xml:space="preserve">65 </w:t>
      </w:r>
      <w:r>
        <w:rPr>
          <w:color w:val="58595B"/>
          <w:spacing w:val="-3"/>
        </w:rPr>
        <w:t xml:space="preserve">per </w:t>
      </w:r>
      <w:r>
        <w:rPr>
          <w:color w:val="58595B"/>
          <w:spacing w:val="-4"/>
        </w:rPr>
        <w:t xml:space="preserve">cent </w:t>
      </w:r>
      <w:r>
        <w:rPr>
          <w:color w:val="58595B"/>
          <w:spacing w:val="-3"/>
        </w:rPr>
        <w:t xml:space="preserve">for the final </w:t>
      </w:r>
      <w:r>
        <w:rPr>
          <w:color w:val="58595B"/>
          <w:spacing w:val="-5"/>
        </w:rPr>
        <w:t>year (table</w:t>
      </w:r>
      <w:r>
        <w:rPr>
          <w:color w:val="58595B"/>
          <w:spacing w:val="-9"/>
        </w:rPr>
        <w:t xml:space="preserve"> 21.4).</w:t>
      </w:r>
    </w:p>
    <w:p w14:paraId="5A4ABAEA" w14:textId="77777777" w:rsidR="00724131" w:rsidRDefault="00823349">
      <w:pPr>
        <w:pStyle w:val="BodyText"/>
        <w:spacing w:before="172" w:line="280" w:lineRule="auto"/>
        <w:ind w:left="134" w:right="1505"/>
        <w:rPr>
          <w:sz w:val="11"/>
        </w:rPr>
      </w:pPr>
      <w:r>
        <w:rPr>
          <w:color w:val="58595B"/>
        </w:rPr>
        <w:t xml:space="preserve">Evidence that the M&amp;I Landfill Levy is having little impact on household behaviour feeds into community concerns that the levy’s purpose is to raise revenue, rather than reduce waste. A </w:t>
      </w:r>
      <w:r>
        <w:rPr>
          <w:color w:val="58595B"/>
          <w:spacing w:val="-3"/>
        </w:rPr>
        <w:t xml:space="preserve">key </w:t>
      </w:r>
      <w:r>
        <w:rPr>
          <w:color w:val="58595B"/>
        </w:rPr>
        <w:t xml:space="preserve">criticism of the levy in relation to household waste is that there is no direct relationship between the amount of waste a household generates and the price that it pays for disposal. In its </w:t>
      </w:r>
      <w:r>
        <w:rPr>
          <w:color w:val="58595B"/>
          <w:spacing w:val="2"/>
        </w:rPr>
        <w:t xml:space="preserve">2006 </w:t>
      </w:r>
      <w:r>
        <w:rPr>
          <w:color w:val="58595B"/>
        </w:rPr>
        <w:t xml:space="preserve">review of waste management arrangements in Australia, the Productivity Commission found that: </w:t>
      </w:r>
      <w:r>
        <w:rPr>
          <w:color w:val="58595B"/>
          <w:spacing w:val="-7"/>
        </w:rPr>
        <w:t xml:space="preserve">‘… </w:t>
      </w:r>
      <w:r>
        <w:rPr>
          <w:color w:val="58595B"/>
        </w:rPr>
        <w:t xml:space="preserve">most householders currently pay a flat annual waste disposal </w:t>
      </w:r>
      <w:r>
        <w:rPr>
          <w:color w:val="58595B"/>
          <w:spacing w:val="-4"/>
        </w:rPr>
        <w:t xml:space="preserve">fee’. </w:t>
      </w:r>
      <w:r>
        <w:rPr>
          <w:color w:val="58595B"/>
        </w:rPr>
        <w:t xml:space="preserve">As a result </w:t>
      </w:r>
      <w:r>
        <w:rPr>
          <w:color w:val="58595B"/>
          <w:spacing w:val="-7"/>
        </w:rPr>
        <w:t xml:space="preserve">‘… </w:t>
      </w:r>
      <w:r>
        <w:rPr>
          <w:color w:val="58595B"/>
        </w:rPr>
        <w:t>the cost for  a household of generating an additional unit of waste is effectively zero (until the bin is full), hence there is little incentive to curb waste</w:t>
      </w:r>
      <w:r>
        <w:rPr>
          <w:color w:val="58595B"/>
          <w:spacing w:val="22"/>
        </w:rPr>
        <w:t xml:space="preserve"> </w:t>
      </w:r>
      <w:r>
        <w:rPr>
          <w:color w:val="58595B"/>
          <w:spacing w:val="-4"/>
        </w:rPr>
        <w:t>disposal’.</w:t>
      </w:r>
      <w:r>
        <w:rPr>
          <w:color w:val="58595B"/>
          <w:spacing w:val="-4"/>
          <w:position w:val="7"/>
          <w:sz w:val="11"/>
        </w:rPr>
        <w:t>17</w:t>
      </w:r>
    </w:p>
    <w:p w14:paraId="7FF18A8E" w14:textId="77777777" w:rsidR="00724131" w:rsidRDefault="00724131">
      <w:pPr>
        <w:spacing w:line="280" w:lineRule="auto"/>
        <w:rPr>
          <w:sz w:val="11"/>
        </w:rPr>
        <w:sectPr w:rsidR="00724131">
          <w:headerReference w:type="even" r:id="rId58"/>
          <w:headerReference w:type="default" r:id="rId59"/>
          <w:pgSz w:w="11910" w:h="16840"/>
          <w:pgMar w:top="980" w:right="0" w:bottom="280" w:left="1680" w:header="788" w:footer="0" w:gutter="0"/>
          <w:pgNumType w:start="373"/>
          <w:cols w:space="720"/>
        </w:sectPr>
      </w:pPr>
    </w:p>
    <w:p w14:paraId="705D6AD6" w14:textId="77777777" w:rsidR="00724131" w:rsidRDefault="00724131">
      <w:pPr>
        <w:pStyle w:val="BodyText"/>
      </w:pPr>
    </w:p>
    <w:p w14:paraId="4AD87A52" w14:textId="77777777" w:rsidR="00724131" w:rsidRDefault="00724131">
      <w:pPr>
        <w:pStyle w:val="BodyText"/>
      </w:pPr>
    </w:p>
    <w:p w14:paraId="6DD968E3" w14:textId="77777777" w:rsidR="00724131" w:rsidRDefault="00724131">
      <w:pPr>
        <w:pStyle w:val="BodyText"/>
      </w:pPr>
    </w:p>
    <w:p w14:paraId="4899C925" w14:textId="77777777" w:rsidR="00724131" w:rsidRDefault="00724131">
      <w:pPr>
        <w:pStyle w:val="BodyText"/>
      </w:pPr>
    </w:p>
    <w:p w14:paraId="4EC673DF" w14:textId="77777777" w:rsidR="00724131" w:rsidRDefault="00724131">
      <w:pPr>
        <w:pStyle w:val="BodyText"/>
        <w:spacing w:before="8"/>
        <w:rPr>
          <w:sz w:val="17"/>
        </w:rPr>
      </w:pPr>
    </w:p>
    <w:p w14:paraId="2E580D47" w14:textId="77777777" w:rsidR="00724131" w:rsidRDefault="00823349">
      <w:pPr>
        <w:pStyle w:val="BodyText"/>
        <w:spacing w:before="1" w:line="276" w:lineRule="auto"/>
        <w:ind w:left="1417" w:right="199"/>
      </w:pPr>
      <w:r>
        <w:rPr>
          <w:color w:val="58595B"/>
        </w:rPr>
        <w:t xml:space="preserve">By contrast, levies for commercial and industrial waste, and for construction and demolition waste, provide a clearer price signal to generators of these waste streams, there is a direct relationship between the volume of waste and the price that must be paid. On the face of it, this may appear to have encouraged stronger recovery rates for construction and demolition waste. For example, in both </w:t>
      </w:r>
      <w:r>
        <w:rPr>
          <w:color w:val="58595B"/>
          <w:spacing w:val="-4"/>
        </w:rPr>
        <w:t xml:space="preserve">2010–11 </w:t>
      </w:r>
      <w:r>
        <w:rPr>
          <w:color w:val="58595B"/>
        </w:rPr>
        <w:t xml:space="preserve">and </w:t>
      </w:r>
      <w:r>
        <w:rPr>
          <w:color w:val="58595B"/>
          <w:spacing w:val="-3"/>
        </w:rPr>
        <w:t xml:space="preserve">2013–14 </w:t>
      </w:r>
      <w:r>
        <w:rPr>
          <w:color w:val="58595B"/>
        </w:rPr>
        <w:t xml:space="preserve">this sector recorded an actual recovery rate of 83 per cent, exceeding the </w:t>
      </w:r>
      <w:r>
        <w:rPr>
          <w:i/>
          <w:color w:val="58595B"/>
          <w:spacing w:val="-3"/>
        </w:rPr>
        <w:t xml:space="preserve">Towards </w:t>
      </w:r>
      <w:r>
        <w:rPr>
          <w:i/>
          <w:color w:val="58595B"/>
        </w:rPr>
        <w:t xml:space="preserve">Zero Waste </w:t>
      </w:r>
      <w:r>
        <w:rPr>
          <w:color w:val="58595B"/>
        </w:rPr>
        <w:t>target of 80 per cent by</w:t>
      </w:r>
      <w:r>
        <w:rPr>
          <w:color w:val="58595B"/>
          <w:spacing w:val="3"/>
        </w:rPr>
        <w:t xml:space="preserve"> </w:t>
      </w:r>
      <w:r>
        <w:rPr>
          <w:color w:val="58595B"/>
          <w:spacing w:val="-4"/>
        </w:rPr>
        <w:t>2014.</w:t>
      </w:r>
    </w:p>
    <w:p w14:paraId="0302196A" w14:textId="77777777" w:rsidR="00724131" w:rsidRDefault="00823349">
      <w:pPr>
        <w:pStyle w:val="BodyText"/>
        <w:spacing w:before="171" w:line="276" w:lineRule="auto"/>
        <w:ind w:left="1417" w:right="145"/>
      </w:pPr>
      <w:r>
        <w:rPr>
          <w:color w:val="58595B"/>
        </w:rPr>
        <w:t>However, a key factor behind reduced disposal of construction and demolition waste to landfill is the widespread and growing incidence of illegal dumping. This appears to be driven largely by the desire to avoid landfill costs, including the rising cost of landfill levies. As the price of landfill rises, so too does the incentive for illegal disposal, with the risk of illegal disposal greatest when landfill is the only available or economically viable option for waste generators and disposers.</w:t>
      </w:r>
    </w:p>
    <w:p w14:paraId="0295A8F7" w14:textId="77777777" w:rsidR="00724131" w:rsidRDefault="00724131">
      <w:pPr>
        <w:pStyle w:val="BodyText"/>
        <w:spacing w:before="9"/>
        <w:rPr>
          <w:sz w:val="17"/>
        </w:rPr>
      </w:pPr>
    </w:p>
    <w:p w14:paraId="427FBAB7" w14:textId="77777777" w:rsidR="00724131" w:rsidRDefault="00823349">
      <w:pPr>
        <w:pStyle w:val="BodyText"/>
        <w:spacing w:line="280" w:lineRule="auto"/>
        <w:ind w:left="1417" w:right="368"/>
      </w:pPr>
      <w:r>
        <w:rPr>
          <w:b/>
          <w:color w:val="0095A7"/>
          <w:spacing w:val="-4"/>
        </w:rPr>
        <w:t xml:space="preserve">TABLE 21.4: </w:t>
      </w:r>
      <w:r>
        <w:rPr>
          <w:color w:val="0095A7"/>
        </w:rPr>
        <w:t xml:space="preserve">SECTORAL </w:t>
      </w:r>
      <w:r>
        <w:rPr>
          <w:color w:val="0095A7"/>
          <w:spacing w:val="-3"/>
        </w:rPr>
        <w:t xml:space="preserve">RECOVERY </w:t>
      </w:r>
      <w:r>
        <w:rPr>
          <w:color w:val="0095A7"/>
          <w:spacing w:val="-4"/>
        </w:rPr>
        <w:t xml:space="preserve">RATES </w:t>
      </w:r>
      <w:r>
        <w:rPr>
          <w:color w:val="0095A7"/>
        </w:rPr>
        <w:t xml:space="preserve">OF SOLID </w:t>
      </w:r>
      <w:r>
        <w:rPr>
          <w:color w:val="0095A7"/>
          <w:spacing w:val="-3"/>
        </w:rPr>
        <w:t xml:space="preserve">WASTE </w:t>
      </w:r>
      <w:r>
        <w:rPr>
          <w:color w:val="0095A7"/>
        </w:rPr>
        <w:t xml:space="preserve">FOR </w:t>
      </w:r>
      <w:r>
        <w:rPr>
          <w:color w:val="0095A7"/>
          <w:spacing w:val="-3"/>
        </w:rPr>
        <w:t xml:space="preserve">REUSE, </w:t>
      </w:r>
      <w:r>
        <w:rPr>
          <w:color w:val="0095A7"/>
          <w:spacing w:val="-4"/>
        </w:rPr>
        <w:t xml:space="preserve">RECYCLING </w:t>
      </w:r>
      <w:r>
        <w:rPr>
          <w:color w:val="0095A7"/>
        </w:rPr>
        <w:t xml:space="preserve">OR </w:t>
      </w:r>
      <w:r>
        <w:rPr>
          <w:color w:val="0095A7"/>
          <w:spacing w:val="-3"/>
        </w:rPr>
        <w:t xml:space="preserve">ENERGY </w:t>
      </w:r>
      <w:r>
        <w:rPr>
          <w:color w:val="0095A7"/>
        </w:rPr>
        <w:t>GENERATION</w:t>
      </w:r>
    </w:p>
    <w:p w14:paraId="392AC4AF" w14:textId="77777777" w:rsidR="00724131" w:rsidRDefault="00724131">
      <w:pPr>
        <w:pStyle w:val="BodyText"/>
        <w:spacing w:before="1"/>
      </w:pPr>
    </w:p>
    <w:tbl>
      <w:tblPr>
        <w:tblW w:w="0" w:type="auto"/>
        <w:tblInd w:w="1417"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2738"/>
        <w:gridCol w:w="1653"/>
        <w:gridCol w:w="1498"/>
        <w:gridCol w:w="1561"/>
        <w:gridCol w:w="1224"/>
      </w:tblGrid>
      <w:tr w:rsidR="00724131" w14:paraId="7A9A265B" w14:textId="77777777">
        <w:trPr>
          <w:trHeight w:hRule="exact" w:val="1018"/>
        </w:trPr>
        <w:tc>
          <w:tcPr>
            <w:tcW w:w="2738" w:type="dxa"/>
            <w:shd w:val="clear" w:color="auto" w:fill="89BFCB"/>
          </w:tcPr>
          <w:p w14:paraId="38C84757" w14:textId="77777777" w:rsidR="00724131" w:rsidRDefault="00823349">
            <w:pPr>
              <w:pStyle w:val="TableParagraph"/>
              <w:spacing w:before="75" w:line="254" w:lineRule="auto"/>
              <w:ind w:left="113" w:right="474"/>
              <w:rPr>
                <w:sz w:val="18"/>
              </w:rPr>
            </w:pPr>
            <w:r>
              <w:rPr>
                <w:color w:val="FFFFFF"/>
                <w:sz w:val="18"/>
              </w:rPr>
              <w:t>Per cent by weight of solid waste recovered for reuse, recycling and/or energy generation</w:t>
            </w:r>
          </w:p>
        </w:tc>
        <w:tc>
          <w:tcPr>
            <w:tcW w:w="1653" w:type="dxa"/>
            <w:shd w:val="clear" w:color="auto" w:fill="89BFCB"/>
          </w:tcPr>
          <w:p w14:paraId="76659F4E" w14:textId="77777777" w:rsidR="00724131" w:rsidRDefault="00724131">
            <w:pPr>
              <w:pStyle w:val="TableParagraph"/>
              <w:spacing w:before="8"/>
              <w:rPr>
                <w:sz w:val="25"/>
              </w:rPr>
            </w:pPr>
          </w:p>
          <w:p w14:paraId="339D7736" w14:textId="77777777" w:rsidR="00724131" w:rsidRDefault="00823349">
            <w:pPr>
              <w:pStyle w:val="TableParagraph"/>
              <w:spacing w:before="0"/>
              <w:ind w:left="544"/>
              <w:rPr>
                <w:sz w:val="18"/>
              </w:rPr>
            </w:pPr>
            <w:r>
              <w:rPr>
                <w:color w:val="FFFFFF"/>
                <w:sz w:val="18"/>
              </w:rPr>
              <w:t>2010–11</w:t>
            </w:r>
          </w:p>
          <w:p w14:paraId="3AF32078" w14:textId="77777777" w:rsidR="00724131" w:rsidRDefault="00823349">
            <w:pPr>
              <w:pStyle w:val="TableParagraph"/>
              <w:spacing w:before="13"/>
              <w:ind w:left="478"/>
              <w:rPr>
                <w:sz w:val="18"/>
              </w:rPr>
            </w:pPr>
            <w:r>
              <w:rPr>
                <w:color w:val="FFFFFF"/>
                <w:sz w:val="18"/>
              </w:rPr>
              <w:t>projected</w:t>
            </w:r>
          </w:p>
          <w:p w14:paraId="1C316ADF" w14:textId="77777777" w:rsidR="00724131" w:rsidRDefault="00823349">
            <w:pPr>
              <w:pStyle w:val="TableParagraph"/>
              <w:spacing w:before="13"/>
              <w:ind w:left="1070"/>
              <w:rPr>
                <w:sz w:val="18"/>
              </w:rPr>
            </w:pPr>
            <w:r>
              <w:rPr>
                <w:color w:val="FFFFFF"/>
                <w:sz w:val="18"/>
              </w:rPr>
              <w:t>%</w:t>
            </w:r>
          </w:p>
        </w:tc>
        <w:tc>
          <w:tcPr>
            <w:tcW w:w="1498" w:type="dxa"/>
            <w:shd w:val="clear" w:color="auto" w:fill="89BFCB"/>
          </w:tcPr>
          <w:p w14:paraId="2EDDA73B" w14:textId="77777777" w:rsidR="00724131" w:rsidRDefault="00724131">
            <w:pPr>
              <w:pStyle w:val="TableParagraph"/>
              <w:spacing w:before="8"/>
              <w:rPr>
                <w:sz w:val="25"/>
              </w:rPr>
            </w:pPr>
          </w:p>
          <w:p w14:paraId="08656172" w14:textId="77777777" w:rsidR="00724131" w:rsidRDefault="00823349">
            <w:pPr>
              <w:pStyle w:val="TableParagraph"/>
              <w:spacing w:before="0"/>
              <w:ind w:left="422"/>
              <w:rPr>
                <w:sz w:val="18"/>
              </w:rPr>
            </w:pPr>
            <w:r>
              <w:rPr>
                <w:color w:val="FFFFFF"/>
                <w:sz w:val="18"/>
              </w:rPr>
              <w:t>2010–11</w:t>
            </w:r>
          </w:p>
          <w:p w14:paraId="3458122E" w14:textId="77777777" w:rsidR="00724131" w:rsidRDefault="00823349">
            <w:pPr>
              <w:pStyle w:val="TableParagraph"/>
              <w:spacing w:before="13"/>
              <w:ind w:left="621"/>
              <w:rPr>
                <w:sz w:val="18"/>
              </w:rPr>
            </w:pPr>
            <w:r>
              <w:rPr>
                <w:color w:val="FFFFFF"/>
                <w:sz w:val="18"/>
              </w:rPr>
              <w:t>actual</w:t>
            </w:r>
          </w:p>
          <w:p w14:paraId="31BE384B" w14:textId="77777777" w:rsidR="00724131" w:rsidRDefault="00823349">
            <w:pPr>
              <w:pStyle w:val="TableParagraph"/>
              <w:spacing w:before="13"/>
              <w:ind w:left="948"/>
              <w:rPr>
                <w:sz w:val="18"/>
              </w:rPr>
            </w:pPr>
            <w:r>
              <w:rPr>
                <w:color w:val="FFFFFF"/>
                <w:sz w:val="18"/>
              </w:rPr>
              <w:t>%</w:t>
            </w:r>
          </w:p>
        </w:tc>
        <w:tc>
          <w:tcPr>
            <w:tcW w:w="1561" w:type="dxa"/>
            <w:shd w:val="clear" w:color="auto" w:fill="89BFCB"/>
          </w:tcPr>
          <w:p w14:paraId="698256F5" w14:textId="77777777" w:rsidR="00724131" w:rsidRDefault="00724131">
            <w:pPr>
              <w:pStyle w:val="TableParagraph"/>
              <w:spacing w:before="8"/>
              <w:rPr>
                <w:sz w:val="25"/>
              </w:rPr>
            </w:pPr>
          </w:p>
          <w:p w14:paraId="484EDA4F" w14:textId="77777777" w:rsidR="00724131" w:rsidRDefault="00823349">
            <w:pPr>
              <w:pStyle w:val="TableParagraph"/>
              <w:spacing w:before="0"/>
              <w:ind w:left="449"/>
              <w:rPr>
                <w:sz w:val="18"/>
              </w:rPr>
            </w:pPr>
            <w:r>
              <w:rPr>
                <w:color w:val="FFFFFF"/>
                <w:sz w:val="18"/>
              </w:rPr>
              <w:t>2013–14</w:t>
            </w:r>
          </w:p>
          <w:p w14:paraId="1419D25B" w14:textId="77777777" w:rsidR="00724131" w:rsidRDefault="00823349">
            <w:pPr>
              <w:pStyle w:val="TableParagraph"/>
              <w:spacing w:before="13"/>
              <w:ind w:left="388"/>
              <w:rPr>
                <w:sz w:val="18"/>
              </w:rPr>
            </w:pPr>
            <w:r>
              <w:rPr>
                <w:color w:val="FFFFFF"/>
                <w:sz w:val="18"/>
              </w:rPr>
              <w:t>projected</w:t>
            </w:r>
          </w:p>
          <w:p w14:paraId="3DA7B5BD" w14:textId="77777777" w:rsidR="00724131" w:rsidRDefault="00823349">
            <w:pPr>
              <w:pStyle w:val="TableParagraph"/>
              <w:spacing w:before="13"/>
              <w:ind w:left="980"/>
              <w:rPr>
                <w:sz w:val="18"/>
              </w:rPr>
            </w:pPr>
            <w:r>
              <w:rPr>
                <w:color w:val="FFFFFF"/>
                <w:sz w:val="18"/>
              </w:rPr>
              <w:t>%</w:t>
            </w:r>
          </w:p>
        </w:tc>
        <w:tc>
          <w:tcPr>
            <w:tcW w:w="1224" w:type="dxa"/>
            <w:shd w:val="clear" w:color="auto" w:fill="89BFCB"/>
          </w:tcPr>
          <w:p w14:paraId="65F3F4D7" w14:textId="77777777" w:rsidR="00724131" w:rsidRDefault="00724131">
            <w:pPr>
              <w:pStyle w:val="TableParagraph"/>
              <w:spacing w:before="8"/>
              <w:rPr>
                <w:sz w:val="25"/>
              </w:rPr>
            </w:pPr>
          </w:p>
          <w:p w14:paraId="5B04CC7F" w14:textId="77777777" w:rsidR="00724131" w:rsidRDefault="00823349">
            <w:pPr>
              <w:pStyle w:val="TableParagraph"/>
              <w:spacing w:before="0"/>
              <w:ind w:right="111"/>
              <w:jc w:val="right"/>
              <w:rPr>
                <w:sz w:val="18"/>
              </w:rPr>
            </w:pPr>
            <w:r>
              <w:rPr>
                <w:color w:val="FFFFFF"/>
                <w:sz w:val="18"/>
              </w:rPr>
              <w:t>2013–14</w:t>
            </w:r>
          </w:p>
          <w:p w14:paraId="62260FA8" w14:textId="77777777" w:rsidR="00724131" w:rsidRDefault="00823349">
            <w:pPr>
              <w:pStyle w:val="TableParagraph"/>
              <w:spacing w:before="13"/>
              <w:ind w:right="110"/>
              <w:jc w:val="right"/>
              <w:rPr>
                <w:sz w:val="18"/>
              </w:rPr>
            </w:pPr>
            <w:r>
              <w:rPr>
                <w:color w:val="FFFFFF"/>
                <w:sz w:val="18"/>
              </w:rPr>
              <w:t>actual</w:t>
            </w:r>
          </w:p>
          <w:p w14:paraId="693392F8" w14:textId="77777777" w:rsidR="00724131" w:rsidRDefault="00823349">
            <w:pPr>
              <w:pStyle w:val="TableParagraph"/>
              <w:spacing w:before="13"/>
              <w:ind w:right="111"/>
              <w:jc w:val="right"/>
              <w:rPr>
                <w:sz w:val="18"/>
              </w:rPr>
            </w:pPr>
            <w:r>
              <w:rPr>
                <w:color w:val="FFFFFF"/>
                <w:sz w:val="18"/>
              </w:rPr>
              <w:t>%</w:t>
            </w:r>
          </w:p>
        </w:tc>
      </w:tr>
      <w:tr w:rsidR="00724131" w14:paraId="3DCB26CF" w14:textId="77777777">
        <w:trPr>
          <w:trHeight w:hRule="exact" w:val="355"/>
        </w:trPr>
        <w:tc>
          <w:tcPr>
            <w:tcW w:w="2738" w:type="dxa"/>
            <w:tcBorders>
              <w:bottom w:val="single" w:sz="2" w:space="0" w:color="939598"/>
            </w:tcBorders>
          </w:tcPr>
          <w:p w14:paraId="06BE7157" w14:textId="77777777" w:rsidR="00724131" w:rsidRDefault="00823349">
            <w:pPr>
              <w:pStyle w:val="TableParagraph"/>
              <w:ind w:left="113" w:right="474"/>
              <w:rPr>
                <w:sz w:val="18"/>
              </w:rPr>
            </w:pPr>
            <w:r>
              <w:rPr>
                <w:color w:val="58595B"/>
                <w:sz w:val="18"/>
              </w:rPr>
              <w:t>Municipal solid waste</w:t>
            </w:r>
          </w:p>
        </w:tc>
        <w:tc>
          <w:tcPr>
            <w:tcW w:w="1653" w:type="dxa"/>
            <w:tcBorders>
              <w:bottom w:val="single" w:sz="2" w:space="0" w:color="939598"/>
            </w:tcBorders>
          </w:tcPr>
          <w:p w14:paraId="530EC8E2" w14:textId="77777777" w:rsidR="00724131" w:rsidRDefault="00823349">
            <w:pPr>
              <w:pStyle w:val="TableParagraph"/>
              <w:ind w:right="420"/>
              <w:jc w:val="right"/>
              <w:rPr>
                <w:sz w:val="18"/>
              </w:rPr>
            </w:pPr>
            <w:r>
              <w:rPr>
                <w:color w:val="58595B"/>
                <w:sz w:val="18"/>
              </w:rPr>
              <w:t>53</w:t>
            </w:r>
          </w:p>
        </w:tc>
        <w:tc>
          <w:tcPr>
            <w:tcW w:w="1498" w:type="dxa"/>
            <w:tcBorders>
              <w:bottom w:val="single" w:sz="2" w:space="0" w:color="939598"/>
            </w:tcBorders>
          </w:tcPr>
          <w:p w14:paraId="793D5B5E" w14:textId="77777777" w:rsidR="00724131" w:rsidRDefault="00823349">
            <w:pPr>
              <w:pStyle w:val="TableParagraph"/>
              <w:ind w:right="388"/>
              <w:jc w:val="right"/>
              <w:rPr>
                <w:sz w:val="18"/>
              </w:rPr>
            </w:pPr>
            <w:r>
              <w:rPr>
                <w:color w:val="58595B"/>
                <w:sz w:val="18"/>
              </w:rPr>
              <w:t>44</w:t>
            </w:r>
          </w:p>
        </w:tc>
        <w:tc>
          <w:tcPr>
            <w:tcW w:w="1561" w:type="dxa"/>
            <w:tcBorders>
              <w:bottom w:val="single" w:sz="2" w:space="0" w:color="939598"/>
            </w:tcBorders>
          </w:tcPr>
          <w:p w14:paraId="41E71A1D" w14:textId="77777777" w:rsidR="00724131" w:rsidRDefault="00823349">
            <w:pPr>
              <w:pStyle w:val="TableParagraph"/>
              <w:ind w:right="417"/>
              <w:jc w:val="right"/>
              <w:rPr>
                <w:sz w:val="18"/>
              </w:rPr>
            </w:pPr>
            <w:r>
              <w:rPr>
                <w:color w:val="58595B"/>
                <w:sz w:val="18"/>
              </w:rPr>
              <w:t>65</w:t>
            </w:r>
          </w:p>
        </w:tc>
        <w:tc>
          <w:tcPr>
            <w:tcW w:w="1224" w:type="dxa"/>
            <w:tcBorders>
              <w:bottom w:val="single" w:sz="2" w:space="0" w:color="939598"/>
            </w:tcBorders>
          </w:tcPr>
          <w:p w14:paraId="59E192D7" w14:textId="77777777" w:rsidR="00724131" w:rsidRDefault="00823349">
            <w:pPr>
              <w:pStyle w:val="TableParagraph"/>
              <w:ind w:right="111"/>
              <w:jc w:val="right"/>
              <w:rPr>
                <w:sz w:val="18"/>
              </w:rPr>
            </w:pPr>
            <w:r>
              <w:rPr>
                <w:color w:val="58595B"/>
                <w:sz w:val="18"/>
              </w:rPr>
              <w:t>44</w:t>
            </w:r>
          </w:p>
        </w:tc>
      </w:tr>
      <w:tr w:rsidR="00724131" w14:paraId="4A3DE10F" w14:textId="77777777">
        <w:trPr>
          <w:trHeight w:hRule="exact" w:val="578"/>
        </w:trPr>
        <w:tc>
          <w:tcPr>
            <w:tcW w:w="2738" w:type="dxa"/>
            <w:tcBorders>
              <w:top w:val="single" w:sz="2" w:space="0" w:color="939598"/>
              <w:bottom w:val="single" w:sz="2" w:space="0" w:color="939598"/>
            </w:tcBorders>
          </w:tcPr>
          <w:p w14:paraId="359CB1D6" w14:textId="77777777" w:rsidR="00724131" w:rsidRDefault="00823349">
            <w:pPr>
              <w:pStyle w:val="TableParagraph"/>
              <w:spacing w:line="254" w:lineRule="auto"/>
              <w:ind w:left="113" w:right="614"/>
              <w:rPr>
                <w:sz w:val="18"/>
              </w:rPr>
            </w:pPr>
            <w:r>
              <w:rPr>
                <w:color w:val="58595B"/>
                <w:sz w:val="18"/>
              </w:rPr>
              <w:t>Commercial and industrial waste</w:t>
            </w:r>
          </w:p>
        </w:tc>
        <w:tc>
          <w:tcPr>
            <w:tcW w:w="1653" w:type="dxa"/>
            <w:tcBorders>
              <w:top w:val="single" w:sz="2" w:space="0" w:color="939598"/>
              <w:bottom w:val="single" w:sz="2" w:space="0" w:color="939598"/>
            </w:tcBorders>
          </w:tcPr>
          <w:p w14:paraId="575F2207" w14:textId="77777777" w:rsidR="00724131" w:rsidRDefault="00724131">
            <w:pPr>
              <w:pStyle w:val="TableParagraph"/>
              <w:spacing w:before="5"/>
              <w:rPr>
                <w:sz w:val="25"/>
              </w:rPr>
            </w:pPr>
          </w:p>
          <w:p w14:paraId="77A944BA" w14:textId="77777777" w:rsidR="00724131" w:rsidRDefault="00823349">
            <w:pPr>
              <w:pStyle w:val="TableParagraph"/>
              <w:spacing w:before="0"/>
              <w:ind w:right="420"/>
              <w:jc w:val="right"/>
              <w:rPr>
                <w:sz w:val="18"/>
              </w:rPr>
            </w:pPr>
            <w:r>
              <w:rPr>
                <w:color w:val="58595B"/>
                <w:sz w:val="18"/>
              </w:rPr>
              <w:t>70</w:t>
            </w:r>
          </w:p>
        </w:tc>
        <w:tc>
          <w:tcPr>
            <w:tcW w:w="1498" w:type="dxa"/>
            <w:tcBorders>
              <w:top w:val="single" w:sz="2" w:space="0" w:color="939598"/>
              <w:bottom w:val="single" w:sz="2" w:space="0" w:color="939598"/>
            </w:tcBorders>
          </w:tcPr>
          <w:p w14:paraId="33BE79C6" w14:textId="77777777" w:rsidR="00724131" w:rsidRDefault="00724131">
            <w:pPr>
              <w:pStyle w:val="TableParagraph"/>
              <w:spacing w:before="5"/>
              <w:rPr>
                <w:sz w:val="25"/>
              </w:rPr>
            </w:pPr>
          </w:p>
          <w:p w14:paraId="2D52717B" w14:textId="77777777" w:rsidR="00724131" w:rsidRDefault="00823349">
            <w:pPr>
              <w:pStyle w:val="TableParagraph"/>
              <w:spacing w:before="0"/>
              <w:ind w:right="388"/>
              <w:jc w:val="right"/>
              <w:rPr>
                <w:sz w:val="18"/>
              </w:rPr>
            </w:pPr>
            <w:r>
              <w:rPr>
                <w:color w:val="58595B"/>
                <w:sz w:val="18"/>
              </w:rPr>
              <w:t>55</w:t>
            </w:r>
          </w:p>
        </w:tc>
        <w:tc>
          <w:tcPr>
            <w:tcW w:w="1561" w:type="dxa"/>
            <w:tcBorders>
              <w:top w:val="single" w:sz="2" w:space="0" w:color="939598"/>
              <w:bottom w:val="single" w:sz="2" w:space="0" w:color="939598"/>
            </w:tcBorders>
          </w:tcPr>
          <w:p w14:paraId="4ED83946" w14:textId="77777777" w:rsidR="00724131" w:rsidRDefault="00724131">
            <w:pPr>
              <w:pStyle w:val="TableParagraph"/>
              <w:spacing w:before="5"/>
              <w:rPr>
                <w:sz w:val="25"/>
              </w:rPr>
            </w:pPr>
          </w:p>
          <w:p w14:paraId="581A181B" w14:textId="77777777" w:rsidR="00724131" w:rsidRDefault="00823349">
            <w:pPr>
              <w:pStyle w:val="TableParagraph"/>
              <w:spacing w:before="0"/>
              <w:ind w:right="417"/>
              <w:jc w:val="right"/>
              <w:rPr>
                <w:sz w:val="18"/>
              </w:rPr>
            </w:pPr>
            <w:r>
              <w:rPr>
                <w:color w:val="58595B"/>
                <w:sz w:val="18"/>
              </w:rPr>
              <w:t>80</w:t>
            </w:r>
          </w:p>
        </w:tc>
        <w:tc>
          <w:tcPr>
            <w:tcW w:w="1224" w:type="dxa"/>
            <w:tcBorders>
              <w:top w:val="single" w:sz="2" w:space="0" w:color="939598"/>
              <w:bottom w:val="single" w:sz="2" w:space="0" w:color="939598"/>
            </w:tcBorders>
          </w:tcPr>
          <w:p w14:paraId="7C1BB04D" w14:textId="77777777" w:rsidR="00724131" w:rsidRDefault="00724131">
            <w:pPr>
              <w:pStyle w:val="TableParagraph"/>
              <w:spacing w:before="5"/>
              <w:rPr>
                <w:sz w:val="25"/>
              </w:rPr>
            </w:pPr>
          </w:p>
          <w:p w14:paraId="4D477AC6" w14:textId="77777777" w:rsidR="00724131" w:rsidRDefault="00823349">
            <w:pPr>
              <w:pStyle w:val="TableParagraph"/>
              <w:spacing w:before="0"/>
              <w:ind w:right="111"/>
              <w:jc w:val="right"/>
              <w:rPr>
                <w:sz w:val="18"/>
              </w:rPr>
            </w:pPr>
            <w:r>
              <w:rPr>
                <w:color w:val="58595B"/>
                <w:sz w:val="18"/>
              </w:rPr>
              <w:t>73</w:t>
            </w:r>
          </w:p>
        </w:tc>
      </w:tr>
      <w:tr w:rsidR="00724131" w14:paraId="70A7E68C" w14:textId="77777777">
        <w:trPr>
          <w:trHeight w:hRule="exact" w:val="578"/>
        </w:trPr>
        <w:tc>
          <w:tcPr>
            <w:tcW w:w="2738" w:type="dxa"/>
            <w:tcBorders>
              <w:top w:val="single" w:sz="2" w:space="0" w:color="939598"/>
              <w:bottom w:val="single" w:sz="2" w:space="0" w:color="939598"/>
            </w:tcBorders>
          </w:tcPr>
          <w:p w14:paraId="42EFE234" w14:textId="77777777" w:rsidR="00724131" w:rsidRDefault="00823349">
            <w:pPr>
              <w:pStyle w:val="TableParagraph"/>
              <w:spacing w:line="254" w:lineRule="auto"/>
              <w:ind w:left="113" w:right="474"/>
              <w:rPr>
                <w:sz w:val="18"/>
              </w:rPr>
            </w:pPr>
            <w:r>
              <w:rPr>
                <w:color w:val="58595B"/>
                <w:sz w:val="18"/>
              </w:rPr>
              <w:t>Construction and demolition waste</w:t>
            </w:r>
          </w:p>
        </w:tc>
        <w:tc>
          <w:tcPr>
            <w:tcW w:w="1653" w:type="dxa"/>
            <w:tcBorders>
              <w:top w:val="single" w:sz="2" w:space="0" w:color="939598"/>
              <w:bottom w:val="single" w:sz="2" w:space="0" w:color="939598"/>
            </w:tcBorders>
          </w:tcPr>
          <w:p w14:paraId="07C5B1FF" w14:textId="77777777" w:rsidR="00724131" w:rsidRDefault="00724131">
            <w:pPr>
              <w:pStyle w:val="TableParagraph"/>
              <w:spacing w:before="5"/>
              <w:rPr>
                <w:sz w:val="25"/>
              </w:rPr>
            </w:pPr>
          </w:p>
          <w:p w14:paraId="464A3397" w14:textId="77777777" w:rsidR="00724131" w:rsidRDefault="00823349">
            <w:pPr>
              <w:pStyle w:val="TableParagraph"/>
              <w:spacing w:before="0"/>
              <w:ind w:right="420"/>
              <w:jc w:val="right"/>
              <w:rPr>
                <w:sz w:val="18"/>
              </w:rPr>
            </w:pPr>
            <w:r>
              <w:rPr>
                <w:color w:val="58595B"/>
                <w:sz w:val="18"/>
              </w:rPr>
              <w:t>70</w:t>
            </w:r>
          </w:p>
        </w:tc>
        <w:tc>
          <w:tcPr>
            <w:tcW w:w="1498" w:type="dxa"/>
            <w:tcBorders>
              <w:top w:val="single" w:sz="2" w:space="0" w:color="939598"/>
              <w:bottom w:val="single" w:sz="2" w:space="0" w:color="939598"/>
            </w:tcBorders>
          </w:tcPr>
          <w:p w14:paraId="27AA0B4A" w14:textId="77777777" w:rsidR="00724131" w:rsidRDefault="00724131">
            <w:pPr>
              <w:pStyle w:val="TableParagraph"/>
              <w:spacing w:before="5"/>
              <w:rPr>
                <w:sz w:val="25"/>
              </w:rPr>
            </w:pPr>
          </w:p>
          <w:p w14:paraId="417FCAC8" w14:textId="77777777" w:rsidR="00724131" w:rsidRDefault="00823349">
            <w:pPr>
              <w:pStyle w:val="TableParagraph"/>
              <w:spacing w:before="0"/>
              <w:ind w:right="388"/>
              <w:jc w:val="right"/>
              <w:rPr>
                <w:sz w:val="18"/>
              </w:rPr>
            </w:pPr>
            <w:r>
              <w:rPr>
                <w:color w:val="58595B"/>
                <w:sz w:val="18"/>
              </w:rPr>
              <w:t>83</w:t>
            </w:r>
          </w:p>
        </w:tc>
        <w:tc>
          <w:tcPr>
            <w:tcW w:w="1561" w:type="dxa"/>
            <w:tcBorders>
              <w:top w:val="single" w:sz="2" w:space="0" w:color="939598"/>
              <w:bottom w:val="single" w:sz="2" w:space="0" w:color="939598"/>
            </w:tcBorders>
          </w:tcPr>
          <w:p w14:paraId="5E933DA3" w14:textId="77777777" w:rsidR="00724131" w:rsidRDefault="00724131">
            <w:pPr>
              <w:pStyle w:val="TableParagraph"/>
              <w:spacing w:before="5"/>
              <w:rPr>
                <w:sz w:val="25"/>
              </w:rPr>
            </w:pPr>
          </w:p>
          <w:p w14:paraId="51B06E08" w14:textId="77777777" w:rsidR="00724131" w:rsidRDefault="00823349">
            <w:pPr>
              <w:pStyle w:val="TableParagraph"/>
              <w:spacing w:before="0"/>
              <w:ind w:right="417"/>
              <w:jc w:val="right"/>
              <w:rPr>
                <w:sz w:val="18"/>
              </w:rPr>
            </w:pPr>
            <w:r>
              <w:rPr>
                <w:color w:val="58595B"/>
                <w:sz w:val="18"/>
              </w:rPr>
              <w:t>80</w:t>
            </w:r>
          </w:p>
        </w:tc>
        <w:tc>
          <w:tcPr>
            <w:tcW w:w="1224" w:type="dxa"/>
            <w:tcBorders>
              <w:top w:val="single" w:sz="2" w:space="0" w:color="939598"/>
              <w:bottom w:val="single" w:sz="2" w:space="0" w:color="939598"/>
            </w:tcBorders>
          </w:tcPr>
          <w:p w14:paraId="7879FE3F" w14:textId="77777777" w:rsidR="00724131" w:rsidRDefault="00724131">
            <w:pPr>
              <w:pStyle w:val="TableParagraph"/>
              <w:spacing w:before="5"/>
              <w:rPr>
                <w:sz w:val="25"/>
              </w:rPr>
            </w:pPr>
          </w:p>
          <w:p w14:paraId="7B1BB2D1" w14:textId="77777777" w:rsidR="00724131" w:rsidRDefault="00823349">
            <w:pPr>
              <w:pStyle w:val="TableParagraph"/>
              <w:spacing w:before="0"/>
              <w:ind w:right="111"/>
              <w:jc w:val="right"/>
              <w:rPr>
                <w:sz w:val="18"/>
              </w:rPr>
            </w:pPr>
            <w:r>
              <w:rPr>
                <w:color w:val="58595B"/>
                <w:sz w:val="18"/>
              </w:rPr>
              <w:t>83</w:t>
            </w:r>
          </w:p>
        </w:tc>
      </w:tr>
    </w:tbl>
    <w:p w14:paraId="744474FA" w14:textId="77777777" w:rsidR="00724131" w:rsidRDefault="00823349">
      <w:pPr>
        <w:spacing w:before="96"/>
        <w:ind w:left="1417" w:right="228"/>
        <w:rPr>
          <w:sz w:val="15"/>
        </w:rPr>
      </w:pPr>
      <w:r>
        <w:rPr>
          <w:color w:val="58595B"/>
          <w:sz w:val="15"/>
        </w:rPr>
        <w:t>Source:  Sustainability Victoria survey data.</w:t>
      </w:r>
    </w:p>
    <w:p w14:paraId="01489F39" w14:textId="77777777" w:rsidR="00724131" w:rsidRDefault="00724131">
      <w:pPr>
        <w:pStyle w:val="BodyText"/>
        <w:spacing w:before="8"/>
        <w:rPr>
          <w:sz w:val="18"/>
        </w:rPr>
      </w:pPr>
    </w:p>
    <w:p w14:paraId="5A10FFAF" w14:textId="77777777" w:rsidR="00724131" w:rsidRDefault="00823349">
      <w:pPr>
        <w:pStyle w:val="BodyText"/>
        <w:spacing w:line="276" w:lineRule="auto"/>
        <w:ind w:left="1417" w:right="132"/>
      </w:pPr>
      <w:r>
        <w:rPr>
          <w:color w:val="58595B"/>
        </w:rPr>
        <w:t>Construction and demolition material accounts for approximately half of the illegally disposed waste identified by the EPA. In 2014–315, it cost the state an estimated $30.6 million, comprising</w:t>
      </w:r>
    </w:p>
    <w:p w14:paraId="592DBC55" w14:textId="77777777" w:rsidR="00724131" w:rsidRDefault="00823349">
      <w:pPr>
        <w:pStyle w:val="BodyText"/>
        <w:spacing w:before="1" w:line="276" w:lineRule="auto"/>
        <w:ind w:left="1417" w:right="377"/>
      </w:pPr>
      <w:r>
        <w:rPr>
          <w:color w:val="58595B"/>
        </w:rPr>
        <w:t>$19 million in foregone landfill levy, $10.5 million in clean up costs and $1 million in prosecution and enforcement costs.</w:t>
      </w:r>
      <w:r>
        <w:rPr>
          <w:color w:val="58595B"/>
          <w:position w:val="7"/>
          <w:sz w:val="11"/>
        </w:rPr>
        <w:t xml:space="preserve">18  </w:t>
      </w:r>
      <w:r>
        <w:rPr>
          <w:color w:val="58595B"/>
        </w:rPr>
        <w:t>These costs could potentially outweigh the benefits of landfill</w:t>
      </w:r>
    </w:p>
    <w:p w14:paraId="4A9EF36D" w14:textId="77777777" w:rsidR="00724131" w:rsidRDefault="00823349">
      <w:pPr>
        <w:pStyle w:val="BodyText"/>
        <w:spacing w:before="1"/>
        <w:ind w:left="1417" w:right="228"/>
      </w:pPr>
      <w:r>
        <w:rPr>
          <w:color w:val="58595B"/>
        </w:rPr>
        <w:t>levies received.</w:t>
      </w:r>
    </w:p>
    <w:p w14:paraId="4EED81AD" w14:textId="77777777" w:rsidR="00724131" w:rsidRDefault="00724131">
      <w:pPr>
        <w:pStyle w:val="BodyText"/>
        <w:spacing w:before="9"/>
        <w:rPr>
          <w:sz w:val="17"/>
        </w:rPr>
      </w:pPr>
    </w:p>
    <w:p w14:paraId="0894A4F7" w14:textId="77777777" w:rsidR="00724131" w:rsidRDefault="00823349">
      <w:pPr>
        <w:pStyle w:val="BodyText"/>
        <w:spacing w:line="276" w:lineRule="auto"/>
        <w:ind w:left="1417" w:right="324"/>
      </w:pPr>
      <w:r>
        <w:rPr>
          <w:color w:val="58595B"/>
        </w:rPr>
        <w:t xml:space="preserve">Given these issues, we propose the Government redesign the M&amp;I Landfill </w:t>
      </w:r>
      <w:r>
        <w:rPr>
          <w:color w:val="58595B"/>
          <w:spacing w:val="-3"/>
        </w:rPr>
        <w:t xml:space="preserve">Levy, </w:t>
      </w:r>
      <w:r>
        <w:rPr>
          <w:color w:val="58595B"/>
        </w:rPr>
        <w:t>so that it  better satisfies its primary regulatory objective of providing a financial incentive to avoid, reduce or recycle waste. A redesigned levy could help the Government achieve its waste reduction objectives and avoid the considerable financial and social costs of illegal dumping, while also providing a sustainable source of funding for environment protection. Stakeholders and the general community would also find the levy more acceptable as an ongoing source of funding for the</w:t>
      </w:r>
      <w:r>
        <w:rPr>
          <w:color w:val="58595B"/>
          <w:spacing w:val="-3"/>
        </w:rPr>
        <w:t xml:space="preserve"> </w:t>
      </w:r>
      <w:r>
        <w:rPr>
          <w:color w:val="58595B"/>
        </w:rPr>
        <w:t>EPA.</w:t>
      </w:r>
    </w:p>
    <w:p w14:paraId="49894669" w14:textId="77777777" w:rsidR="00724131" w:rsidRDefault="00823349">
      <w:pPr>
        <w:pStyle w:val="BodyText"/>
        <w:spacing w:before="171" w:line="276" w:lineRule="auto"/>
        <w:ind w:left="1417" w:right="228"/>
      </w:pPr>
      <w:r>
        <w:rPr>
          <w:color w:val="58595B"/>
        </w:rPr>
        <w:t>There may also be a case for sharing M&amp;I Landfill Levy revenues with local councils. Local government authorities dislike the current arrangements for collecting and disbursing the levy. They must incorporate the levy into household waste disposal charges, yet little is returned to their local communities:</w:t>
      </w:r>
    </w:p>
    <w:p w14:paraId="325F0A34" w14:textId="77777777" w:rsidR="00724131" w:rsidRDefault="00823349">
      <w:pPr>
        <w:spacing w:before="171" w:line="276" w:lineRule="auto"/>
        <w:ind w:left="1984" w:right="743"/>
        <w:rPr>
          <w:sz w:val="20"/>
        </w:rPr>
      </w:pPr>
      <w:r>
        <w:rPr>
          <w:i/>
          <w:color w:val="231F20"/>
          <w:sz w:val="20"/>
        </w:rPr>
        <w:t xml:space="preserve">At present our community is paying the landfill levy and seeing little in return as the money leaves the region and the utilisation of the funds is not transparent. </w:t>
      </w:r>
      <w:r>
        <w:rPr>
          <w:color w:val="231F20"/>
          <w:sz w:val="20"/>
        </w:rPr>
        <w:t>(Southern Grampians Shire Council submission, p. 9)</w:t>
      </w:r>
    </w:p>
    <w:p w14:paraId="0317417D" w14:textId="77777777" w:rsidR="00724131" w:rsidRDefault="00823349">
      <w:pPr>
        <w:spacing w:before="171" w:line="276" w:lineRule="auto"/>
        <w:ind w:left="1984" w:right="488"/>
        <w:rPr>
          <w:sz w:val="20"/>
        </w:rPr>
      </w:pPr>
      <w:r>
        <w:rPr>
          <w:i/>
          <w:color w:val="231F20"/>
          <w:sz w:val="20"/>
        </w:rPr>
        <w:t xml:space="preserve">Maribyrnong Council would like to see that all funds collected </w:t>
      </w:r>
      <w:r>
        <w:rPr>
          <w:i/>
          <w:color w:val="231F20"/>
          <w:spacing w:val="-3"/>
          <w:sz w:val="20"/>
        </w:rPr>
        <w:t xml:space="preserve">by </w:t>
      </w:r>
      <w:r>
        <w:rPr>
          <w:i/>
          <w:color w:val="231F20"/>
          <w:sz w:val="20"/>
        </w:rPr>
        <w:t>the landfill levy are spent</w:t>
      </w:r>
      <w:r>
        <w:rPr>
          <w:i/>
          <w:color w:val="231F20"/>
          <w:spacing w:val="-10"/>
          <w:sz w:val="20"/>
        </w:rPr>
        <w:t xml:space="preserve"> </w:t>
      </w:r>
      <w:r>
        <w:rPr>
          <w:i/>
          <w:color w:val="231F20"/>
          <w:sz w:val="20"/>
        </w:rPr>
        <w:t>every</w:t>
      </w:r>
      <w:r>
        <w:rPr>
          <w:i/>
          <w:color w:val="231F20"/>
          <w:spacing w:val="-10"/>
          <w:sz w:val="20"/>
        </w:rPr>
        <w:t xml:space="preserve"> </w:t>
      </w:r>
      <w:r>
        <w:rPr>
          <w:i/>
          <w:color w:val="231F20"/>
          <w:spacing w:val="-3"/>
          <w:sz w:val="20"/>
        </w:rPr>
        <w:t>year</w:t>
      </w:r>
      <w:r>
        <w:rPr>
          <w:i/>
          <w:color w:val="231F20"/>
          <w:spacing w:val="-10"/>
          <w:sz w:val="20"/>
        </w:rPr>
        <w:t xml:space="preserve"> </w:t>
      </w:r>
      <w:r>
        <w:rPr>
          <w:i/>
          <w:color w:val="231F20"/>
          <w:sz w:val="20"/>
        </w:rPr>
        <w:t>and</w:t>
      </w:r>
      <w:r>
        <w:rPr>
          <w:i/>
          <w:color w:val="231F20"/>
          <w:spacing w:val="-10"/>
          <w:sz w:val="20"/>
        </w:rPr>
        <w:t xml:space="preserve"> </w:t>
      </w:r>
      <w:r>
        <w:rPr>
          <w:i/>
          <w:color w:val="231F20"/>
          <w:sz w:val="20"/>
        </w:rPr>
        <w:t>that</w:t>
      </w:r>
      <w:r>
        <w:rPr>
          <w:i/>
          <w:color w:val="231F20"/>
          <w:spacing w:val="-10"/>
          <w:sz w:val="20"/>
        </w:rPr>
        <w:t xml:space="preserve"> </w:t>
      </w:r>
      <w:r>
        <w:rPr>
          <w:i/>
          <w:color w:val="231F20"/>
          <w:sz w:val="20"/>
        </w:rPr>
        <w:t>projects</w:t>
      </w:r>
      <w:r>
        <w:rPr>
          <w:i/>
          <w:color w:val="231F20"/>
          <w:spacing w:val="-10"/>
          <w:sz w:val="20"/>
        </w:rPr>
        <w:t xml:space="preserve"> </w:t>
      </w:r>
      <w:r>
        <w:rPr>
          <w:i/>
          <w:color w:val="231F20"/>
          <w:sz w:val="20"/>
        </w:rPr>
        <w:t>and</w:t>
      </w:r>
      <w:r>
        <w:rPr>
          <w:i/>
          <w:color w:val="231F20"/>
          <w:spacing w:val="-10"/>
          <w:sz w:val="20"/>
        </w:rPr>
        <w:t xml:space="preserve"> </w:t>
      </w:r>
      <w:r>
        <w:rPr>
          <w:i/>
          <w:color w:val="231F20"/>
          <w:spacing w:val="-3"/>
          <w:sz w:val="20"/>
        </w:rPr>
        <w:t>initiatives</w:t>
      </w:r>
      <w:r>
        <w:rPr>
          <w:i/>
          <w:color w:val="231F20"/>
          <w:spacing w:val="-10"/>
          <w:sz w:val="20"/>
        </w:rPr>
        <w:t xml:space="preserve"> </w:t>
      </w:r>
      <w:r>
        <w:rPr>
          <w:i/>
          <w:color w:val="231F20"/>
          <w:sz w:val="20"/>
        </w:rPr>
        <w:t>from</w:t>
      </w:r>
      <w:r>
        <w:rPr>
          <w:i/>
          <w:color w:val="231F20"/>
          <w:spacing w:val="-10"/>
          <w:sz w:val="20"/>
        </w:rPr>
        <w:t xml:space="preserve"> </w:t>
      </w:r>
      <w:r>
        <w:rPr>
          <w:i/>
          <w:color w:val="231F20"/>
          <w:sz w:val="20"/>
        </w:rPr>
        <w:t>the</w:t>
      </w:r>
      <w:r>
        <w:rPr>
          <w:i/>
          <w:color w:val="231F20"/>
          <w:spacing w:val="-10"/>
          <w:sz w:val="20"/>
        </w:rPr>
        <w:t xml:space="preserve"> </w:t>
      </w:r>
      <w:r>
        <w:rPr>
          <w:i/>
          <w:color w:val="231F20"/>
          <w:sz w:val="20"/>
        </w:rPr>
        <w:t>funds</w:t>
      </w:r>
      <w:r>
        <w:rPr>
          <w:i/>
          <w:color w:val="231F20"/>
          <w:spacing w:val="-10"/>
          <w:sz w:val="20"/>
        </w:rPr>
        <w:t xml:space="preserve"> </w:t>
      </w:r>
      <w:r>
        <w:rPr>
          <w:i/>
          <w:color w:val="231F20"/>
          <w:sz w:val="20"/>
        </w:rPr>
        <w:t>are</w:t>
      </w:r>
      <w:r>
        <w:rPr>
          <w:i/>
          <w:color w:val="231F20"/>
          <w:spacing w:val="-10"/>
          <w:sz w:val="20"/>
        </w:rPr>
        <w:t xml:space="preserve"> </w:t>
      </w:r>
      <w:r>
        <w:rPr>
          <w:i/>
          <w:color w:val="231F20"/>
          <w:sz w:val="20"/>
        </w:rPr>
        <w:t>used</w:t>
      </w:r>
      <w:r>
        <w:rPr>
          <w:i/>
          <w:color w:val="231F20"/>
          <w:spacing w:val="-10"/>
          <w:sz w:val="20"/>
        </w:rPr>
        <w:t xml:space="preserve"> </w:t>
      </w:r>
      <w:r>
        <w:rPr>
          <w:i/>
          <w:color w:val="231F20"/>
          <w:sz w:val="20"/>
        </w:rPr>
        <w:t>to</w:t>
      </w:r>
      <w:r>
        <w:rPr>
          <w:i/>
          <w:color w:val="231F20"/>
          <w:spacing w:val="-10"/>
          <w:sz w:val="20"/>
        </w:rPr>
        <w:t xml:space="preserve"> </w:t>
      </w:r>
      <w:r>
        <w:rPr>
          <w:i/>
          <w:color w:val="231F20"/>
          <w:sz w:val="20"/>
        </w:rPr>
        <w:t>benefit</w:t>
      </w:r>
      <w:r>
        <w:rPr>
          <w:i/>
          <w:color w:val="231F20"/>
          <w:spacing w:val="-10"/>
          <w:sz w:val="20"/>
        </w:rPr>
        <w:t xml:space="preserve"> </w:t>
      </w:r>
      <w:r>
        <w:rPr>
          <w:i/>
          <w:color w:val="231F20"/>
          <w:sz w:val="20"/>
        </w:rPr>
        <w:t>the communities</w:t>
      </w:r>
      <w:r>
        <w:rPr>
          <w:i/>
          <w:color w:val="231F20"/>
          <w:spacing w:val="-15"/>
          <w:sz w:val="20"/>
        </w:rPr>
        <w:t xml:space="preserve"> </w:t>
      </w:r>
      <w:r>
        <w:rPr>
          <w:i/>
          <w:color w:val="231F20"/>
          <w:sz w:val="20"/>
        </w:rPr>
        <w:t>that</w:t>
      </w:r>
      <w:r>
        <w:rPr>
          <w:i/>
          <w:color w:val="231F20"/>
          <w:spacing w:val="-15"/>
          <w:sz w:val="20"/>
        </w:rPr>
        <w:t xml:space="preserve"> </w:t>
      </w:r>
      <w:r>
        <w:rPr>
          <w:i/>
          <w:color w:val="231F20"/>
          <w:sz w:val="20"/>
        </w:rPr>
        <w:t>contribute</w:t>
      </w:r>
      <w:r>
        <w:rPr>
          <w:i/>
          <w:color w:val="231F20"/>
          <w:spacing w:val="-15"/>
          <w:sz w:val="20"/>
        </w:rPr>
        <w:t xml:space="preserve"> </w:t>
      </w:r>
      <w:r>
        <w:rPr>
          <w:i/>
          <w:color w:val="231F20"/>
          <w:sz w:val="20"/>
        </w:rPr>
        <w:t>the</w:t>
      </w:r>
      <w:r>
        <w:rPr>
          <w:i/>
          <w:color w:val="231F20"/>
          <w:spacing w:val="-15"/>
          <w:sz w:val="20"/>
        </w:rPr>
        <w:t xml:space="preserve"> </w:t>
      </w:r>
      <w:r>
        <w:rPr>
          <w:i/>
          <w:color w:val="231F20"/>
          <w:sz w:val="20"/>
        </w:rPr>
        <w:t>funds.</w:t>
      </w:r>
      <w:r>
        <w:rPr>
          <w:i/>
          <w:color w:val="231F20"/>
          <w:spacing w:val="-15"/>
          <w:sz w:val="20"/>
        </w:rPr>
        <w:t xml:space="preserve"> </w:t>
      </w:r>
      <w:r>
        <w:rPr>
          <w:color w:val="231F20"/>
          <w:sz w:val="20"/>
        </w:rPr>
        <w:t>(Maribyrnong</w:t>
      </w:r>
      <w:r>
        <w:rPr>
          <w:color w:val="231F20"/>
          <w:spacing w:val="-15"/>
          <w:sz w:val="20"/>
        </w:rPr>
        <w:t xml:space="preserve"> </w:t>
      </w:r>
      <w:r>
        <w:rPr>
          <w:color w:val="231F20"/>
          <w:sz w:val="20"/>
        </w:rPr>
        <w:t>City</w:t>
      </w:r>
      <w:r>
        <w:rPr>
          <w:color w:val="231F20"/>
          <w:spacing w:val="-15"/>
          <w:sz w:val="20"/>
        </w:rPr>
        <w:t xml:space="preserve"> </w:t>
      </w:r>
      <w:r>
        <w:rPr>
          <w:color w:val="231F20"/>
          <w:sz w:val="20"/>
        </w:rPr>
        <w:t>Council</w:t>
      </w:r>
      <w:r>
        <w:rPr>
          <w:color w:val="231F20"/>
          <w:spacing w:val="-15"/>
          <w:sz w:val="20"/>
        </w:rPr>
        <w:t xml:space="preserve"> </w:t>
      </w:r>
      <w:r>
        <w:rPr>
          <w:color w:val="231F20"/>
          <w:sz w:val="20"/>
        </w:rPr>
        <w:t>submission,</w:t>
      </w:r>
      <w:r>
        <w:rPr>
          <w:color w:val="231F20"/>
          <w:spacing w:val="-15"/>
          <w:sz w:val="20"/>
        </w:rPr>
        <w:t xml:space="preserve"> </w:t>
      </w:r>
      <w:r>
        <w:rPr>
          <w:color w:val="231F20"/>
          <w:spacing w:val="-3"/>
          <w:sz w:val="20"/>
        </w:rPr>
        <w:t>p.</w:t>
      </w:r>
      <w:r>
        <w:rPr>
          <w:color w:val="231F20"/>
          <w:spacing w:val="-15"/>
          <w:sz w:val="20"/>
        </w:rPr>
        <w:t xml:space="preserve"> </w:t>
      </w:r>
      <w:r>
        <w:rPr>
          <w:color w:val="231F20"/>
          <w:spacing w:val="-3"/>
          <w:sz w:val="20"/>
        </w:rPr>
        <w:t>5)</w:t>
      </w:r>
    </w:p>
    <w:p w14:paraId="2E380EA9" w14:textId="77777777" w:rsidR="00724131" w:rsidRDefault="00724131">
      <w:pPr>
        <w:spacing w:line="276" w:lineRule="auto"/>
        <w:rPr>
          <w:sz w:val="20"/>
        </w:rPr>
        <w:sectPr w:rsidR="00724131">
          <w:pgSz w:w="11910" w:h="16840"/>
          <w:pgMar w:top="980" w:right="1680" w:bottom="280" w:left="0" w:header="788" w:footer="0" w:gutter="0"/>
          <w:cols w:space="720"/>
        </w:sectPr>
      </w:pPr>
    </w:p>
    <w:p w14:paraId="3797305B" w14:textId="77777777" w:rsidR="00724131" w:rsidRDefault="00724131">
      <w:pPr>
        <w:pStyle w:val="BodyText"/>
      </w:pPr>
    </w:p>
    <w:p w14:paraId="3E26DE10" w14:textId="77777777" w:rsidR="00724131" w:rsidRDefault="00724131">
      <w:pPr>
        <w:pStyle w:val="BodyText"/>
      </w:pPr>
    </w:p>
    <w:p w14:paraId="7421DED5" w14:textId="77777777" w:rsidR="00724131" w:rsidRDefault="00724131">
      <w:pPr>
        <w:pStyle w:val="BodyText"/>
      </w:pPr>
    </w:p>
    <w:p w14:paraId="526E751C" w14:textId="77777777" w:rsidR="00724131" w:rsidRDefault="00724131">
      <w:pPr>
        <w:pStyle w:val="BodyText"/>
      </w:pPr>
    </w:p>
    <w:p w14:paraId="728F8404" w14:textId="77777777" w:rsidR="00724131" w:rsidRDefault="00724131">
      <w:pPr>
        <w:pStyle w:val="BodyText"/>
        <w:spacing w:before="8"/>
        <w:rPr>
          <w:sz w:val="17"/>
        </w:rPr>
      </w:pPr>
    </w:p>
    <w:p w14:paraId="06C88D49" w14:textId="77777777" w:rsidR="00724131" w:rsidRDefault="00823349">
      <w:pPr>
        <w:spacing w:before="1" w:line="276" w:lineRule="auto"/>
        <w:ind w:left="701" w:right="2184"/>
        <w:rPr>
          <w:sz w:val="20"/>
        </w:rPr>
      </w:pPr>
      <w:r>
        <w:rPr>
          <w:i/>
          <w:color w:val="231F20"/>
          <w:sz w:val="20"/>
        </w:rPr>
        <w:t xml:space="preserve">The distribution of the landfill levy must be significantly increased with a focus applied to new large scale resource recovery and waste management facilities across Victoria. </w:t>
      </w:r>
      <w:r>
        <w:rPr>
          <w:color w:val="231F20"/>
          <w:sz w:val="20"/>
        </w:rPr>
        <w:t>(Corangamite Shire Council submission, p. 8)</w:t>
      </w:r>
    </w:p>
    <w:p w14:paraId="56E0D880" w14:textId="77777777" w:rsidR="00724131" w:rsidRDefault="00823349">
      <w:pPr>
        <w:pStyle w:val="BodyText"/>
        <w:spacing w:before="171" w:line="276" w:lineRule="auto"/>
        <w:ind w:left="134" w:right="1337"/>
      </w:pPr>
      <w:r>
        <w:rPr>
          <w:color w:val="58595B"/>
        </w:rPr>
        <w:t>We propose in chapter 18 to expand some local environmental protection activities of local government, for which local authorities will require additional funding. A landfill levy revenue- sharing arrangement may help local government to meet these additional costs.</w:t>
      </w:r>
    </w:p>
    <w:p w14:paraId="0ADE7C12" w14:textId="77777777" w:rsidR="00724131" w:rsidRDefault="00724131">
      <w:pPr>
        <w:pStyle w:val="BodyText"/>
        <w:spacing w:before="9"/>
        <w:rPr>
          <w:sz w:val="19"/>
        </w:rPr>
      </w:pPr>
    </w:p>
    <w:p w14:paraId="144A82A7" w14:textId="77777777" w:rsidR="00724131" w:rsidRDefault="00823349">
      <w:pPr>
        <w:ind w:left="134" w:right="228"/>
        <w:rPr>
          <w:i/>
          <w:sz w:val="20"/>
        </w:rPr>
      </w:pPr>
      <w:r>
        <w:rPr>
          <w:i/>
          <w:color w:val="6D6E71"/>
          <w:sz w:val="20"/>
        </w:rPr>
        <w:t>Prescribed Industrial Waste Levies</w:t>
      </w:r>
    </w:p>
    <w:p w14:paraId="0982F86B" w14:textId="77777777" w:rsidR="00724131" w:rsidRDefault="00823349">
      <w:pPr>
        <w:pStyle w:val="BodyText"/>
        <w:spacing w:before="120" w:line="276" w:lineRule="auto"/>
        <w:ind w:left="134" w:right="1468"/>
      </w:pPr>
      <w:r>
        <w:rPr>
          <w:color w:val="58595B"/>
        </w:rPr>
        <w:t>Falling revenues, and the rising costs of rebates and of defending rebate claims in court, make PIW levies an increasingly volatile and uncertain source of future revenue for the EPA. We recommend replacing PIW levies as a source of funding for the EPA. We also recommend redesigning the PIW Levy and the accompanying regulatory framework for transporting, storing and disposing of hazardous wastes, to minimise incentives for illegal dumping.</w:t>
      </w:r>
    </w:p>
    <w:p w14:paraId="0080D9BF" w14:textId="77777777" w:rsidR="00724131" w:rsidRDefault="00823349">
      <w:pPr>
        <w:pStyle w:val="BodyText"/>
        <w:spacing w:before="171" w:line="276" w:lineRule="auto"/>
        <w:ind w:left="134" w:right="1462"/>
      </w:pPr>
      <w:r>
        <w:rPr>
          <w:color w:val="58595B"/>
        </w:rPr>
        <w:t>The volatility of PIW levy revenues reflects several factors. First, recycling rebates apply if waste deposited at a landfill is subsequently recycled, reprocessed, recovered or purified. Recycling PIW rebates, which lower the amount a landfill operator pays, can be made within three years of the waste being removed from the premises. This process creates uncertainty about whether and when rebate claims will be</w:t>
      </w:r>
      <w:r>
        <w:rPr>
          <w:color w:val="58595B"/>
          <w:spacing w:val="-4"/>
        </w:rPr>
        <w:t xml:space="preserve"> </w:t>
      </w:r>
      <w:r>
        <w:rPr>
          <w:color w:val="58595B"/>
        </w:rPr>
        <w:t>made.</w:t>
      </w:r>
    </w:p>
    <w:p w14:paraId="6A2E22B1" w14:textId="77777777" w:rsidR="00724131" w:rsidRDefault="00823349">
      <w:pPr>
        <w:pStyle w:val="BodyText"/>
        <w:spacing w:before="171" w:line="276" w:lineRule="auto"/>
        <w:ind w:left="134" w:right="1449"/>
      </w:pPr>
      <w:r>
        <w:rPr>
          <w:color w:val="58595B"/>
        </w:rPr>
        <w:t>Second, as well as managing the budgetary impacts of legitimate rebate claims, the EPA is increasingly defending the PIW revenue base against disputed claims. In 2015-16, for example, the EPA is defending a disputed PIW levy rebate claim of $7.5 million. Losing this case could cost the agency as much as 10 per cent of its total operating budget.</w:t>
      </w:r>
    </w:p>
    <w:p w14:paraId="06F5C3E3" w14:textId="77777777" w:rsidR="00724131" w:rsidRDefault="00823349">
      <w:pPr>
        <w:pStyle w:val="BodyText"/>
        <w:spacing w:before="171" w:line="276" w:lineRule="auto"/>
        <w:ind w:left="134" w:right="1641"/>
        <w:jc w:val="both"/>
      </w:pPr>
      <w:r>
        <w:rPr>
          <w:color w:val="58595B"/>
        </w:rPr>
        <w:t>Third, the rising incidence of illegal dumping and other avoidance behaviour reduces revenues. It also suggests fundamental design problems with the PIW Levy and the associated regulatory framework for transporting, storing and disposing of hazardous waste.</w:t>
      </w:r>
    </w:p>
    <w:p w14:paraId="1D688367" w14:textId="77777777" w:rsidR="00724131" w:rsidRDefault="00823349">
      <w:pPr>
        <w:pStyle w:val="BodyText"/>
        <w:spacing w:before="171" w:line="276" w:lineRule="auto"/>
        <w:ind w:left="134" w:right="1584"/>
        <w:rPr>
          <w:sz w:val="11"/>
        </w:rPr>
      </w:pPr>
      <w:r>
        <w:rPr>
          <w:color w:val="58595B"/>
        </w:rPr>
        <w:t xml:space="preserve">The PIW price on landfill is intended to encourage greater waste recovery and recycling, but there will always be some hazardous waste streams that cannot be recovered economically. In these circumstances, high landfill levies are likely to drive increased illegal dumping and other avoidance activity. Evidence to other inquiries established the clear link between high levies  and illegal dumping of hazardous wastes. For example, in a submission to the </w:t>
      </w:r>
      <w:r>
        <w:rPr>
          <w:color w:val="58595B"/>
          <w:spacing w:val="2"/>
        </w:rPr>
        <w:t xml:space="preserve">2006 </w:t>
      </w:r>
      <w:r>
        <w:rPr>
          <w:color w:val="58595B"/>
        </w:rPr>
        <w:t xml:space="preserve">Productivity Commission Waste Inquiry, Hanson Landfill Services </w:t>
      </w:r>
      <w:r>
        <w:rPr>
          <w:color w:val="58595B"/>
          <w:spacing w:val="-3"/>
        </w:rPr>
        <w:t xml:space="preserve">(sub. </w:t>
      </w:r>
      <w:r>
        <w:rPr>
          <w:color w:val="58595B"/>
          <w:spacing w:val="-4"/>
        </w:rPr>
        <w:t xml:space="preserve">DR125) </w:t>
      </w:r>
      <w:r>
        <w:rPr>
          <w:color w:val="58595B"/>
        </w:rPr>
        <w:t xml:space="preserve">noted that the high levy imposed in Victoria on disposal of asbestos waste to landfill (then $26 per </w:t>
      </w:r>
      <w:r>
        <w:rPr>
          <w:color w:val="58595B"/>
          <w:spacing w:val="-3"/>
        </w:rPr>
        <w:t xml:space="preserve">tonne) </w:t>
      </w:r>
      <w:r>
        <w:rPr>
          <w:color w:val="58595B"/>
        </w:rPr>
        <w:t>discourages decontamination of sites, and encourages disposers to illegally dump asbestos, or to hide it among other waste going to</w:t>
      </w:r>
      <w:r>
        <w:rPr>
          <w:color w:val="58595B"/>
          <w:spacing w:val="-17"/>
        </w:rPr>
        <w:t xml:space="preserve"> </w:t>
      </w:r>
      <w:r>
        <w:rPr>
          <w:color w:val="58595B"/>
        </w:rPr>
        <w:t>landfill.</w:t>
      </w:r>
      <w:r>
        <w:rPr>
          <w:color w:val="58595B"/>
          <w:position w:val="7"/>
          <w:sz w:val="11"/>
        </w:rPr>
        <w:t>19</w:t>
      </w:r>
    </w:p>
    <w:p w14:paraId="4D85D923" w14:textId="77777777" w:rsidR="00724131" w:rsidRDefault="00823349">
      <w:pPr>
        <w:pStyle w:val="BodyText"/>
        <w:spacing w:before="171" w:line="276" w:lineRule="auto"/>
        <w:ind w:left="134" w:right="1468"/>
        <w:rPr>
          <w:sz w:val="11"/>
        </w:rPr>
      </w:pPr>
      <w:r>
        <w:rPr>
          <w:color w:val="58595B"/>
        </w:rPr>
        <w:t>There is also evidence that some operators deliberately game the levy by establishing so called ‘recycling centres’ that collect waste but with no intention of significant recycling or reuse. And some recycling operations, while technically compliant, spread contaminants back into the environment in diluted form – for example, as ‘clean fill’ soil. The EPA is concerned that these practices – which are difficult to detect or effectively manage – are likely to result in a legacy of hazardous waste and contamination around Victoria for future generations to address.</w:t>
      </w:r>
      <w:r>
        <w:rPr>
          <w:color w:val="58595B"/>
          <w:position w:val="7"/>
          <w:sz w:val="11"/>
        </w:rPr>
        <w:t>20</w:t>
      </w:r>
    </w:p>
    <w:p w14:paraId="22E801F0" w14:textId="77777777" w:rsidR="00724131" w:rsidRDefault="00823349">
      <w:pPr>
        <w:pStyle w:val="BodyText"/>
        <w:spacing w:before="171" w:line="276" w:lineRule="auto"/>
        <w:ind w:left="134" w:right="2045"/>
      </w:pPr>
      <w:r>
        <w:rPr>
          <w:color w:val="58595B"/>
        </w:rPr>
        <w:t xml:space="preserve">Further, when Victoria’s industrial waste landfill levy rates are significantly higher than those in other jurisdictions, waste generators have strong financial incentives to transport waste to states with lower landfill costs. The </w:t>
      </w:r>
      <w:r>
        <w:rPr>
          <w:color w:val="58595B"/>
          <w:spacing w:val="-4"/>
        </w:rPr>
        <w:t xml:space="preserve">EPA </w:t>
      </w:r>
      <w:r>
        <w:rPr>
          <w:color w:val="58595B"/>
        </w:rPr>
        <w:t>reports around 2,000 approved</w:t>
      </w:r>
      <w:r>
        <w:rPr>
          <w:color w:val="58595B"/>
          <w:spacing w:val="19"/>
        </w:rPr>
        <w:t xml:space="preserve"> </w:t>
      </w:r>
      <w:r>
        <w:rPr>
          <w:color w:val="58595B"/>
        </w:rPr>
        <w:t>interstate</w:t>
      </w:r>
    </w:p>
    <w:p w14:paraId="399F0F15" w14:textId="77777777" w:rsidR="00724131" w:rsidRDefault="00823349">
      <w:pPr>
        <w:pStyle w:val="BodyText"/>
        <w:spacing w:before="1" w:line="276" w:lineRule="auto"/>
        <w:ind w:left="134" w:right="1782"/>
      </w:pPr>
      <w:r>
        <w:rPr>
          <w:color w:val="58595B"/>
        </w:rPr>
        <w:t>movements of prescribed industrial waste each year, plus an unknown number of unapproved vehicle movements.</w:t>
      </w:r>
    </w:p>
    <w:p w14:paraId="261269A1" w14:textId="77777777" w:rsidR="00724131" w:rsidRDefault="00724131">
      <w:pPr>
        <w:spacing w:line="276" w:lineRule="auto"/>
        <w:sectPr w:rsidR="00724131">
          <w:pgSz w:w="11910" w:h="16840"/>
          <w:pgMar w:top="980" w:right="0" w:bottom="280" w:left="1680" w:header="788" w:footer="0" w:gutter="0"/>
          <w:cols w:space="720"/>
        </w:sectPr>
      </w:pPr>
    </w:p>
    <w:p w14:paraId="2B6B0687" w14:textId="77777777" w:rsidR="00724131" w:rsidRDefault="00724131">
      <w:pPr>
        <w:pStyle w:val="BodyText"/>
      </w:pPr>
    </w:p>
    <w:p w14:paraId="43E635FF" w14:textId="77777777" w:rsidR="00724131" w:rsidRDefault="00724131">
      <w:pPr>
        <w:pStyle w:val="BodyText"/>
      </w:pPr>
    </w:p>
    <w:p w14:paraId="71B24004" w14:textId="77777777" w:rsidR="00724131" w:rsidRDefault="00724131">
      <w:pPr>
        <w:pStyle w:val="BodyText"/>
      </w:pPr>
    </w:p>
    <w:p w14:paraId="5E4EC520" w14:textId="77777777" w:rsidR="00724131" w:rsidRDefault="00724131">
      <w:pPr>
        <w:pStyle w:val="BodyText"/>
      </w:pPr>
    </w:p>
    <w:p w14:paraId="0EED3737" w14:textId="77777777" w:rsidR="00724131" w:rsidRDefault="00724131">
      <w:pPr>
        <w:pStyle w:val="BodyText"/>
        <w:spacing w:before="8"/>
        <w:rPr>
          <w:sz w:val="17"/>
        </w:rPr>
      </w:pPr>
    </w:p>
    <w:p w14:paraId="3D6C039C" w14:textId="77777777" w:rsidR="00724131" w:rsidRDefault="00823349">
      <w:pPr>
        <w:pStyle w:val="BodyText"/>
        <w:spacing w:before="1" w:line="280" w:lineRule="auto"/>
        <w:ind w:left="1417" w:right="228"/>
      </w:pPr>
      <w:r>
        <w:rPr>
          <w:color w:val="58595B"/>
        </w:rPr>
        <w:t>Aside from the increased risk of harm to the environment and to public health, these various avoidance activities represent significant revenue foregone to the state. They also impose substantial additional costs on the EPA and raise questions about whether PIW levies can be an ongoing source of funds for future environment protection activities.</w:t>
      </w:r>
    </w:p>
    <w:p w14:paraId="73D34E36" w14:textId="77777777" w:rsidR="00724131" w:rsidRDefault="00823349">
      <w:pPr>
        <w:pStyle w:val="BodyText"/>
        <w:spacing w:before="172" w:line="280" w:lineRule="auto"/>
        <w:ind w:left="1417" w:right="132"/>
      </w:pPr>
      <w:r>
        <w:rPr>
          <w:color w:val="58595B"/>
        </w:rPr>
        <w:t>We recommend mitigating these risks by redesigning the PIW Levy and accompanying regulatory framework for transporting, storing and disposing of hazardous wastes to:</w:t>
      </w:r>
    </w:p>
    <w:p w14:paraId="0C6C65F5" w14:textId="77777777" w:rsidR="00724131" w:rsidRDefault="00823349">
      <w:pPr>
        <w:pStyle w:val="ListParagraph"/>
        <w:numPr>
          <w:ilvl w:val="0"/>
          <w:numId w:val="1"/>
        </w:numPr>
        <w:tabs>
          <w:tab w:val="left" w:pos="1588"/>
        </w:tabs>
        <w:ind w:hanging="170"/>
        <w:rPr>
          <w:sz w:val="20"/>
        </w:rPr>
      </w:pPr>
      <w:r>
        <w:rPr>
          <w:color w:val="58595B"/>
          <w:sz w:val="20"/>
        </w:rPr>
        <w:t>curtail the growing problem of illegal dumping of hazardous waste (including</w:t>
      </w:r>
      <w:r>
        <w:rPr>
          <w:color w:val="58595B"/>
          <w:spacing w:val="-7"/>
          <w:sz w:val="20"/>
        </w:rPr>
        <w:t xml:space="preserve"> </w:t>
      </w:r>
      <w:r>
        <w:rPr>
          <w:color w:val="58595B"/>
          <w:sz w:val="20"/>
        </w:rPr>
        <w:t>asbestos)</w:t>
      </w:r>
    </w:p>
    <w:p w14:paraId="359010B1" w14:textId="77777777" w:rsidR="00724131" w:rsidRDefault="00823349">
      <w:pPr>
        <w:pStyle w:val="ListParagraph"/>
        <w:numPr>
          <w:ilvl w:val="0"/>
          <w:numId w:val="1"/>
        </w:numPr>
        <w:tabs>
          <w:tab w:val="left" w:pos="1588"/>
        </w:tabs>
        <w:spacing w:before="153"/>
        <w:ind w:hanging="170"/>
        <w:rPr>
          <w:sz w:val="20"/>
        </w:rPr>
      </w:pPr>
      <w:r>
        <w:rPr>
          <w:color w:val="58595B"/>
          <w:sz w:val="20"/>
        </w:rPr>
        <w:t>reduce mounting costs of additional compliance activity targeted to illegal</w:t>
      </w:r>
      <w:r>
        <w:rPr>
          <w:color w:val="58595B"/>
          <w:spacing w:val="15"/>
          <w:sz w:val="20"/>
        </w:rPr>
        <w:t xml:space="preserve"> </w:t>
      </w:r>
      <w:r>
        <w:rPr>
          <w:color w:val="58595B"/>
          <w:sz w:val="20"/>
        </w:rPr>
        <w:t>dumping</w:t>
      </w:r>
    </w:p>
    <w:p w14:paraId="72DD21FA" w14:textId="77777777" w:rsidR="00724131" w:rsidRDefault="00823349">
      <w:pPr>
        <w:pStyle w:val="ListParagraph"/>
        <w:numPr>
          <w:ilvl w:val="0"/>
          <w:numId w:val="1"/>
        </w:numPr>
        <w:tabs>
          <w:tab w:val="left" w:pos="1588"/>
        </w:tabs>
        <w:spacing w:before="153"/>
        <w:ind w:hanging="170"/>
        <w:rPr>
          <w:sz w:val="20"/>
        </w:rPr>
      </w:pPr>
      <w:r>
        <w:rPr>
          <w:color w:val="58595B"/>
          <w:sz w:val="20"/>
        </w:rPr>
        <w:t>prevent further avoidance-driven erosion in the PIW revenue</w:t>
      </w:r>
      <w:r>
        <w:rPr>
          <w:color w:val="58595B"/>
          <w:spacing w:val="-3"/>
          <w:sz w:val="20"/>
        </w:rPr>
        <w:t xml:space="preserve"> </w:t>
      </w:r>
      <w:r>
        <w:rPr>
          <w:color w:val="58595B"/>
          <w:sz w:val="20"/>
        </w:rPr>
        <w:t>base.</w:t>
      </w:r>
    </w:p>
    <w:p w14:paraId="286D5F32" w14:textId="77777777" w:rsidR="00724131" w:rsidRDefault="00724131">
      <w:pPr>
        <w:pStyle w:val="BodyText"/>
        <w:spacing w:before="3"/>
        <w:rPr>
          <w:sz w:val="18"/>
        </w:rPr>
      </w:pPr>
    </w:p>
    <w:p w14:paraId="06E9BFE2" w14:textId="77777777" w:rsidR="00724131" w:rsidRDefault="00823349">
      <w:pPr>
        <w:pStyle w:val="BodyText"/>
        <w:spacing w:line="280" w:lineRule="auto"/>
        <w:ind w:left="1417" w:right="132"/>
      </w:pPr>
      <w:r>
        <w:rPr>
          <w:color w:val="58595B"/>
        </w:rPr>
        <w:t>In the meantime, replacing PIW levies in the EPA’s budget with a more stable and sustainable revenue source would better align EPA funding with its regulatory mission, and reduce its reliance on an increasingly volatile and uncertain funding source. PIW levy revenues could be redirected into the Consolidated Fund, with the EPA receiving replacement funding via:</w:t>
      </w:r>
    </w:p>
    <w:p w14:paraId="5072F5DA" w14:textId="77777777" w:rsidR="00724131" w:rsidRDefault="00823349">
      <w:pPr>
        <w:pStyle w:val="ListParagraph"/>
        <w:numPr>
          <w:ilvl w:val="0"/>
          <w:numId w:val="1"/>
        </w:numPr>
        <w:tabs>
          <w:tab w:val="left" w:pos="1588"/>
        </w:tabs>
        <w:ind w:hanging="170"/>
        <w:rPr>
          <w:sz w:val="20"/>
        </w:rPr>
      </w:pPr>
      <w:r>
        <w:rPr>
          <w:color w:val="58595B"/>
          <w:sz w:val="20"/>
        </w:rPr>
        <w:t>an annual Budget</w:t>
      </w:r>
      <w:r>
        <w:rPr>
          <w:color w:val="58595B"/>
          <w:spacing w:val="1"/>
          <w:sz w:val="20"/>
        </w:rPr>
        <w:t xml:space="preserve"> </w:t>
      </w:r>
      <w:r>
        <w:rPr>
          <w:color w:val="58595B"/>
          <w:sz w:val="20"/>
        </w:rPr>
        <w:t>appropriation</w:t>
      </w:r>
    </w:p>
    <w:p w14:paraId="654E813D" w14:textId="77777777" w:rsidR="00724131" w:rsidRDefault="00823349">
      <w:pPr>
        <w:pStyle w:val="ListParagraph"/>
        <w:numPr>
          <w:ilvl w:val="0"/>
          <w:numId w:val="1"/>
        </w:numPr>
        <w:tabs>
          <w:tab w:val="left" w:pos="1588"/>
        </w:tabs>
        <w:spacing w:before="153"/>
        <w:ind w:hanging="170"/>
        <w:rPr>
          <w:sz w:val="20"/>
        </w:rPr>
      </w:pPr>
      <w:r>
        <w:rPr>
          <w:color w:val="58595B"/>
          <w:sz w:val="20"/>
        </w:rPr>
        <w:t>an increased allocation from M&amp;I Landfill Levy collections,</w:t>
      </w:r>
      <w:r>
        <w:rPr>
          <w:color w:val="58595B"/>
          <w:spacing w:val="26"/>
          <w:sz w:val="20"/>
        </w:rPr>
        <w:t xml:space="preserve"> </w:t>
      </w:r>
      <w:r>
        <w:rPr>
          <w:color w:val="58595B"/>
          <w:sz w:val="20"/>
        </w:rPr>
        <w:t>or</w:t>
      </w:r>
    </w:p>
    <w:p w14:paraId="0FC0E139" w14:textId="77777777" w:rsidR="00724131" w:rsidRDefault="00823349">
      <w:pPr>
        <w:pStyle w:val="ListParagraph"/>
        <w:numPr>
          <w:ilvl w:val="0"/>
          <w:numId w:val="1"/>
        </w:numPr>
        <w:tabs>
          <w:tab w:val="left" w:pos="1588"/>
        </w:tabs>
        <w:spacing w:before="153"/>
        <w:ind w:hanging="170"/>
        <w:rPr>
          <w:sz w:val="20"/>
        </w:rPr>
      </w:pPr>
      <w:r>
        <w:rPr>
          <w:color w:val="58595B"/>
          <w:sz w:val="20"/>
        </w:rPr>
        <w:t>broadly equivalent revenues from regulatory fees currently paid into the Consolidated</w:t>
      </w:r>
      <w:r>
        <w:rPr>
          <w:color w:val="58595B"/>
          <w:spacing w:val="-17"/>
          <w:sz w:val="20"/>
        </w:rPr>
        <w:t xml:space="preserve"> </w:t>
      </w:r>
      <w:r>
        <w:rPr>
          <w:color w:val="58595B"/>
          <w:sz w:val="20"/>
        </w:rPr>
        <w:t>Fund.</w:t>
      </w:r>
    </w:p>
    <w:p w14:paraId="758CF5EF" w14:textId="77777777" w:rsidR="00724131" w:rsidRDefault="00724131">
      <w:pPr>
        <w:pStyle w:val="BodyText"/>
        <w:spacing w:before="3"/>
        <w:rPr>
          <w:sz w:val="18"/>
        </w:rPr>
      </w:pPr>
    </w:p>
    <w:p w14:paraId="3BC3D4CD" w14:textId="77777777" w:rsidR="00724131" w:rsidRDefault="00823349">
      <w:pPr>
        <w:pStyle w:val="BodyText"/>
        <w:spacing w:line="280" w:lineRule="auto"/>
        <w:ind w:left="1417" w:right="228"/>
      </w:pPr>
      <w:r>
        <w:rPr>
          <w:color w:val="58595B"/>
        </w:rPr>
        <w:t>Further, we consider it appropriate that the EPA should either be relieved of defending the revenue base against avoidance and evasion, or be funded explicitly for the additional litigation and enforcement costs.</w:t>
      </w:r>
    </w:p>
    <w:p w14:paraId="62C7836E" w14:textId="77777777" w:rsidR="00724131" w:rsidRDefault="00724131">
      <w:pPr>
        <w:pStyle w:val="BodyText"/>
        <w:spacing w:before="4"/>
        <w:rPr>
          <w:sz w:val="22"/>
        </w:rPr>
      </w:pPr>
    </w:p>
    <w:p w14:paraId="1B09ED54" w14:textId="77777777" w:rsidR="00724131" w:rsidRDefault="00823349">
      <w:pPr>
        <w:pStyle w:val="ListParagraph"/>
        <w:numPr>
          <w:ilvl w:val="2"/>
          <w:numId w:val="10"/>
        </w:numPr>
        <w:tabs>
          <w:tab w:val="left" w:pos="2063"/>
        </w:tabs>
        <w:spacing w:before="0"/>
        <w:ind w:left="2062" w:hanging="645"/>
        <w:jc w:val="left"/>
        <w:rPr>
          <w:sz w:val="20"/>
        </w:rPr>
      </w:pPr>
      <w:r>
        <w:rPr>
          <w:color w:val="0095A7"/>
          <w:sz w:val="20"/>
        </w:rPr>
        <w:t>Licence and other regulatory</w:t>
      </w:r>
      <w:r>
        <w:rPr>
          <w:color w:val="0095A7"/>
          <w:spacing w:val="10"/>
          <w:sz w:val="20"/>
        </w:rPr>
        <w:t xml:space="preserve"> </w:t>
      </w:r>
      <w:r>
        <w:rPr>
          <w:color w:val="0095A7"/>
          <w:sz w:val="20"/>
        </w:rPr>
        <w:t>fees</w:t>
      </w:r>
    </w:p>
    <w:p w14:paraId="66E2653D" w14:textId="77777777" w:rsidR="00724131" w:rsidRDefault="00823349">
      <w:pPr>
        <w:pStyle w:val="BodyText"/>
        <w:spacing w:before="153" w:line="280" w:lineRule="auto"/>
        <w:ind w:left="1417" w:right="368"/>
      </w:pPr>
      <w:r>
        <w:rPr>
          <w:color w:val="58595B"/>
        </w:rPr>
        <w:t>We propose the EPA retain licence fees and waste permit charges it levies to recover the costs of administering its licensing and permit regimes. Currently, these revenues are paid into the Consolidated Fund.</w:t>
      </w:r>
    </w:p>
    <w:p w14:paraId="1652B812" w14:textId="77777777" w:rsidR="00724131" w:rsidRDefault="00823349">
      <w:pPr>
        <w:pStyle w:val="BodyText"/>
        <w:spacing w:before="172" w:line="280" w:lineRule="auto"/>
        <w:ind w:left="1417" w:right="220"/>
      </w:pPr>
      <w:r>
        <w:rPr>
          <w:color w:val="58595B"/>
        </w:rPr>
        <w:t xml:space="preserve">We consider it appropriate for the </w:t>
      </w:r>
      <w:r>
        <w:rPr>
          <w:color w:val="58595B"/>
          <w:spacing w:val="-7"/>
        </w:rPr>
        <w:t xml:space="preserve">EPA’s </w:t>
      </w:r>
      <w:r>
        <w:rPr>
          <w:color w:val="58595B"/>
        </w:rPr>
        <w:t xml:space="preserve">funding arrangements to reflect a greater cost recovery component. Provided costs are reasonable and efficient, greater reliance on cost recovery fees and charges better aligns the </w:t>
      </w:r>
      <w:r>
        <w:rPr>
          <w:color w:val="58595B"/>
          <w:spacing w:val="-7"/>
        </w:rPr>
        <w:t xml:space="preserve">EPA’s </w:t>
      </w:r>
      <w:r>
        <w:rPr>
          <w:color w:val="58595B"/>
        </w:rPr>
        <w:t xml:space="preserve">funding with its core functions and improves accountability to regulated entities for regulatory services it provides. Licence fees and other user charges account for significant proportions of the operating revenues of environmental regulators in other jurisdictions – 32 per cent of the UK Environment Agency’s operating revenues, for example, and </w:t>
      </w:r>
      <w:r>
        <w:rPr>
          <w:color w:val="58595B"/>
          <w:spacing w:val="-7"/>
        </w:rPr>
        <w:t xml:space="preserve">41 </w:t>
      </w:r>
      <w:r>
        <w:rPr>
          <w:color w:val="58595B"/>
        </w:rPr>
        <w:t>per cent of the operating revenues of South Australia’s</w:t>
      </w:r>
      <w:r>
        <w:rPr>
          <w:color w:val="58595B"/>
          <w:spacing w:val="-13"/>
        </w:rPr>
        <w:t xml:space="preserve"> </w:t>
      </w:r>
      <w:r>
        <w:rPr>
          <w:color w:val="58595B"/>
        </w:rPr>
        <w:t>EPA.</w:t>
      </w:r>
    </w:p>
    <w:p w14:paraId="7E6C3505" w14:textId="77777777" w:rsidR="00724131" w:rsidRDefault="00823349">
      <w:pPr>
        <w:pStyle w:val="BodyText"/>
        <w:spacing w:before="172" w:line="280" w:lineRule="auto"/>
        <w:ind w:left="1417" w:right="173"/>
      </w:pPr>
      <w:r>
        <w:rPr>
          <w:color w:val="58595B"/>
        </w:rPr>
        <w:t xml:space="preserve">Over the past two years, </w:t>
      </w:r>
      <w:r>
        <w:rPr>
          <w:color w:val="58595B"/>
          <w:spacing w:val="-4"/>
        </w:rPr>
        <w:t xml:space="preserve">EPA </w:t>
      </w:r>
      <w:r>
        <w:rPr>
          <w:color w:val="58595B"/>
        </w:rPr>
        <w:t xml:space="preserve">regulatory fees (including fees for licences, waste transport permits and works approvals) netted </w:t>
      </w:r>
      <w:r>
        <w:rPr>
          <w:color w:val="58595B"/>
          <w:spacing w:val="-5"/>
        </w:rPr>
        <w:t xml:space="preserve">$15 </w:t>
      </w:r>
      <w:r>
        <w:rPr>
          <w:color w:val="58595B"/>
        </w:rPr>
        <w:t xml:space="preserve">million to </w:t>
      </w:r>
      <w:r>
        <w:rPr>
          <w:color w:val="58595B"/>
          <w:spacing w:val="-5"/>
        </w:rPr>
        <w:t xml:space="preserve">$16 </w:t>
      </w:r>
      <w:r>
        <w:rPr>
          <w:color w:val="58595B"/>
        </w:rPr>
        <w:t xml:space="preserve">million each </w:t>
      </w:r>
      <w:r>
        <w:rPr>
          <w:color w:val="58595B"/>
          <w:spacing w:val="-4"/>
        </w:rPr>
        <w:t xml:space="preserve">year, </w:t>
      </w:r>
      <w:r>
        <w:rPr>
          <w:color w:val="58595B"/>
        </w:rPr>
        <w:t xml:space="preserve">representing 20–24 per cent of the agency’s overall operating budget. Figure </w:t>
      </w:r>
      <w:r>
        <w:rPr>
          <w:color w:val="58595B"/>
          <w:spacing w:val="-4"/>
        </w:rPr>
        <w:t xml:space="preserve">21.5 </w:t>
      </w:r>
      <w:r>
        <w:rPr>
          <w:color w:val="58595B"/>
        </w:rPr>
        <w:t xml:space="preserve">indicates the revenue that would be available to the </w:t>
      </w:r>
      <w:r>
        <w:rPr>
          <w:color w:val="58595B"/>
          <w:spacing w:val="-4"/>
        </w:rPr>
        <w:t xml:space="preserve">EPA </w:t>
      </w:r>
      <w:r>
        <w:rPr>
          <w:color w:val="58595B"/>
        </w:rPr>
        <w:t>if it retained the regulatory fees that it currently administers on behalf of the</w:t>
      </w:r>
      <w:r>
        <w:rPr>
          <w:color w:val="58595B"/>
          <w:spacing w:val="8"/>
        </w:rPr>
        <w:t xml:space="preserve"> </w:t>
      </w:r>
      <w:r>
        <w:rPr>
          <w:color w:val="58595B"/>
        </w:rPr>
        <w:t>state.</w:t>
      </w:r>
    </w:p>
    <w:p w14:paraId="183B00A6" w14:textId="77777777" w:rsidR="00724131" w:rsidRDefault="00724131">
      <w:pPr>
        <w:spacing w:line="280" w:lineRule="auto"/>
        <w:sectPr w:rsidR="00724131">
          <w:pgSz w:w="11910" w:h="16840"/>
          <w:pgMar w:top="980" w:right="1680" w:bottom="280" w:left="0" w:header="788" w:footer="0" w:gutter="0"/>
          <w:cols w:space="720"/>
        </w:sectPr>
      </w:pPr>
    </w:p>
    <w:p w14:paraId="2A948F49" w14:textId="77777777" w:rsidR="00724131" w:rsidRDefault="00724131">
      <w:pPr>
        <w:pStyle w:val="BodyText"/>
      </w:pPr>
    </w:p>
    <w:p w14:paraId="2049B917" w14:textId="77777777" w:rsidR="00724131" w:rsidRDefault="00724131">
      <w:pPr>
        <w:pStyle w:val="BodyText"/>
      </w:pPr>
    </w:p>
    <w:p w14:paraId="474E6B77" w14:textId="77777777" w:rsidR="00724131" w:rsidRDefault="00724131">
      <w:pPr>
        <w:pStyle w:val="BodyText"/>
      </w:pPr>
    </w:p>
    <w:p w14:paraId="267D9258" w14:textId="77777777" w:rsidR="00724131" w:rsidRDefault="00724131">
      <w:pPr>
        <w:pStyle w:val="BodyText"/>
      </w:pPr>
    </w:p>
    <w:p w14:paraId="3A63F2D7" w14:textId="77777777" w:rsidR="00724131" w:rsidRDefault="00724131">
      <w:pPr>
        <w:pStyle w:val="BodyText"/>
        <w:spacing w:before="8"/>
        <w:rPr>
          <w:sz w:val="17"/>
        </w:rPr>
      </w:pPr>
    </w:p>
    <w:p w14:paraId="2767F6C7" w14:textId="77777777" w:rsidR="00724131" w:rsidRDefault="00823349">
      <w:pPr>
        <w:spacing w:before="1"/>
        <w:ind w:left="134" w:right="228"/>
        <w:rPr>
          <w:sz w:val="20"/>
        </w:rPr>
      </w:pPr>
      <w:r>
        <w:rPr>
          <w:b/>
          <w:color w:val="0095A7"/>
          <w:sz w:val="20"/>
        </w:rPr>
        <w:t xml:space="preserve">FIGURE 21.5:  </w:t>
      </w:r>
      <w:r>
        <w:rPr>
          <w:color w:val="0095A7"/>
          <w:sz w:val="20"/>
        </w:rPr>
        <w:t>EPA REGULATORY FEES</w:t>
      </w:r>
    </w:p>
    <w:p w14:paraId="5A72ED82" w14:textId="77777777" w:rsidR="00724131" w:rsidRDefault="00823349">
      <w:pPr>
        <w:pStyle w:val="BodyText"/>
        <w:rPr>
          <w:sz w:val="21"/>
        </w:rPr>
      </w:pPr>
      <w:r>
        <w:rPr>
          <w:noProof/>
        </w:rPr>
        <w:drawing>
          <wp:anchor distT="0" distB="0" distL="0" distR="0" simplePos="0" relativeHeight="1648" behindDoc="0" locked="0" layoutInCell="1" allowOverlap="1" wp14:anchorId="5C4B400E" wp14:editId="4DE53685">
            <wp:simplePos x="0" y="0"/>
            <wp:positionH relativeFrom="page">
              <wp:posOffset>1151991</wp:posOffset>
            </wp:positionH>
            <wp:positionV relativeFrom="paragraph">
              <wp:posOffset>178482</wp:posOffset>
            </wp:positionV>
            <wp:extent cx="5526011" cy="3511296"/>
            <wp:effectExtent l="0" t="0" r="0" b="0"/>
            <wp:wrapTopAndBottom/>
            <wp:docPr id="25"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5.jpeg"/>
                    <pic:cNvPicPr/>
                  </pic:nvPicPr>
                  <pic:blipFill>
                    <a:blip r:embed="rId60" cstate="print"/>
                    <a:stretch>
                      <a:fillRect/>
                    </a:stretch>
                  </pic:blipFill>
                  <pic:spPr>
                    <a:xfrm>
                      <a:off x="0" y="0"/>
                      <a:ext cx="5526011" cy="3511296"/>
                    </a:xfrm>
                    <a:prstGeom prst="rect">
                      <a:avLst/>
                    </a:prstGeom>
                  </pic:spPr>
                </pic:pic>
              </a:graphicData>
            </a:graphic>
          </wp:anchor>
        </w:drawing>
      </w:r>
    </w:p>
    <w:p w14:paraId="060E7D6E" w14:textId="77777777" w:rsidR="00724131" w:rsidRDefault="00724131">
      <w:pPr>
        <w:pStyle w:val="BodyText"/>
        <w:spacing w:before="10"/>
        <w:rPr>
          <w:sz w:val="17"/>
        </w:rPr>
      </w:pPr>
    </w:p>
    <w:p w14:paraId="74EE9955" w14:textId="77777777" w:rsidR="00724131" w:rsidRDefault="00823349">
      <w:pPr>
        <w:pStyle w:val="BodyText"/>
        <w:spacing w:line="280" w:lineRule="auto"/>
        <w:ind w:left="134" w:right="1749"/>
      </w:pPr>
      <w:r>
        <w:rPr>
          <w:color w:val="58595B"/>
        </w:rPr>
        <w:t>Additional regulatory fee revenue over and above these amounts would be generated if the EPA introduces a second regulatory tier of registered businesses, as we recommend in chapter 12. We consider it appropriate for the EPA to retain these additional funds, to cover its</w:t>
      </w:r>
    </w:p>
    <w:p w14:paraId="007D50D0" w14:textId="77777777" w:rsidR="00724131" w:rsidRDefault="00823349">
      <w:pPr>
        <w:pStyle w:val="BodyText"/>
        <w:spacing w:before="2" w:line="280" w:lineRule="auto"/>
        <w:ind w:left="134" w:right="1468"/>
      </w:pPr>
      <w:r>
        <w:rPr>
          <w:color w:val="58595B"/>
        </w:rPr>
        <w:t>additional costs. We recommend the EPA also retain charges for other services that it carries out at the behest of industry. This approach is consistent with arrangements that apply to most other regulatory bodies that provide services on a cost recovery basis. Further, there is no in principle reason for paying these charges directly into the Consolidated Fund.</w:t>
      </w:r>
    </w:p>
    <w:p w14:paraId="6291E3A6" w14:textId="77777777" w:rsidR="00724131" w:rsidRDefault="00823349">
      <w:pPr>
        <w:pStyle w:val="BodyText"/>
        <w:spacing w:before="172" w:line="280" w:lineRule="auto"/>
        <w:ind w:left="134" w:right="1441"/>
      </w:pPr>
      <w:r>
        <w:rPr>
          <w:color w:val="58595B"/>
        </w:rPr>
        <w:t xml:space="preserve">Including cost recovery revenues in the </w:t>
      </w:r>
      <w:r>
        <w:rPr>
          <w:color w:val="58595B"/>
          <w:spacing w:val="-7"/>
        </w:rPr>
        <w:t xml:space="preserve">EPA’s </w:t>
      </w:r>
      <w:r>
        <w:rPr>
          <w:color w:val="58595B"/>
        </w:rPr>
        <w:t xml:space="preserve">overall funding model would contribute to revenue sufficiency and independence and better align with its core functions than the current funding  mix. Efficient and transparent cost recovery fees give the </w:t>
      </w:r>
      <w:r>
        <w:rPr>
          <w:color w:val="58595B"/>
          <w:spacing w:val="-4"/>
        </w:rPr>
        <w:t xml:space="preserve">EPA </w:t>
      </w:r>
      <w:r>
        <w:rPr>
          <w:color w:val="58595B"/>
        </w:rPr>
        <w:t>an incentive to recover the full cost of the services it provides. They also send a better price signal to its</w:t>
      </w:r>
      <w:r>
        <w:rPr>
          <w:color w:val="58595B"/>
          <w:spacing w:val="14"/>
        </w:rPr>
        <w:t xml:space="preserve"> </w:t>
      </w:r>
      <w:r>
        <w:rPr>
          <w:color w:val="58595B"/>
        </w:rPr>
        <w:t>clients.</w:t>
      </w:r>
    </w:p>
    <w:p w14:paraId="11D737F7" w14:textId="77777777" w:rsidR="00724131" w:rsidRDefault="00724131">
      <w:pPr>
        <w:pStyle w:val="BodyText"/>
        <w:spacing w:before="10"/>
        <w:rPr>
          <w:sz w:val="19"/>
        </w:rPr>
      </w:pPr>
    </w:p>
    <w:p w14:paraId="088AC9D0" w14:textId="77777777" w:rsidR="00724131" w:rsidRDefault="00823349">
      <w:pPr>
        <w:ind w:left="134" w:right="228"/>
        <w:rPr>
          <w:i/>
          <w:sz w:val="20"/>
        </w:rPr>
      </w:pPr>
      <w:r>
        <w:rPr>
          <w:i/>
          <w:color w:val="6D6E71"/>
          <w:sz w:val="20"/>
        </w:rPr>
        <w:t>Adequacy of cost recovery fees</w:t>
      </w:r>
    </w:p>
    <w:p w14:paraId="4F6CE430" w14:textId="77777777" w:rsidR="00724131" w:rsidRDefault="00823349">
      <w:pPr>
        <w:pStyle w:val="BodyText"/>
        <w:spacing w:before="125" w:line="280" w:lineRule="auto"/>
        <w:ind w:left="134" w:right="1793"/>
      </w:pPr>
      <w:r>
        <w:rPr>
          <w:color w:val="58595B"/>
        </w:rPr>
        <w:t>We propose better aligning the EPA’s licence fees and charges for works approvals and other regulatory services with the costs it incurs.</w:t>
      </w:r>
    </w:p>
    <w:p w14:paraId="1F7AE50C" w14:textId="77777777" w:rsidR="00724131" w:rsidRDefault="00823349">
      <w:pPr>
        <w:pStyle w:val="BodyText"/>
        <w:spacing w:before="172" w:line="280" w:lineRule="auto"/>
        <w:ind w:left="134" w:right="1468"/>
      </w:pPr>
      <w:r>
        <w:rPr>
          <w:color w:val="58595B"/>
        </w:rPr>
        <w:t>Following a review, the Environment Protection (Fees) Regulations 2012 introduced revised fees for the majority of EPA administered licences and approvals, including:</w:t>
      </w:r>
    </w:p>
    <w:p w14:paraId="48B1CE82" w14:textId="77777777" w:rsidR="00724131" w:rsidRDefault="00823349">
      <w:pPr>
        <w:pStyle w:val="ListParagraph"/>
        <w:numPr>
          <w:ilvl w:val="0"/>
          <w:numId w:val="31"/>
        </w:numPr>
        <w:tabs>
          <w:tab w:val="left" w:pos="305"/>
        </w:tabs>
        <w:ind w:hanging="170"/>
        <w:rPr>
          <w:sz w:val="20"/>
        </w:rPr>
      </w:pPr>
      <w:r>
        <w:rPr>
          <w:color w:val="58595B"/>
          <w:sz w:val="20"/>
        </w:rPr>
        <w:t>works approvals</w:t>
      </w:r>
      <w:r>
        <w:rPr>
          <w:color w:val="58595B"/>
          <w:spacing w:val="-5"/>
          <w:sz w:val="20"/>
        </w:rPr>
        <w:t xml:space="preserve"> </w:t>
      </w:r>
      <w:r>
        <w:rPr>
          <w:color w:val="58595B"/>
          <w:sz w:val="20"/>
        </w:rPr>
        <w:t>fees</w:t>
      </w:r>
    </w:p>
    <w:p w14:paraId="684C2033" w14:textId="77777777" w:rsidR="00724131" w:rsidRDefault="00823349">
      <w:pPr>
        <w:pStyle w:val="ListParagraph"/>
        <w:numPr>
          <w:ilvl w:val="0"/>
          <w:numId w:val="31"/>
        </w:numPr>
        <w:tabs>
          <w:tab w:val="left" w:pos="305"/>
        </w:tabs>
        <w:spacing w:before="153"/>
        <w:ind w:hanging="170"/>
        <w:rPr>
          <w:sz w:val="20"/>
        </w:rPr>
      </w:pPr>
      <w:r>
        <w:rPr>
          <w:color w:val="58595B"/>
          <w:sz w:val="20"/>
        </w:rPr>
        <w:t>licence</w:t>
      </w:r>
      <w:r>
        <w:rPr>
          <w:color w:val="58595B"/>
          <w:spacing w:val="4"/>
          <w:sz w:val="20"/>
        </w:rPr>
        <w:t xml:space="preserve"> </w:t>
      </w:r>
      <w:r>
        <w:rPr>
          <w:color w:val="58595B"/>
          <w:sz w:val="20"/>
        </w:rPr>
        <w:t>fees</w:t>
      </w:r>
    </w:p>
    <w:p w14:paraId="4B7C2F99" w14:textId="77777777" w:rsidR="00724131" w:rsidRDefault="00823349">
      <w:pPr>
        <w:pStyle w:val="ListParagraph"/>
        <w:numPr>
          <w:ilvl w:val="0"/>
          <w:numId w:val="31"/>
        </w:numPr>
        <w:tabs>
          <w:tab w:val="left" w:pos="305"/>
        </w:tabs>
        <w:spacing w:before="153"/>
        <w:ind w:hanging="170"/>
        <w:rPr>
          <w:sz w:val="20"/>
        </w:rPr>
      </w:pPr>
      <w:r>
        <w:rPr>
          <w:color w:val="58595B"/>
          <w:sz w:val="20"/>
        </w:rPr>
        <w:t>waste transport permit</w:t>
      </w:r>
      <w:r>
        <w:rPr>
          <w:color w:val="58595B"/>
          <w:spacing w:val="9"/>
          <w:sz w:val="20"/>
        </w:rPr>
        <w:t xml:space="preserve"> </w:t>
      </w:r>
      <w:r>
        <w:rPr>
          <w:color w:val="58595B"/>
          <w:sz w:val="20"/>
        </w:rPr>
        <w:t>fees</w:t>
      </w:r>
    </w:p>
    <w:p w14:paraId="763AF013" w14:textId="77777777" w:rsidR="00724131" w:rsidRDefault="00823349">
      <w:pPr>
        <w:pStyle w:val="ListParagraph"/>
        <w:numPr>
          <w:ilvl w:val="0"/>
          <w:numId w:val="31"/>
        </w:numPr>
        <w:tabs>
          <w:tab w:val="left" w:pos="305"/>
        </w:tabs>
        <w:spacing w:before="153"/>
        <w:ind w:hanging="170"/>
        <w:rPr>
          <w:sz w:val="20"/>
        </w:rPr>
      </w:pPr>
      <w:r>
        <w:rPr>
          <w:color w:val="58595B"/>
          <w:sz w:val="20"/>
        </w:rPr>
        <w:t>environmental audit</w:t>
      </w:r>
      <w:r>
        <w:rPr>
          <w:color w:val="58595B"/>
          <w:spacing w:val="-7"/>
          <w:sz w:val="20"/>
        </w:rPr>
        <w:t xml:space="preserve"> </w:t>
      </w:r>
      <w:r>
        <w:rPr>
          <w:color w:val="58595B"/>
          <w:sz w:val="20"/>
        </w:rPr>
        <w:t>fees.</w:t>
      </w:r>
    </w:p>
    <w:p w14:paraId="4E18ED88" w14:textId="77777777" w:rsidR="00724131" w:rsidRDefault="00724131">
      <w:pPr>
        <w:rPr>
          <w:sz w:val="20"/>
        </w:rPr>
        <w:sectPr w:rsidR="00724131">
          <w:pgSz w:w="11910" w:h="16840"/>
          <w:pgMar w:top="980" w:right="0" w:bottom="280" w:left="1680" w:header="788" w:footer="0" w:gutter="0"/>
          <w:cols w:space="720"/>
        </w:sectPr>
      </w:pPr>
    </w:p>
    <w:p w14:paraId="2D5D5226" w14:textId="77777777" w:rsidR="00724131" w:rsidRDefault="00724131">
      <w:pPr>
        <w:pStyle w:val="BodyText"/>
      </w:pPr>
    </w:p>
    <w:p w14:paraId="70254A2D" w14:textId="77777777" w:rsidR="00724131" w:rsidRDefault="00724131">
      <w:pPr>
        <w:pStyle w:val="BodyText"/>
      </w:pPr>
    </w:p>
    <w:p w14:paraId="619BA066" w14:textId="77777777" w:rsidR="00724131" w:rsidRDefault="00724131">
      <w:pPr>
        <w:pStyle w:val="BodyText"/>
      </w:pPr>
    </w:p>
    <w:p w14:paraId="2A65533B" w14:textId="77777777" w:rsidR="00724131" w:rsidRDefault="00724131">
      <w:pPr>
        <w:pStyle w:val="BodyText"/>
      </w:pPr>
    </w:p>
    <w:p w14:paraId="0C36C0AC" w14:textId="77777777" w:rsidR="00724131" w:rsidRDefault="00724131">
      <w:pPr>
        <w:pStyle w:val="BodyText"/>
        <w:spacing w:before="8"/>
        <w:rPr>
          <w:sz w:val="17"/>
        </w:rPr>
      </w:pPr>
    </w:p>
    <w:p w14:paraId="2B8A4FD7" w14:textId="77777777" w:rsidR="00724131" w:rsidRDefault="00823349">
      <w:pPr>
        <w:pStyle w:val="BodyText"/>
        <w:spacing w:before="1" w:line="280" w:lineRule="auto"/>
        <w:ind w:left="1417" w:right="228"/>
      </w:pPr>
      <w:r>
        <w:rPr>
          <w:color w:val="58595B"/>
        </w:rPr>
        <w:t>These revisions better reflected the EPA’s efforts in regulating each type of licensed activity, with base fees to incorporate risk as a factor in setting the fees. Other changes included:</w:t>
      </w:r>
    </w:p>
    <w:p w14:paraId="7425BE46" w14:textId="77777777" w:rsidR="00724131" w:rsidRDefault="00823349">
      <w:pPr>
        <w:pStyle w:val="ListParagraph"/>
        <w:numPr>
          <w:ilvl w:val="0"/>
          <w:numId w:val="9"/>
        </w:numPr>
        <w:tabs>
          <w:tab w:val="left" w:pos="1588"/>
        </w:tabs>
        <w:spacing w:line="280" w:lineRule="auto"/>
        <w:ind w:right="261" w:hanging="170"/>
        <w:rPr>
          <w:sz w:val="20"/>
        </w:rPr>
      </w:pPr>
      <w:r>
        <w:rPr>
          <w:color w:val="58595B"/>
          <w:sz w:val="20"/>
        </w:rPr>
        <w:t>extending fees for environmental audits to section 53V audits that were not previously charged a</w:t>
      </w:r>
      <w:r>
        <w:rPr>
          <w:color w:val="58595B"/>
          <w:spacing w:val="-1"/>
          <w:sz w:val="20"/>
        </w:rPr>
        <w:t xml:space="preserve"> </w:t>
      </w:r>
      <w:r>
        <w:rPr>
          <w:color w:val="58595B"/>
          <w:sz w:val="20"/>
        </w:rPr>
        <w:t>fee</w:t>
      </w:r>
    </w:p>
    <w:p w14:paraId="67017518" w14:textId="77777777" w:rsidR="00724131" w:rsidRDefault="00823349">
      <w:pPr>
        <w:pStyle w:val="ListParagraph"/>
        <w:numPr>
          <w:ilvl w:val="0"/>
          <w:numId w:val="9"/>
        </w:numPr>
        <w:tabs>
          <w:tab w:val="left" w:pos="1588"/>
        </w:tabs>
        <w:ind w:hanging="170"/>
        <w:rPr>
          <w:sz w:val="20"/>
        </w:rPr>
      </w:pPr>
      <w:r>
        <w:rPr>
          <w:color w:val="58595B"/>
          <w:sz w:val="20"/>
        </w:rPr>
        <w:t>simplifying the system of charging for works</w:t>
      </w:r>
      <w:r>
        <w:rPr>
          <w:color w:val="58595B"/>
          <w:spacing w:val="-3"/>
          <w:sz w:val="20"/>
        </w:rPr>
        <w:t xml:space="preserve"> </w:t>
      </w:r>
      <w:r>
        <w:rPr>
          <w:color w:val="58595B"/>
          <w:sz w:val="20"/>
        </w:rPr>
        <w:t>approvals</w:t>
      </w:r>
    </w:p>
    <w:p w14:paraId="3DF608B0" w14:textId="77777777" w:rsidR="00724131" w:rsidRDefault="00823349">
      <w:pPr>
        <w:pStyle w:val="ListParagraph"/>
        <w:numPr>
          <w:ilvl w:val="0"/>
          <w:numId w:val="9"/>
        </w:numPr>
        <w:tabs>
          <w:tab w:val="left" w:pos="1588"/>
        </w:tabs>
        <w:spacing w:before="153" w:line="280" w:lineRule="auto"/>
        <w:ind w:right="136" w:hanging="170"/>
        <w:rPr>
          <w:sz w:val="20"/>
        </w:rPr>
      </w:pPr>
      <w:r>
        <w:rPr>
          <w:color w:val="58595B"/>
          <w:sz w:val="20"/>
        </w:rPr>
        <w:t>simplifying categories of waste permit transport fees and incorporating a risk factor into the fees (with these fees falling around 38 per</w:t>
      </w:r>
      <w:r>
        <w:rPr>
          <w:color w:val="58595B"/>
          <w:spacing w:val="-7"/>
          <w:sz w:val="20"/>
        </w:rPr>
        <w:t xml:space="preserve"> </w:t>
      </w:r>
      <w:r>
        <w:rPr>
          <w:color w:val="58595B"/>
          <w:sz w:val="20"/>
        </w:rPr>
        <w:t>cent).</w:t>
      </w:r>
    </w:p>
    <w:p w14:paraId="22B82227" w14:textId="77777777" w:rsidR="00724131" w:rsidRDefault="00823349">
      <w:pPr>
        <w:pStyle w:val="BodyText"/>
        <w:spacing w:before="172" w:line="280" w:lineRule="auto"/>
        <w:ind w:left="1417" w:right="182"/>
      </w:pPr>
      <w:r>
        <w:rPr>
          <w:color w:val="58595B"/>
          <w:spacing w:val="-3"/>
        </w:rPr>
        <w:t xml:space="preserve">However, </w:t>
      </w:r>
      <w:r>
        <w:rPr>
          <w:color w:val="58595B"/>
        </w:rPr>
        <w:t xml:space="preserve">the recent review by </w:t>
      </w:r>
      <w:r>
        <w:rPr>
          <w:color w:val="58595B"/>
          <w:spacing w:val="2"/>
        </w:rPr>
        <w:t xml:space="preserve">PwC </w:t>
      </w:r>
      <w:r>
        <w:rPr>
          <w:color w:val="58595B"/>
        </w:rPr>
        <w:t>Australia found disparities remain between rates of cost recovery and estimated actual output costs for some core regulatory activities.</w:t>
      </w:r>
      <w:r>
        <w:rPr>
          <w:color w:val="58595B"/>
          <w:position w:val="7"/>
          <w:sz w:val="11"/>
        </w:rPr>
        <w:t xml:space="preserve">21 </w:t>
      </w:r>
      <w:r>
        <w:rPr>
          <w:color w:val="58595B"/>
        </w:rPr>
        <w:t>The review found evidence of significant under recovery of some costs – with actual costs incurred to process  works approvals estimated to be up to four times greater than the fee revenue collected against those outputs. Similarly, once all relevant related activities are included, the cost of administering licences may exceed the value of licence fees</w:t>
      </w:r>
      <w:r>
        <w:rPr>
          <w:color w:val="58595B"/>
          <w:spacing w:val="2"/>
        </w:rPr>
        <w:t xml:space="preserve"> </w:t>
      </w:r>
      <w:r>
        <w:rPr>
          <w:color w:val="58595B"/>
        </w:rPr>
        <w:t>collected.</w:t>
      </w:r>
    </w:p>
    <w:p w14:paraId="0D030052" w14:textId="77777777" w:rsidR="00724131" w:rsidRDefault="00823349">
      <w:pPr>
        <w:pStyle w:val="BodyText"/>
        <w:spacing w:before="172" w:line="280" w:lineRule="auto"/>
        <w:ind w:left="1417" w:right="132"/>
      </w:pPr>
      <w:r>
        <w:rPr>
          <w:color w:val="58595B"/>
        </w:rPr>
        <w:t>Further work is necessary to refine these cost estimates, but we consider there is scope for better recovering costs from works approval and licensing activities.</w:t>
      </w:r>
    </w:p>
    <w:p w14:paraId="47300E93" w14:textId="77777777" w:rsidR="00724131" w:rsidRDefault="00724131">
      <w:pPr>
        <w:pStyle w:val="BodyText"/>
        <w:spacing w:before="4"/>
        <w:rPr>
          <w:sz w:val="22"/>
        </w:rPr>
      </w:pPr>
    </w:p>
    <w:p w14:paraId="19ABED81" w14:textId="77777777" w:rsidR="00724131" w:rsidRDefault="00823349">
      <w:pPr>
        <w:pStyle w:val="ListParagraph"/>
        <w:numPr>
          <w:ilvl w:val="2"/>
          <w:numId w:val="10"/>
        </w:numPr>
        <w:tabs>
          <w:tab w:val="left" w:pos="2062"/>
        </w:tabs>
        <w:spacing w:before="0"/>
        <w:ind w:left="2061" w:hanging="644"/>
        <w:jc w:val="left"/>
        <w:rPr>
          <w:sz w:val="20"/>
        </w:rPr>
      </w:pPr>
      <w:r>
        <w:rPr>
          <w:color w:val="0095A7"/>
          <w:sz w:val="20"/>
        </w:rPr>
        <w:t>Fines and</w:t>
      </w:r>
      <w:r>
        <w:rPr>
          <w:color w:val="0095A7"/>
          <w:spacing w:val="2"/>
          <w:sz w:val="20"/>
        </w:rPr>
        <w:t xml:space="preserve"> </w:t>
      </w:r>
      <w:r>
        <w:rPr>
          <w:color w:val="0095A7"/>
          <w:sz w:val="20"/>
        </w:rPr>
        <w:t>penalties</w:t>
      </w:r>
    </w:p>
    <w:p w14:paraId="73C32801" w14:textId="77777777" w:rsidR="00724131" w:rsidRDefault="00823349">
      <w:pPr>
        <w:pStyle w:val="BodyText"/>
        <w:spacing w:before="153" w:line="280" w:lineRule="auto"/>
        <w:ind w:left="1417" w:right="304"/>
      </w:pPr>
      <w:r>
        <w:rPr>
          <w:color w:val="58595B"/>
        </w:rPr>
        <w:t xml:space="preserve">We propose the </w:t>
      </w:r>
      <w:r>
        <w:rPr>
          <w:color w:val="58595B"/>
          <w:spacing w:val="-4"/>
        </w:rPr>
        <w:t xml:space="preserve">EPA </w:t>
      </w:r>
      <w:r>
        <w:rPr>
          <w:color w:val="58595B"/>
        </w:rPr>
        <w:t xml:space="preserve">no longer retains revenues from litter fines and penalties for environmental offences. Retaining these revenues is a clear conflict of interest and aligns poorly with the  </w:t>
      </w:r>
      <w:r>
        <w:rPr>
          <w:color w:val="58595B"/>
          <w:spacing w:val="-7"/>
        </w:rPr>
        <w:t xml:space="preserve">EPA’s </w:t>
      </w:r>
      <w:r>
        <w:rPr>
          <w:color w:val="58595B"/>
        </w:rPr>
        <w:t>mission. The availability of these receipts may distort the regulator’s incentives and encourage it to dedicate a disproportionate share of its limited resources to a relatively minor environmental</w:t>
      </w:r>
      <w:r>
        <w:rPr>
          <w:color w:val="58595B"/>
          <w:spacing w:val="-2"/>
        </w:rPr>
        <w:t xml:space="preserve"> </w:t>
      </w:r>
      <w:r>
        <w:rPr>
          <w:color w:val="58595B"/>
        </w:rPr>
        <w:t>hazard.</w:t>
      </w:r>
    </w:p>
    <w:p w14:paraId="20E2ACC5" w14:textId="77777777" w:rsidR="00724131" w:rsidRDefault="00724131">
      <w:pPr>
        <w:pStyle w:val="BodyText"/>
        <w:spacing w:before="4"/>
        <w:rPr>
          <w:sz w:val="22"/>
        </w:rPr>
      </w:pPr>
    </w:p>
    <w:p w14:paraId="330AC587" w14:textId="77777777" w:rsidR="00724131" w:rsidRDefault="00823349">
      <w:pPr>
        <w:pStyle w:val="ListParagraph"/>
        <w:numPr>
          <w:ilvl w:val="2"/>
          <w:numId w:val="10"/>
        </w:numPr>
        <w:tabs>
          <w:tab w:val="left" w:pos="2063"/>
        </w:tabs>
        <w:spacing w:before="0"/>
        <w:ind w:left="2062" w:hanging="645"/>
        <w:jc w:val="left"/>
        <w:rPr>
          <w:sz w:val="20"/>
        </w:rPr>
      </w:pPr>
      <w:r>
        <w:rPr>
          <w:color w:val="0095A7"/>
          <w:sz w:val="20"/>
        </w:rPr>
        <w:t>Proposed alternative funding</w:t>
      </w:r>
      <w:r>
        <w:rPr>
          <w:color w:val="0095A7"/>
          <w:spacing w:val="2"/>
          <w:sz w:val="20"/>
        </w:rPr>
        <w:t xml:space="preserve"> </w:t>
      </w:r>
      <w:r>
        <w:rPr>
          <w:color w:val="0095A7"/>
          <w:sz w:val="20"/>
        </w:rPr>
        <w:t>mix</w:t>
      </w:r>
    </w:p>
    <w:p w14:paraId="3F489C37" w14:textId="77777777" w:rsidR="00724131" w:rsidRDefault="00823349">
      <w:pPr>
        <w:pStyle w:val="BodyText"/>
        <w:spacing w:before="153" w:line="280" w:lineRule="auto"/>
        <w:ind w:left="1417" w:right="368"/>
      </w:pPr>
      <w:r>
        <w:rPr>
          <w:color w:val="58595B"/>
        </w:rPr>
        <w:t>We recommend a new funding model for the EPA that provides for increased reliance on cost recovery and user charges and reduced reliance on investment income, PIW levies and litter fines which are poorly aligned with the EPA’s regulatory mission.</w:t>
      </w:r>
    </w:p>
    <w:p w14:paraId="5F9DD174" w14:textId="77777777" w:rsidR="00724131" w:rsidRDefault="00823349">
      <w:pPr>
        <w:pStyle w:val="BodyText"/>
        <w:spacing w:before="172" w:line="280" w:lineRule="auto"/>
        <w:ind w:left="1417" w:right="277"/>
      </w:pPr>
      <w:r>
        <w:rPr>
          <w:color w:val="58595B"/>
        </w:rPr>
        <w:t>Figure 21.6 illustrates one possible alternative funding mix for the EPA. The current funding mix is based on the EPA’s 2015-16 operating revenues, the proposed alternative is based on</w:t>
      </w:r>
    </w:p>
    <w:p w14:paraId="4479496C" w14:textId="77777777" w:rsidR="00724131" w:rsidRDefault="00823349">
      <w:pPr>
        <w:pStyle w:val="BodyText"/>
        <w:spacing w:before="2" w:line="280" w:lineRule="auto"/>
        <w:ind w:left="1417" w:right="265"/>
      </w:pPr>
      <w:r>
        <w:rPr>
          <w:color w:val="58595B"/>
        </w:rPr>
        <w:t>a broadly revenue neutral set of adjustments to funding transfers between the EPA, DELWP and the Consolidated Fund, as follows:</w:t>
      </w:r>
    </w:p>
    <w:p w14:paraId="7C029EDB" w14:textId="77777777" w:rsidR="00724131" w:rsidRDefault="00823349">
      <w:pPr>
        <w:pStyle w:val="ListParagraph"/>
        <w:numPr>
          <w:ilvl w:val="0"/>
          <w:numId w:val="8"/>
        </w:numPr>
        <w:tabs>
          <w:tab w:val="left" w:pos="1588"/>
        </w:tabs>
        <w:spacing w:line="280" w:lineRule="auto"/>
        <w:ind w:right="780" w:hanging="170"/>
        <w:rPr>
          <w:sz w:val="20"/>
        </w:rPr>
      </w:pPr>
      <w:r>
        <w:rPr>
          <w:color w:val="58595B"/>
          <w:spacing w:val="-4"/>
          <w:sz w:val="20"/>
        </w:rPr>
        <w:t xml:space="preserve">EPA </w:t>
      </w:r>
      <w:r>
        <w:rPr>
          <w:color w:val="58595B"/>
          <w:sz w:val="20"/>
        </w:rPr>
        <w:t>continues to receive annual disbursements from the M&amp;I Landfill Levy that replaced annual budget appropriations in</w:t>
      </w:r>
      <w:r>
        <w:rPr>
          <w:color w:val="58595B"/>
          <w:spacing w:val="4"/>
          <w:sz w:val="20"/>
        </w:rPr>
        <w:t xml:space="preserve"> </w:t>
      </w:r>
      <w:r>
        <w:rPr>
          <w:color w:val="58595B"/>
          <w:spacing w:val="-5"/>
          <w:sz w:val="20"/>
        </w:rPr>
        <w:t>2012-13.</w:t>
      </w:r>
    </w:p>
    <w:p w14:paraId="0B95239C" w14:textId="77777777" w:rsidR="00724131" w:rsidRDefault="00823349">
      <w:pPr>
        <w:pStyle w:val="ListParagraph"/>
        <w:numPr>
          <w:ilvl w:val="0"/>
          <w:numId w:val="8"/>
        </w:numPr>
        <w:tabs>
          <w:tab w:val="left" w:pos="1588"/>
        </w:tabs>
        <w:ind w:hanging="170"/>
        <w:rPr>
          <w:sz w:val="20"/>
        </w:rPr>
      </w:pPr>
      <w:r>
        <w:rPr>
          <w:color w:val="58595B"/>
          <w:spacing w:val="-4"/>
          <w:sz w:val="20"/>
        </w:rPr>
        <w:t xml:space="preserve">EPA </w:t>
      </w:r>
      <w:r>
        <w:rPr>
          <w:color w:val="58595B"/>
          <w:sz w:val="20"/>
        </w:rPr>
        <w:t xml:space="preserve">retains regulatory fees currently paid into the Consolidated Fund (around </w:t>
      </w:r>
      <w:r>
        <w:rPr>
          <w:color w:val="58595B"/>
          <w:spacing w:val="-5"/>
          <w:sz w:val="20"/>
        </w:rPr>
        <w:t>$15</w:t>
      </w:r>
      <w:r>
        <w:rPr>
          <w:color w:val="58595B"/>
          <w:spacing w:val="-20"/>
          <w:sz w:val="20"/>
        </w:rPr>
        <w:t xml:space="preserve"> </w:t>
      </w:r>
      <w:r>
        <w:rPr>
          <w:color w:val="58595B"/>
          <w:sz w:val="20"/>
        </w:rPr>
        <w:t>million).</w:t>
      </w:r>
    </w:p>
    <w:p w14:paraId="7383C873" w14:textId="77777777" w:rsidR="00724131" w:rsidRDefault="00823349">
      <w:pPr>
        <w:pStyle w:val="ListParagraph"/>
        <w:numPr>
          <w:ilvl w:val="0"/>
          <w:numId w:val="8"/>
        </w:numPr>
        <w:tabs>
          <w:tab w:val="left" w:pos="1588"/>
        </w:tabs>
        <w:spacing w:before="153" w:line="280" w:lineRule="auto"/>
        <w:ind w:right="361" w:hanging="170"/>
        <w:rPr>
          <w:sz w:val="20"/>
        </w:rPr>
      </w:pPr>
      <w:r>
        <w:rPr>
          <w:color w:val="58595B"/>
          <w:sz w:val="20"/>
        </w:rPr>
        <w:t xml:space="preserve">PIW levy revenues of </w:t>
      </w:r>
      <w:r>
        <w:rPr>
          <w:color w:val="58595B"/>
          <w:spacing w:val="-4"/>
          <w:sz w:val="20"/>
        </w:rPr>
        <w:t xml:space="preserve">$14.4 </w:t>
      </w:r>
      <w:r>
        <w:rPr>
          <w:color w:val="58595B"/>
          <w:sz w:val="20"/>
        </w:rPr>
        <w:t xml:space="preserve">million currently retained by </w:t>
      </w:r>
      <w:r>
        <w:rPr>
          <w:color w:val="58595B"/>
          <w:spacing w:val="-4"/>
          <w:sz w:val="20"/>
        </w:rPr>
        <w:t xml:space="preserve">EPA </w:t>
      </w:r>
      <w:r>
        <w:rPr>
          <w:color w:val="58595B"/>
          <w:sz w:val="20"/>
        </w:rPr>
        <w:t>are directed to the Consolidated Fund to offset the loss of regulatory</w:t>
      </w:r>
      <w:r>
        <w:rPr>
          <w:color w:val="58595B"/>
          <w:spacing w:val="5"/>
          <w:sz w:val="20"/>
        </w:rPr>
        <w:t xml:space="preserve"> </w:t>
      </w:r>
      <w:r>
        <w:rPr>
          <w:color w:val="58595B"/>
          <w:sz w:val="20"/>
        </w:rPr>
        <w:t>fees.</w:t>
      </w:r>
    </w:p>
    <w:p w14:paraId="21ADC722" w14:textId="77777777" w:rsidR="00724131" w:rsidRDefault="00823349">
      <w:pPr>
        <w:pStyle w:val="ListParagraph"/>
        <w:numPr>
          <w:ilvl w:val="0"/>
          <w:numId w:val="8"/>
        </w:numPr>
        <w:tabs>
          <w:tab w:val="left" w:pos="1588"/>
        </w:tabs>
        <w:spacing w:line="280" w:lineRule="auto"/>
        <w:ind w:right="591" w:hanging="170"/>
        <w:rPr>
          <w:sz w:val="20"/>
        </w:rPr>
      </w:pPr>
      <w:r>
        <w:rPr>
          <w:color w:val="58595B"/>
          <w:sz w:val="20"/>
        </w:rPr>
        <w:t xml:space="preserve">Litter fine revenues (netting between $3.6 and $4.7 million annually) are paid into the Consolidated Fund, and replaced by an equivalent budget appropriation </w:t>
      </w:r>
      <w:r>
        <w:rPr>
          <w:color w:val="58595B"/>
          <w:spacing w:val="-3"/>
          <w:sz w:val="20"/>
        </w:rPr>
        <w:t xml:space="preserve">(or </w:t>
      </w:r>
      <w:r>
        <w:rPr>
          <w:color w:val="58595B"/>
          <w:sz w:val="20"/>
        </w:rPr>
        <w:t>alternatively by additional disbursements from the M&amp;I Landfill</w:t>
      </w:r>
      <w:r>
        <w:rPr>
          <w:color w:val="58595B"/>
          <w:spacing w:val="1"/>
          <w:sz w:val="20"/>
        </w:rPr>
        <w:t xml:space="preserve"> </w:t>
      </w:r>
      <w:r>
        <w:rPr>
          <w:color w:val="58595B"/>
          <w:sz w:val="20"/>
        </w:rPr>
        <w:t>Levy).</w:t>
      </w:r>
    </w:p>
    <w:p w14:paraId="22BD37CC" w14:textId="77777777" w:rsidR="00724131" w:rsidRDefault="00823349">
      <w:pPr>
        <w:pStyle w:val="ListParagraph"/>
        <w:numPr>
          <w:ilvl w:val="0"/>
          <w:numId w:val="8"/>
        </w:numPr>
        <w:tabs>
          <w:tab w:val="left" w:pos="1588"/>
        </w:tabs>
        <w:spacing w:line="280" w:lineRule="auto"/>
        <w:ind w:right="228" w:hanging="170"/>
        <w:rPr>
          <w:sz w:val="20"/>
        </w:rPr>
      </w:pPr>
      <w:r>
        <w:rPr>
          <w:color w:val="58595B"/>
          <w:sz w:val="20"/>
        </w:rPr>
        <w:t xml:space="preserve">Additional disbursements from the M&amp;I Landfill Levy replace the </w:t>
      </w:r>
      <w:r>
        <w:rPr>
          <w:color w:val="58595B"/>
          <w:spacing w:val="-5"/>
          <w:sz w:val="20"/>
        </w:rPr>
        <w:t xml:space="preserve">$15 </w:t>
      </w:r>
      <w:r>
        <w:rPr>
          <w:color w:val="58595B"/>
          <w:sz w:val="20"/>
        </w:rPr>
        <w:t xml:space="preserve">million investment income replacement grant provided by </w:t>
      </w:r>
      <w:r>
        <w:rPr>
          <w:color w:val="58595B"/>
          <w:spacing w:val="-6"/>
          <w:sz w:val="20"/>
        </w:rPr>
        <w:t xml:space="preserve">DELWP, </w:t>
      </w:r>
      <w:r>
        <w:rPr>
          <w:color w:val="58595B"/>
          <w:sz w:val="20"/>
        </w:rPr>
        <w:t xml:space="preserve">with the </w:t>
      </w:r>
      <w:r>
        <w:rPr>
          <w:color w:val="58595B"/>
          <w:spacing w:val="-4"/>
          <w:sz w:val="20"/>
        </w:rPr>
        <w:t xml:space="preserve">EPA </w:t>
      </w:r>
      <w:r>
        <w:rPr>
          <w:color w:val="58595B"/>
          <w:sz w:val="20"/>
        </w:rPr>
        <w:t>retaining only that portion of investment income that derives from its direct investments (around $3.8</w:t>
      </w:r>
      <w:r>
        <w:rPr>
          <w:color w:val="58595B"/>
          <w:spacing w:val="-16"/>
          <w:sz w:val="20"/>
        </w:rPr>
        <w:t xml:space="preserve"> </w:t>
      </w:r>
      <w:r>
        <w:rPr>
          <w:color w:val="58595B"/>
          <w:sz w:val="20"/>
        </w:rPr>
        <w:t>million).</w:t>
      </w:r>
    </w:p>
    <w:p w14:paraId="50125BC9" w14:textId="77777777" w:rsidR="00724131" w:rsidRDefault="00724131">
      <w:pPr>
        <w:spacing w:line="280" w:lineRule="auto"/>
        <w:rPr>
          <w:sz w:val="20"/>
        </w:rPr>
        <w:sectPr w:rsidR="00724131">
          <w:pgSz w:w="11910" w:h="16840"/>
          <w:pgMar w:top="980" w:right="1680" w:bottom="280" w:left="0" w:header="788" w:footer="0" w:gutter="0"/>
          <w:cols w:space="720"/>
        </w:sectPr>
      </w:pPr>
    </w:p>
    <w:p w14:paraId="6B57FD37" w14:textId="77777777" w:rsidR="00724131" w:rsidRDefault="00724131">
      <w:pPr>
        <w:pStyle w:val="BodyText"/>
      </w:pPr>
    </w:p>
    <w:p w14:paraId="299A26F6" w14:textId="77777777" w:rsidR="00724131" w:rsidRDefault="00724131">
      <w:pPr>
        <w:pStyle w:val="BodyText"/>
      </w:pPr>
    </w:p>
    <w:p w14:paraId="19D56823" w14:textId="77777777" w:rsidR="00724131" w:rsidRDefault="00724131">
      <w:pPr>
        <w:pStyle w:val="BodyText"/>
      </w:pPr>
    </w:p>
    <w:p w14:paraId="2B08C61B" w14:textId="77777777" w:rsidR="00724131" w:rsidRDefault="00724131">
      <w:pPr>
        <w:pStyle w:val="BodyText"/>
      </w:pPr>
    </w:p>
    <w:p w14:paraId="0AA4C6EA" w14:textId="77777777" w:rsidR="00724131" w:rsidRDefault="00724131">
      <w:pPr>
        <w:pStyle w:val="BodyText"/>
        <w:spacing w:before="8"/>
        <w:rPr>
          <w:sz w:val="17"/>
        </w:rPr>
      </w:pPr>
    </w:p>
    <w:p w14:paraId="6E6FAEF6" w14:textId="77777777" w:rsidR="00724131" w:rsidRDefault="00823349">
      <w:pPr>
        <w:spacing w:before="1"/>
        <w:ind w:left="134" w:right="228"/>
        <w:rPr>
          <w:sz w:val="20"/>
        </w:rPr>
      </w:pPr>
      <w:r>
        <w:rPr>
          <w:b/>
          <w:color w:val="0095A7"/>
          <w:sz w:val="20"/>
        </w:rPr>
        <w:t xml:space="preserve">FIGURE 21.6: </w:t>
      </w:r>
      <w:r>
        <w:rPr>
          <w:color w:val="0095A7"/>
          <w:sz w:val="20"/>
        </w:rPr>
        <w:t>EPA FUNDING MIX: CURRENT AND PROPOSED</w:t>
      </w:r>
    </w:p>
    <w:p w14:paraId="4D97F6CC" w14:textId="77777777" w:rsidR="00724131" w:rsidRDefault="00823349">
      <w:pPr>
        <w:pStyle w:val="BodyText"/>
        <w:rPr>
          <w:sz w:val="21"/>
        </w:rPr>
      </w:pPr>
      <w:r>
        <w:rPr>
          <w:noProof/>
        </w:rPr>
        <w:drawing>
          <wp:anchor distT="0" distB="0" distL="0" distR="0" simplePos="0" relativeHeight="1672" behindDoc="0" locked="0" layoutInCell="1" allowOverlap="1" wp14:anchorId="6D69798F" wp14:editId="02695CB6">
            <wp:simplePos x="0" y="0"/>
            <wp:positionH relativeFrom="page">
              <wp:posOffset>1151991</wp:posOffset>
            </wp:positionH>
            <wp:positionV relativeFrom="paragraph">
              <wp:posOffset>178482</wp:posOffset>
            </wp:positionV>
            <wp:extent cx="5506599" cy="2519362"/>
            <wp:effectExtent l="0" t="0" r="0" b="0"/>
            <wp:wrapTopAndBottom/>
            <wp:docPr id="27"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png"/>
                    <pic:cNvPicPr/>
                  </pic:nvPicPr>
                  <pic:blipFill>
                    <a:blip r:embed="rId61" cstate="print"/>
                    <a:stretch>
                      <a:fillRect/>
                    </a:stretch>
                  </pic:blipFill>
                  <pic:spPr>
                    <a:xfrm>
                      <a:off x="0" y="0"/>
                      <a:ext cx="5506599" cy="2519362"/>
                    </a:xfrm>
                    <a:prstGeom prst="rect">
                      <a:avLst/>
                    </a:prstGeom>
                  </pic:spPr>
                </pic:pic>
              </a:graphicData>
            </a:graphic>
          </wp:anchor>
        </w:drawing>
      </w:r>
    </w:p>
    <w:p w14:paraId="59E3CB72" w14:textId="77777777" w:rsidR="00724131" w:rsidRDefault="00724131">
      <w:pPr>
        <w:pStyle w:val="BodyText"/>
        <w:spacing w:before="6"/>
        <w:rPr>
          <w:sz w:val="19"/>
        </w:rPr>
      </w:pPr>
    </w:p>
    <w:p w14:paraId="1300BE5E" w14:textId="77777777" w:rsidR="00724131" w:rsidRDefault="00823349">
      <w:pPr>
        <w:pStyle w:val="BodyText"/>
        <w:spacing w:line="280" w:lineRule="auto"/>
        <w:ind w:left="134" w:right="1468"/>
      </w:pPr>
      <w:r>
        <w:rPr>
          <w:color w:val="58595B"/>
        </w:rPr>
        <w:t xml:space="preserve">Importantly, these reforms </w:t>
      </w:r>
      <w:r>
        <w:rPr>
          <w:b/>
          <w:i/>
          <w:color w:val="58595B"/>
        </w:rPr>
        <w:t xml:space="preserve">do not </w:t>
      </w:r>
      <w:r>
        <w:rPr>
          <w:color w:val="58595B"/>
        </w:rPr>
        <w:t>address issues of funding adequacy, which are discussed below. However, the proposed alternative funding model reduces the EPA’s exposure to volatile and uncertain revenue streams and places the risks of revenue volatility with central government, where they can be better managed. It also resolves potential conflicts of interest that arise</w:t>
      </w:r>
    </w:p>
    <w:p w14:paraId="1E93C97C" w14:textId="77777777" w:rsidR="00724131" w:rsidRDefault="00823349">
      <w:pPr>
        <w:pStyle w:val="BodyText"/>
        <w:spacing w:before="2" w:line="280" w:lineRule="auto"/>
        <w:ind w:left="134" w:right="1337"/>
      </w:pPr>
      <w:r>
        <w:rPr>
          <w:color w:val="58595B"/>
        </w:rPr>
        <w:t>from the EPA’s current reliance on PIW levies and litter fines. Finally, allowing the EPA to retain revenue from its regulatory fees better aligns revenue with its regulatory functions and is more consistent with funding models applied to other regulatory agencies.</w:t>
      </w:r>
    </w:p>
    <w:p w14:paraId="26A54967" w14:textId="77777777" w:rsidR="00724131" w:rsidRDefault="00724131">
      <w:pPr>
        <w:pStyle w:val="BodyText"/>
        <w:spacing w:before="1"/>
        <w:rPr>
          <w:sz w:val="19"/>
        </w:rPr>
      </w:pPr>
    </w:p>
    <w:p w14:paraId="2DFDC677" w14:textId="77777777" w:rsidR="00724131" w:rsidRDefault="00823349">
      <w:pPr>
        <w:pStyle w:val="Heading3"/>
        <w:numPr>
          <w:ilvl w:val="1"/>
          <w:numId w:val="7"/>
        </w:numPr>
        <w:tabs>
          <w:tab w:val="left" w:pos="703"/>
        </w:tabs>
        <w:ind w:hanging="568"/>
      </w:pPr>
      <w:r>
        <w:rPr>
          <w:color w:val="0095A7"/>
        </w:rPr>
        <w:t xml:space="preserve">Adequacy of </w:t>
      </w:r>
      <w:r>
        <w:rPr>
          <w:color w:val="0095A7"/>
          <w:spacing w:val="-5"/>
        </w:rPr>
        <w:t>EPA</w:t>
      </w:r>
      <w:r>
        <w:rPr>
          <w:color w:val="0095A7"/>
          <w:spacing w:val="6"/>
        </w:rPr>
        <w:t xml:space="preserve"> </w:t>
      </w:r>
      <w:r>
        <w:rPr>
          <w:color w:val="0095A7"/>
        </w:rPr>
        <w:t>Funding</w:t>
      </w:r>
    </w:p>
    <w:p w14:paraId="7BB39918" w14:textId="77777777" w:rsidR="00724131" w:rsidRDefault="00823349">
      <w:pPr>
        <w:pStyle w:val="BodyText"/>
        <w:spacing w:before="145" w:line="280" w:lineRule="auto"/>
        <w:ind w:left="134" w:right="1468"/>
      </w:pPr>
      <w:r>
        <w:rPr>
          <w:color w:val="58595B"/>
        </w:rPr>
        <w:t>In considering the adequacy of resources for the EPA to fulfil its proposed future mission, we focused on the resource implications of our proposed changes. In particular, we considered the implications of increasing the EPA’s focus on prevention and of introducing a general duty. We also considered:</w:t>
      </w:r>
    </w:p>
    <w:p w14:paraId="34053411" w14:textId="77777777" w:rsidR="00724131" w:rsidRDefault="00823349">
      <w:pPr>
        <w:pStyle w:val="ListParagraph"/>
        <w:numPr>
          <w:ilvl w:val="0"/>
          <w:numId w:val="31"/>
        </w:numPr>
        <w:tabs>
          <w:tab w:val="left" w:pos="305"/>
        </w:tabs>
        <w:ind w:hanging="170"/>
        <w:rPr>
          <w:sz w:val="20"/>
        </w:rPr>
      </w:pPr>
      <w:r>
        <w:rPr>
          <w:color w:val="58595B"/>
          <w:sz w:val="20"/>
        </w:rPr>
        <w:t>community views expressed through public</w:t>
      </w:r>
      <w:r>
        <w:rPr>
          <w:color w:val="58595B"/>
          <w:spacing w:val="7"/>
          <w:sz w:val="20"/>
        </w:rPr>
        <w:t xml:space="preserve"> </w:t>
      </w:r>
      <w:r>
        <w:rPr>
          <w:color w:val="58595B"/>
          <w:sz w:val="20"/>
        </w:rPr>
        <w:t>consultation</w:t>
      </w:r>
    </w:p>
    <w:p w14:paraId="46AB3DE0" w14:textId="77777777" w:rsidR="00724131" w:rsidRDefault="00823349">
      <w:pPr>
        <w:pStyle w:val="ListParagraph"/>
        <w:numPr>
          <w:ilvl w:val="0"/>
          <w:numId w:val="31"/>
        </w:numPr>
        <w:tabs>
          <w:tab w:val="left" w:pos="305"/>
        </w:tabs>
        <w:spacing w:before="153"/>
        <w:ind w:hanging="170"/>
        <w:rPr>
          <w:sz w:val="20"/>
        </w:rPr>
      </w:pPr>
      <w:r>
        <w:rPr>
          <w:color w:val="58595B"/>
          <w:sz w:val="20"/>
        </w:rPr>
        <w:t>resourcing levels for environmental regulators in other</w:t>
      </w:r>
      <w:r>
        <w:rPr>
          <w:color w:val="58595B"/>
          <w:spacing w:val="-2"/>
          <w:sz w:val="20"/>
        </w:rPr>
        <w:t xml:space="preserve"> </w:t>
      </w:r>
      <w:r>
        <w:rPr>
          <w:color w:val="58595B"/>
          <w:sz w:val="20"/>
        </w:rPr>
        <w:t>jurisdictions</w:t>
      </w:r>
    </w:p>
    <w:p w14:paraId="3271A214" w14:textId="77777777" w:rsidR="00724131" w:rsidRDefault="00823349">
      <w:pPr>
        <w:pStyle w:val="ListParagraph"/>
        <w:numPr>
          <w:ilvl w:val="0"/>
          <w:numId w:val="31"/>
        </w:numPr>
        <w:tabs>
          <w:tab w:val="left" w:pos="305"/>
        </w:tabs>
        <w:spacing w:before="153" w:line="280" w:lineRule="auto"/>
        <w:ind w:right="1767" w:hanging="170"/>
        <w:rPr>
          <w:sz w:val="20"/>
        </w:rPr>
      </w:pPr>
      <w:r>
        <w:rPr>
          <w:color w:val="58595B"/>
          <w:sz w:val="20"/>
        </w:rPr>
        <w:t xml:space="preserve">the available evidence on the </w:t>
      </w:r>
      <w:r>
        <w:rPr>
          <w:color w:val="58595B"/>
          <w:spacing w:val="-7"/>
          <w:sz w:val="20"/>
        </w:rPr>
        <w:t xml:space="preserve">EPA’s </w:t>
      </w:r>
      <w:r>
        <w:rPr>
          <w:color w:val="58595B"/>
          <w:sz w:val="20"/>
        </w:rPr>
        <w:t xml:space="preserve">current cost base, including the resource impacts of the </w:t>
      </w:r>
      <w:r>
        <w:rPr>
          <w:color w:val="58595B"/>
          <w:spacing w:val="-7"/>
          <w:sz w:val="20"/>
        </w:rPr>
        <w:t xml:space="preserve">EPA’s </w:t>
      </w:r>
      <w:r>
        <w:rPr>
          <w:color w:val="58595B"/>
          <w:sz w:val="20"/>
        </w:rPr>
        <w:t>role in emergency</w:t>
      </w:r>
      <w:r>
        <w:rPr>
          <w:color w:val="58595B"/>
          <w:spacing w:val="10"/>
          <w:sz w:val="20"/>
        </w:rPr>
        <w:t xml:space="preserve"> </w:t>
      </w:r>
      <w:r>
        <w:rPr>
          <w:color w:val="58595B"/>
          <w:sz w:val="20"/>
        </w:rPr>
        <w:t>management</w:t>
      </w:r>
    </w:p>
    <w:p w14:paraId="4C639BBA" w14:textId="77777777" w:rsidR="00724131" w:rsidRDefault="00823349">
      <w:pPr>
        <w:pStyle w:val="ListParagraph"/>
        <w:numPr>
          <w:ilvl w:val="0"/>
          <w:numId w:val="31"/>
        </w:numPr>
        <w:tabs>
          <w:tab w:val="left" w:pos="305"/>
        </w:tabs>
        <w:ind w:hanging="170"/>
        <w:rPr>
          <w:sz w:val="20"/>
        </w:rPr>
      </w:pPr>
      <w:r>
        <w:rPr>
          <w:color w:val="58595B"/>
          <w:sz w:val="20"/>
        </w:rPr>
        <w:t xml:space="preserve">the scope for the </w:t>
      </w:r>
      <w:r>
        <w:rPr>
          <w:color w:val="58595B"/>
          <w:spacing w:val="-4"/>
          <w:sz w:val="20"/>
        </w:rPr>
        <w:t xml:space="preserve">EPA </w:t>
      </w:r>
      <w:r>
        <w:rPr>
          <w:color w:val="58595B"/>
          <w:sz w:val="20"/>
        </w:rPr>
        <w:t>to improve</w:t>
      </w:r>
      <w:r>
        <w:rPr>
          <w:color w:val="58595B"/>
          <w:spacing w:val="8"/>
          <w:sz w:val="20"/>
        </w:rPr>
        <w:t xml:space="preserve"> </w:t>
      </w:r>
      <w:r>
        <w:rPr>
          <w:color w:val="58595B"/>
          <w:sz w:val="20"/>
        </w:rPr>
        <w:t>efficiency.</w:t>
      </w:r>
    </w:p>
    <w:p w14:paraId="245A0CD5" w14:textId="77777777" w:rsidR="00724131" w:rsidRDefault="00724131">
      <w:pPr>
        <w:pStyle w:val="BodyText"/>
        <w:spacing w:before="3"/>
        <w:rPr>
          <w:sz w:val="18"/>
        </w:rPr>
      </w:pPr>
    </w:p>
    <w:p w14:paraId="2DAB0E30" w14:textId="77777777" w:rsidR="00724131" w:rsidRDefault="00823349">
      <w:pPr>
        <w:pStyle w:val="BodyText"/>
        <w:spacing w:line="280" w:lineRule="auto"/>
        <w:ind w:left="134" w:right="2184"/>
      </w:pPr>
      <w:r>
        <w:rPr>
          <w:color w:val="58595B"/>
        </w:rPr>
        <w:t>Many stakeholders suggested that the EPA is already underfunded and that this has resulted in deterioration in its core capabilities, particularly in scientific analysis and environmental surveillance.</w:t>
      </w:r>
    </w:p>
    <w:p w14:paraId="164C13DE" w14:textId="77777777" w:rsidR="00724131" w:rsidRDefault="00823349">
      <w:pPr>
        <w:pStyle w:val="BodyText"/>
        <w:spacing w:before="172" w:line="280" w:lineRule="auto"/>
        <w:ind w:left="134" w:right="1337"/>
      </w:pPr>
      <w:r>
        <w:rPr>
          <w:color w:val="58595B"/>
        </w:rPr>
        <w:t>We consider the EPA will need more resources in the future to fulfil the broader suite of functions and responsibilities and deliver on the vision that we propose. This view is regardless of whether funding is adequate for current functions, or further business efficiency improvements can yield some savings.</w:t>
      </w:r>
    </w:p>
    <w:p w14:paraId="7FA2E99C" w14:textId="77777777" w:rsidR="00724131" w:rsidRDefault="00724131">
      <w:pPr>
        <w:spacing w:line="280" w:lineRule="auto"/>
        <w:sectPr w:rsidR="00724131">
          <w:pgSz w:w="11910" w:h="16840"/>
          <w:pgMar w:top="980" w:right="0" w:bottom="280" w:left="1680" w:header="788" w:footer="0" w:gutter="0"/>
          <w:cols w:space="720"/>
        </w:sectPr>
      </w:pPr>
    </w:p>
    <w:p w14:paraId="27E90E31" w14:textId="77777777" w:rsidR="00724131" w:rsidRDefault="00724131">
      <w:pPr>
        <w:pStyle w:val="BodyText"/>
      </w:pPr>
    </w:p>
    <w:p w14:paraId="32D245D8" w14:textId="77777777" w:rsidR="00724131" w:rsidRDefault="00724131">
      <w:pPr>
        <w:pStyle w:val="BodyText"/>
      </w:pPr>
    </w:p>
    <w:p w14:paraId="47CE335B" w14:textId="77777777" w:rsidR="00724131" w:rsidRDefault="00724131">
      <w:pPr>
        <w:pStyle w:val="BodyText"/>
      </w:pPr>
    </w:p>
    <w:p w14:paraId="4C94F343" w14:textId="77777777" w:rsidR="00724131" w:rsidRDefault="00724131">
      <w:pPr>
        <w:pStyle w:val="BodyText"/>
      </w:pPr>
    </w:p>
    <w:p w14:paraId="09453CF1" w14:textId="77777777" w:rsidR="00724131" w:rsidRDefault="00724131">
      <w:pPr>
        <w:pStyle w:val="BodyText"/>
        <w:spacing w:before="8"/>
        <w:rPr>
          <w:sz w:val="17"/>
        </w:rPr>
      </w:pPr>
    </w:p>
    <w:p w14:paraId="403F96BC" w14:textId="77777777" w:rsidR="00724131" w:rsidRDefault="00823349">
      <w:pPr>
        <w:pStyle w:val="BodyText"/>
        <w:spacing w:before="1"/>
        <w:ind w:left="1417" w:right="228"/>
      </w:pPr>
      <w:r>
        <w:rPr>
          <w:color w:val="58595B"/>
        </w:rPr>
        <w:t>A more authoritative EPA with a clearer focus on prevention will require:</w:t>
      </w:r>
    </w:p>
    <w:p w14:paraId="62867214" w14:textId="77777777" w:rsidR="00724131" w:rsidRDefault="00823349">
      <w:pPr>
        <w:pStyle w:val="ListParagraph"/>
        <w:numPr>
          <w:ilvl w:val="0"/>
          <w:numId w:val="6"/>
        </w:numPr>
        <w:tabs>
          <w:tab w:val="left" w:pos="1588"/>
        </w:tabs>
        <w:spacing w:before="153" w:line="280" w:lineRule="auto"/>
        <w:ind w:right="954" w:hanging="170"/>
        <w:rPr>
          <w:sz w:val="20"/>
        </w:rPr>
      </w:pPr>
      <w:r>
        <w:rPr>
          <w:color w:val="58595B"/>
          <w:sz w:val="20"/>
        </w:rPr>
        <w:t>strengthened scientific capabilities and assets to underpin an enhanced environmental (including environmental health) surveillance and advisory functions</w:t>
      </w:r>
    </w:p>
    <w:p w14:paraId="5AD3438E" w14:textId="77777777" w:rsidR="00724131" w:rsidRDefault="00823349">
      <w:pPr>
        <w:pStyle w:val="ListParagraph"/>
        <w:numPr>
          <w:ilvl w:val="0"/>
          <w:numId w:val="6"/>
        </w:numPr>
        <w:tabs>
          <w:tab w:val="left" w:pos="1588"/>
        </w:tabs>
        <w:spacing w:line="280" w:lineRule="auto"/>
        <w:ind w:right="1116" w:hanging="170"/>
        <w:rPr>
          <w:sz w:val="20"/>
        </w:rPr>
      </w:pPr>
      <w:r>
        <w:rPr>
          <w:color w:val="58595B"/>
          <w:sz w:val="20"/>
        </w:rPr>
        <w:t>an enhanced outreach function to support a much broader range of duty holders and a general</w:t>
      </w:r>
      <w:r>
        <w:rPr>
          <w:color w:val="58595B"/>
          <w:spacing w:val="3"/>
          <w:sz w:val="20"/>
        </w:rPr>
        <w:t xml:space="preserve"> </w:t>
      </w:r>
      <w:r>
        <w:rPr>
          <w:color w:val="58595B"/>
          <w:sz w:val="20"/>
        </w:rPr>
        <w:t>duty</w:t>
      </w:r>
    </w:p>
    <w:p w14:paraId="75D373B4" w14:textId="77777777" w:rsidR="00724131" w:rsidRDefault="00823349">
      <w:pPr>
        <w:pStyle w:val="ListParagraph"/>
        <w:numPr>
          <w:ilvl w:val="0"/>
          <w:numId w:val="6"/>
        </w:numPr>
        <w:tabs>
          <w:tab w:val="left" w:pos="1588"/>
        </w:tabs>
        <w:spacing w:line="280" w:lineRule="auto"/>
        <w:ind w:right="1266" w:hanging="170"/>
        <w:rPr>
          <w:sz w:val="20"/>
        </w:rPr>
      </w:pPr>
      <w:r>
        <w:rPr>
          <w:color w:val="58595B"/>
          <w:sz w:val="20"/>
        </w:rPr>
        <w:t>enhanced support to local government, which will have a greater role in addressing local</w:t>
      </w:r>
      <w:r>
        <w:rPr>
          <w:color w:val="58595B"/>
          <w:spacing w:val="3"/>
          <w:sz w:val="20"/>
        </w:rPr>
        <w:t xml:space="preserve"> </w:t>
      </w:r>
      <w:r>
        <w:rPr>
          <w:color w:val="58595B"/>
          <w:sz w:val="20"/>
        </w:rPr>
        <w:t>issues.</w:t>
      </w:r>
    </w:p>
    <w:p w14:paraId="4C0AA76B" w14:textId="77777777" w:rsidR="00724131" w:rsidRDefault="00823349">
      <w:pPr>
        <w:pStyle w:val="ListParagraph"/>
        <w:numPr>
          <w:ilvl w:val="0"/>
          <w:numId w:val="6"/>
        </w:numPr>
        <w:tabs>
          <w:tab w:val="left" w:pos="1588"/>
        </w:tabs>
        <w:ind w:hanging="170"/>
        <w:rPr>
          <w:sz w:val="20"/>
        </w:rPr>
      </w:pPr>
      <w:r>
        <w:rPr>
          <w:color w:val="58595B"/>
          <w:sz w:val="20"/>
        </w:rPr>
        <w:t>investment in up-to-date information, communication and surveillance</w:t>
      </w:r>
      <w:r>
        <w:rPr>
          <w:color w:val="58595B"/>
          <w:spacing w:val="27"/>
          <w:sz w:val="20"/>
        </w:rPr>
        <w:t xml:space="preserve"> </w:t>
      </w:r>
      <w:r>
        <w:rPr>
          <w:color w:val="58595B"/>
          <w:sz w:val="20"/>
        </w:rPr>
        <w:t>technologies</w:t>
      </w:r>
    </w:p>
    <w:p w14:paraId="4FC5846B" w14:textId="77777777" w:rsidR="00724131" w:rsidRDefault="00823349">
      <w:pPr>
        <w:pStyle w:val="ListParagraph"/>
        <w:numPr>
          <w:ilvl w:val="0"/>
          <w:numId w:val="6"/>
        </w:numPr>
        <w:tabs>
          <w:tab w:val="left" w:pos="1588"/>
        </w:tabs>
        <w:spacing w:before="153"/>
        <w:ind w:hanging="170"/>
        <w:rPr>
          <w:sz w:val="20"/>
        </w:rPr>
      </w:pPr>
      <w:r>
        <w:rPr>
          <w:color w:val="58595B"/>
          <w:sz w:val="20"/>
        </w:rPr>
        <w:t>greater strategic involvement in areas such as land use</w:t>
      </w:r>
      <w:r>
        <w:rPr>
          <w:color w:val="58595B"/>
          <w:spacing w:val="-17"/>
          <w:sz w:val="20"/>
        </w:rPr>
        <w:t xml:space="preserve"> </w:t>
      </w:r>
      <w:r>
        <w:rPr>
          <w:color w:val="58595B"/>
          <w:sz w:val="20"/>
        </w:rPr>
        <w:t>planning</w:t>
      </w:r>
    </w:p>
    <w:p w14:paraId="6775E0D3" w14:textId="77777777" w:rsidR="00724131" w:rsidRDefault="00724131">
      <w:pPr>
        <w:pStyle w:val="BodyText"/>
        <w:spacing w:before="7"/>
        <w:rPr>
          <w:sz w:val="25"/>
        </w:rPr>
      </w:pPr>
    </w:p>
    <w:p w14:paraId="303EE455" w14:textId="77777777" w:rsidR="00724131" w:rsidRDefault="00823349">
      <w:pPr>
        <w:pStyle w:val="ListParagraph"/>
        <w:numPr>
          <w:ilvl w:val="2"/>
          <w:numId w:val="7"/>
        </w:numPr>
        <w:tabs>
          <w:tab w:val="left" w:pos="2016"/>
        </w:tabs>
        <w:spacing w:before="0"/>
        <w:jc w:val="left"/>
        <w:rPr>
          <w:sz w:val="20"/>
        </w:rPr>
      </w:pPr>
      <w:r>
        <w:rPr>
          <w:color w:val="0095A7"/>
          <w:sz w:val="20"/>
        </w:rPr>
        <w:t>Community</w:t>
      </w:r>
      <w:r>
        <w:rPr>
          <w:color w:val="0095A7"/>
          <w:spacing w:val="4"/>
          <w:sz w:val="20"/>
        </w:rPr>
        <w:t xml:space="preserve"> </w:t>
      </w:r>
      <w:r>
        <w:rPr>
          <w:color w:val="0095A7"/>
          <w:sz w:val="20"/>
        </w:rPr>
        <w:t>views</w:t>
      </w:r>
    </w:p>
    <w:p w14:paraId="77CA5702" w14:textId="77777777" w:rsidR="00724131" w:rsidRDefault="00823349">
      <w:pPr>
        <w:pStyle w:val="BodyText"/>
        <w:spacing w:before="153" w:line="280" w:lineRule="auto"/>
        <w:ind w:left="1417" w:right="228"/>
      </w:pPr>
      <w:r>
        <w:rPr>
          <w:color w:val="58595B"/>
        </w:rPr>
        <w:t>One in four submissions to our inquiry commented on finances and generally argued the EPA’s funding was inadequate.</w:t>
      </w:r>
    </w:p>
    <w:p w14:paraId="2878E888" w14:textId="77777777" w:rsidR="00724131" w:rsidRDefault="00823349">
      <w:pPr>
        <w:spacing w:before="172" w:line="280" w:lineRule="auto"/>
        <w:ind w:left="1984" w:right="228"/>
        <w:rPr>
          <w:sz w:val="20"/>
        </w:rPr>
      </w:pPr>
      <w:r>
        <w:rPr>
          <w:i/>
          <w:color w:val="231F20"/>
          <w:sz w:val="20"/>
        </w:rPr>
        <w:t xml:space="preserve">The EPA has a number of technically strong staff but is under resourced. </w:t>
      </w:r>
      <w:r>
        <w:rPr>
          <w:color w:val="231F20"/>
          <w:sz w:val="20"/>
        </w:rPr>
        <w:t>(Australian Contaminated Land Consultants Association submission, p. 10)</w:t>
      </w:r>
    </w:p>
    <w:p w14:paraId="417D662C" w14:textId="77777777" w:rsidR="00724131" w:rsidRDefault="00823349">
      <w:pPr>
        <w:pStyle w:val="BodyText"/>
        <w:spacing w:before="172" w:line="280" w:lineRule="auto"/>
        <w:ind w:left="1417" w:right="228"/>
      </w:pPr>
      <w:r>
        <w:rPr>
          <w:color w:val="58595B"/>
        </w:rPr>
        <w:t>Many submissions recommended enhancing the EPA’s future role, which also implied a need for greater resources. These submissions variously argued for an increased EPA budget so it could:</w:t>
      </w:r>
    </w:p>
    <w:p w14:paraId="02C58BBE" w14:textId="77777777" w:rsidR="00724131" w:rsidRDefault="00823349">
      <w:pPr>
        <w:pStyle w:val="ListParagraph"/>
        <w:numPr>
          <w:ilvl w:val="0"/>
          <w:numId w:val="6"/>
        </w:numPr>
        <w:tabs>
          <w:tab w:val="left" w:pos="1588"/>
        </w:tabs>
        <w:ind w:hanging="170"/>
        <w:rPr>
          <w:sz w:val="20"/>
        </w:rPr>
      </w:pPr>
      <w:r>
        <w:rPr>
          <w:color w:val="58595B"/>
          <w:sz w:val="20"/>
        </w:rPr>
        <w:t>play an active role in community education, particularly in regional</w:t>
      </w:r>
      <w:r>
        <w:rPr>
          <w:color w:val="58595B"/>
          <w:spacing w:val="16"/>
          <w:sz w:val="20"/>
        </w:rPr>
        <w:t xml:space="preserve"> </w:t>
      </w:r>
      <w:r>
        <w:rPr>
          <w:color w:val="58595B"/>
          <w:sz w:val="20"/>
        </w:rPr>
        <w:t>areas</w:t>
      </w:r>
    </w:p>
    <w:p w14:paraId="6F8E9EC2" w14:textId="77777777" w:rsidR="00724131" w:rsidRDefault="00823349">
      <w:pPr>
        <w:pStyle w:val="ListParagraph"/>
        <w:numPr>
          <w:ilvl w:val="0"/>
          <w:numId w:val="6"/>
        </w:numPr>
        <w:tabs>
          <w:tab w:val="left" w:pos="1588"/>
        </w:tabs>
        <w:spacing w:before="153" w:line="280" w:lineRule="auto"/>
        <w:ind w:right="888" w:hanging="170"/>
        <w:rPr>
          <w:sz w:val="20"/>
        </w:rPr>
      </w:pPr>
      <w:r>
        <w:rPr>
          <w:color w:val="58595B"/>
          <w:sz w:val="20"/>
        </w:rPr>
        <w:t>attract and keep outstanding scientists and specialist advisors to educate and influence all</w:t>
      </w:r>
      <w:r>
        <w:rPr>
          <w:color w:val="58595B"/>
          <w:spacing w:val="-2"/>
          <w:sz w:val="20"/>
        </w:rPr>
        <w:t xml:space="preserve"> </w:t>
      </w:r>
      <w:r>
        <w:rPr>
          <w:color w:val="58595B"/>
          <w:sz w:val="20"/>
        </w:rPr>
        <w:t>stakeholders</w:t>
      </w:r>
    </w:p>
    <w:p w14:paraId="4D6D7529" w14:textId="77777777" w:rsidR="00724131" w:rsidRDefault="00823349">
      <w:pPr>
        <w:pStyle w:val="ListParagraph"/>
        <w:numPr>
          <w:ilvl w:val="0"/>
          <w:numId w:val="6"/>
        </w:numPr>
        <w:tabs>
          <w:tab w:val="left" w:pos="1588"/>
        </w:tabs>
        <w:ind w:hanging="170"/>
        <w:rPr>
          <w:sz w:val="20"/>
        </w:rPr>
      </w:pPr>
      <w:r>
        <w:rPr>
          <w:color w:val="58595B"/>
          <w:sz w:val="20"/>
        </w:rPr>
        <w:t>maintain professional laboratories, extensive libraries and sophisticated database systems</w:t>
      </w:r>
    </w:p>
    <w:p w14:paraId="7B347A09" w14:textId="77777777" w:rsidR="00724131" w:rsidRDefault="00823349">
      <w:pPr>
        <w:pStyle w:val="ListParagraph"/>
        <w:numPr>
          <w:ilvl w:val="0"/>
          <w:numId w:val="6"/>
        </w:numPr>
        <w:tabs>
          <w:tab w:val="left" w:pos="1588"/>
        </w:tabs>
        <w:spacing w:before="153"/>
        <w:ind w:hanging="170"/>
        <w:rPr>
          <w:sz w:val="20"/>
        </w:rPr>
      </w:pPr>
      <w:r>
        <w:rPr>
          <w:color w:val="58595B"/>
          <w:sz w:val="20"/>
        </w:rPr>
        <w:t>undertake major prosecutions without compromising its day-to-day</w:t>
      </w:r>
      <w:r>
        <w:rPr>
          <w:color w:val="58595B"/>
          <w:spacing w:val="22"/>
          <w:sz w:val="20"/>
        </w:rPr>
        <w:t xml:space="preserve"> </w:t>
      </w:r>
      <w:r>
        <w:rPr>
          <w:color w:val="58595B"/>
          <w:sz w:val="20"/>
        </w:rPr>
        <w:t>operations</w:t>
      </w:r>
    </w:p>
    <w:p w14:paraId="273AAACD" w14:textId="77777777" w:rsidR="00724131" w:rsidRDefault="00823349">
      <w:pPr>
        <w:pStyle w:val="ListParagraph"/>
        <w:numPr>
          <w:ilvl w:val="0"/>
          <w:numId w:val="6"/>
        </w:numPr>
        <w:tabs>
          <w:tab w:val="left" w:pos="1588"/>
        </w:tabs>
        <w:spacing w:before="153"/>
        <w:ind w:hanging="170"/>
        <w:rPr>
          <w:sz w:val="20"/>
        </w:rPr>
      </w:pPr>
      <w:r>
        <w:rPr>
          <w:color w:val="58595B"/>
          <w:sz w:val="20"/>
        </w:rPr>
        <w:t>invest in research and education, and in maintaining its reputation</w:t>
      </w:r>
    </w:p>
    <w:p w14:paraId="10B733F2" w14:textId="77777777" w:rsidR="00724131" w:rsidRDefault="00823349">
      <w:pPr>
        <w:pStyle w:val="ListParagraph"/>
        <w:numPr>
          <w:ilvl w:val="0"/>
          <w:numId w:val="6"/>
        </w:numPr>
        <w:tabs>
          <w:tab w:val="left" w:pos="1588"/>
        </w:tabs>
        <w:spacing w:before="153"/>
        <w:ind w:hanging="170"/>
        <w:rPr>
          <w:sz w:val="20"/>
        </w:rPr>
      </w:pPr>
      <w:r>
        <w:rPr>
          <w:color w:val="58595B"/>
          <w:sz w:val="20"/>
        </w:rPr>
        <w:t>scope environmental challenges and lead a whole of government response to them</w:t>
      </w:r>
    </w:p>
    <w:p w14:paraId="5F508A9A" w14:textId="77777777" w:rsidR="00724131" w:rsidRDefault="00823349">
      <w:pPr>
        <w:pStyle w:val="ListParagraph"/>
        <w:numPr>
          <w:ilvl w:val="0"/>
          <w:numId w:val="6"/>
        </w:numPr>
        <w:tabs>
          <w:tab w:val="left" w:pos="1588"/>
        </w:tabs>
        <w:spacing w:before="153"/>
        <w:ind w:hanging="170"/>
        <w:rPr>
          <w:sz w:val="20"/>
        </w:rPr>
      </w:pPr>
      <w:r>
        <w:rPr>
          <w:color w:val="58595B"/>
          <w:sz w:val="20"/>
        </w:rPr>
        <w:t>collaborate regularly with overseas experts and pursue best</w:t>
      </w:r>
      <w:r>
        <w:rPr>
          <w:color w:val="58595B"/>
          <w:spacing w:val="16"/>
          <w:sz w:val="20"/>
        </w:rPr>
        <w:t xml:space="preserve"> </w:t>
      </w:r>
      <w:r>
        <w:rPr>
          <w:color w:val="58595B"/>
          <w:sz w:val="20"/>
        </w:rPr>
        <w:t>practice</w:t>
      </w:r>
    </w:p>
    <w:p w14:paraId="2FE21EEC" w14:textId="77777777" w:rsidR="00724131" w:rsidRDefault="00823349">
      <w:pPr>
        <w:pStyle w:val="ListParagraph"/>
        <w:numPr>
          <w:ilvl w:val="0"/>
          <w:numId w:val="6"/>
        </w:numPr>
        <w:tabs>
          <w:tab w:val="left" w:pos="1588"/>
        </w:tabs>
        <w:spacing w:before="153"/>
        <w:ind w:hanging="170"/>
        <w:rPr>
          <w:sz w:val="20"/>
        </w:rPr>
      </w:pPr>
      <w:r>
        <w:rPr>
          <w:color w:val="58595B"/>
          <w:sz w:val="20"/>
        </w:rPr>
        <w:t>continue to invest in internal IT to ensure its potential is</w:t>
      </w:r>
      <w:r>
        <w:rPr>
          <w:color w:val="58595B"/>
          <w:spacing w:val="-12"/>
          <w:sz w:val="20"/>
        </w:rPr>
        <w:t xml:space="preserve"> </w:t>
      </w:r>
      <w:r>
        <w:rPr>
          <w:color w:val="58595B"/>
          <w:sz w:val="20"/>
        </w:rPr>
        <w:t>realised</w:t>
      </w:r>
    </w:p>
    <w:p w14:paraId="10C90992" w14:textId="77777777" w:rsidR="00724131" w:rsidRDefault="00823349">
      <w:pPr>
        <w:pStyle w:val="ListParagraph"/>
        <w:numPr>
          <w:ilvl w:val="0"/>
          <w:numId w:val="6"/>
        </w:numPr>
        <w:tabs>
          <w:tab w:val="left" w:pos="1588"/>
        </w:tabs>
        <w:spacing w:before="153"/>
        <w:ind w:hanging="170"/>
        <w:rPr>
          <w:sz w:val="20"/>
        </w:rPr>
      </w:pPr>
      <w:r>
        <w:rPr>
          <w:color w:val="58595B"/>
          <w:sz w:val="20"/>
        </w:rPr>
        <w:t>market its brand and conduct advertising to complement its operational</w:t>
      </w:r>
      <w:r>
        <w:rPr>
          <w:color w:val="58595B"/>
          <w:spacing w:val="12"/>
          <w:sz w:val="20"/>
        </w:rPr>
        <w:t xml:space="preserve"> </w:t>
      </w:r>
      <w:r>
        <w:rPr>
          <w:color w:val="58595B"/>
          <w:sz w:val="20"/>
        </w:rPr>
        <w:t>initiatives</w:t>
      </w:r>
    </w:p>
    <w:p w14:paraId="0B80E49C" w14:textId="77777777" w:rsidR="00724131" w:rsidRDefault="00823349">
      <w:pPr>
        <w:pStyle w:val="ListParagraph"/>
        <w:numPr>
          <w:ilvl w:val="0"/>
          <w:numId w:val="6"/>
        </w:numPr>
        <w:tabs>
          <w:tab w:val="left" w:pos="1588"/>
        </w:tabs>
        <w:spacing w:before="153" w:line="280" w:lineRule="auto"/>
        <w:ind w:right="488" w:hanging="170"/>
        <w:rPr>
          <w:sz w:val="20"/>
        </w:rPr>
      </w:pPr>
      <w:r>
        <w:rPr>
          <w:color w:val="58595B"/>
          <w:sz w:val="20"/>
        </w:rPr>
        <w:t>constantly train and develop its enforcement officers and other technical staff, particularly in basic toxicology and</w:t>
      </w:r>
      <w:r>
        <w:rPr>
          <w:color w:val="58595B"/>
          <w:spacing w:val="4"/>
          <w:sz w:val="20"/>
        </w:rPr>
        <w:t xml:space="preserve"> </w:t>
      </w:r>
      <w:r>
        <w:rPr>
          <w:color w:val="58595B"/>
          <w:sz w:val="20"/>
        </w:rPr>
        <w:t>biology</w:t>
      </w:r>
    </w:p>
    <w:p w14:paraId="6ACEDB7C" w14:textId="77777777" w:rsidR="00724131" w:rsidRDefault="00823349">
      <w:pPr>
        <w:pStyle w:val="ListParagraph"/>
        <w:numPr>
          <w:ilvl w:val="0"/>
          <w:numId w:val="6"/>
        </w:numPr>
        <w:tabs>
          <w:tab w:val="left" w:pos="1588"/>
        </w:tabs>
        <w:ind w:hanging="170"/>
        <w:rPr>
          <w:sz w:val="20"/>
        </w:rPr>
      </w:pPr>
      <w:r>
        <w:rPr>
          <w:color w:val="58595B"/>
          <w:sz w:val="20"/>
        </w:rPr>
        <w:t>sustain a customer focused accessibility that includes regional</w:t>
      </w:r>
      <w:r>
        <w:rPr>
          <w:color w:val="58595B"/>
          <w:spacing w:val="29"/>
          <w:sz w:val="20"/>
        </w:rPr>
        <w:t xml:space="preserve"> </w:t>
      </w:r>
      <w:r>
        <w:rPr>
          <w:color w:val="58595B"/>
          <w:sz w:val="20"/>
        </w:rPr>
        <w:t>offices.</w:t>
      </w:r>
    </w:p>
    <w:p w14:paraId="1CC70156" w14:textId="77777777" w:rsidR="00724131" w:rsidRDefault="00724131">
      <w:pPr>
        <w:pStyle w:val="BodyText"/>
        <w:spacing w:before="7"/>
        <w:rPr>
          <w:sz w:val="25"/>
        </w:rPr>
      </w:pPr>
    </w:p>
    <w:p w14:paraId="198AF944" w14:textId="77777777" w:rsidR="00724131" w:rsidRDefault="00823349">
      <w:pPr>
        <w:pStyle w:val="ListParagraph"/>
        <w:numPr>
          <w:ilvl w:val="2"/>
          <w:numId w:val="7"/>
        </w:numPr>
        <w:tabs>
          <w:tab w:val="left" w:pos="2039"/>
        </w:tabs>
        <w:spacing w:before="0"/>
        <w:ind w:left="2038" w:hanging="621"/>
        <w:jc w:val="left"/>
        <w:rPr>
          <w:sz w:val="20"/>
        </w:rPr>
      </w:pPr>
      <w:r>
        <w:rPr>
          <w:color w:val="0095A7"/>
          <w:spacing w:val="-4"/>
          <w:sz w:val="20"/>
        </w:rPr>
        <w:t xml:space="preserve">EPA </w:t>
      </w:r>
      <w:r>
        <w:rPr>
          <w:color w:val="0095A7"/>
          <w:sz w:val="20"/>
        </w:rPr>
        <w:t>resource levels in other</w:t>
      </w:r>
      <w:r>
        <w:rPr>
          <w:color w:val="0095A7"/>
          <w:spacing w:val="6"/>
          <w:sz w:val="20"/>
        </w:rPr>
        <w:t xml:space="preserve"> </w:t>
      </w:r>
      <w:r>
        <w:rPr>
          <w:color w:val="0095A7"/>
          <w:sz w:val="20"/>
        </w:rPr>
        <w:t>jurisdictions</w:t>
      </w:r>
    </w:p>
    <w:p w14:paraId="038961F3" w14:textId="77777777" w:rsidR="00724131" w:rsidRDefault="00823349">
      <w:pPr>
        <w:pStyle w:val="BodyText"/>
        <w:spacing w:before="153" w:line="280" w:lineRule="auto"/>
        <w:ind w:left="1417" w:right="228"/>
      </w:pPr>
      <w:r>
        <w:rPr>
          <w:color w:val="58595B"/>
        </w:rPr>
        <w:t>As the two largest and most industrialised states, New South Wales and Victoria could be expected</w:t>
      </w:r>
    </w:p>
    <w:p w14:paraId="487F5C40" w14:textId="77777777" w:rsidR="00724131" w:rsidRDefault="00823349">
      <w:pPr>
        <w:pStyle w:val="BodyText"/>
        <w:spacing w:before="2" w:line="280" w:lineRule="auto"/>
        <w:ind w:left="1417" w:right="132"/>
      </w:pPr>
      <w:r>
        <w:rPr>
          <w:color w:val="58595B"/>
        </w:rPr>
        <w:t>to have larger environmental protection agencies than the other states. In turn, New South Wales, with its bigger population and much larger geographic spread, would be expected to commit proportionately more resources to its EPA than Victoria.</w:t>
      </w:r>
    </w:p>
    <w:p w14:paraId="5902ED33" w14:textId="77777777" w:rsidR="00724131" w:rsidRDefault="00823349">
      <w:pPr>
        <w:pStyle w:val="BodyText"/>
        <w:spacing w:before="172" w:line="280" w:lineRule="auto"/>
        <w:ind w:left="1417" w:right="42"/>
      </w:pPr>
      <w:r>
        <w:rPr>
          <w:color w:val="58595B"/>
        </w:rPr>
        <w:t>Direct comparisons between the two agencies are difficult, given the functional and geographic differences. However, simple comparisons based on population shares may be instructive. In 2015–16, the NSW EPA had budgeted operating revenues of around $114 million (after deducting grants passed on to other entities). The equivalent for Victoria would be around $89 million.</w:t>
      </w:r>
    </w:p>
    <w:p w14:paraId="60529138" w14:textId="77777777" w:rsidR="00724131" w:rsidRDefault="00724131">
      <w:pPr>
        <w:spacing w:line="280" w:lineRule="auto"/>
        <w:sectPr w:rsidR="00724131">
          <w:headerReference w:type="even" r:id="rId62"/>
          <w:headerReference w:type="default" r:id="rId63"/>
          <w:pgSz w:w="11910" w:h="16840"/>
          <w:pgMar w:top="980" w:right="1680" w:bottom="280" w:left="0" w:header="788" w:footer="0" w:gutter="0"/>
          <w:pgNumType w:start="380"/>
          <w:cols w:space="720"/>
        </w:sectPr>
      </w:pPr>
    </w:p>
    <w:p w14:paraId="5A9A0D6C" w14:textId="77777777" w:rsidR="00724131" w:rsidRDefault="00724131">
      <w:pPr>
        <w:pStyle w:val="BodyText"/>
      </w:pPr>
    </w:p>
    <w:p w14:paraId="6301E0A4" w14:textId="77777777" w:rsidR="00724131" w:rsidRDefault="00724131">
      <w:pPr>
        <w:pStyle w:val="BodyText"/>
      </w:pPr>
    </w:p>
    <w:p w14:paraId="5A13EFCF" w14:textId="77777777" w:rsidR="00724131" w:rsidRDefault="00724131">
      <w:pPr>
        <w:pStyle w:val="BodyText"/>
      </w:pPr>
    </w:p>
    <w:p w14:paraId="49E3B82F" w14:textId="77777777" w:rsidR="00724131" w:rsidRDefault="00724131">
      <w:pPr>
        <w:pStyle w:val="BodyText"/>
      </w:pPr>
    </w:p>
    <w:p w14:paraId="401DB0B3" w14:textId="77777777" w:rsidR="00724131" w:rsidRDefault="00724131">
      <w:pPr>
        <w:pStyle w:val="BodyText"/>
        <w:spacing w:before="8"/>
        <w:rPr>
          <w:sz w:val="17"/>
        </w:rPr>
      </w:pPr>
    </w:p>
    <w:p w14:paraId="4E10A3C2" w14:textId="77777777" w:rsidR="00724131" w:rsidRDefault="00823349">
      <w:pPr>
        <w:pStyle w:val="ListParagraph"/>
        <w:numPr>
          <w:ilvl w:val="2"/>
          <w:numId w:val="7"/>
        </w:numPr>
        <w:tabs>
          <w:tab w:val="left" w:pos="753"/>
        </w:tabs>
        <w:spacing w:before="1"/>
        <w:ind w:left="752" w:hanging="618"/>
        <w:jc w:val="left"/>
        <w:rPr>
          <w:sz w:val="20"/>
        </w:rPr>
      </w:pPr>
      <w:r>
        <w:rPr>
          <w:color w:val="0095A7"/>
          <w:sz w:val="20"/>
        </w:rPr>
        <w:t>Current resource</w:t>
      </w:r>
      <w:r>
        <w:rPr>
          <w:color w:val="0095A7"/>
          <w:spacing w:val="3"/>
          <w:sz w:val="20"/>
        </w:rPr>
        <w:t xml:space="preserve"> </w:t>
      </w:r>
      <w:r>
        <w:rPr>
          <w:color w:val="0095A7"/>
          <w:sz w:val="20"/>
        </w:rPr>
        <w:t>pressures</w:t>
      </w:r>
    </w:p>
    <w:p w14:paraId="6F67366B" w14:textId="77777777" w:rsidR="00724131" w:rsidRDefault="00823349">
      <w:pPr>
        <w:pStyle w:val="BodyText"/>
        <w:spacing w:before="153" w:line="280" w:lineRule="auto"/>
        <w:ind w:left="134" w:right="1337"/>
      </w:pPr>
      <w:r>
        <w:rPr>
          <w:color w:val="58595B"/>
        </w:rPr>
        <w:t>According to the EPA, it currently faces significant budgetary pressures, reflecting both revenue shortfalls and expense increases.</w:t>
      </w:r>
    </w:p>
    <w:p w14:paraId="659FAB1E" w14:textId="77777777" w:rsidR="00724131" w:rsidRDefault="00823349">
      <w:pPr>
        <w:pStyle w:val="BodyText"/>
        <w:spacing w:before="172" w:line="280" w:lineRule="auto"/>
        <w:ind w:left="134" w:right="1677"/>
        <w:jc w:val="both"/>
      </w:pPr>
      <w:r>
        <w:rPr>
          <w:color w:val="58595B"/>
        </w:rPr>
        <w:t>The key drivers behind this year’s projected revenue shortfalls are lower than expected returns on investments (which are now forecast to fall $7.6 million short of the original budget estimate) and up to $7.5 million in PIW levies at risk due to litigation.</w:t>
      </w:r>
    </w:p>
    <w:p w14:paraId="39748EAB" w14:textId="77777777" w:rsidR="00724131" w:rsidRDefault="00823349">
      <w:pPr>
        <w:pStyle w:val="BodyText"/>
        <w:spacing w:before="172" w:line="280" w:lineRule="auto"/>
        <w:ind w:left="134" w:right="1680"/>
      </w:pPr>
      <w:r>
        <w:rPr>
          <w:color w:val="58595B"/>
        </w:rPr>
        <w:t>Neither of these problems necessarily implies ongoing revenue inadequacy, but they highlight how the volatility of some of the EPA’s key revenue lines can affect year-to-year operations.</w:t>
      </w:r>
    </w:p>
    <w:p w14:paraId="4791F7C2" w14:textId="77777777" w:rsidR="00724131" w:rsidRDefault="00823349">
      <w:pPr>
        <w:pStyle w:val="BodyText"/>
        <w:spacing w:before="172" w:line="280" w:lineRule="auto"/>
        <w:ind w:left="134" w:right="1871"/>
      </w:pPr>
      <w:r>
        <w:rPr>
          <w:color w:val="58595B"/>
        </w:rPr>
        <w:t>By contrast, the key drivers behind unbudgeted increases in expenditure – the resource implications of the EPA’s role in emergency management and increased litigation costs – are more likely to be ongoing.</w:t>
      </w:r>
    </w:p>
    <w:p w14:paraId="45DAABD0" w14:textId="77777777" w:rsidR="00724131" w:rsidRDefault="00724131">
      <w:pPr>
        <w:pStyle w:val="BodyText"/>
        <w:spacing w:before="10"/>
        <w:rPr>
          <w:sz w:val="19"/>
        </w:rPr>
      </w:pPr>
    </w:p>
    <w:p w14:paraId="70FE1856" w14:textId="77777777" w:rsidR="00724131" w:rsidRDefault="00823349">
      <w:pPr>
        <w:ind w:left="134" w:right="228"/>
        <w:rPr>
          <w:i/>
          <w:sz w:val="20"/>
        </w:rPr>
      </w:pPr>
      <w:r>
        <w:rPr>
          <w:i/>
          <w:color w:val="6D6E71"/>
          <w:sz w:val="20"/>
        </w:rPr>
        <w:t>Emergency management</w:t>
      </w:r>
    </w:p>
    <w:p w14:paraId="5EF889E9" w14:textId="77777777" w:rsidR="00724131" w:rsidRDefault="00823349">
      <w:pPr>
        <w:pStyle w:val="BodyText"/>
        <w:spacing w:before="125"/>
        <w:ind w:left="134" w:right="228"/>
      </w:pPr>
      <w:r>
        <w:rPr>
          <w:color w:val="58595B"/>
        </w:rPr>
        <w:t>We recommend the EPA receive additional funding to fulfil its emergency management role.</w:t>
      </w:r>
    </w:p>
    <w:p w14:paraId="7FCF946B" w14:textId="77777777" w:rsidR="00724131" w:rsidRDefault="00823349">
      <w:pPr>
        <w:pStyle w:val="BodyText"/>
        <w:spacing w:before="40" w:line="280" w:lineRule="auto"/>
        <w:ind w:left="134" w:right="1604"/>
      </w:pPr>
      <w:r>
        <w:rPr>
          <w:color w:val="58595B"/>
        </w:rPr>
        <w:t>As part of the ‘all hazards, all agencies’ approach, the EPA is expected to be more involved in emergency management. We proposed a refocusing of the EPA’s emergency management role in chapter 9, however, the exact nature of the EPA’s role in this space is still evolving, and will remain a new and unfunded responsibility.</w:t>
      </w:r>
    </w:p>
    <w:p w14:paraId="597DD8D6" w14:textId="77777777" w:rsidR="00724131" w:rsidRDefault="00823349">
      <w:pPr>
        <w:pStyle w:val="BodyText"/>
        <w:spacing w:before="172" w:line="280" w:lineRule="auto"/>
        <w:ind w:left="134" w:right="789"/>
      </w:pPr>
      <w:r>
        <w:rPr>
          <w:color w:val="58595B"/>
        </w:rPr>
        <w:t>The EPA estimates that resourcing the emergency management function currently consumes an unrecoverable $2.5 million of its annual budget, significantly affecting its core activity.</w:t>
      </w:r>
    </w:p>
    <w:p w14:paraId="4BF46F45" w14:textId="77777777" w:rsidR="00724131" w:rsidRDefault="00724131">
      <w:pPr>
        <w:pStyle w:val="BodyText"/>
        <w:spacing w:before="10"/>
        <w:rPr>
          <w:sz w:val="19"/>
        </w:rPr>
      </w:pPr>
    </w:p>
    <w:p w14:paraId="7B5D889F" w14:textId="77777777" w:rsidR="00724131" w:rsidRDefault="00823349">
      <w:pPr>
        <w:ind w:left="134" w:right="228"/>
        <w:rPr>
          <w:i/>
          <w:sz w:val="20"/>
        </w:rPr>
      </w:pPr>
      <w:r>
        <w:rPr>
          <w:i/>
          <w:color w:val="6D6E71"/>
          <w:sz w:val="20"/>
        </w:rPr>
        <w:t>Litigation costs</w:t>
      </w:r>
    </w:p>
    <w:p w14:paraId="4E4F44CE" w14:textId="77777777" w:rsidR="00724131" w:rsidRDefault="00823349">
      <w:pPr>
        <w:pStyle w:val="BodyText"/>
        <w:spacing w:before="125" w:line="280" w:lineRule="auto"/>
        <w:ind w:left="134" w:right="1468"/>
      </w:pPr>
      <w:r>
        <w:rPr>
          <w:color w:val="58595B"/>
        </w:rPr>
        <w:t>The EPA faces rising litigation costs associated with defending the PIW Levy revenue base, as the levy system is increasingly challenged in the courts. We consider the EPA should be relieved of this responsibility or have its litigation costs reimbursed. Revenue protection should not be</w:t>
      </w:r>
    </w:p>
    <w:p w14:paraId="520F7537" w14:textId="77777777" w:rsidR="00724131" w:rsidRDefault="00823349">
      <w:pPr>
        <w:pStyle w:val="BodyText"/>
        <w:spacing w:before="2"/>
        <w:ind w:left="134" w:right="228"/>
      </w:pPr>
      <w:r>
        <w:rPr>
          <w:color w:val="58595B"/>
        </w:rPr>
        <w:t>a core function of a regulatory agency.</w:t>
      </w:r>
    </w:p>
    <w:p w14:paraId="3610ABC7" w14:textId="77777777" w:rsidR="00724131" w:rsidRDefault="00724131">
      <w:pPr>
        <w:pStyle w:val="BodyText"/>
        <w:spacing w:before="7"/>
        <w:rPr>
          <w:sz w:val="25"/>
        </w:rPr>
      </w:pPr>
    </w:p>
    <w:p w14:paraId="389AC13E" w14:textId="77777777" w:rsidR="00724131" w:rsidRDefault="00823349">
      <w:pPr>
        <w:pStyle w:val="ListParagraph"/>
        <w:numPr>
          <w:ilvl w:val="2"/>
          <w:numId w:val="7"/>
        </w:numPr>
        <w:tabs>
          <w:tab w:val="left" w:pos="752"/>
        </w:tabs>
        <w:spacing w:before="0"/>
        <w:ind w:left="751" w:hanging="617"/>
        <w:jc w:val="left"/>
        <w:rPr>
          <w:sz w:val="20"/>
        </w:rPr>
      </w:pPr>
      <w:r>
        <w:rPr>
          <w:color w:val="0095A7"/>
          <w:sz w:val="20"/>
        </w:rPr>
        <w:t xml:space="preserve">Resource implications of proposed changes to </w:t>
      </w:r>
      <w:r>
        <w:rPr>
          <w:color w:val="0095A7"/>
          <w:spacing w:val="-4"/>
          <w:sz w:val="20"/>
        </w:rPr>
        <w:t xml:space="preserve">EPA </w:t>
      </w:r>
      <w:r>
        <w:rPr>
          <w:color w:val="0095A7"/>
          <w:sz w:val="20"/>
        </w:rPr>
        <w:t>objectives and</w:t>
      </w:r>
      <w:r>
        <w:rPr>
          <w:color w:val="0095A7"/>
          <w:spacing w:val="20"/>
          <w:sz w:val="20"/>
        </w:rPr>
        <w:t xml:space="preserve"> </w:t>
      </w:r>
      <w:r>
        <w:rPr>
          <w:color w:val="0095A7"/>
          <w:sz w:val="20"/>
        </w:rPr>
        <w:t>functions</w:t>
      </w:r>
    </w:p>
    <w:p w14:paraId="23F43A19" w14:textId="77777777" w:rsidR="00724131" w:rsidRDefault="00823349">
      <w:pPr>
        <w:pStyle w:val="BodyText"/>
        <w:spacing w:before="153" w:line="280" w:lineRule="auto"/>
        <w:ind w:left="134" w:right="1337"/>
      </w:pPr>
      <w:r>
        <w:rPr>
          <w:color w:val="58595B"/>
        </w:rPr>
        <w:t>The EPA will require additional resources to perform the new and expanded functions we recommend, including its wider focus on public health and its broader span of functions.</w:t>
      </w:r>
    </w:p>
    <w:p w14:paraId="6B658B00" w14:textId="77777777" w:rsidR="00724131" w:rsidRDefault="00724131">
      <w:pPr>
        <w:pStyle w:val="BodyText"/>
        <w:spacing w:before="10"/>
        <w:rPr>
          <w:sz w:val="19"/>
        </w:rPr>
      </w:pPr>
    </w:p>
    <w:p w14:paraId="31926880" w14:textId="77777777" w:rsidR="00724131" w:rsidRDefault="00823349">
      <w:pPr>
        <w:ind w:left="134" w:right="228"/>
        <w:rPr>
          <w:i/>
          <w:sz w:val="20"/>
        </w:rPr>
      </w:pPr>
      <w:r>
        <w:rPr>
          <w:i/>
          <w:color w:val="6D6E71"/>
          <w:sz w:val="20"/>
        </w:rPr>
        <w:t>Increased environmental health and scientific capabilities</w:t>
      </w:r>
    </w:p>
    <w:p w14:paraId="58BFC6BF" w14:textId="77777777" w:rsidR="00724131" w:rsidRDefault="00823349">
      <w:pPr>
        <w:pStyle w:val="BodyText"/>
        <w:spacing w:before="125" w:line="280" w:lineRule="auto"/>
        <w:ind w:left="134" w:right="1438"/>
      </w:pPr>
      <w:r>
        <w:rPr>
          <w:color w:val="58595B"/>
        </w:rPr>
        <w:t xml:space="preserve">A stronger focus on environmental health surveillance requires new and strengthened capabilities to gather and analyse data, monitor pollution and identify risks. Specifically, we propose a new group with expertise in areas including environmental health epidemiology and toxicology. We also propose elevating the level of the </w:t>
      </w:r>
      <w:r>
        <w:rPr>
          <w:color w:val="58595B"/>
          <w:spacing w:val="-7"/>
        </w:rPr>
        <w:t xml:space="preserve">EPA’s </w:t>
      </w:r>
      <w:r>
        <w:rPr>
          <w:color w:val="58595B"/>
        </w:rPr>
        <w:t xml:space="preserve">senior scientific officers – including creating a Chief Environmental Scientist – to ensure the </w:t>
      </w:r>
      <w:r>
        <w:rPr>
          <w:color w:val="58595B"/>
          <w:spacing w:val="-4"/>
        </w:rPr>
        <w:t xml:space="preserve">EPA </w:t>
      </w:r>
      <w:r>
        <w:rPr>
          <w:color w:val="58595B"/>
        </w:rPr>
        <w:t xml:space="preserve">has both the expertise and the authority to influence decision making across government. Including people with high level scientific and other skills on the </w:t>
      </w:r>
      <w:r>
        <w:rPr>
          <w:color w:val="58595B"/>
          <w:spacing w:val="-4"/>
        </w:rPr>
        <w:t xml:space="preserve">EPA </w:t>
      </w:r>
      <w:r>
        <w:rPr>
          <w:color w:val="58595B"/>
        </w:rPr>
        <w:t>Board will also have some additional resource implications for the</w:t>
      </w:r>
      <w:r>
        <w:rPr>
          <w:color w:val="58595B"/>
          <w:spacing w:val="1"/>
        </w:rPr>
        <w:t xml:space="preserve"> </w:t>
      </w:r>
      <w:r>
        <w:rPr>
          <w:color w:val="58595B"/>
        </w:rPr>
        <w:t>agency.</w:t>
      </w:r>
    </w:p>
    <w:p w14:paraId="50387BD5" w14:textId="77777777" w:rsidR="00724131" w:rsidRDefault="00823349">
      <w:pPr>
        <w:pStyle w:val="BodyText"/>
        <w:spacing w:before="172" w:line="280" w:lineRule="auto"/>
        <w:ind w:left="134" w:right="789"/>
      </w:pPr>
      <w:r>
        <w:rPr>
          <w:color w:val="58595B"/>
        </w:rPr>
        <w:t>Our proposal to establish an environmental health surveillance group within the EPA also requires sufficient funding for DHHS to provide support to and work with the group and for liaison with</w:t>
      </w:r>
    </w:p>
    <w:p w14:paraId="21F36A2E" w14:textId="77777777" w:rsidR="00724131" w:rsidRDefault="00823349">
      <w:pPr>
        <w:pStyle w:val="BodyText"/>
        <w:spacing w:before="2"/>
        <w:ind w:left="134" w:right="228"/>
      </w:pPr>
      <w:r>
        <w:rPr>
          <w:color w:val="58595B"/>
        </w:rPr>
        <w:t>the Chief Health Officer.</w:t>
      </w:r>
    </w:p>
    <w:p w14:paraId="123D2B59" w14:textId="77777777" w:rsidR="00724131" w:rsidRDefault="00724131">
      <w:pPr>
        <w:sectPr w:rsidR="00724131">
          <w:pgSz w:w="11910" w:h="16840"/>
          <w:pgMar w:top="980" w:right="0" w:bottom="280" w:left="1680" w:header="788" w:footer="0" w:gutter="0"/>
          <w:cols w:space="720"/>
        </w:sectPr>
      </w:pPr>
    </w:p>
    <w:p w14:paraId="4FB4B77E" w14:textId="77777777" w:rsidR="00724131" w:rsidRDefault="00724131">
      <w:pPr>
        <w:pStyle w:val="BodyText"/>
      </w:pPr>
    </w:p>
    <w:p w14:paraId="62F04585" w14:textId="77777777" w:rsidR="00724131" w:rsidRDefault="00724131">
      <w:pPr>
        <w:pStyle w:val="BodyText"/>
      </w:pPr>
    </w:p>
    <w:p w14:paraId="36A7FCF9" w14:textId="77777777" w:rsidR="00724131" w:rsidRDefault="00724131">
      <w:pPr>
        <w:pStyle w:val="BodyText"/>
      </w:pPr>
    </w:p>
    <w:p w14:paraId="65A0A762" w14:textId="77777777" w:rsidR="00724131" w:rsidRDefault="00724131">
      <w:pPr>
        <w:pStyle w:val="BodyText"/>
      </w:pPr>
    </w:p>
    <w:p w14:paraId="5F424D04" w14:textId="77777777" w:rsidR="00724131" w:rsidRDefault="00724131">
      <w:pPr>
        <w:pStyle w:val="BodyText"/>
        <w:spacing w:before="8"/>
        <w:rPr>
          <w:sz w:val="17"/>
        </w:rPr>
      </w:pPr>
    </w:p>
    <w:p w14:paraId="0D917A4F" w14:textId="77777777" w:rsidR="00724131" w:rsidRDefault="00823349">
      <w:pPr>
        <w:pStyle w:val="BodyText"/>
        <w:spacing w:before="1"/>
        <w:ind w:left="1414" w:right="228"/>
      </w:pPr>
      <w:r>
        <w:rPr>
          <w:color w:val="58595B"/>
        </w:rPr>
        <w:t>A stronger focus on prevention will also require:</w:t>
      </w:r>
    </w:p>
    <w:p w14:paraId="210DD2BC" w14:textId="77777777" w:rsidR="00724131" w:rsidRDefault="00823349">
      <w:pPr>
        <w:pStyle w:val="ListParagraph"/>
        <w:numPr>
          <w:ilvl w:val="0"/>
          <w:numId w:val="6"/>
        </w:numPr>
        <w:tabs>
          <w:tab w:val="left" w:pos="1585"/>
        </w:tabs>
        <w:spacing w:before="153" w:line="280" w:lineRule="auto"/>
        <w:ind w:left="1584" w:right="863" w:hanging="170"/>
        <w:rPr>
          <w:sz w:val="20"/>
        </w:rPr>
      </w:pPr>
      <w:r>
        <w:rPr>
          <w:color w:val="58595B"/>
          <w:sz w:val="20"/>
        </w:rPr>
        <w:t>an ability to adapt to changes in industry practices and to respond to new and emerging environmental</w:t>
      </w:r>
      <w:r>
        <w:rPr>
          <w:color w:val="58595B"/>
          <w:spacing w:val="-3"/>
          <w:sz w:val="20"/>
        </w:rPr>
        <w:t xml:space="preserve"> </w:t>
      </w:r>
      <w:r>
        <w:rPr>
          <w:color w:val="58595B"/>
          <w:sz w:val="20"/>
        </w:rPr>
        <w:t>risks</w:t>
      </w:r>
    </w:p>
    <w:p w14:paraId="2A5A4C51" w14:textId="77777777" w:rsidR="00724131" w:rsidRDefault="00823349">
      <w:pPr>
        <w:pStyle w:val="ListParagraph"/>
        <w:numPr>
          <w:ilvl w:val="0"/>
          <w:numId w:val="6"/>
        </w:numPr>
        <w:tabs>
          <w:tab w:val="left" w:pos="1585"/>
        </w:tabs>
        <w:spacing w:line="280" w:lineRule="auto"/>
        <w:ind w:left="1584" w:right="649" w:hanging="170"/>
        <w:rPr>
          <w:sz w:val="20"/>
        </w:rPr>
      </w:pPr>
      <w:r>
        <w:rPr>
          <w:color w:val="58595B"/>
          <w:sz w:val="20"/>
        </w:rPr>
        <w:t>better dissemination of science and technical information through better data systems and hardware (for example, monitoring</w:t>
      </w:r>
      <w:r>
        <w:rPr>
          <w:color w:val="58595B"/>
          <w:spacing w:val="-22"/>
          <w:sz w:val="20"/>
        </w:rPr>
        <w:t xml:space="preserve"> </w:t>
      </w:r>
      <w:r>
        <w:rPr>
          <w:color w:val="58595B"/>
          <w:sz w:val="20"/>
        </w:rPr>
        <w:t>equipment).</w:t>
      </w:r>
    </w:p>
    <w:p w14:paraId="652E86FB" w14:textId="77777777" w:rsidR="00724131" w:rsidRDefault="00724131">
      <w:pPr>
        <w:pStyle w:val="BodyText"/>
        <w:spacing w:before="10"/>
        <w:rPr>
          <w:sz w:val="19"/>
        </w:rPr>
      </w:pPr>
    </w:p>
    <w:p w14:paraId="44FD36EE" w14:textId="77777777" w:rsidR="00724131" w:rsidRDefault="00823349">
      <w:pPr>
        <w:ind w:left="1414" w:right="228"/>
        <w:rPr>
          <w:i/>
          <w:sz w:val="20"/>
        </w:rPr>
      </w:pPr>
      <w:r>
        <w:rPr>
          <w:i/>
          <w:color w:val="6D6E71"/>
          <w:sz w:val="20"/>
        </w:rPr>
        <w:t>Other additional functions</w:t>
      </w:r>
    </w:p>
    <w:p w14:paraId="413129F1" w14:textId="77777777" w:rsidR="00724131" w:rsidRDefault="00823349">
      <w:pPr>
        <w:pStyle w:val="BodyText"/>
        <w:spacing w:before="125"/>
        <w:ind w:left="1414" w:right="228"/>
      </w:pPr>
      <w:r>
        <w:rPr>
          <w:color w:val="58595B"/>
        </w:rPr>
        <w:t>The EPA of the future will also require additional resources for the following functions:</w:t>
      </w:r>
    </w:p>
    <w:p w14:paraId="1622E875" w14:textId="77777777" w:rsidR="00724131" w:rsidRDefault="00823349">
      <w:pPr>
        <w:pStyle w:val="ListParagraph"/>
        <w:numPr>
          <w:ilvl w:val="0"/>
          <w:numId w:val="6"/>
        </w:numPr>
        <w:tabs>
          <w:tab w:val="left" w:pos="1585"/>
        </w:tabs>
        <w:spacing w:before="153"/>
        <w:ind w:left="1584" w:hanging="170"/>
        <w:rPr>
          <w:sz w:val="20"/>
        </w:rPr>
      </w:pPr>
      <w:r>
        <w:rPr>
          <w:b/>
          <w:color w:val="58595B"/>
          <w:sz w:val="20"/>
        </w:rPr>
        <w:t>Outreach activities associated with a general duty</w:t>
      </w:r>
      <w:r>
        <w:rPr>
          <w:color w:val="58595B"/>
          <w:sz w:val="20"/>
        </w:rPr>
        <w:t xml:space="preserve">: A new general duty applying </w:t>
      </w:r>
      <w:r>
        <w:rPr>
          <w:color w:val="58595B"/>
          <w:spacing w:val="6"/>
          <w:sz w:val="20"/>
        </w:rPr>
        <w:t xml:space="preserve"> </w:t>
      </w:r>
      <w:r>
        <w:rPr>
          <w:color w:val="58595B"/>
          <w:sz w:val="20"/>
        </w:rPr>
        <w:t>to</w:t>
      </w:r>
    </w:p>
    <w:p w14:paraId="543C852D" w14:textId="77777777" w:rsidR="00724131" w:rsidRDefault="00823349">
      <w:pPr>
        <w:pStyle w:val="BodyText"/>
        <w:spacing w:before="40" w:line="280" w:lineRule="auto"/>
        <w:ind w:left="1584" w:right="368"/>
      </w:pPr>
      <w:r>
        <w:rPr>
          <w:color w:val="58595B"/>
        </w:rPr>
        <w:t>a larger regulated cohort will require an early focus on educating and informing businesses and the community about new obligations and how to comply. We consider the general duty will improve environmental practices and lessen the need for regulatory intervention over the longer term. But the EPA will require additional resources in the short term, to develop and disseminate clear guidance material and educate both new duty holders and joint regulators, including local government.</w:t>
      </w:r>
    </w:p>
    <w:p w14:paraId="30CE03CA" w14:textId="77777777" w:rsidR="00724131" w:rsidRDefault="00823349">
      <w:pPr>
        <w:pStyle w:val="ListParagraph"/>
        <w:numPr>
          <w:ilvl w:val="0"/>
          <w:numId w:val="6"/>
        </w:numPr>
        <w:tabs>
          <w:tab w:val="left" w:pos="1585"/>
        </w:tabs>
        <w:spacing w:line="280" w:lineRule="auto"/>
        <w:ind w:left="1584" w:right="245" w:hanging="170"/>
        <w:rPr>
          <w:sz w:val="20"/>
        </w:rPr>
      </w:pPr>
      <w:r>
        <w:rPr>
          <w:b/>
          <w:color w:val="58595B"/>
          <w:spacing w:val="2"/>
          <w:sz w:val="20"/>
        </w:rPr>
        <w:t xml:space="preserve">Support </w:t>
      </w:r>
      <w:r>
        <w:rPr>
          <w:b/>
          <w:color w:val="58595B"/>
          <w:sz w:val="20"/>
        </w:rPr>
        <w:t>for devolved functions</w:t>
      </w:r>
      <w:r>
        <w:rPr>
          <w:color w:val="58595B"/>
          <w:sz w:val="20"/>
        </w:rPr>
        <w:t xml:space="preserve">: The </w:t>
      </w:r>
      <w:r>
        <w:rPr>
          <w:color w:val="58595B"/>
          <w:spacing w:val="-4"/>
          <w:sz w:val="20"/>
        </w:rPr>
        <w:t xml:space="preserve">EPA </w:t>
      </w:r>
      <w:r>
        <w:rPr>
          <w:color w:val="58595B"/>
          <w:sz w:val="20"/>
        </w:rPr>
        <w:t xml:space="preserve">will require capabilities to provide statewide coordination and support to local government authorities, which will have greater responsibility for local issues. The </w:t>
      </w:r>
      <w:r>
        <w:rPr>
          <w:color w:val="58595B"/>
          <w:spacing w:val="-4"/>
          <w:sz w:val="20"/>
        </w:rPr>
        <w:t xml:space="preserve">EPA </w:t>
      </w:r>
      <w:r>
        <w:rPr>
          <w:color w:val="58595B"/>
          <w:sz w:val="20"/>
        </w:rPr>
        <w:t>will need to develop targeted interventions, provide technical support and training and step in where</w:t>
      </w:r>
      <w:r>
        <w:rPr>
          <w:color w:val="58595B"/>
          <w:spacing w:val="1"/>
          <w:sz w:val="20"/>
        </w:rPr>
        <w:t xml:space="preserve"> </w:t>
      </w:r>
      <w:r>
        <w:rPr>
          <w:color w:val="58595B"/>
          <w:sz w:val="20"/>
        </w:rPr>
        <w:t>necessary.</w:t>
      </w:r>
    </w:p>
    <w:p w14:paraId="6A741A32" w14:textId="77777777" w:rsidR="00724131" w:rsidRDefault="00823349">
      <w:pPr>
        <w:pStyle w:val="ListParagraph"/>
        <w:numPr>
          <w:ilvl w:val="0"/>
          <w:numId w:val="6"/>
        </w:numPr>
        <w:tabs>
          <w:tab w:val="left" w:pos="1585"/>
        </w:tabs>
        <w:spacing w:line="280" w:lineRule="auto"/>
        <w:ind w:left="1584" w:right="292" w:hanging="170"/>
        <w:rPr>
          <w:sz w:val="20"/>
        </w:rPr>
      </w:pPr>
      <w:r>
        <w:rPr>
          <w:b/>
          <w:color w:val="58595B"/>
          <w:sz w:val="20"/>
        </w:rPr>
        <w:t>Enhanced role in land use planning</w:t>
      </w:r>
      <w:r>
        <w:rPr>
          <w:color w:val="58595B"/>
          <w:sz w:val="20"/>
        </w:rPr>
        <w:t xml:space="preserve">: Given the importance of increasing the </w:t>
      </w:r>
      <w:r>
        <w:rPr>
          <w:color w:val="58595B"/>
          <w:spacing w:val="-7"/>
          <w:sz w:val="20"/>
        </w:rPr>
        <w:t xml:space="preserve">EPA’s </w:t>
      </w:r>
      <w:r>
        <w:rPr>
          <w:color w:val="58595B"/>
          <w:sz w:val="20"/>
        </w:rPr>
        <w:t xml:space="preserve">strategic input to land use planning, the </w:t>
      </w:r>
      <w:r>
        <w:rPr>
          <w:color w:val="58595B"/>
          <w:spacing w:val="-4"/>
          <w:sz w:val="20"/>
        </w:rPr>
        <w:t xml:space="preserve">EPA </w:t>
      </w:r>
      <w:r>
        <w:rPr>
          <w:color w:val="58595B"/>
          <w:sz w:val="20"/>
        </w:rPr>
        <w:t>of the future must devote additional resources to providing this advice, as well as educating and supporting land use planning decision makers about pollution and waste</w:t>
      </w:r>
      <w:r>
        <w:rPr>
          <w:color w:val="58595B"/>
          <w:spacing w:val="-1"/>
          <w:sz w:val="20"/>
        </w:rPr>
        <w:t xml:space="preserve"> </w:t>
      </w:r>
      <w:r>
        <w:rPr>
          <w:color w:val="58595B"/>
          <w:sz w:val="20"/>
        </w:rPr>
        <w:t>impacts.</w:t>
      </w:r>
    </w:p>
    <w:p w14:paraId="031DEAC0" w14:textId="77777777" w:rsidR="00724131" w:rsidRDefault="00724131">
      <w:pPr>
        <w:pStyle w:val="BodyText"/>
        <w:spacing w:before="10"/>
        <w:rPr>
          <w:sz w:val="19"/>
        </w:rPr>
      </w:pPr>
    </w:p>
    <w:p w14:paraId="2DC38185" w14:textId="77777777" w:rsidR="00724131" w:rsidRDefault="00823349">
      <w:pPr>
        <w:ind w:left="1414" w:right="228"/>
        <w:rPr>
          <w:i/>
          <w:sz w:val="20"/>
        </w:rPr>
      </w:pPr>
      <w:r>
        <w:rPr>
          <w:i/>
          <w:color w:val="6D6E71"/>
          <w:sz w:val="20"/>
        </w:rPr>
        <w:t>Funding the expanded role for local government</w:t>
      </w:r>
    </w:p>
    <w:p w14:paraId="404CA6E2" w14:textId="77777777" w:rsidR="00724131" w:rsidRDefault="00823349">
      <w:pPr>
        <w:pStyle w:val="BodyText"/>
        <w:spacing w:before="125" w:line="280" w:lineRule="auto"/>
        <w:ind w:left="1414" w:right="586"/>
      </w:pPr>
      <w:r>
        <w:rPr>
          <w:color w:val="58595B"/>
        </w:rPr>
        <w:t>Local government authorities will also require additional funding to fulfil their increased role for managing local issues. Specifically, they will need funding to appoint local government environment protection officers. We recommend in chapter 18 that DELWP bring a proposal to government to identify additional resources for local government to fund these additional functions. As noted earlier, one option would be to develop a landfill levy revenue-sharing arrangement with local councils.</w:t>
      </w:r>
    </w:p>
    <w:p w14:paraId="57AAF53B" w14:textId="77777777" w:rsidR="00724131" w:rsidRDefault="00724131">
      <w:pPr>
        <w:pStyle w:val="BodyText"/>
        <w:spacing w:before="10"/>
        <w:rPr>
          <w:sz w:val="19"/>
        </w:rPr>
      </w:pPr>
    </w:p>
    <w:p w14:paraId="548EBD10" w14:textId="77777777" w:rsidR="00724131" w:rsidRDefault="00823349">
      <w:pPr>
        <w:ind w:left="1414" w:right="228"/>
        <w:rPr>
          <w:i/>
          <w:sz w:val="20"/>
        </w:rPr>
      </w:pPr>
      <w:r>
        <w:rPr>
          <w:i/>
          <w:color w:val="6D6E71"/>
          <w:sz w:val="20"/>
        </w:rPr>
        <w:t>One off investments</w:t>
      </w:r>
    </w:p>
    <w:p w14:paraId="02F7E67C" w14:textId="77777777" w:rsidR="00724131" w:rsidRDefault="00823349">
      <w:pPr>
        <w:pStyle w:val="BodyText"/>
        <w:spacing w:before="125" w:line="280" w:lineRule="auto"/>
        <w:ind w:left="1414" w:right="228"/>
      </w:pPr>
      <w:r>
        <w:rPr>
          <w:color w:val="58595B"/>
        </w:rPr>
        <w:t>In addition, we identified several critical one off investments, with some ongoing maintenance costs, to improve the EPA’s capability. These include:</w:t>
      </w:r>
    </w:p>
    <w:p w14:paraId="7B51C416" w14:textId="77777777" w:rsidR="00724131" w:rsidRDefault="00823349">
      <w:pPr>
        <w:pStyle w:val="ListParagraph"/>
        <w:numPr>
          <w:ilvl w:val="0"/>
          <w:numId w:val="6"/>
        </w:numPr>
        <w:tabs>
          <w:tab w:val="left" w:pos="1585"/>
        </w:tabs>
        <w:spacing w:line="280" w:lineRule="auto"/>
        <w:ind w:left="1584" w:right="506" w:hanging="170"/>
        <w:rPr>
          <w:sz w:val="20"/>
        </w:rPr>
      </w:pPr>
      <w:r>
        <w:rPr>
          <w:color w:val="58595B"/>
          <w:sz w:val="20"/>
        </w:rPr>
        <w:t>increased capability to undertake environmental monitoring, both for ambient environmental monitoring and in response to</w:t>
      </w:r>
      <w:r>
        <w:rPr>
          <w:color w:val="58595B"/>
          <w:spacing w:val="6"/>
          <w:sz w:val="20"/>
        </w:rPr>
        <w:t xml:space="preserve"> </w:t>
      </w:r>
      <w:r>
        <w:rPr>
          <w:color w:val="58595B"/>
          <w:sz w:val="20"/>
        </w:rPr>
        <w:t>incidents</w:t>
      </w:r>
    </w:p>
    <w:p w14:paraId="0ADC842C" w14:textId="77777777" w:rsidR="00724131" w:rsidRDefault="00823349">
      <w:pPr>
        <w:pStyle w:val="ListParagraph"/>
        <w:numPr>
          <w:ilvl w:val="0"/>
          <w:numId w:val="6"/>
        </w:numPr>
        <w:tabs>
          <w:tab w:val="left" w:pos="1585"/>
        </w:tabs>
        <w:spacing w:line="280" w:lineRule="auto"/>
        <w:ind w:left="1584" w:right="569" w:hanging="170"/>
        <w:rPr>
          <w:sz w:val="20"/>
        </w:rPr>
      </w:pPr>
      <w:r>
        <w:rPr>
          <w:color w:val="58595B"/>
          <w:sz w:val="20"/>
        </w:rPr>
        <w:t>preparing initial codes of practice to support a general duty and updated operational policy, standards and guidance</w:t>
      </w:r>
      <w:r>
        <w:rPr>
          <w:color w:val="58595B"/>
          <w:spacing w:val="2"/>
          <w:sz w:val="20"/>
        </w:rPr>
        <w:t xml:space="preserve"> </w:t>
      </w:r>
      <w:r>
        <w:rPr>
          <w:color w:val="58595B"/>
          <w:sz w:val="20"/>
        </w:rPr>
        <w:t>material</w:t>
      </w:r>
    </w:p>
    <w:p w14:paraId="48C7400F" w14:textId="77777777" w:rsidR="00724131" w:rsidRDefault="00823349">
      <w:pPr>
        <w:pStyle w:val="ListParagraph"/>
        <w:numPr>
          <w:ilvl w:val="0"/>
          <w:numId w:val="6"/>
        </w:numPr>
        <w:tabs>
          <w:tab w:val="left" w:pos="1585"/>
        </w:tabs>
        <w:spacing w:line="280" w:lineRule="auto"/>
        <w:ind w:left="1584" w:right="186" w:hanging="170"/>
        <w:rPr>
          <w:sz w:val="20"/>
        </w:rPr>
      </w:pPr>
      <w:r>
        <w:rPr>
          <w:color w:val="58595B"/>
          <w:sz w:val="20"/>
        </w:rPr>
        <w:t>informing and educating businesses and the community about the reforms and their obligations under an enhanced statutory regime,</w:t>
      </w:r>
      <w:r>
        <w:rPr>
          <w:color w:val="58595B"/>
          <w:spacing w:val="5"/>
          <w:sz w:val="20"/>
        </w:rPr>
        <w:t xml:space="preserve"> </w:t>
      </w:r>
      <w:r>
        <w:rPr>
          <w:color w:val="58595B"/>
          <w:sz w:val="20"/>
        </w:rPr>
        <w:t>and</w:t>
      </w:r>
    </w:p>
    <w:p w14:paraId="1EF16282" w14:textId="77777777" w:rsidR="00724131" w:rsidRDefault="00823349">
      <w:pPr>
        <w:pStyle w:val="ListParagraph"/>
        <w:numPr>
          <w:ilvl w:val="0"/>
          <w:numId w:val="6"/>
        </w:numPr>
        <w:tabs>
          <w:tab w:val="left" w:pos="1585"/>
        </w:tabs>
        <w:ind w:left="1584" w:hanging="170"/>
        <w:rPr>
          <w:sz w:val="20"/>
        </w:rPr>
      </w:pPr>
      <w:r>
        <w:rPr>
          <w:color w:val="58595B"/>
          <w:sz w:val="20"/>
        </w:rPr>
        <w:t>updating and improving business systems and retraining authorised</w:t>
      </w:r>
      <w:r>
        <w:rPr>
          <w:color w:val="58595B"/>
          <w:spacing w:val="8"/>
          <w:sz w:val="20"/>
        </w:rPr>
        <w:t xml:space="preserve"> </w:t>
      </w:r>
      <w:r>
        <w:rPr>
          <w:color w:val="58595B"/>
          <w:sz w:val="20"/>
        </w:rPr>
        <w:t>officers.</w:t>
      </w:r>
    </w:p>
    <w:p w14:paraId="2D5CCDA6" w14:textId="77777777" w:rsidR="00724131" w:rsidRDefault="00724131">
      <w:pPr>
        <w:rPr>
          <w:sz w:val="20"/>
        </w:rPr>
        <w:sectPr w:rsidR="00724131">
          <w:pgSz w:w="11910" w:h="16840"/>
          <w:pgMar w:top="980" w:right="1680" w:bottom="280" w:left="0" w:header="788" w:footer="0" w:gutter="0"/>
          <w:cols w:space="720"/>
        </w:sectPr>
      </w:pPr>
    </w:p>
    <w:p w14:paraId="5C4A2A87" w14:textId="77777777" w:rsidR="00724131" w:rsidRDefault="00724131">
      <w:pPr>
        <w:pStyle w:val="BodyText"/>
      </w:pPr>
    </w:p>
    <w:p w14:paraId="244E52FD" w14:textId="77777777" w:rsidR="00724131" w:rsidRDefault="00724131">
      <w:pPr>
        <w:pStyle w:val="BodyText"/>
      </w:pPr>
    </w:p>
    <w:p w14:paraId="6BD2747F" w14:textId="77777777" w:rsidR="00724131" w:rsidRDefault="00724131">
      <w:pPr>
        <w:pStyle w:val="BodyText"/>
      </w:pPr>
    </w:p>
    <w:p w14:paraId="03CC1C02" w14:textId="77777777" w:rsidR="00724131" w:rsidRDefault="00724131">
      <w:pPr>
        <w:pStyle w:val="BodyText"/>
      </w:pPr>
    </w:p>
    <w:p w14:paraId="485B338C" w14:textId="77777777" w:rsidR="00724131" w:rsidRDefault="00724131">
      <w:pPr>
        <w:pStyle w:val="BodyText"/>
        <w:spacing w:before="8"/>
        <w:rPr>
          <w:sz w:val="17"/>
        </w:rPr>
      </w:pPr>
    </w:p>
    <w:p w14:paraId="6DD54BE3" w14:textId="77777777" w:rsidR="00724131" w:rsidRDefault="00823349">
      <w:pPr>
        <w:pStyle w:val="BodyText"/>
        <w:spacing w:before="1" w:line="280" w:lineRule="auto"/>
        <w:ind w:left="134" w:right="1767"/>
      </w:pPr>
      <w:r>
        <w:rPr>
          <w:color w:val="58595B"/>
          <w:spacing w:val="-8"/>
        </w:rPr>
        <w:t xml:space="preserve">To </w:t>
      </w:r>
      <w:r>
        <w:rPr>
          <w:color w:val="58595B"/>
        </w:rPr>
        <w:t xml:space="preserve">play a stronger and more proactive role in prevention through increased environmental scanning while continuing to deliver core regulatory functions associated with known environmental risks, the </w:t>
      </w:r>
      <w:r>
        <w:rPr>
          <w:color w:val="58595B"/>
          <w:spacing w:val="-4"/>
        </w:rPr>
        <w:t xml:space="preserve">EPA </w:t>
      </w:r>
      <w:r>
        <w:rPr>
          <w:color w:val="58595B"/>
        </w:rPr>
        <w:t>must have access to up-to-date information, communication and surveillance technologies, including remote monitoring of environmental impacts. Investment in modern technologies and more sophisticated use of data analytics will also be</w:t>
      </w:r>
      <w:r>
        <w:rPr>
          <w:color w:val="58595B"/>
          <w:spacing w:val="21"/>
        </w:rPr>
        <w:t xml:space="preserve"> </w:t>
      </w:r>
      <w:r>
        <w:rPr>
          <w:color w:val="58595B"/>
        </w:rPr>
        <w:t>increasingly</w:t>
      </w:r>
    </w:p>
    <w:p w14:paraId="2ACD2EFD" w14:textId="77777777" w:rsidR="00724131" w:rsidRDefault="00823349">
      <w:pPr>
        <w:pStyle w:val="BodyText"/>
        <w:spacing w:before="2" w:line="280" w:lineRule="auto"/>
        <w:ind w:left="134" w:right="1337"/>
      </w:pPr>
      <w:r>
        <w:rPr>
          <w:color w:val="58595B"/>
        </w:rPr>
        <w:t>essential to the efficient delivery of core regulatory functions. A multi-year investment strategy is required to establish these platforms.</w:t>
      </w:r>
    </w:p>
    <w:p w14:paraId="1C906C90" w14:textId="77777777" w:rsidR="00724131" w:rsidRDefault="00724131">
      <w:pPr>
        <w:pStyle w:val="BodyText"/>
        <w:spacing w:before="10"/>
        <w:rPr>
          <w:sz w:val="19"/>
        </w:rPr>
      </w:pPr>
    </w:p>
    <w:p w14:paraId="6BA1A32E" w14:textId="77777777" w:rsidR="00724131" w:rsidRDefault="00823349">
      <w:pPr>
        <w:ind w:left="134" w:right="228"/>
        <w:rPr>
          <w:i/>
          <w:sz w:val="20"/>
        </w:rPr>
      </w:pPr>
      <w:r>
        <w:rPr>
          <w:i/>
          <w:color w:val="6D6E71"/>
          <w:sz w:val="20"/>
        </w:rPr>
        <w:t>Offsetting savings</w:t>
      </w:r>
    </w:p>
    <w:p w14:paraId="32FE17DE" w14:textId="77777777" w:rsidR="00724131" w:rsidRDefault="00823349">
      <w:pPr>
        <w:pStyle w:val="BodyText"/>
        <w:spacing w:before="125" w:line="280" w:lineRule="auto"/>
        <w:ind w:left="134" w:right="1468"/>
      </w:pPr>
      <w:r>
        <w:rPr>
          <w:color w:val="58595B"/>
        </w:rPr>
        <w:t>Partially offsetting these additional resource requirements, some of our recommendations will allow the EPA to divest itself of some functions that are better performed elsewhere. In particular, devolving some local issues to local government would free up some resources to focus on more significant local and statewide environmental hazards.</w:t>
      </w:r>
    </w:p>
    <w:p w14:paraId="58E678BD" w14:textId="77777777" w:rsidR="00724131" w:rsidRDefault="00823349">
      <w:pPr>
        <w:pStyle w:val="BodyText"/>
        <w:spacing w:before="172" w:line="280" w:lineRule="auto"/>
        <w:ind w:left="134" w:right="1604"/>
      </w:pPr>
      <w:r>
        <w:rPr>
          <w:color w:val="58595B"/>
        </w:rPr>
        <w:t>Transferring responsibility for recovering avoided landfill levies to DELWP would also represent a saving to the EPA’s operating budget, not just in direct litigation costs but in associated enforcement activity.</w:t>
      </w:r>
    </w:p>
    <w:p w14:paraId="1CB2C361" w14:textId="77777777" w:rsidR="00724131" w:rsidRDefault="00724131">
      <w:pPr>
        <w:pStyle w:val="BodyText"/>
        <w:spacing w:before="4"/>
        <w:rPr>
          <w:sz w:val="22"/>
        </w:rPr>
      </w:pPr>
    </w:p>
    <w:p w14:paraId="10FE161D" w14:textId="77777777" w:rsidR="00724131" w:rsidRDefault="00823349">
      <w:pPr>
        <w:pStyle w:val="ListParagraph"/>
        <w:numPr>
          <w:ilvl w:val="2"/>
          <w:numId w:val="7"/>
        </w:numPr>
        <w:tabs>
          <w:tab w:val="left" w:pos="753"/>
        </w:tabs>
        <w:spacing w:before="0"/>
        <w:ind w:left="752" w:hanging="618"/>
        <w:jc w:val="left"/>
        <w:rPr>
          <w:sz w:val="20"/>
        </w:rPr>
      </w:pPr>
      <w:r>
        <w:rPr>
          <w:color w:val="0095A7"/>
          <w:sz w:val="20"/>
        </w:rPr>
        <w:t>Scope for efficiency</w:t>
      </w:r>
      <w:r>
        <w:rPr>
          <w:color w:val="0095A7"/>
          <w:spacing w:val="13"/>
          <w:sz w:val="20"/>
        </w:rPr>
        <w:t xml:space="preserve"> </w:t>
      </w:r>
      <w:r>
        <w:rPr>
          <w:color w:val="0095A7"/>
          <w:sz w:val="20"/>
        </w:rPr>
        <w:t>improvements</w:t>
      </w:r>
    </w:p>
    <w:p w14:paraId="7EA32103" w14:textId="77777777" w:rsidR="00724131" w:rsidRDefault="00823349">
      <w:pPr>
        <w:pStyle w:val="BodyText"/>
        <w:spacing w:before="153" w:line="280" w:lineRule="auto"/>
        <w:ind w:left="134" w:right="1919"/>
        <w:jc w:val="both"/>
      </w:pPr>
      <w:r>
        <w:rPr>
          <w:color w:val="58595B"/>
        </w:rPr>
        <w:t>We did not consider the EPA’s efficiency in carrying out its functions, but we identified some potential for efficiency improvements. Reallocating resources from lower order risks to focus on more significant environmental hazards would also enable the agency to deliver stronger environmental protection within existing resource levels.</w:t>
      </w:r>
    </w:p>
    <w:p w14:paraId="53365F0F" w14:textId="77777777" w:rsidR="00724131" w:rsidRDefault="00823349">
      <w:pPr>
        <w:pStyle w:val="BodyText"/>
        <w:spacing w:before="172"/>
        <w:ind w:left="134" w:right="228"/>
      </w:pPr>
      <w:r>
        <w:rPr>
          <w:color w:val="58595B"/>
        </w:rPr>
        <w:t>Other potential areas for efficiency improvements and other savings include the following:</w:t>
      </w:r>
    </w:p>
    <w:p w14:paraId="67E99CBC" w14:textId="77777777" w:rsidR="00724131" w:rsidRDefault="00823349">
      <w:pPr>
        <w:pStyle w:val="ListParagraph"/>
        <w:numPr>
          <w:ilvl w:val="0"/>
          <w:numId w:val="31"/>
        </w:numPr>
        <w:tabs>
          <w:tab w:val="left" w:pos="305"/>
        </w:tabs>
        <w:spacing w:before="153" w:line="280" w:lineRule="auto"/>
        <w:ind w:right="1764" w:hanging="170"/>
        <w:rPr>
          <w:sz w:val="20"/>
        </w:rPr>
      </w:pPr>
      <w:r>
        <w:rPr>
          <w:color w:val="58595B"/>
          <w:sz w:val="20"/>
        </w:rPr>
        <w:t>introducing a general duty may in time reduce enforcement activity and make litigation more cost</w:t>
      </w:r>
      <w:r>
        <w:rPr>
          <w:color w:val="58595B"/>
          <w:spacing w:val="7"/>
          <w:sz w:val="20"/>
        </w:rPr>
        <w:t xml:space="preserve"> </w:t>
      </w:r>
      <w:r>
        <w:rPr>
          <w:color w:val="58595B"/>
          <w:sz w:val="20"/>
        </w:rPr>
        <w:t>effective</w:t>
      </w:r>
    </w:p>
    <w:p w14:paraId="082ED3C8" w14:textId="77777777" w:rsidR="00724131" w:rsidRDefault="00823349">
      <w:pPr>
        <w:pStyle w:val="ListParagraph"/>
        <w:numPr>
          <w:ilvl w:val="0"/>
          <w:numId w:val="31"/>
        </w:numPr>
        <w:tabs>
          <w:tab w:val="left" w:pos="305"/>
        </w:tabs>
        <w:spacing w:line="280" w:lineRule="auto"/>
        <w:ind w:right="1417" w:hanging="170"/>
        <w:rPr>
          <w:sz w:val="20"/>
        </w:rPr>
      </w:pPr>
      <w:r>
        <w:rPr>
          <w:color w:val="58595B"/>
          <w:sz w:val="20"/>
        </w:rPr>
        <w:t>a clearer focus on prevention, including strengthened licensing and post-closure requirements, and greater strategic involvement in the early stages of the planning process, should yield some future savings in clean up and enforcement</w:t>
      </w:r>
      <w:r>
        <w:rPr>
          <w:color w:val="58595B"/>
          <w:spacing w:val="4"/>
          <w:sz w:val="20"/>
        </w:rPr>
        <w:t xml:space="preserve"> </w:t>
      </w:r>
      <w:r>
        <w:rPr>
          <w:color w:val="58595B"/>
          <w:sz w:val="20"/>
        </w:rPr>
        <w:t>costs</w:t>
      </w:r>
    </w:p>
    <w:p w14:paraId="077F6053" w14:textId="77777777" w:rsidR="00724131" w:rsidRDefault="00823349">
      <w:pPr>
        <w:pStyle w:val="ListParagraph"/>
        <w:numPr>
          <w:ilvl w:val="0"/>
          <w:numId w:val="31"/>
        </w:numPr>
        <w:tabs>
          <w:tab w:val="left" w:pos="305"/>
        </w:tabs>
        <w:spacing w:line="280" w:lineRule="auto"/>
        <w:ind w:right="2013" w:hanging="170"/>
        <w:rPr>
          <w:sz w:val="20"/>
        </w:rPr>
      </w:pPr>
      <w:r>
        <w:rPr>
          <w:color w:val="58595B"/>
          <w:sz w:val="20"/>
        </w:rPr>
        <w:t>significant costs associated with addressing illegal dumping of hazardous waste could be avoided by redesigning the M&amp;I Landfill and PIW</w:t>
      </w:r>
      <w:r>
        <w:rPr>
          <w:color w:val="58595B"/>
          <w:spacing w:val="-2"/>
          <w:sz w:val="20"/>
        </w:rPr>
        <w:t xml:space="preserve"> </w:t>
      </w:r>
      <w:r>
        <w:rPr>
          <w:color w:val="58595B"/>
          <w:sz w:val="20"/>
        </w:rPr>
        <w:t>levies</w:t>
      </w:r>
    </w:p>
    <w:p w14:paraId="3C9EFA43" w14:textId="77777777" w:rsidR="00724131" w:rsidRDefault="00823349">
      <w:pPr>
        <w:pStyle w:val="ListParagraph"/>
        <w:numPr>
          <w:ilvl w:val="0"/>
          <w:numId w:val="31"/>
        </w:numPr>
        <w:tabs>
          <w:tab w:val="left" w:pos="305"/>
        </w:tabs>
        <w:spacing w:line="280" w:lineRule="auto"/>
        <w:ind w:right="1966" w:hanging="170"/>
        <w:rPr>
          <w:sz w:val="20"/>
        </w:rPr>
      </w:pPr>
      <w:r>
        <w:rPr>
          <w:color w:val="58595B"/>
          <w:sz w:val="20"/>
        </w:rPr>
        <w:t xml:space="preserve">transferring custody of the Sustainability Fund from the </w:t>
      </w:r>
      <w:r>
        <w:rPr>
          <w:color w:val="58595B"/>
          <w:spacing w:val="-4"/>
          <w:sz w:val="20"/>
        </w:rPr>
        <w:t xml:space="preserve">EPA </w:t>
      </w:r>
      <w:r>
        <w:rPr>
          <w:color w:val="58595B"/>
          <w:sz w:val="20"/>
        </w:rPr>
        <w:t xml:space="preserve">to DELWP should reduce the </w:t>
      </w:r>
      <w:r>
        <w:rPr>
          <w:color w:val="58595B"/>
          <w:spacing w:val="-7"/>
          <w:sz w:val="20"/>
        </w:rPr>
        <w:t xml:space="preserve">EPA’s </w:t>
      </w:r>
      <w:r>
        <w:rPr>
          <w:color w:val="58595B"/>
          <w:sz w:val="20"/>
        </w:rPr>
        <w:t>administration costs and associated reporting</w:t>
      </w:r>
      <w:r>
        <w:rPr>
          <w:color w:val="58595B"/>
          <w:spacing w:val="31"/>
          <w:sz w:val="20"/>
        </w:rPr>
        <w:t xml:space="preserve"> </w:t>
      </w:r>
      <w:r>
        <w:rPr>
          <w:color w:val="58595B"/>
          <w:sz w:val="20"/>
        </w:rPr>
        <w:t>costs</w:t>
      </w:r>
    </w:p>
    <w:p w14:paraId="39F3B954" w14:textId="77777777" w:rsidR="00724131" w:rsidRDefault="00823349">
      <w:pPr>
        <w:pStyle w:val="ListParagraph"/>
        <w:numPr>
          <w:ilvl w:val="0"/>
          <w:numId w:val="31"/>
        </w:numPr>
        <w:tabs>
          <w:tab w:val="left" w:pos="305"/>
        </w:tabs>
        <w:spacing w:line="280" w:lineRule="auto"/>
        <w:ind w:right="1782" w:hanging="170"/>
        <w:rPr>
          <w:sz w:val="20"/>
        </w:rPr>
      </w:pPr>
      <w:r>
        <w:rPr>
          <w:color w:val="58595B"/>
          <w:sz w:val="20"/>
        </w:rPr>
        <w:t>improved cost recovery for certain activities, such as the consultation processes associated with works approvals, could reduce the budgetary impact of these</w:t>
      </w:r>
      <w:r>
        <w:rPr>
          <w:color w:val="58595B"/>
          <w:spacing w:val="15"/>
          <w:sz w:val="20"/>
        </w:rPr>
        <w:t xml:space="preserve"> </w:t>
      </w:r>
      <w:r>
        <w:rPr>
          <w:color w:val="58595B"/>
          <w:sz w:val="20"/>
        </w:rPr>
        <w:t>activities</w:t>
      </w:r>
    </w:p>
    <w:p w14:paraId="56198EF3" w14:textId="77777777" w:rsidR="00724131" w:rsidRDefault="00823349">
      <w:pPr>
        <w:pStyle w:val="ListParagraph"/>
        <w:numPr>
          <w:ilvl w:val="0"/>
          <w:numId w:val="31"/>
        </w:numPr>
        <w:tabs>
          <w:tab w:val="left" w:pos="305"/>
        </w:tabs>
        <w:spacing w:line="280" w:lineRule="auto"/>
        <w:ind w:right="2076" w:hanging="170"/>
        <w:rPr>
          <w:sz w:val="20"/>
        </w:rPr>
      </w:pPr>
      <w:r>
        <w:rPr>
          <w:color w:val="58595B"/>
          <w:sz w:val="20"/>
        </w:rPr>
        <w:t xml:space="preserve">improved information and communication technology may allow the </w:t>
      </w:r>
      <w:r>
        <w:rPr>
          <w:color w:val="58595B"/>
          <w:spacing w:val="-4"/>
          <w:sz w:val="20"/>
        </w:rPr>
        <w:t xml:space="preserve">EPA </w:t>
      </w:r>
      <w:r>
        <w:rPr>
          <w:color w:val="58595B"/>
          <w:sz w:val="20"/>
        </w:rPr>
        <w:t>to deliver some regulatory services more efficiently and at lower overall</w:t>
      </w:r>
      <w:r>
        <w:rPr>
          <w:color w:val="58595B"/>
          <w:spacing w:val="25"/>
          <w:sz w:val="20"/>
        </w:rPr>
        <w:t xml:space="preserve"> </w:t>
      </w:r>
      <w:r>
        <w:rPr>
          <w:color w:val="58595B"/>
          <w:sz w:val="20"/>
        </w:rPr>
        <w:t>cost.</w:t>
      </w:r>
    </w:p>
    <w:p w14:paraId="2D8DEC66" w14:textId="4A4A693C" w:rsidR="00724131" w:rsidRDefault="00823349">
      <w:pPr>
        <w:pStyle w:val="BodyText"/>
        <w:spacing w:before="172" w:line="280" w:lineRule="auto"/>
        <w:ind w:left="134" w:right="1461"/>
      </w:pPr>
      <w:r>
        <w:rPr>
          <w:color w:val="58595B"/>
        </w:rPr>
        <w:t xml:space="preserve">The </w:t>
      </w:r>
      <w:r>
        <w:rPr>
          <w:color w:val="58595B"/>
          <w:spacing w:val="-4"/>
        </w:rPr>
        <w:t xml:space="preserve">EPA </w:t>
      </w:r>
      <w:r>
        <w:rPr>
          <w:color w:val="58595B"/>
        </w:rPr>
        <w:t xml:space="preserve">has already started detailed work on allocating costs to its various functions, to better understand </w:t>
      </w:r>
      <w:r>
        <w:rPr>
          <w:color w:val="58595B"/>
          <w:spacing w:val="-3"/>
        </w:rPr>
        <w:t xml:space="preserve">key </w:t>
      </w:r>
      <w:r>
        <w:rPr>
          <w:color w:val="58595B"/>
        </w:rPr>
        <w:t xml:space="preserve">cost drivers. This work will also reveal the relative resource intensity of alternative means of carrying out certain functions – for example, the relative costs of carrying out onsite inspections compared with desktop assessments. The </w:t>
      </w:r>
      <w:r>
        <w:rPr>
          <w:color w:val="58595B"/>
          <w:spacing w:val="-4"/>
        </w:rPr>
        <w:t xml:space="preserve">EPA </w:t>
      </w:r>
      <w:r>
        <w:rPr>
          <w:color w:val="58595B"/>
        </w:rPr>
        <w:t>could also use unit cost information</w:t>
      </w:r>
      <w:r w:rsidR="002E245C">
        <w:rPr>
          <w:color w:val="58595B"/>
        </w:rPr>
        <w:br/>
      </w:r>
      <w:r>
        <w:rPr>
          <w:color w:val="58595B"/>
        </w:rPr>
        <w:t>to benchmark its costs against best practice or similar activities with other</w:t>
      </w:r>
      <w:r>
        <w:rPr>
          <w:color w:val="58595B"/>
          <w:spacing w:val="18"/>
        </w:rPr>
        <w:t xml:space="preserve"> </w:t>
      </w:r>
      <w:r>
        <w:rPr>
          <w:color w:val="58595B"/>
        </w:rPr>
        <w:t>regulators.</w:t>
      </w:r>
    </w:p>
    <w:p w14:paraId="38B2E304" w14:textId="77777777" w:rsidR="00724131" w:rsidRDefault="00823349">
      <w:pPr>
        <w:pStyle w:val="BodyText"/>
        <w:spacing w:before="172" w:line="280" w:lineRule="auto"/>
        <w:ind w:left="134" w:right="1337"/>
      </w:pPr>
      <w:r>
        <w:rPr>
          <w:color w:val="58595B"/>
        </w:rPr>
        <w:t>However, we expect the additional costs associated with our recommendations to more than outweigh these possible savings.</w:t>
      </w:r>
    </w:p>
    <w:p w14:paraId="41BBE1C0" w14:textId="77777777" w:rsidR="00724131" w:rsidRDefault="00724131">
      <w:pPr>
        <w:spacing w:line="280" w:lineRule="auto"/>
        <w:sectPr w:rsidR="00724131">
          <w:pgSz w:w="11910" w:h="16840"/>
          <w:pgMar w:top="980" w:right="0" w:bottom="280" w:left="1680" w:header="788" w:footer="0" w:gutter="0"/>
          <w:cols w:space="720"/>
        </w:sectPr>
      </w:pPr>
    </w:p>
    <w:p w14:paraId="5FD05FA9" w14:textId="77777777" w:rsidR="00724131" w:rsidRDefault="00724131">
      <w:pPr>
        <w:pStyle w:val="BodyText"/>
      </w:pPr>
    </w:p>
    <w:p w14:paraId="57F2B939" w14:textId="77777777" w:rsidR="00724131" w:rsidRDefault="00724131">
      <w:pPr>
        <w:pStyle w:val="BodyText"/>
      </w:pPr>
    </w:p>
    <w:p w14:paraId="15B8AFF4" w14:textId="77777777" w:rsidR="00724131" w:rsidRDefault="00724131">
      <w:pPr>
        <w:pStyle w:val="BodyText"/>
      </w:pPr>
    </w:p>
    <w:p w14:paraId="6942DADC" w14:textId="77777777" w:rsidR="00724131" w:rsidRDefault="00724131">
      <w:pPr>
        <w:pStyle w:val="BodyText"/>
      </w:pPr>
    </w:p>
    <w:p w14:paraId="44D3251B" w14:textId="77777777" w:rsidR="00724131" w:rsidRDefault="00823349">
      <w:pPr>
        <w:pStyle w:val="Heading3"/>
        <w:spacing w:before="196"/>
        <w:ind w:right="228"/>
      </w:pPr>
      <w:r>
        <w:rPr>
          <w:color w:val="0095A7"/>
        </w:rPr>
        <w:t>Recommendations</w:t>
      </w:r>
    </w:p>
    <w:p w14:paraId="734347F5" w14:textId="77777777" w:rsidR="00724131" w:rsidRDefault="00054426">
      <w:pPr>
        <w:pStyle w:val="BodyText"/>
        <w:spacing w:before="1"/>
        <w:rPr>
          <w:sz w:val="18"/>
        </w:rPr>
      </w:pPr>
      <w:r>
        <w:pict w14:anchorId="1F166C0A">
          <v:shape id="_x0000_s1031" type="#_x0000_t202" style="position:absolute;margin-left:70.85pt;margin-top:11.6pt;width:433.7pt;height:256.6pt;z-index:1696;mso-wrap-distance-left:0;mso-wrap-distance-right:0;mso-position-horizontal-relative:page" fillcolor="#eff6f0" stroked="f">
            <v:textbox inset="0,0,0,0">
              <w:txbxContent>
                <w:p w14:paraId="2158D606" w14:textId="77777777" w:rsidR="00724131" w:rsidRDefault="00823349">
                  <w:pPr>
                    <w:spacing w:before="128"/>
                    <w:ind w:left="170" w:right="541"/>
                    <w:rPr>
                      <w:b/>
                      <w:sz w:val="20"/>
                    </w:rPr>
                  </w:pPr>
                  <w:r>
                    <w:rPr>
                      <w:b/>
                      <w:color w:val="808285"/>
                      <w:sz w:val="20"/>
                    </w:rPr>
                    <w:t>RECOMMENDATION 21.1</w:t>
                  </w:r>
                </w:p>
                <w:p w14:paraId="68176404" w14:textId="77777777" w:rsidR="00724131" w:rsidRDefault="00823349">
                  <w:pPr>
                    <w:pStyle w:val="BodyText"/>
                    <w:spacing w:before="120" w:line="276" w:lineRule="auto"/>
                    <w:ind w:left="170" w:right="901"/>
                  </w:pPr>
                  <w:r>
                    <w:rPr>
                      <w:color w:val="58595B"/>
                    </w:rPr>
                    <w:t>Develop a new funding model for the EPA that provides greater revenue certainty and stability, and reduces reliance on funding sources with conflicts of interest, including consideration of options for the EPA to:</w:t>
                  </w:r>
                </w:p>
                <w:p w14:paraId="6464E45D" w14:textId="77777777" w:rsidR="00724131" w:rsidRDefault="00823349">
                  <w:pPr>
                    <w:pStyle w:val="ListParagraph"/>
                    <w:numPr>
                      <w:ilvl w:val="0"/>
                      <w:numId w:val="5"/>
                    </w:numPr>
                    <w:tabs>
                      <w:tab w:val="left" w:pos="511"/>
                    </w:tabs>
                    <w:spacing w:before="171" w:line="276" w:lineRule="auto"/>
                    <w:ind w:right="563" w:hanging="340"/>
                    <w:rPr>
                      <w:sz w:val="20"/>
                    </w:rPr>
                  </w:pPr>
                  <w:r>
                    <w:rPr>
                      <w:color w:val="58595B"/>
                      <w:sz w:val="20"/>
                    </w:rPr>
                    <w:t xml:space="preserve">continue to receive annual distributions from the Municipal and Industrial </w:t>
                  </w:r>
                  <w:r>
                    <w:rPr>
                      <w:color w:val="58595B"/>
                      <w:spacing w:val="-3"/>
                      <w:sz w:val="20"/>
                    </w:rPr>
                    <w:t xml:space="preserve">Levy, </w:t>
                  </w:r>
                  <w:r>
                    <w:rPr>
                      <w:color w:val="58595B"/>
                      <w:sz w:val="20"/>
                    </w:rPr>
                    <w:t>unless or until a decision is taken to reinstate annual budget</w:t>
                  </w:r>
                  <w:r>
                    <w:rPr>
                      <w:color w:val="58595B"/>
                      <w:spacing w:val="-4"/>
                      <w:sz w:val="20"/>
                    </w:rPr>
                    <w:t xml:space="preserve"> </w:t>
                  </w:r>
                  <w:r>
                    <w:rPr>
                      <w:color w:val="58595B"/>
                      <w:sz w:val="20"/>
                    </w:rPr>
                    <w:t>appropriations</w:t>
                  </w:r>
                </w:p>
                <w:p w14:paraId="0D99A7BE" w14:textId="77777777" w:rsidR="00724131" w:rsidRDefault="00823349">
                  <w:pPr>
                    <w:pStyle w:val="ListParagraph"/>
                    <w:numPr>
                      <w:ilvl w:val="0"/>
                      <w:numId w:val="5"/>
                    </w:numPr>
                    <w:tabs>
                      <w:tab w:val="left" w:pos="511"/>
                    </w:tabs>
                    <w:spacing w:before="171" w:line="276" w:lineRule="auto"/>
                    <w:ind w:right="616" w:hanging="340"/>
                    <w:rPr>
                      <w:sz w:val="20"/>
                    </w:rPr>
                  </w:pPr>
                  <w:r>
                    <w:rPr>
                      <w:color w:val="58595B"/>
                      <w:sz w:val="20"/>
                    </w:rPr>
                    <w:t>retain revenues from regulatory fees and user charges that are currently paid into the Consolidated</w:t>
                  </w:r>
                  <w:r>
                    <w:rPr>
                      <w:color w:val="58595B"/>
                      <w:spacing w:val="-7"/>
                      <w:sz w:val="20"/>
                    </w:rPr>
                    <w:t xml:space="preserve"> </w:t>
                  </w:r>
                  <w:r>
                    <w:rPr>
                      <w:color w:val="58595B"/>
                      <w:sz w:val="20"/>
                    </w:rPr>
                    <w:t>Fund</w:t>
                  </w:r>
                </w:p>
                <w:p w14:paraId="5AC4E356" w14:textId="77777777" w:rsidR="00724131" w:rsidRDefault="00823349">
                  <w:pPr>
                    <w:pStyle w:val="ListParagraph"/>
                    <w:numPr>
                      <w:ilvl w:val="0"/>
                      <w:numId w:val="5"/>
                    </w:numPr>
                    <w:tabs>
                      <w:tab w:val="left" w:pos="511"/>
                    </w:tabs>
                    <w:spacing w:before="171" w:line="276" w:lineRule="auto"/>
                    <w:ind w:right="631" w:hanging="340"/>
                    <w:rPr>
                      <w:sz w:val="20"/>
                    </w:rPr>
                  </w:pPr>
                  <w:r>
                    <w:rPr>
                      <w:color w:val="58595B"/>
                      <w:sz w:val="20"/>
                    </w:rPr>
                    <w:t>no longer retain Prescribed Industrial Waste Levy revenues which should be directed instead into the Consolidated</w:t>
                  </w:r>
                  <w:r>
                    <w:rPr>
                      <w:color w:val="58595B"/>
                      <w:spacing w:val="-13"/>
                      <w:sz w:val="20"/>
                    </w:rPr>
                    <w:t xml:space="preserve"> </w:t>
                  </w:r>
                  <w:r>
                    <w:rPr>
                      <w:color w:val="58595B"/>
                      <w:sz w:val="20"/>
                    </w:rPr>
                    <w:t>Fund</w:t>
                  </w:r>
                </w:p>
                <w:p w14:paraId="4E5246BD" w14:textId="77777777" w:rsidR="00724131" w:rsidRDefault="00823349">
                  <w:pPr>
                    <w:pStyle w:val="ListParagraph"/>
                    <w:numPr>
                      <w:ilvl w:val="0"/>
                      <w:numId w:val="5"/>
                    </w:numPr>
                    <w:tabs>
                      <w:tab w:val="left" w:pos="511"/>
                    </w:tabs>
                    <w:spacing w:before="171" w:line="276" w:lineRule="auto"/>
                    <w:ind w:right="631" w:hanging="340"/>
                    <w:rPr>
                      <w:sz w:val="20"/>
                    </w:rPr>
                  </w:pPr>
                  <w:r>
                    <w:rPr>
                      <w:color w:val="58595B"/>
                      <w:sz w:val="20"/>
                    </w:rPr>
                    <w:t>receive additional disbursements from the Municipal and Industrial Landfill Levy to replace market linked investment income replacement grants from the Department of Environment, Land, Water and</w:t>
                  </w:r>
                  <w:r>
                    <w:rPr>
                      <w:color w:val="58595B"/>
                      <w:spacing w:val="-16"/>
                      <w:sz w:val="20"/>
                    </w:rPr>
                    <w:t xml:space="preserve"> </w:t>
                  </w:r>
                  <w:r>
                    <w:rPr>
                      <w:color w:val="58595B"/>
                      <w:sz w:val="20"/>
                    </w:rPr>
                    <w:t>Planning</w:t>
                  </w:r>
                </w:p>
                <w:p w14:paraId="45709B19" w14:textId="77777777" w:rsidR="00724131" w:rsidRDefault="00823349">
                  <w:pPr>
                    <w:pStyle w:val="ListParagraph"/>
                    <w:numPr>
                      <w:ilvl w:val="0"/>
                      <w:numId w:val="5"/>
                    </w:numPr>
                    <w:tabs>
                      <w:tab w:val="left" w:pos="511"/>
                    </w:tabs>
                    <w:spacing w:before="171" w:line="276" w:lineRule="auto"/>
                    <w:ind w:right="339" w:hanging="340"/>
                    <w:rPr>
                      <w:sz w:val="20"/>
                    </w:rPr>
                  </w:pPr>
                  <w:r>
                    <w:rPr>
                      <w:color w:val="58595B"/>
                      <w:sz w:val="20"/>
                    </w:rPr>
                    <w:t>receive an annual budget appropriation that replaces litter revenue which should instead be paid into the Consolidated</w:t>
                  </w:r>
                  <w:r>
                    <w:rPr>
                      <w:color w:val="58595B"/>
                      <w:spacing w:val="-11"/>
                      <w:sz w:val="20"/>
                    </w:rPr>
                    <w:t xml:space="preserve"> </w:t>
                  </w:r>
                  <w:r>
                    <w:rPr>
                      <w:color w:val="58595B"/>
                      <w:sz w:val="20"/>
                    </w:rPr>
                    <w:t>Fund.</w:t>
                  </w:r>
                </w:p>
              </w:txbxContent>
            </v:textbox>
            <w10:wrap type="topAndBottom" anchorx="page"/>
          </v:shape>
        </w:pict>
      </w:r>
      <w:r>
        <w:pict w14:anchorId="3A3B7EC6">
          <v:shape id="_x0000_s1030" type="#_x0000_t202" style="position:absolute;margin-left:70.85pt;margin-top:279.5pt;width:433.7pt;height:68.3pt;z-index:1720;mso-wrap-distance-left:0;mso-wrap-distance-right:0;mso-position-horizontal-relative:page" fillcolor="#eff6f0" stroked="f">
            <v:textbox inset="0,0,0,0">
              <w:txbxContent>
                <w:p w14:paraId="3501AA80" w14:textId="77777777" w:rsidR="00724131" w:rsidRDefault="00823349">
                  <w:pPr>
                    <w:spacing w:before="128"/>
                    <w:ind w:left="170"/>
                    <w:jc w:val="both"/>
                    <w:rPr>
                      <w:b/>
                      <w:sz w:val="20"/>
                    </w:rPr>
                  </w:pPr>
                  <w:r>
                    <w:rPr>
                      <w:b/>
                      <w:color w:val="808285"/>
                      <w:sz w:val="20"/>
                    </w:rPr>
                    <w:t>RECOMMENDATION 21.2</w:t>
                  </w:r>
                </w:p>
                <w:p w14:paraId="1BF6C1BA" w14:textId="77777777" w:rsidR="00724131" w:rsidRDefault="00823349">
                  <w:pPr>
                    <w:pStyle w:val="BodyText"/>
                    <w:spacing w:before="120" w:line="276" w:lineRule="auto"/>
                    <w:ind w:left="170" w:right="773"/>
                    <w:jc w:val="both"/>
                  </w:pPr>
                  <w:r>
                    <w:rPr>
                      <w:color w:val="58595B"/>
                    </w:rPr>
                    <w:t>Redesign the Municipal and Industrial Landfill Levy so that it better meets its regulatory objectives and to reduce incentives for illegal dumping, while maintaining a sustainable source of funding for environment protection activities.</w:t>
                  </w:r>
                </w:p>
              </w:txbxContent>
            </v:textbox>
            <w10:wrap type="topAndBottom" anchorx="page"/>
          </v:shape>
        </w:pict>
      </w:r>
      <w:r>
        <w:pict w14:anchorId="177B32D2">
          <v:shape id="_x0000_s1029" type="#_x0000_t202" style="position:absolute;margin-left:70.85pt;margin-top:359.15pt;width:433.7pt;height:133.6pt;z-index:1744;mso-wrap-distance-left:0;mso-wrap-distance-right:0;mso-position-horizontal-relative:page" fillcolor="#eff6f0" stroked="f">
            <v:textbox inset="0,0,0,0">
              <w:txbxContent>
                <w:p w14:paraId="1E4314C2" w14:textId="77777777" w:rsidR="00724131" w:rsidRDefault="00823349">
                  <w:pPr>
                    <w:spacing w:before="128"/>
                    <w:ind w:left="170" w:right="541"/>
                    <w:rPr>
                      <w:b/>
                      <w:sz w:val="20"/>
                    </w:rPr>
                  </w:pPr>
                  <w:r>
                    <w:rPr>
                      <w:b/>
                      <w:color w:val="808285"/>
                      <w:sz w:val="20"/>
                    </w:rPr>
                    <w:t>RECOMMENDATION 21.3</w:t>
                  </w:r>
                </w:p>
                <w:p w14:paraId="0E801FFC" w14:textId="77777777" w:rsidR="00724131" w:rsidRDefault="00823349">
                  <w:pPr>
                    <w:pStyle w:val="BodyText"/>
                    <w:spacing w:before="120" w:line="276" w:lineRule="auto"/>
                    <w:ind w:left="170" w:right="141"/>
                  </w:pPr>
                  <w:r>
                    <w:rPr>
                      <w:color w:val="58595B"/>
                    </w:rPr>
                    <w:t>Reform the Prescribed Industrial Waste Levy (and the associated regulatory framework for transporting, storing and disposing of hazardous waste) to:</w:t>
                  </w:r>
                </w:p>
                <w:p w14:paraId="6457C14A" w14:textId="77777777" w:rsidR="00724131" w:rsidRDefault="00823349">
                  <w:pPr>
                    <w:pStyle w:val="ListParagraph"/>
                    <w:numPr>
                      <w:ilvl w:val="0"/>
                      <w:numId w:val="4"/>
                    </w:numPr>
                    <w:tabs>
                      <w:tab w:val="left" w:pos="511"/>
                    </w:tabs>
                    <w:spacing w:before="171"/>
                    <w:ind w:hanging="340"/>
                    <w:rPr>
                      <w:sz w:val="20"/>
                    </w:rPr>
                  </w:pPr>
                  <w:r>
                    <w:rPr>
                      <w:color w:val="58595B"/>
                      <w:sz w:val="20"/>
                    </w:rPr>
                    <w:t>curtail the growing problem of illegal dumping of hazardous</w:t>
                  </w:r>
                  <w:r>
                    <w:rPr>
                      <w:color w:val="58595B"/>
                      <w:spacing w:val="6"/>
                      <w:sz w:val="20"/>
                    </w:rPr>
                    <w:t xml:space="preserve"> </w:t>
                  </w:r>
                  <w:r>
                    <w:rPr>
                      <w:color w:val="58595B"/>
                      <w:sz w:val="20"/>
                    </w:rPr>
                    <w:t>waste</w:t>
                  </w:r>
                </w:p>
                <w:p w14:paraId="159F1D4F" w14:textId="77777777" w:rsidR="00724131" w:rsidRDefault="00724131">
                  <w:pPr>
                    <w:pStyle w:val="BodyText"/>
                    <w:spacing w:before="9"/>
                    <w:rPr>
                      <w:sz w:val="17"/>
                    </w:rPr>
                  </w:pPr>
                </w:p>
                <w:p w14:paraId="143428FB" w14:textId="77777777" w:rsidR="00724131" w:rsidRDefault="00823349">
                  <w:pPr>
                    <w:pStyle w:val="ListParagraph"/>
                    <w:numPr>
                      <w:ilvl w:val="0"/>
                      <w:numId w:val="4"/>
                    </w:numPr>
                    <w:tabs>
                      <w:tab w:val="left" w:pos="511"/>
                    </w:tabs>
                    <w:spacing w:before="0"/>
                    <w:ind w:hanging="340"/>
                    <w:rPr>
                      <w:sz w:val="20"/>
                    </w:rPr>
                  </w:pPr>
                  <w:r>
                    <w:rPr>
                      <w:color w:val="58595B"/>
                      <w:sz w:val="20"/>
                    </w:rPr>
                    <w:t>reduce mounting costs of additional compliance activity targeted to illegal</w:t>
                  </w:r>
                  <w:r>
                    <w:rPr>
                      <w:color w:val="58595B"/>
                      <w:spacing w:val="15"/>
                      <w:sz w:val="20"/>
                    </w:rPr>
                    <w:t xml:space="preserve"> </w:t>
                  </w:r>
                  <w:r>
                    <w:rPr>
                      <w:color w:val="58595B"/>
                      <w:sz w:val="20"/>
                    </w:rPr>
                    <w:t>dumping</w:t>
                  </w:r>
                </w:p>
                <w:p w14:paraId="3014F163" w14:textId="77777777" w:rsidR="00724131" w:rsidRDefault="00724131">
                  <w:pPr>
                    <w:pStyle w:val="BodyText"/>
                    <w:spacing w:before="9"/>
                    <w:rPr>
                      <w:sz w:val="17"/>
                    </w:rPr>
                  </w:pPr>
                </w:p>
                <w:p w14:paraId="2E7D3264" w14:textId="77777777" w:rsidR="00724131" w:rsidRDefault="00823349">
                  <w:pPr>
                    <w:pStyle w:val="ListParagraph"/>
                    <w:numPr>
                      <w:ilvl w:val="0"/>
                      <w:numId w:val="4"/>
                    </w:numPr>
                    <w:tabs>
                      <w:tab w:val="left" w:pos="511"/>
                    </w:tabs>
                    <w:spacing w:before="0" w:line="276" w:lineRule="auto"/>
                    <w:ind w:right="1213" w:hanging="340"/>
                    <w:rPr>
                      <w:sz w:val="20"/>
                    </w:rPr>
                  </w:pPr>
                  <w:r>
                    <w:rPr>
                      <w:color w:val="58595B"/>
                      <w:spacing w:val="-3"/>
                      <w:sz w:val="20"/>
                    </w:rPr>
                    <w:t>avoid</w:t>
                  </w:r>
                  <w:r>
                    <w:rPr>
                      <w:color w:val="58595B"/>
                      <w:spacing w:val="-21"/>
                      <w:sz w:val="20"/>
                    </w:rPr>
                    <w:t xml:space="preserve"> </w:t>
                  </w:r>
                  <w:r>
                    <w:rPr>
                      <w:color w:val="58595B"/>
                      <w:sz w:val="20"/>
                    </w:rPr>
                    <w:t>further</w:t>
                  </w:r>
                  <w:r>
                    <w:rPr>
                      <w:color w:val="58595B"/>
                      <w:spacing w:val="-21"/>
                      <w:sz w:val="20"/>
                    </w:rPr>
                    <w:t xml:space="preserve"> </w:t>
                  </w:r>
                  <w:r>
                    <w:rPr>
                      <w:color w:val="58595B"/>
                      <w:sz w:val="20"/>
                    </w:rPr>
                    <w:t>erosion</w:t>
                  </w:r>
                  <w:r>
                    <w:rPr>
                      <w:color w:val="58595B"/>
                      <w:spacing w:val="-21"/>
                      <w:sz w:val="20"/>
                    </w:rPr>
                    <w:t xml:space="preserve"> </w:t>
                  </w:r>
                  <w:r>
                    <w:rPr>
                      <w:color w:val="58595B"/>
                      <w:sz w:val="20"/>
                    </w:rPr>
                    <w:t>in</w:t>
                  </w:r>
                  <w:r>
                    <w:rPr>
                      <w:color w:val="58595B"/>
                      <w:spacing w:val="-21"/>
                      <w:sz w:val="20"/>
                    </w:rPr>
                    <w:t xml:space="preserve"> </w:t>
                  </w:r>
                  <w:r>
                    <w:rPr>
                      <w:color w:val="58595B"/>
                      <w:sz w:val="20"/>
                    </w:rPr>
                    <w:t>the</w:t>
                  </w:r>
                  <w:r>
                    <w:rPr>
                      <w:color w:val="58595B"/>
                      <w:spacing w:val="-21"/>
                      <w:sz w:val="20"/>
                    </w:rPr>
                    <w:t xml:space="preserve"> </w:t>
                  </w:r>
                  <w:r>
                    <w:rPr>
                      <w:color w:val="58595B"/>
                      <w:sz w:val="20"/>
                    </w:rPr>
                    <w:t>Prescribed</w:t>
                  </w:r>
                  <w:r>
                    <w:rPr>
                      <w:color w:val="58595B"/>
                      <w:spacing w:val="-21"/>
                      <w:sz w:val="20"/>
                    </w:rPr>
                    <w:t xml:space="preserve"> </w:t>
                  </w:r>
                  <w:r>
                    <w:rPr>
                      <w:color w:val="58595B"/>
                      <w:sz w:val="20"/>
                    </w:rPr>
                    <w:t>Industrial</w:t>
                  </w:r>
                  <w:r>
                    <w:rPr>
                      <w:color w:val="58595B"/>
                      <w:spacing w:val="-21"/>
                      <w:sz w:val="20"/>
                    </w:rPr>
                    <w:t xml:space="preserve"> </w:t>
                  </w:r>
                  <w:r>
                    <w:rPr>
                      <w:color w:val="58595B"/>
                      <w:spacing w:val="-3"/>
                      <w:sz w:val="20"/>
                    </w:rPr>
                    <w:t>Waste</w:t>
                  </w:r>
                  <w:r>
                    <w:rPr>
                      <w:color w:val="58595B"/>
                      <w:spacing w:val="-21"/>
                      <w:sz w:val="20"/>
                    </w:rPr>
                    <w:t xml:space="preserve"> </w:t>
                  </w:r>
                  <w:r>
                    <w:rPr>
                      <w:color w:val="58595B"/>
                      <w:sz w:val="20"/>
                    </w:rPr>
                    <w:t>Levy</w:t>
                  </w:r>
                  <w:r>
                    <w:rPr>
                      <w:color w:val="58595B"/>
                      <w:spacing w:val="-21"/>
                      <w:sz w:val="20"/>
                    </w:rPr>
                    <w:t xml:space="preserve"> </w:t>
                  </w:r>
                  <w:r>
                    <w:rPr>
                      <w:color w:val="58595B"/>
                      <w:spacing w:val="-3"/>
                      <w:sz w:val="20"/>
                    </w:rPr>
                    <w:t>revenue</w:t>
                  </w:r>
                  <w:r>
                    <w:rPr>
                      <w:color w:val="58595B"/>
                      <w:spacing w:val="-21"/>
                      <w:sz w:val="20"/>
                    </w:rPr>
                    <w:t xml:space="preserve"> </w:t>
                  </w:r>
                  <w:r>
                    <w:rPr>
                      <w:color w:val="58595B"/>
                      <w:sz w:val="20"/>
                    </w:rPr>
                    <w:t>base</w:t>
                  </w:r>
                  <w:r>
                    <w:rPr>
                      <w:color w:val="58595B"/>
                      <w:spacing w:val="-21"/>
                      <w:sz w:val="20"/>
                    </w:rPr>
                    <w:t xml:space="preserve"> </w:t>
                  </w:r>
                  <w:r>
                    <w:rPr>
                      <w:color w:val="58595B"/>
                      <w:sz w:val="20"/>
                    </w:rPr>
                    <w:t>due</w:t>
                  </w:r>
                  <w:r>
                    <w:rPr>
                      <w:color w:val="58595B"/>
                      <w:spacing w:val="-21"/>
                      <w:sz w:val="20"/>
                    </w:rPr>
                    <w:t xml:space="preserve"> </w:t>
                  </w:r>
                  <w:r>
                    <w:rPr>
                      <w:color w:val="58595B"/>
                      <w:sz w:val="20"/>
                    </w:rPr>
                    <w:t xml:space="preserve">to </w:t>
                  </w:r>
                  <w:r>
                    <w:rPr>
                      <w:color w:val="58595B"/>
                      <w:w w:val="95"/>
                      <w:sz w:val="20"/>
                    </w:rPr>
                    <w:t>avoidance</w:t>
                  </w:r>
                  <w:r>
                    <w:rPr>
                      <w:color w:val="58595B"/>
                      <w:spacing w:val="34"/>
                      <w:w w:val="95"/>
                      <w:sz w:val="20"/>
                    </w:rPr>
                    <w:t xml:space="preserve"> </w:t>
                  </w:r>
                  <w:r>
                    <w:rPr>
                      <w:color w:val="58595B"/>
                      <w:spacing w:val="-3"/>
                      <w:w w:val="95"/>
                      <w:sz w:val="20"/>
                    </w:rPr>
                    <w:t>activity.</w:t>
                  </w:r>
                </w:p>
              </w:txbxContent>
            </v:textbox>
            <w10:wrap type="topAndBottom" anchorx="page"/>
          </v:shape>
        </w:pict>
      </w:r>
      <w:r>
        <w:pict w14:anchorId="6C59614D">
          <v:shape id="_x0000_s1028" type="#_x0000_t202" style="position:absolute;margin-left:70.85pt;margin-top:7in;width:433.7pt;height:177.1pt;z-index:1768;mso-wrap-distance-left:0;mso-wrap-distance-right:0;mso-position-horizontal-relative:page" fillcolor="#eff6f0" stroked="f">
            <v:textbox inset="0,0,0,0">
              <w:txbxContent>
                <w:p w14:paraId="4F83E1D0" w14:textId="77777777" w:rsidR="00724131" w:rsidRDefault="00823349">
                  <w:pPr>
                    <w:spacing w:before="128"/>
                    <w:ind w:left="170"/>
                    <w:jc w:val="both"/>
                    <w:rPr>
                      <w:b/>
                      <w:sz w:val="20"/>
                    </w:rPr>
                  </w:pPr>
                  <w:r>
                    <w:rPr>
                      <w:b/>
                      <w:color w:val="808285"/>
                      <w:sz w:val="20"/>
                    </w:rPr>
                    <w:t>RECOMMENDATION 21.4</w:t>
                  </w:r>
                </w:p>
                <w:p w14:paraId="117ACF71" w14:textId="77777777" w:rsidR="00724131" w:rsidRDefault="00823349">
                  <w:pPr>
                    <w:pStyle w:val="BodyText"/>
                    <w:spacing w:before="120" w:line="276" w:lineRule="auto"/>
                    <w:ind w:left="170" w:right="710"/>
                    <w:jc w:val="both"/>
                  </w:pPr>
                  <w:r>
                    <w:rPr>
                      <w:color w:val="58595B"/>
                    </w:rPr>
                    <w:t>The Department of Environment, Land, Water and Planning prepare a business case to support an increase in the EPA’s future resource levels to enable it to fulfil the additional functions and responsibilities recommended by this inquiry including:</w:t>
                  </w:r>
                </w:p>
                <w:p w14:paraId="2F74E497" w14:textId="77777777" w:rsidR="00724131" w:rsidRDefault="00823349">
                  <w:pPr>
                    <w:pStyle w:val="ListParagraph"/>
                    <w:numPr>
                      <w:ilvl w:val="0"/>
                      <w:numId w:val="3"/>
                    </w:numPr>
                    <w:tabs>
                      <w:tab w:val="left" w:pos="511"/>
                    </w:tabs>
                    <w:spacing w:before="171"/>
                    <w:ind w:hanging="340"/>
                    <w:jc w:val="both"/>
                    <w:rPr>
                      <w:sz w:val="20"/>
                    </w:rPr>
                  </w:pPr>
                  <w:r>
                    <w:rPr>
                      <w:color w:val="58595B"/>
                      <w:sz w:val="20"/>
                    </w:rPr>
                    <w:t>environmental health and scientific</w:t>
                  </w:r>
                  <w:r>
                    <w:rPr>
                      <w:color w:val="58595B"/>
                      <w:spacing w:val="8"/>
                      <w:sz w:val="20"/>
                    </w:rPr>
                    <w:t xml:space="preserve"> </w:t>
                  </w:r>
                  <w:r>
                    <w:rPr>
                      <w:color w:val="58595B"/>
                      <w:sz w:val="20"/>
                    </w:rPr>
                    <w:t>capabilities</w:t>
                  </w:r>
                </w:p>
                <w:p w14:paraId="327233B9" w14:textId="77777777" w:rsidR="00724131" w:rsidRDefault="00724131">
                  <w:pPr>
                    <w:pStyle w:val="BodyText"/>
                    <w:spacing w:before="9"/>
                    <w:rPr>
                      <w:sz w:val="17"/>
                    </w:rPr>
                  </w:pPr>
                </w:p>
                <w:p w14:paraId="623702E4" w14:textId="77777777" w:rsidR="00724131" w:rsidRDefault="00823349">
                  <w:pPr>
                    <w:pStyle w:val="ListParagraph"/>
                    <w:numPr>
                      <w:ilvl w:val="0"/>
                      <w:numId w:val="3"/>
                    </w:numPr>
                    <w:tabs>
                      <w:tab w:val="left" w:pos="511"/>
                    </w:tabs>
                    <w:spacing w:before="0"/>
                    <w:ind w:hanging="340"/>
                    <w:jc w:val="both"/>
                    <w:rPr>
                      <w:sz w:val="20"/>
                    </w:rPr>
                  </w:pPr>
                  <w:r>
                    <w:rPr>
                      <w:color w:val="58595B"/>
                      <w:sz w:val="20"/>
                    </w:rPr>
                    <w:t>activities to support a general</w:t>
                  </w:r>
                  <w:r>
                    <w:rPr>
                      <w:color w:val="58595B"/>
                      <w:spacing w:val="14"/>
                      <w:sz w:val="20"/>
                    </w:rPr>
                    <w:t xml:space="preserve"> </w:t>
                  </w:r>
                  <w:r>
                    <w:rPr>
                      <w:color w:val="58595B"/>
                      <w:sz w:val="20"/>
                    </w:rPr>
                    <w:t>duty</w:t>
                  </w:r>
                </w:p>
                <w:p w14:paraId="7376D7FD" w14:textId="77777777" w:rsidR="00724131" w:rsidRDefault="00724131">
                  <w:pPr>
                    <w:pStyle w:val="BodyText"/>
                    <w:spacing w:before="9"/>
                    <w:rPr>
                      <w:sz w:val="17"/>
                    </w:rPr>
                  </w:pPr>
                </w:p>
                <w:p w14:paraId="31490C15" w14:textId="77777777" w:rsidR="00724131" w:rsidRDefault="00823349">
                  <w:pPr>
                    <w:pStyle w:val="ListParagraph"/>
                    <w:numPr>
                      <w:ilvl w:val="0"/>
                      <w:numId w:val="3"/>
                    </w:numPr>
                    <w:tabs>
                      <w:tab w:val="left" w:pos="511"/>
                    </w:tabs>
                    <w:spacing w:before="0"/>
                    <w:ind w:hanging="340"/>
                    <w:jc w:val="both"/>
                    <w:rPr>
                      <w:sz w:val="20"/>
                    </w:rPr>
                  </w:pPr>
                  <w:r>
                    <w:rPr>
                      <w:color w:val="58595B"/>
                      <w:spacing w:val="-4"/>
                      <w:sz w:val="20"/>
                    </w:rPr>
                    <w:t xml:space="preserve">EPA </w:t>
                  </w:r>
                  <w:r>
                    <w:rPr>
                      <w:color w:val="58595B"/>
                      <w:sz w:val="20"/>
                    </w:rPr>
                    <w:t>coordination and oversight of local government environment protection</w:t>
                  </w:r>
                  <w:r>
                    <w:rPr>
                      <w:color w:val="58595B"/>
                      <w:spacing w:val="18"/>
                      <w:sz w:val="20"/>
                    </w:rPr>
                    <w:t xml:space="preserve"> </w:t>
                  </w:r>
                  <w:r>
                    <w:rPr>
                      <w:color w:val="58595B"/>
                      <w:sz w:val="20"/>
                    </w:rPr>
                    <w:t>officers</w:t>
                  </w:r>
                </w:p>
                <w:p w14:paraId="5A614F2E" w14:textId="77777777" w:rsidR="00724131" w:rsidRDefault="00724131">
                  <w:pPr>
                    <w:pStyle w:val="BodyText"/>
                    <w:spacing w:before="9"/>
                    <w:rPr>
                      <w:sz w:val="17"/>
                    </w:rPr>
                  </w:pPr>
                </w:p>
                <w:p w14:paraId="62277179" w14:textId="77777777" w:rsidR="00724131" w:rsidRDefault="00823349">
                  <w:pPr>
                    <w:pStyle w:val="ListParagraph"/>
                    <w:numPr>
                      <w:ilvl w:val="0"/>
                      <w:numId w:val="3"/>
                    </w:numPr>
                    <w:tabs>
                      <w:tab w:val="left" w:pos="511"/>
                    </w:tabs>
                    <w:spacing w:before="0"/>
                    <w:ind w:hanging="340"/>
                    <w:jc w:val="both"/>
                    <w:rPr>
                      <w:sz w:val="20"/>
                    </w:rPr>
                  </w:pPr>
                  <w:r>
                    <w:rPr>
                      <w:color w:val="58595B"/>
                      <w:sz w:val="20"/>
                    </w:rPr>
                    <w:t>land use planning</w:t>
                  </w:r>
                  <w:r>
                    <w:rPr>
                      <w:color w:val="58595B"/>
                      <w:spacing w:val="4"/>
                      <w:sz w:val="20"/>
                    </w:rPr>
                    <w:t xml:space="preserve"> </w:t>
                  </w:r>
                  <w:r>
                    <w:rPr>
                      <w:color w:val="58595B"/>
                      <w:sz w:val="20"/>
                    </w:rPr>
                    <w:t>expertise</w:t>
                  </w:r>
                </w:p>
                <w:p w14:paraId="1E392007" w14:textId="77777777" w:rsidR="00724131" w:rsidRDefault="00724131">
                  <w:pPr>
                    <w:pStyle w:val="BodyText"/>
                    <w:spacing w:before="9"/>
                    <w:rPr>
                      <w:sz w:val="17"/>
                    </w:rPr>
                  </w:pPr>
                </w:p>
                <w:p w14:paraId="108E63B2" w14:textId="77777777" w:rsidR="00724131" w:rsidRDefault="00823349">
                  <w:pPr>
                    <w:pStyle w:val="ListParagraph"/>
                    <w:numPr>
                      <w:ilvl w:val="0"/>
                      <w:numId w:val="3"/>
                    </w:numPr>
                    <w:tabs>
                      <w:tab w:val="left" w:pos="511"/>
                    </w:tabs>
                    <w:spacing w:before="0"/>
                    <w:ind w:hanging="340"/>
                    <w:jc w:val="both"/>
                    <w:rPr>
                      <w:sz w:val="20"/>
                    </w:rPr>
                  </w:pPr>
                  <w:r>
                    <w:rPr>
                      <w:color w:val="58595B"/>
                      <w:sz w:val="20"/>
                    </w:rPr>
                    <w:t>investing in up-to-date information, communication and surveillance</w:t>
                  </w:r>
                  <w:r>
                    <w:rPr>
                      <w:color w:val="58595B"/>
                      <w:spacing w:val="28"/>
                      <w:sz w:val="20"/>
                    </w:rPr>
                    <w:t xml:space="preserve"> </w:t>
                  </w:r>
                  <w:r>
                    <w:rPr>
                      <w:color w:val="58595B"/>
                      <w:sz w:val="20"/>
                    </w:rPr>
                    <w:t>technologies.</w:t>
                  </w:r>
                </w:p>
              </w:txbxContent>
            </v:textbox>
            <w10:wrap type="topAndBottom" anchorx="page"/>
          </v:shape>
        </w:pict>
      </w:r>
    </w:p>
    <w:p w14:paraId="772C8952" w14:textId="77777777" w:rsidR="00724131" w:rsidRDefault="00724131">
      <w:pPr>
        <w:pStyle w:val="BodyText"/>
        <w:spacing w:before="3"/>
        <w:rPr>
          <w:sz w:val="16"/>
        </w:rPr>
      </w:pPr>
    </w:p>
    <w:p w14:paraId="029D10CB" w14:textId="77777777" w:rsidR="00724131" w:rsidRDefault="00724131">
      <w:pPr>
        <w:pStyle w:val="BodyText"/>
        <w:spacing w:before="3"/>
        <w:rPr>
          <w:sz w:val="16"/>
        </w:rPr>
      </w:pPr>
    </w:p>
    <w:p w14:paraId="5E99F4EA" w14:textId="77777777" w:rsidR="00724131" w:rsidRDefault="00724131">
      <w:pPr>
        <w:pStyle w:val="BodyText"/>
        <w:spacing w:before="3"/>
        <w:rPr>
          <w:sz w:val="16"/>
        </w:rPr>
      </w:pPr>
    </w:p>
    <w:p w14:paraId="5355A58D" w14:textId="77777777" w:rsidR="00724131" w:rsidRDefault="00724131">
      <w:pPr>
        <w:rPr>
          <w:sz w:val="16"/>
        </w:rPr>
        <w:sectPr w:rsidR="00724131">
          <w:pgSz w:w="11910" w:h="16840"/>
          <w:pgMar w:top="980" w:right="1680" w:bottom="280" w:left="0" w:header="788" w:footer="0" w:gutter="0"/>
          <w:cols w:space="720"/>
        </w:sectPr>
      </w:pPr>
    </w:p>
    <w:p w14:paraId="17BCFC53" w14:textId="77777777" w:rsidR="00724131" w:rsidRDefault="00724131">
      <w:pPr>
        <w:pStyle w:val="BodyText"/>
      </w:pPr>
    </w:p>
    <w:p w14:paraId="4828B76C" w14:textId="77777777" w:rsidR="00724131" w:rsidRDefault="00724131">
      <w:pPr>
        <w:pStyle w:val="BodyText"/>
      </w:pPr>
    </w:p>
    <w:p w14:paraId="5D1177B5" w14:textId="77777777" w:rsidR="00724131" w:rsidRDefault="00724131">
      <w:pPr>
        <w:pStyle w:val="BodyText"/>
      </w:pPr>
    </w:p>
    <w:p w14:paraId="022A53EB" w14:textId="77777777" w:rsidR="00724131" w:rsidRDefault="00724131">
      <w:pPr>
        <w:pStyle w:val="BodyText"/>
      </w:pPr>
    </w:p>
    <w:p w14:paraId="2CE206D5" w14:textId="77777777" w:rsidR="00724131" w:rsidRDefault="00724131">
      <w:pPr>
        <w:pStyle w:val="BodyText"/>
        <w:spacing w:before="4"/>
        <w:rPr>
          <w:sz w:val="13"/>
        </w:rPr>
      </w:pPr>
    </w:p>
    <w:p w14:paraId="762CF684" w14:textId="77777777" w:rsidR="00724131" w:rsidRDefault="00054426">
      <w:pPr>
        <w:pStyle w:val="BodyText"/>
        <w:spacing w:line="20" w:lineRule="exact"/>
        <w:ind w:left="129"/>
        <w:rPr>
          <w:sz w:val="2"/>
        </w:rPr>
      </w:pPr>
      <w:r>
        <w:rPr>
          <w:sz w:val="2"/>
        </w:rPr>
      </w:r>
      <w:r>
        <w:rPr>
          <w:sz w:val="2"/>
        </w:rPr>
        <w:pict w14:anchorId="03E24AEE">
          <v:group id="_x0000_s1026" style="width:211.35pt;height:.5pt;mso-position-horizontal-relative:char;mso-position-vertical-relative:line" coordsize="4227,10">
            <v:line id="_x0000_s1027" style="position:absolute" from="5,5" to="4222,5" strokecolor="#58595b" strokeweight=".5pt"/>
            <w10:wrap type="none"/>
            <w10:anchorlock/>
          </v:group>
        </w:pict>
      </w:r>
    </w:p>
    <w:p w14:paraId="35FA0E54" w14:textId="4CF253BD" w:rsidR="00724131" w:rsidRDefault="00823349">
      <w:pPr>
        <w:pStyle w:val="ListParagraph"/>
        <w:numPr>
          <w:ilvl w:val="0"/>
          <w:numId w:val="2"/>
        </w:numPr>
        <w:tabs>
          <w:tab w:val="left" w:pos="418"/>
        </w:tabs>
        <w:spacing w:before="47" w:line="242" w:lineRule="auto"/>
        <w:ind w:right="5885" w:hanging="283"/>
        <w:rPr>
          <w:sz w:val="12"/>
        </w:rPr>
      </w:pPr>
      <w:r>
        <w:rPr>
          <w:color w:val="58595B"/>
          <w:sz w:val="12"/>
        </w:rPr>
        <w:t xml:space="preserve">Grant payments from the Sustainability Fund and </w:t>
      </w:r>
      <w:r>
        <w:rPr>
          <w:color w:val="58595B"/>
          <w:spacing w:val="2"/>
          <w:sz w:val="12"/>
        </w:rPr>
        <w:t xml:space="preserve">specific </w:t>
      </w:r>
      <w:r>
        <w:rPr>
          <w:color w:val="58595B"/>
          <w:sz w:val="12"/>
        </w:rPr>
        <w:t>programs funded from Prescribed Industrial Waste levies (for example, HazWaste and Regional Waste Management Groups) are excluded from the operating budget because these funds are not available to the EPA</w:t>
      </w:r>
    </w:p>
    <w:p w14:paraId="55048767" w14:textId="77777777" w:rsidR="00724131" w:rsidRDefault="00823349">
      <w:pPr>
        <w:ind w:left="417" w:right="228"/>
        <w:rPr>
          <w:sz w:val="12"/>
        </w:rPr>
      </w:pPr>
      <w:r>
        <w:rPr>
          <w:color w:val="58595B"/>
          <w:sz w:val="12"/>
        </w:rPr>
        <w:t>for its own purposes.</w:t>
      </w:r>
    </w:p>
    <w:p w14:paraId="29CB60EC" w14:textId="0141BBD4" w:rsidR="00724131" w:rsidRDefault="00823349">
      <w:pPr>
        <w:pStyle w:val="ListParagraph"/>
        <w:numPr>
          <w:ilvl w:val="0"/>
          <w:numId w:val="2"/>
        </w:numPr>
        <w:tabs>
          <w:tab w:val="left" w:pos="418"/>
        </w:tabs>
        <w:spacing w:before="30" w:line="242" w:lineRule="auto"/>
        <w:ind w:right="5950" w:hanging="283"/>
        <w:rPr>
          <w:sz w:val="12"/>
        </w:rPr>
      </w:pPr>
      <w:r>
        <w:rPr>
          <w:color w:val="58595B"/>
          <w:sz w:val="12"/>
        </w:rPr>
        <w:t xml:space="preserve">However, the EPA expects actual revenues in 2015-16 to fall well </w:t>
      </w:r>
      <w:r>
        <w:rPr>
          <w:color w:val="58595B"/>
          <w:spacing w:val="2"/>
          <w:sz w:val="12"/>
        </w:rPr>
        <w:t xml:space="preserve">short </w:t>
      </w:r>
      <w:r>
        <w:rPr>
          <w:color w:val="58595B"/>
          <w:sz w:val="12"/>
        </w:rPr>
        <w:t xml:space="preserve">of this estimate, </w:t>
      </w:r>
      <w:r>
        <w:rPr>
          <w:color w:val="58595B"/>
          <w:spacing w:val="2"/>
          <w:sz w:val="12"/>
        </w:rPr>
        <w:t xml:space="preserve">reflecting </w:t>
      </w:r>
      <w:r>
        <w:rPr>
          <w:color w:val="58595B"/>
          <w:sz w:val="12"/>
        </w:rPr>
        <w:t xml:space="preserve">lower than forecast returns on investments and higher than expected rebates of the Prescribed </w:t>
      </w:r>
      <w:r>
        <w:rPr>
          <w:color w:val="58595B"/>
          <w:spacing w:val="2"/>
          <w:sz w:val="12"/>
        </w:rPr>
        <w:t>Industry</w:t>
      </w:r>
      <w:r w:rsidR="002E245C">
        <w:rPr>
          <w:color w:val="58595B"/>
          <w:spacing w:val="2"/>
          <w:sz w:val="12"/>
        </w:rPr>
        <w:t xml:space="preserve"> </w:t>
      </w:r>
    </w:p>
    <w:p w14:paraId="7A5203CA" w14:textId="77777777" w:rsidR="00724131" w:rsidRDefault="00823349">
      <w:pPr>
        <w:ind w:left="417" w:right="228"/>
        <w:rPr>
          <w:sz w:val="12"/>
        </w:rPr>
      </w:pPr>
      <w:r>
        <w:rPr>
          <w:color w:val="58595B"/>
          <w:sz w:val="12"/>
        </w:rPr>
        <w:t>Waste levy.</w:t>
      </w:r>
    </w:p>
    <w:p w14:paraId="37685638" w14:textId="046BD93F" w:rsidR="00724131" w:rsidRDefault="00BE22B2">
      <w:pPr>
        <w:pStyle w:val="ListParagraph"/>
        <w:numPr>
          <w:ilvl w:val="0"/>
          <w:numId w:val="2"/>
        </w:numPr>
        <w:tabs>
          <w:tab w:val="left" w:pos="418"/>
        </w:tabs>
        <w:spacing w:before="30" w:line="242" w:lineRule="auto"/>
        <w:ind w:right="6079" w:hanging="283"/>
        <w:rPr>
          <w:sz w:val="12"/>
        </w:rPr>
      </w:pPr>
      <w:r>
        <w:rPr>
          <w:color w:val="58595B"/>
          <w:sz w:val="12"/>
        </w:rPr>
        <w:t xml:space="preserve">Although administration of the Sustainability Fund was </w:t>
      </w:r>
      <w:r w:rsidR="00823349">
        <w:rPr>
          <w:color w:val="58595B"/>
          <w:sz w:val="12"/>
        </w:rPr>
        <w:t xml:space="preserve">transferred to DELWP on 1 July 2015, investment income replacement grants to the EPA continue to </w:t>
      </w:r>
      <w:r w:rsidR="00823349">
        <w:rPr>
          <w:color w:val="58595B"/>
          <w:spacing w:val="2"/>
          <w:sz w:val="12"/>
        </w:rPr>
        <w:t xml:space="preserve">reflect </w:t>
      </w:r>
      <w:r w:rsidR="00823349">
        <w:rPr>
          <w:color w:val="58595B"/>
          <w:sz w:val="12"/>
        </w:rPr>
        <w:t>actual income earned on investment of Fund</w:t>
      </w:r>
      <w:r w:rsidR="00823349">
        <w:rPr>
          <w:color w:val="58595B"/>
          <w:spacing w:val="18"/>
          <w:sz w:val="12"/>
        </w:rPr>
        <w:t xml:space="preserve"> </w:t>
      </w:r>
      <w:r w:rsidR="00823349">
        <w:rPr>
          <w:color w:val="58595B"/>
          <w:sz w:val="12"/>
        </w:rPr>
        <w:t>balances.</w:t>
      </w:r>
    </w:p>
    <w:p w14:paraId="38C0634F" w14:textId="0A979174" w:rsidR="00724131" w:rsidRDefault="00823349">
      <w:pPr>
        <w:pStyle w:val="ListParagraph"/>
        <w:numPr>
          <w:ilvl w:val="0"/>
          <w:numId w:val="2"/>
        </w:numPr>
        <w:tabs>
          <w:tab w:val="left" w:pos="418"/>
        </w:tabs>
        <w:spacing w:before="29" w:line="242" w:lineRule="auto"/>
        <w:ind w:right="6016" w:hanging="283"/>
        <w:rPr>
          <w:sz w:val="12"/>
        </w:rPr>
      </w:pPr>
      <w:r>
        <w:rPr>
          <w:color w:val="58595B"/>
          <w:spacing w:val="2"/>
          <w:sz w:val="12"/>
        </w:rPr>
        <w:t xml:space="preserve">After </w:t>
      </w:r>
      <w:r>
        <w:rPr>
          <w:color w:val="58595B"/>
          <w:sz w:val="12"/>
        </w:rPr>
        <w:t xml:space="preserve">provision of </w:t>
      </w:r>
      <w:r>
        <w:rPr>
          <w:color w:val="58595B"/>
          <w:spacing w:val="-4"/>
          <w:sz w:val="12"/>
        </w:rPr>
        <w:t xml:space="preserve">$1.1 </w:t>
      </w:r>
      <w:r>
        <w:rPr>
          <w:color w:val="58595B"/>
          <w:sz w:val="12"/>
        </w:rPr>
        <w:t xml:space="preserve">million in </w:t>
      </w:r>
      <w:r>
        <w:rPr>
          <w:color w:val="58595B"/>
          <w:spacing w:val="2"/>
          <w:sz w:val="12"/>
        </w:rPr>
        <w:t xml:space="preserve">doubtful </w:t>
      </w:r>
      <w:r>
        <w:rPr>
          <w:color w:val="58595B"/>
          <w:sz w:val="12"/>
        </w:rPr>
        <w:t xml:space="preserve">debts, net receipts from litter </w:t>
      </w:r>
      <w:r>
        <w:rPr>
          <w:color w:val="58595B"/>
          <w:spacing w:val="2"/>
          <w:sz w:val="12"/>
        </w:rPr>
        <w:t xml:space="preserve">fines </w:t>
      </w:r>
      <w:r>
        <w:rPr>
          <w:color w:val="58595B"/>
          <w:sz w:val="12"/>
        </w:rPr>
        <w:t>of $3.6 million are expected.</w:t>
      </w:r>
    </w:p>
    <w:p w14:paraId="47AE93AF" w14:textId="19DC7FD1" w:rsidR="00724131" w:rsidRDefault="00823349">
      <w:pPr>
        <w:pStyle w:val="ListParagraph"/>
        <w:numPr>
          <w:ilvl w:val="0"/>
          <w:numId w:val="2"/>
        </w:numPr>
        <w:tabs>
          <w:tab w:val="left" w:pos="418"/>
        </w:tabs>
        <w:spacing w:before="29" w:line="242" w:lineRule="auto"/>
        <w:ind w:right="6037" w:hanging="283"/>
        <w:rPr>
          <w:sz w:val="12"/>
        </w:rPr>
      </w:pPr>
      <w:r>
        <w:rPr>
          <w:color w:val="58595B"/>
          <w:sz w:val="12"/>
        </w:rPr>
        <w:t xml:space="preserve">EPA has </w:t>
      </w:r>
      <w:r>
        <w:rPr>
          <w:color w:val="58595B"/>
          <w:spacing w:val="2"/>
          <w:sz w:val="12"/>
        </w:rPr>
        <w:t xml:space="preserve">run </w:t>
      </w:r>
      <w:r>
        <w:rPr>
          <w:color w:val="58595B"/>
          <w:sz w:val="12"/>
        </w:rPr>
        <w:t xml:space="preserve">a statewide </w:t>
      </w:r>
      <w:r>
        <w:rPr>
          <w:color w:val="58595B"/>
          <w:spacing w:val="2"/>
          <w:sz w:val="12"/>
        </w:rPr>
        <w:t xml:space="preserve">biological </w:t>
      </w:r>
      <w:r>
        <w:rPr>
          <w:color w:val="58595B"/>
          <w:sz w:val="12"/>
        </w:rPr>
        <w:t xml:space="preserve">monitoring program in rivers and streams since 1990. DELWP has largely funded the River Monitoring and Assessment Program (RiverMAP) since the early </w:t>
      </w:r>
      <w:r>
        <w:rPr>
          <w:color w:val="58595B"/>
          <w:spacing w:val="2"/>
          <w:sz w:val="12"/>
        </w:rPr>
        <w:t xml:space="preserve">2000s. </w:t>
      </w:r>
      <w:r>
        <w:rPr>
          <w:color w:val="58595B"/>
          <w:sz w:val="12"/>
        </w:rPr>
        <w:t xml:space="preserve">Under current arrangements, </w:t>
      </w:r>
      <w:r>
        <w:rPr>
          <w:color w:val="58595B"/>
          <w:spacing w:val="2"/>
          <w:sz w:val="12"/>
        </w:rPr>
        <w:t xml:space="preserve">RiverMAP </w:t>
      </w:r>
      <w:r>
        <w:rPr>
          <w:color w:val="58595B"/>
          <w:sz w:val="12"/>
        </w:rPr>
        <w:t xml:space="preserve">is funded from November 2012 to June 2016 with a budget of </w:t>
      </w:r>
      <w:r>
        <w:rPr>
          <w:color w:val="58595B"/>
          <w:spacing w:val="2"/>
          <w:sz w:val="12"/>
        </w:rPr>
        <w:t>$3.2</w:t>
      </w:r>
      <w:r w:rsidR="002E245C">
        <w:rPr>
          <w:color w:val="58595B"/>
          <w:spacing w:val="36"/>
          <w:sz w:val="12"/>
        </w:rPr>
        <w:t xml:space="preserve"> </w:t>
      </w:r>
      <w:r>
        <w:rPr>
          <w:color w:val="58595B"/>
          <w:sz w:val="12"/>
        </w:rPr>
        <w:t>million.</w:t>
      </w:r>
    </w:p>
    <w:p w14:paraId="0F646D14" w14:textId="3879F8C4" w:rsidR="00724131" w:rsidRDefault="00823349">
      <w:pPr>
        <w:pStyle w:val="ListParagraph"/>
        <w:numPr>
          <w:ilvl w:val="0"/>
          <w:numId w:val="2"/>
        </w:numPr>
        <w:tabs>
          <w:tab w:val="left" w:pos="418"/>
        </w:tabs>
        <w:spacing w:before="29" w:line="242" w:lineRule="auto"/>
        <w:ind w:right="6025" w:hanging="283"/>
        <w:rPr>
          <w:sz w:val="12"/>
        </w:rPr>
      </w:pPr>
      <w:r>
        <w:rPr>
          <w:color w:val="58595B"/>
          <w:sz w:val="12"/>
        </w:rPr>
        <w:t xml:space="preserve">An allocation from the Sustainability Fund, announced in </w:t>
      </w:r>
      <w:r>
        <w:rPr>
          <w:color w:val="58595B"/>
          <w:spacing w:val="2"/>
          <w:sz w:val="12"/>
        </w:rPr>
        <w:t xml:space="preserve">December </w:t>
      </w:r>
      <w:r>
        <w:rPr>
          <w:color w:val="58595B"/>
          <w:sz w:val="12"/>
        </w:rPr>
        <w:t xml:space="preserve">2013, provided $2.165 million to the EPA over four years (2013-14 to 2016-17) to implement actions 6, 13, 14 and 15a of the Yarra and Bay Action Plan. The EPA was to contribute </w:t>
      </w:r>
      <w:r>
        <w:rPr>
          <w:color w:val="58595B"/>
          <w:spacing w:val="3"/>
          <w:sz w:val="12"/>
        </w:rPr>
        <w:t xml:space="preserve">$800,000 </w:t>
      </w:r>
      <w:r>
        <w:rPr>
          <w:color w:val="58595B"/>
          <w:spacing w:val="2"/>
          <w:sz w:val="12"/>
        </w:rPr>
        <w:t>in-kind.</w:t>
      </w:r>
    </w:p>
    <w:p w14:paraId="1AB95D34" w14:textId="77777777" w:rsidR="00724131" w:rsidRDefault="00823349">
      <w:pPr>
        <w:pStyle w:val="ListParagraph"/>
        <w:numPr>
          <w:ilvl w:val="0"/>
          <w:numId w:val="2"/>
        </w:numPr>
        <w:tabs>
          <w:tab w:val="left" w:pos="418"/>
        </w:tabs>
        <w:spacing w:before="29" w:line="242" w:lineRule="auto"/>
        <w:ind w:right="6113" w:hanging="283"/>
        <w:rPr>
          <w:sz w:val="12"/>
        </w:rPr>
      </w:pPr>
      <w:r>
        <w:rPr>
          <w:color w:val="58595B"/>
          <w:spacing w:val="2"/>
          <w:sz w:val="12"/>
        </w:rPr>
        <w:t xml:space="preserve">Victorian </w:t>
      </w:r>
      <w:r>
        <w:rPr>
          <w:color w:val="58595B"/>
          <w:sz w:val="12"/>
        </w:rPr>
        <w:t xml:space="preserve">Government 2013, </w:t>
      </w:r>
      <w:r>
        <w:rPr>
          <w:i/>
          <w:color w:val="58595B"/>
          <w:spacing w:val="2"/>
          <w:sz w:val="12"/>
        </w:rPr>
        <w:t xml:space="preserve">Report </w:t>
      </w:r>
      <w:r>
        <w:rPr>
          <w:i/>
          <w:color w:val="58595B"/>
          <w:sz w:val="12"/>
        </w:rPr>
        <w:t xml:space="preserve">of the Ministerial </w:t>
      </w:r>
      <w:r>
        <w:rPr>
          <w:i/>
          <w:color w:val="58595B"/>
          <w:spacing w:val="2"/>
          <w:sz w:val="12"/>
        </w:rPr>
        <w:t xml:space="preserve">Advisory </w:t>
      </w:r>
      <w:r>
        <w:rPr>
          <w:i/>
          <w:color w:val="58595B"/>
          <w:sz w:val="12"/>
        </w:rPr>
        <w:t>Committee on Waste and Resource Recovery Governance Reform</w:t>
      </w:r>
      <w:r>
        <w:rPr>
          <w:color w:val="58595B"/>
          <w:sz w:val="12"/>
        </w:rPr>
        <w:t>, Melbourne, p.</w:t>
      </w:r>
      <w:r>
        <w:rPr>
          <w:color w:val="58595B"/>
          <w:spacing w:val="23"/>
          <w:sz w:val="12"/>
        </w:rPr>
        <w:t xml:space="preserve"> </w:t>
      </w:r>
      <w:r>
        <w:rPr>
          <w:color w:val="58595B"/>
          <w:sz w:val="12"/>
        </w:rPr>
        <w:t>59.</w:t>
      </w:r>
    </w:p>
    <w:p w14:paraId="54394B90" w14:textId="77777777" w:rsidR="00724131" w:rsidRDefault="00823349">
      <w:pPr>
        <w:pStyle w:val="ListParagraph"/>
        <w:numPr>
          <w:ilvl w:val="0"/>
          <w:numId w:val="2"/>
        </w:numPr>
        <w:tabs>
          <w:tab w:val="left" w:pos="418"/>
        </w:tabs>
        <w:spacing w:before="29"/>
        <w:ind w:hanging="283"/>
        <w:rPr>
          <w:sz w:val="12"/>
        </w:rPr>
      </w:pPr>
      <w:r>
        <w:rPr>
          <w:color w:val="58595B"/>
          <w:sz w:val="12"/>
        </w:rPr>
        <w:t xml:space="preserve">EPA </w:t>
      </w:r>
      <w:r>
        <w:rPr>
          <w:color w:val="58595B"/>
          <w:spacing w:val="2"/>
          <w:sz w:val="12"/>
        </w:rPr>
        <w:t>Victoria,</w:t>
      </w:r>
      <w:r>
        <w:rPr>
          <w:color w:val="58595B"/>
          <w:spacing w:val="-1"/>
          <w:sz w:val="12"/>
        </w:rPr>
        <w:t xml:space="preserve"> </w:t>
      </w:r>
      <w:r>
        <w:rPr>
          <w:color w:val="58595B"/>
          <w:sz w:val="12"/>
        </w:rPr>
        <w:t>2016.</w:t>
      </w:r>
    </w:p>
    <w:p w14:paraId="3514AB94" w14:textId="3A49377E" w:rsidR="00724131" w:rsidRDefault="00823349">
      <w:pPr>
        <w:pStyle w:val="ListParagraph"/>
        <w:numPr>
          <w:ilvl w:val="0"/>
          <w:numId w:val="2"/>
        </w:numPr>
        <w:tabs>
          <w:tab w:val="left" w:pos="418"/>
        </w:tabs>
        <w:spacing w:before="30" w:line="242" w:lineRule="auto"/>
        <w:ind w:right="6014" w:hanging="283"/>
        <w:rPr>
          <w:sz w:val="12"/>
        </w:rPr>
      </w:pPr>
      <w:r>
        <w:rPr>
          <w:color w:val="58595B"/>
          <w:sz w:val="12"/>
        </w:rPr>
        <w:t xml:space="preserve">EPA </w:t>
      </w:r>
      <w:r>
        <w:rPr>
          <w:color w:val="58595B"/>
          <w:spacing w:val="2"/>
          <w:sz w:val="12"/>
        </w:rPr>
        <w:t xml:space="preserve">Victoria </w:t>
      </w:r>
      <w:r>
        <w:rPr>
          <w:color w:val="58595B"/>
          <w:sz w:val="12"/>
        </w:rPr>
        <w:t xml:space="preserve">2014, </w:t>
      </w:r>
      <w:r>
        <w:rPr>
          <w:i/>
          <w:color w:val="58595B"/>
          <w:sz w:val="12"/>
        </w:rPr>
        <w:t>Future Funding Options – Environment Protection Authority</w:t>
      </w:r>
      <w:r>
        <w:rPr>
          <w:color w:val="58595B"/>
          <w:sz w:val="12"/>
        </w:rPr>
        <w:t xml:space="preserve">, Final </w:t>
      </w:r>
      <w:r>
        <w:rPr>
          <w:color w:val="58595B"/>
          <w:spacing w:val="2"/>
          <w:sz w:val="12"/>
        </w:rPr>
        <w:t xml:space="preserve">Report, </w:t>
      </w:r>
      <w:r>
        <w:rPr>
          <w:color w:val="58595B"/>
          <w:sz w:val="12"/>
        </w:rPr>
        <w:t xml:space="preserve">prepared for the EPA by </w:t>
      </w:r>
      <w:r>
        <w:rPr>
          <w:color w:val="58595B"/>
          <w:spacing w:val="2"/>
          <w:sz w:val="12"/>
        </w:rPr>
        <w:t xml:space="preserve">PwC </w:t>
      </w:r>
      <w:r>
        <w:rPr>
          <w:color w:val="58595B"/>
          <w:sz w:val="12"/>
        </w:rPr>
        <w:t xml:space="preserve">Australia, </w:t>
      </w:r>
      <w:r>
        <w:rPr>
          <w:color w:val="58595B"/>
          <w:spacing w:val="2"/>
          <w:sz w:val="12"/>
        </w:rPr>
        <w:t>April,</w:t>
      </w:r>
    </w:p>
    <w:p w14:paraId="7507258E" w14:textId="77777777" w:rsidR="00724131" w:rsidRDefault="00823349">
      <w:pPr>
        <w:pStyle w:val="ListParagraph"/>
        <w:numPr>
          <w:ilvl w:val="1"/>
          <w:numId w:val="2"/>
        </w:numPr>
        <w:tabs>
          <w:tab w:val="left" w:pos="552"/>
        </w:tabs>
        <w:spacing w:before="0"/>
        <w:rPr>
          <w:sz w:val="12"/>
        </w:rPr>
      </w:pPr>
      <w:r>
        <w:rPr>
          <w:color w:val="58595B"/>
          <w:sz w:val="12"/>
        </w:rPr>
        <w:t>iii.</w:t>
      </w:r>
    </w:p>
    <w:p w14:paraId="2E389BCB" w14:textId="77777777" w:rsidR="00724131" w:rsidRDefault="00823349">
      <w:pPr>
        <w:pStyle w:val="ListParagraph"/>
        <w:numPr>
          <w:ilvl w:val="0"/>
          <w:numId w:val="2"/>
        </w:numPr>
        <w:tabs>
          <w:tab w:val="left" w:pos="418"/>
        </w:tabs>
        <w:spacing w:before="30" w:line="242" w:lineRule="auto"/>
        <w:ind w:right="6299" w:hanging="283"/>
        <w:rPr>
          <w:sz w:val="12"/>
        </w:rPr>
      </w:pPr>
      <w:r>
        <w:rPr>
          <w:color w:val="58595B"/>
          <w:sz w:val="12"/>
        </w:rPr>
        <w:t xml:space="preserve">State </w:t>
      </w:r>
      <w:r>
        <w:rPr>
          <w:color w:val="58595B"/>
          <w:spacing w:val="2"/>
          <w:sz w:val="12"/>
        </w:rPr>
        <w:t xml:space="preserve">Services Authority 2009, </w:t>
      </w:r>
      <w:r>
        <w:rPr>
          <w:i/>
          <w:color w:val="58595B"/>
          <w:sz w:val="12"/>
        </w:rPr>
        <w:t>Review of the rationalisation and governance of regulators</w:t>
      </w:r>
      <w:r>
        <w:rPr>
          <w:color w:val="58595B"/>
          <w:sz w:val="12"/>
        </w:rPr>
        <w:t xml:space="preserve">, Melbourne, p. </w:t>
      </w:r>
      <w:r>
        <w:rPr>
          <w:color w:val="58595B"/>
          <w:spacing w:val="26"/>
          <w:sz w:val="12"/>
        </w:rPr>
        <w:t xml:space="preserve"> </w:t>
      </w:r>
      <w:r>
        <w:rPr>
          <w:color w:val="58595B"/>
          <w:sz w:val="12"/>
        </w:rPr>
        <w:t>48.</w:t>
      </w:r>
    </w:p>
    <w:p w14:paraId="4CBD811A" w14:textId="77777777" w:rsidR="00724131" w:rsidRDefault="00823349">
      <w:pPr>
        <w:pStyle w:val="ListParagraph"/>
        <w:numPr>
          <w:ilvl w:val="0"/>
          <w:numId w:val="2"/>
        </w:numPr>
        <w:tabs>
          <w:tab w:val="left" w:pos="418"/>
        </w:tabs>
        <w:spacing w:before="29" w:line="242" w:lineRule="auto"/>
        <w:ind w:right="6026" w:hanging="283"/>
        <w:rPr>
          <w:sz w:val="12"/>
        </w:rPr>
      </w:pPr>
      <w:r>
        <w:rPr>
          <w:color w:val="58595B"/>
          <w:sz w:val="12"/>
        </w:rPr>
        <w:t xml:space="preserve">EPA </w:t>
      </w:r>
      <w:r>
        <w:rPr>
          <w:color w:val="58595B"/>
          <w:spacing w:val="2"/>
          <w:sz w:val="12"/>
        </w:rPr>
        <w:t xml:space="preserve">Victoria </w:t>
      </w:r>
      <w:r>
        <w:rPr>
          <w:color w:val="58595B"/>
          <w:sz w:val="12"/>
        </w:rPr>
        <w:t xml:space="preserve">2015 </w:t>
      </w:r>
      <w:r>
        <w:rPr>
          <w:i/>
          <w:color w:val="58595B"/>
          <w:sz w:val="12"/>
        </w:rPr>
        <w:t>Future Funding Options Assessment</w:t>
      </w:r>
      <w:r>
        <w:rPr>
          <w:color w:val="58595B"/>
          <w:sz w:val="12"/>
        </w:rPr>
        <w:t xml:space="preserve">, Assessment Panel </w:t>
      </w:r>
      <w:r>
        <w:rPr>
          <w:color w:val="58595B"/>
          <w:spacing w:val="2"/>
          <w:sz w:val="12"/>
        </w:rPr>
        <w:t xml:space="preserve">Report, </w:t>
      </w:r>
      <w:r>
        <w:rPr>
          <w:color w:val="58595B"/>
          <w:sz w:val="12"/>
        </w:rPr>
        <w:t>August, p.</w:t>
      </w:r>
      <w:r>
        <w:rPr>
          <w:color w:val="58595B"/>
          <w:spacing w:val="13"/>
          <w:sz w:val="12"/>
        </w:rPr>
        <w:t xml:space="preserve"> </w:t>
      </w:r>
      <w:r>
        <w:rPr>
          <w:color w:val="58595B"/>
          <w:sz w:val="12"/>
        </w:rPr>
        <w:t>1.</w:t>
      </w:r>
    </w:p>
    <w:p w14:paraId="1D0EB1CB" w14:textId="25E2B0C5" w:rsidR="00724131" w:rsidRDefault="00823349">
      <w:pPr>
        <w:pStyle w:val="ListParagraph"/>
        <w:numPr>
          <w:ilvl w:val="0"/>
          <w:numId w:val="2"/>
        </w:numPr>
        <w:tabs>
          <w:tab w:val="left" w:pos="418"/>
        </w:tabs>
        <w:spacing w:before="29" w:line="242" w:lineRule="auto"/>
        <w:ind w:right="6014" w:hanging="283"/>
        <w:rPr>
          <w:sz w:val="12"/>
        </w:rPr>
      </w:pPr>
      <w:r>
        <w:rPr>
          <w:color w:val="58595B"/>
          <w:sz w:val="12"/>
        </w:rPr>
        <w:t xml:space="preserve">EPA </w:t>
      </w:r>
      <w:r>
        <w:rPr>
          <w:color w:val="58595B"/>
          <w:spacing w:val="2"/>
          <w:sz w:val="12"/>
        </w:rPr>
        <w:t xml:space="preserve">Victoria </w:t>
      </w:r>
      <w:r>
        <w:rPr>
          <w:color w:val="58595B"/>
          <w:sz w:val="12"/>
        </w:rPr>
        <w:t xml:space="preserve">2014, </w:t>
      </w:r>
      <w:r>
        <w:rPr>
          <w:i/>
          <w:color w:val="58595B"/>
          <w:sz w:val="12"/>
        </w:rPr>
        <w:t>Future Funding Options – Environment Protection Authority</w:t>
      </w:r>
      <w:r>
        <w:rPr>
          <w:color w:val="58595B"/>
          <w:sz w:val="12"/>
        </w:rPr>
        <w:t xml:space="preserve">, Final </w:t>
      </w:r>
      <w:r>
        <w:rPr>
          <w:color w:val="58595B"/>
          <w:spacing w:val="2"/>
          <w:sz w:val="12"/>
        </w:rPr>
        <w:t xml:space="preserve">Report, </w:t>
      </w:r>
      <w:r>
        <w:rPr>
          <w:color w:val="58595B"/>
          <w:sz w:val="12"/>
        </w:rPr>
        <w:t xml:space="preserve">prepared for the EPA by </w:t>
      </w:r>
      <w:r>
        <w:rPr>
          <w:color w:val="58595B"/>
          <w:spacing w:val="2"/>
          <w:sz w:val="12"/>
        </w:rPr>
        <w:t xml:space="preserve">PwC </w:t>
      </w:r>
      <w:r>
        <w:rPr>
          <w:color w:val="58595B"/>
          <w:sz w:val="12"/>
        </w:rPr>
        <w:t xml:space="preserve">Australia, </w:t>
      </w:r>
      <w:r>
        <w:rPr>
          <w:color w:val="58595B"/>
          <w:spacing w:val="2"/>
          <w:sz w:val="12"/>
        </w:rPr>
        <w:t>April,</w:t>
      </w:r>
    </w:p>
    <w:p w14:paraId="57C76913" w14:textId="77777777" w:rsidR="00724131" w:rsidRDefault="00823349">
      <w:pPr>
        <w:pStyle w:val="ListParagraph"/>
        <w:numPr>
          <w:ilvl w:val="1"/>
          <w:numId w:val="2"/>
        </w:numPr>
        <w:tabs>
          <w:tab w:val="left" w:pos="552"/>
        </w:tabs>
        <w:spacing w:before="0"/>
        <w:rPr>
          <w:sz w:val="12"/>
        </w:rPr>
      </w:pPr>
      <w:r>
        <w:rPr>
          <w:color w:val="58595B"/>
          <w:sz w:val="12"/>
        </w:rPr>
        <w:t>vii.</w:t>
      </w:r>
    </w:p>
    <w:p w14:paraId="1816DDD0" w14:textId="77777777" w:rsidR="00724131" w:rsidRDefault="00823349">
      <w:pPr>
        <w:pStyle w:val="ListParagraph"/>
        <w:numPr>
          <w:ilvl w:val="0"/>
          <w:numId w:val="2"/>
        </w:numPr>
        <w:tabs>
          <w:tab w:val="left" w:pos="418"/>
        </w:tabs>
        <w:spacing w:before="30" w:line="242" w:lineRule="auto"/>
        <w:ind w:right="6299" w:hanging="283"/>
        <w:rPr>
          <w:sz w:val="12"/>
        </w:rPr>
      </w:pPr>
      <w:r>
        <w:rPr>
          <w:color w:val="58595B"/>
          <w:sz w:val="12"/>
        </w:rPr>
        <w:t xml:space="preserve">State </w:t>
      </w:r>
      <w:r>
        <w:rPr>
          <w:color w:val="58595B"/>
          <w:spacing w:val="2"/>
          <w:sz w:val="12"/>
        </w:rPr>
        <w:t xml:space="preserve">Services Authority 2009, </w:t>
      </w:r>
      <w:r>
        <w:rPr>
          <w:i/>
          <w:color w:val="58595B"/>
          <w:sz w:val="12"/>
        </w:rPr>
        <w:t>Review of the rationalisation and governance of regulators</w:t>
      </w:r>
      <w:r>
        <w:rPr>
          <w:color w:val="58595B"/>
          <w:sz w:val="12"/>
        </w:rPr>
        <w:t xml:space="preserve">, Melbourne, p. </w:t>
      </w:r>
      <w:r>
        <w:rPr>
          <w:color w:val="58595B"/>
          <w:spacing w:val="26"/>
          <w:sz w:val="12"/>
        </w:rPr>
        <w:t xml:space="preserve"> </w:t>
      </w:r>
      <w:r>
        <w:rPr>
          <w:color w:val="58595B"/>
          <w:sz w:val="12"/>
        </w:rPr>
        <w:t>48.</w:t>
      </w:r>
    </w:p>
    <w:p w14:paraId="40483B38" w14:textId="77777777" w:rsidR="00724131" w:rsidRDefault="00823349">
      <w:pPr>
        <w:pStyle w:val="ListParagraph"/>
        <w:numPr>
          <w:ilvl w:val="0"/>
          <w:numId w:val="2"/>
        </w:numPr>
        <w:tabs>
          <w:tab w:val="left" w:pos="418"/>
        </w:tabs>
        <w:spacing w:before="29" w:line="242" w:lineRule="auto"/>
        <w:ind w:right="6014" w:hanging="283"/>
        <w:jc w:val="both"/>
        <w:rPr>
          <w:sz w:val="12"/>
        </w:rPr>
      </w:pPr>
      <w:r>
        <w:rPr>
          <w:color w:val="58595B"/>
          <w:sz w:val="12"/>
        </w:rPr>
        <w:t xml:space="preserve">EPA </w:t>
      </w:r>
      <w:r>
        <w:rPr>
          <w:color w:val="58595B"/>
          <w:spacing w:val="2"/>
          <w:sz w:val="12"/>
        </w:rPr>
        <w:t xml:space="preserve">Victoria </w:t>
      </w:r>
      <w:r>
        <w:rPr>
          <w:color w:val="58595B"/>
          <w:sz w:val="12"/>
        </w:rPr>
        <w:t xml:space="preserve">2014, </w:t>
      </w:r>
      <w:r>
        <w:rPr>
          <w:i/>
          <w:color w:val="58595B"/>
          <w:sz w:val="12"/>
        </w:rPr>
        <w:t>Future Funding Options – Environment Protection Authority</w:t>
      </w:r>
      <w:r>
        <w:rPr>
          <w:color w:val="58595B"/>
          <w:sz w:val="12"/>
        </w:rPr>
        <w:t xml:space="preserve">, Final </w:t>
      </w:r>
      <w:r>
        <w:rPr>
          <w:color w:val="58595B"/>
          <w:spacing w:val="2"/>
          <w:sz w:val="12"/>
        </w:rPr>
        <w:t xml:space="preserve">Report, </w:t>
      </w:r>
      <w:r>
        <w:rPr>
          <w:color w:val="58595B"/>
          <w:sz w:val="12"/>
        </w:rPr>
        <w:t xml:space="preserve">prepared for the EPA by </w:t>
      </w:r>
      <w:r>
        <w:rPr>
          <w:color w:val="58595B"/>
          <w:spacing w:val="2"/>
          <w:sz w:val="12"/>
        </w:rPr>
        <w:t xml:space="preserve">PwC </w:t>
      </w:r>
      <w:r>
        <w:rPr>
          <w:color w:val="58595B"/>
          <w:sz w:val="12"/>
        </w:rPr>
        <w:t xml:space="preserve">Australia, </w:t>
      </w:r>
      <w:r>
        <w:rPr>
          <w:color w:val="58595B"/>
          <w:spacing w:val="2"/>
          <w:sz w:val="12"/>
        </w:rPr>
        <w:t xml:space="preserve">April, </w:t>
      </w:r>
      <w:r>
        <w:rPr>
          <w:color w:val="58595B"/>
          <w:sz w:val="12"/>
        </w:rPr>
        <w:t>table 12 p.</w:t>
      </w:r>
      <w:r>
        <w:rPr>
          <w:color w:val="58595B"/>
          <w:spacing w:val="7"/>
          <w:sz w:val="12"/>
        </w:rPr>
        <w:t xml:space="preserve"> </w:t>
      </w:r>
      <w:r>
        <w:rPr>
          <w:color w:val="58595B"/>
          <w:sz w:val="12"/>
        </w:rPr>
        <w:t>79.</w:t>
      </w:r>
    </w:p>
    <w:p w14:paraId="2E14B833" w14:textId="77777777" w:rsidR="00724131" w:rsidRDefault="00823349">
      <w:pPr>
        <w:pStyle w:val="ListParagraph"/>
        <w:numPr>
          <w:ilvl w:val="0"/>
          <w:numId w:val="2"/>
        </w:numPr>
        <w:tabs>
          <w:tab w:val="left" w:pos="418"/>
        </w:tabs>
        <w:spacing w:before="29" w:line="242" w:lineRule="auto"/>
        <w:ind w:right="5989" w:hanging="283"/>
        <w:rPr>
          <w:sz w:val="12"/>
        </w:rPr>
      </w:pPr>
      <w:r>
        <w:rPr>
          <w:color w:val="58595B"/>
          <w:sz w:val="12"/>
        </w:rPr>
        <w:t xml:space="preserve">In debate on the Environment Protection Amendment </w:t>
      </w:r>
      <w:r>
        <w:rPr>
          <w:color w:val="58595B"/>
          <w:spacing w:val="2"/>
          <w:sz w:val="12"/>
        </w:rPr>
        <w:t xml:space="preserve">(Landfill </w:t>
      </w:r>
      <w:r>
        <w:rPr>
          <w:color w:val="58595B"/>
          <w:sz w:val="12"/>
        </w:rPr>
        <w:t xml:space="preserve">Levies) Bill 2011, the then Minister for Environment and Climate Change told Parliament that </w:t>
      </w:r>
      <w:r>
        <w:rPr>
          <w:color w:val="58595B"/>
          <w:spacing w:val="2"/>
          <w:sz w:val="12"/>
        </w:rPr>
        <w:t xml:space="preserve">‘the </w:t>
      </w:r>
      <w:r>
        <w:rPr>
          <w:color w:val="58595B"/>
          <w:sz w:val="12"/>
        </w:rPr>
        <w:t xml:space="preserve">new levy will set appropriate incentives for waste reduction alternatives and strike the right balance between greater recycling and limiting the burden on households and businesses’ (R Smith, Hansard p. </w:t>
      </w:r>
      <w:r>
        <w:rPr>
          <w:color w:val="58595B"/>
          <w:spacing w:val="-3"/>
          <w:sz w:val="12"/>
        </w:rPr>
        <w:t xml:space="preserve">1371); </w:t>
      </w:r>
      <w:r>
        <w:rPr>
          <w:color w:val="58595B"/>
          <w:sz w:val="12"/>
        </w:rPr>
        <w:t xml:space="preserve">Mr </w:t>
      </w:r>
      <w:r>
        <w:rPr>
          <w:color w:val="58595B"/>
          <w:spacing w:val="2"/>
          <w:sz w:val="12"/>
        </w:rPr>
        <w:t xml:space="preserve">Morris </w:t>
      </w:r>
      <w:r>
        <w:rPr>
          <w:color w:val="58595B"/>
          <w:sz w:val="12"/>
        </w:rPr>
        <w:t xml:space="preserve">(p. 1732) stated </w:t>
      </w:r>
      <w:r>
        <w:rPr>
          <w:color w:val="58595B"/>
          <w:spacing w:val="2"/>
          <w:sz w:val="12"/>
        </w:rPr>
        <w:t xml:space="preserve">‘the landfill </w:t>
      </w:r>
      <w:r>
        <w:rPr>
          <w:color w:val="58595B"/>
          <w:sz w:val="12"/>
        </w:rPr>
        <w:t xml:space="preserve">levies will provide a </w:t>
      </w:r>
      <w:r>
        <w:rPr>
          <w:color w:val="58595B"/>
          <w:spacing w:val="2"/>
          <w:sz w:val="12"/>
        </w:rPr>
        <w:t xml:space="preserve">financial </w:t>
      </w:r>
      <w:r>
        <w:rPr>
          <w:color w:val="58595B"/>
          <w:sz w:val="12"/>
        </w:rPr>
        <w:t xml:space="preserve">incentive to </w:t>
      </w:r>
      <w:r>
        <w:rPr>
          <w:color w:val="58595B"/>
          <w:spacing w:val="2"/>
          <w:sz w:val="12"/>
        </w:rPr>
        <w:t xml:space="preserve">reduce </w:t>
      </w:r>
      <w:r>
        <w:rPr>
          <w:color w:val="58595B"/>
          <w:sz w:val="12"/>
        </w:rPr>
        <w:t xml:space="preserve">the level of waste. </w:t>
      </w:r>
      <w:r>
        <w:rPr>
          <w:color w:val="58595B"/>
          <w:spacing w:val="16"/>
          <w:sz w:val="12"/>
        </w:rPr>
        <w:t xml:space="preserve"> </w:t>
      </w:r>
      <w:r>
        <w:rPr>
          <w:color w:val="58595B"/>
          <w:sz w:val="12"/>
        </w:rPr>
        <w:t>That</w:t>
      </w:r>
    </w:p>
    <w:p w14:paraId="6BEB42BC" w14:textId="77777777" w:rsidR="00724131" w:rsidRDefault="00823349">
      <w:pPr>
        <w:spacing w:line="242" w:lineRule="auto"/>
        <w:ind w:left="417" w:right="5998"/>
        <w:rPr>
          <w:sz w:val="12"/>
        </w:rPr>
      </w:pPr>
      <w:r>
        <w:rPr>
          <w:color w:val="58595B"/>
          <w:sz w:val="12"/>
        </w:rPr>
        <w:t>is what the bill is about. The likely outcome of this bill is a reduction something in the order of 282,000 to 285,000 tonnes of waste going to landfill per annum’.</w:t>
      </w:r>
    </w:p>
    <w:p w14:paraId="3B6C07B4" w14:textId="77777777" w:rsidR="00724131" w:rsidRDefault="00823349">
      <w:pPr>
        <w:pStyle w:val="ListParagraph"/>
        <w:numPr>
          <w:ilvl w:val="0"/>
          <w:numId w:val="2"/>
        </w:numPr>
        <w:tabs>
          <w:tab w:val="left" w:pos="418"/>
        </w:tabs>
        <w:spacing w:before="29" w:line="242" w:lineRule="auto"/>
        <w:ind w:right="5887" w:hanging="283"/>
        <w:rPr>
          <w:sz w:val="12"/>
        </w:rPr>
      </w:pPr>
      <w:r>
        <w:rPr>
          <w:color w:val="58595B"/>
          <w:spacing w:val="2"/>
          <w:sz w:val="12"/>
        </w:rPr>
        <w:t xml:space="preserve">Victorian </w:t>
      </w:r>
      <w:r>
        <w:rPr>
          <w:color w:val="58595B"/>
          <w:sz w:val="12"/>
        </w:rPr>
        <w:t xml:space="preserve">Government 2013, </w:t>
      </w:r>
      <w:r>
        <w:rPr>
          <w:i/>
          <w:color w:val="58595B"/>
          <w:spacing w:val="2"/>
          <w:sz w:val="12"/>
        </w:rPr>
        <w:t xml:space="preserve">Getting </w:t>
      </w:r>
      <w:r>
        <w:rPr>
          <w:i/>
          <w:color w:val="58595B"/>
          <w:sz w:val="12"/>
        </w:rPr>
        <w:t xml:space="preserve">full value – the Victorian waste and </w:t>
      </w:r>
      <w:r>
        <w:rPr>
          <w:i/>
          <w:color w:val="58595B"/>
          <w:spacing w:val="2"/>
          <w:sz w:val="12"/>
        </w:rPr>
        <w:t xml:space="preserve">resource </w:t>
      </w:r>
      <w:r>
        <w:rPr>
          <w:i/>
          <w:color w:val="58595B"/>
          <w:sz w:val="12"/>
        </w:rPr>
        <w:t>recovery policy</w:t>
      </w:r>
      <w:r>
        <w:rPr>
          <w:color w:val="58595B"/>
          <w:sz w:val="12"/>
        </w:rPr>
        <w:t xml:space="preserve">, </w:t>
      </w:r>
      <w:r>
        <w:rPr>
          <w:color w:val="58595B"/>
          <w:spacing w:val="2"/>
          <w:sz w:val="12"/>
        </w:rPr>
        <w:t xml:space="preserve">April, </w:t>
      </w:r>
      <w:r>
        <w:rPr>
          <w:color w:val="58595B"/>
          <w:sz w:val="12"/>
        </w:rPr>
        <w:t xml:space="preserve">Melbourne, p. </w:t>
      </w:r>
      <w:r>
        <w:rPr>
          <w:color w:val="58595B"/>
          <w:spacing w:val="3"/>
          <w:sz w:val="12"/>
        </w:rPr>
        <w:t xml:space="preserve"> </w:t>
      </w:r>
      <w:r>
        <w:rPr>
          <w:color w:val="58595B"/>
          <w:sz w:val="12"/>
        </w:rPr>
        <w:t>12.</w:t>
      </w:r>
    </w:p>
    <w:p w14:paraId="3A706353" w14:textId="77777777" w:rsidR="00724131" w:rsidRDefault="00823349">
      <w:pPr>
        <w:pStyle w:val="ListParagraph"/>
        <w:numPr>
          <w:ilvl w:val="0"/>
          <w:numId w:val="2"/>
        </w:numPr>
        <w:tabs>
          <w:tab w:val="left" w:pos="418"/>
        </w:tabs>
        <w:spacing w:before="29" w:line="242" w:lineRule="auto"/>
        <w:ind w:right="5949" w:hanging="283"/>
        <w:rPr>
          <w:sz w:val="12"/>
        </w:rPr>
      </w:pPr>
      <w:r>
        <w:rPr>
          <w:color w:val="58595B"/>
          <w:sz w:val="12"/>
        </w:rPr>
        <w:t xml:space="preserve">The </w:t>
      </w:r>
      <w:r>
        <w:rPr>
          <w:color w:val="58595B"/>
          <w:spacing w:val="2"/>
          <w:sz w:val="12"/>
        </w:rPr>
        <w:t xml:space="preserve">Productivity </w:t>
      </w:r>
      <w:r>
        <w:rPr>
          <w:color w:val="58595B"/>
          <w:sz w:val="12"/>
        </w:rPr>
        <w:t xml:space="preserve">Commission found that using levies to reach selected </w:t>
      </w:r>
      <w:r>
        <w:rPr>
          <w:color w:val="58595B"/>
          <w:spacing w:val="2"/>
          <w:sz w:val="12"/>
        </w:rPr>
        <w:t xml:space="preserve">landfill </w:t>
      </w:r>
      <w:r>
        <w:rPr>
          <w:color w:val="58595B"/>
          <w:sz w:val="12"/>
        </w:rPr>
        <w:t xml:space="preserve">targets, or to generate revenue, was incompatible with the desired objective of internalising the externalities of waste   </w:t>
      </w:r>
      <w:r>
        <w:rPr>
          <w:color w:val="58595B"/>
          <w:spacing w:val="1"/>
          <w:sz w:val="12"/>
        </w:rPr>
        <w:t xml:space="preserve"> </w:t>
      </w:r>
      <w:r>
        <w:rPr>
          <w:color w:val="58595B"/>
          <w:sz w:val="12"/>
        </w:rPr>
        <w:t>disposal</w:t>
      </w:r>
    </w:p>
    <w:p w14:paraId="049F4651" w14:textId="5BBDA8F6" w:rsidR="00724131" w:rsidRDefault="00823349">
      <w:pPr>
        <w:spacing w:line="242" w:lineRule="auto"/>
        <w:ind w:left="417" w:right="5956"/>
        <w:rPr>
          <w:sz w:val="12"/>
        </w:rPr>
      </w:pPr>
      <w:r>
        <w:rPr>
          <w:color w:val="58595B"/>
          <w:sz w:val="12"/>
        </w:rPr>
        <w:t xml:space="preserve">to </w:t>
      </w:r>
      <w:r>
        <w:rPr>
          <w:color w:val="58595B"/>
          <w:spacing w:val="2"/>
          <w:sz w:val="12"/>
        </w:rPr>
        <w:t xml:space="preserve">landfill. </w:t>
      </w:r>
      <w:r>
        <w:rPr>
          <w:color w:val="58595B"/>
          <w:spacing w:val="-4"/>
          <w:sz w:val="12"/>
        </w:rPr>
        <w:t xml:space="preserve">To </w:t>
      </w:r>
      <w:r>
        <w:rPr>
          <w:color w:val="58595B"/>
          <w:sz w:val="12"/>
        </w:rPr>
        <w:t xml:space="preserve">improve </w:t>
      </w:r>
      <w:r>
        <w:rPr>
          <w:color w:val="58595B"/>
          <w:spacing w:val="2"/>
          <w:sz w:val="12"/>
        </w:rPr>
        <w:t xml:space="preserve">price </w:t>
      </w:r>
      <w:r>
        <w:rPr>
          <w:color w:val="58595B"/>
          <w:sz w:val="12"/>
        </w:rPr>
        <w:t xml:space="preserve">signals to households the Commission recommended a low cost variable charging systems for municipal waste disposal and resource recovery should be considered. </w:t>
      </w:r>
      <w:r>
        <w:rPr>
          <w:color w:val="58595B"/>
          <w:spacing w:val="2"/>
          <w:sz w:val="12"/>
        </w:rPr>
        <w:t xml:space="preserve">Productivity </w:t>
      </w:r>
      <w:r>
        <w:rPr>
          <w:color w:val="58595B"/>
          <w:sz w:val="12"/>
        </w:rPr>
        <w:t xml:space="preserve">Commission </w:t>
      </w:r>
      <w:r>
        <w:rPr>
          <w:color w:val="58595B"/>
          <w:spacing w:val="2"/>
          <w:sz w:val="12"/>
        </w:rPr>
        <w:t xml:space="preserve">2006, </w:t>
      </w:r>
      <w:r>
        <w:rPr>
          <w:i/>
          <w:color w:val="58595B"/>
          <w:sz w:val="12"/>
        </w:rPr>
        <w:t>Waste Management</w:t>
      </w:r>
      <w:r>
        <w:rPr>
          <w:color w:val="58595B"/>
          <w:sz w:val="12"/>
        </w:rPr>
        <w:t xml:space="preserve">, </w:t>
      </w:r>
      <w:r>
        <w:rPr>
          <w:color w:val="58595B"/>
          <w:spacing w:val="2"/>
          <w:sz w:val="12"/>
        </w:rPr>
        <w:t xml:space="preserve">Inquiry report </w:t>
      </w:r>
      <w:r>
        <w:rPr>
          <w:color w:val="58595B"/>
          <w:sz w:val="12"/>
        </w:rPr>
        <w:t xml:space="preserve">no. </w:t>
      </w:r>
      <w:r>
        <w:rPr>
          <w:color w:val="58595B"/>
          <w:spacing w:val="2"/>
          <w:sz w:val="12"/>
        </w:rPr>
        <w:t>38,</w:t>
      </w:r>
      <w:r w:rsidR="002E245C">
        <w:rPr>
          <w:color w:val="58595B"/>
          <w:spacing w:val="2"/>
          <w:sz w:val="12"/>
        </w:rPr>
        <w:br/>
      </w:r>
      <w:r>
        <w:rPr>
          <w:color w:val="58595B"/>
          <w:sz w:val="12"/>
        </w:rPr>
        <w:t>Canberra, October, p.</w:t>
      </w:r>
      <w:r>
        <w:rPr>
          <w:color w:val="58595B"/>
          <w:spacing w:val="32"/>
          <w:sz w:val="12"/>
        </w:rPr>
        <w:t xml:space="preserve"> </w:t>
      </w:r>
      <w:r>
        <w:rPr>
          <w:color w:val="58595B"/>
          <w:sz w:val="12"/>
        </w:rPr>
        <w:t>226.</w:t>
      </w:r>
    </w:p>
    <w:p w14:paraId="6D5938C3" w14:textId="77777777" w:rsidR="00724131" w:rsidRDefault="00823349">
      <w:pPr>
        <w:pStyle w:val="ListParagraph"/>
        <w:numPr>
          <w:ilvl w:val="0"/>
          <w:numId w:val="2"/>
        </w:numPr>
        <w:tabs>
          <w:tab w:val="left" w:pos="418"/>
        </w:tabs>
        <w:spacing w:before="29"/>
        <w:ind w:hanging="283"/>
        <w:rPr>
          <w:sz w:val="12"/>
        </w:rPr>
      </w:pPr>
      <w:r>
        <w:rPr>
          <w:color w:val="58595B"/>
          <w:sz w:val="12"/>
        </w:rPr>
        <w:t xml:space="preserve">EPA </w:t>
      </w:r>
      <w:r>
        <w:rPr>
          <w:color w:val="58595B"/>
          <w:spacing w:val="2"/>
          <w:sz w:val="12"/>
        </w:rPr>
        <w:t>Victoria</w:t>
      </w:r>
      <w:r>
        <w:rPr>
          <w:color w:val="58595B"/>
          <w:spacing w:val="-1"/>
          <w:sz w:val="12"/>
        </w:rPr>
        <w:t xml:space="preserve"> </w:t>
      </w:r>
      <w:r>
        <w:rPr>
          <w:color w:val="58595B"/>
          <w:sz w:val="12"/>
        </w:rPr>
        <w:t>2016.</w:t>
      </w:r>
    </w:p>
    <w:p w14:paraId="12E3788B" w14:textId="77777777" w:rsidR="00724131" w:rsidRDefault="00823349">
      <w:pPr>
        <w:pStyle w:val="ListParagraph"/>
        <w:numPr>
          <w:ilvl w:val="0"/>
          <w:numId w:val="2"/>
        </w:numPr>
        <w:tabs>
          <w:tab w:val="left" w:pos="418"/>
        </w:tabs>
        <w:spacing w:before="30" w:line="242" w:lineRule="auto"/>
        <w:ind w:right="5940" w:hanging="283"/>
        <w:rPr>
          <w:sz w:val="12"/>
        </w:rPr>
      </w:pPr>
      <w:r>
        <w:rPr>
          <w:color w:val="58595B"/>
          <w:spacing w:val="2"/>
          <w:sz w:val="12"/>
        </w:rPr>
        <w:t xml:space="preserve">Productivity </w:t>
      </w:r>
      <w:r>
        <w:rPr>
          <w:color w:val="58595B"/>
          <w:sz w:val="12"/>
        </w:rPr>
        <w:t xml:space="preserve">Commission </w:t>
      </w:r>
      <w:r>
        <w:rPr>
          <w:color w:val="58595B"/>
          <w:spacing w:val="2"/>
          <w:sz w:val="12"/>
        </w:rPr>
        <w:t xml:space="preserve">2006, </w:t>
      </w:r>
      <w:r>
        <w:rPr>
          <w:i/>
          <w:color w:val="58595B"/>
          <w:sz w:val="12"/>
        </w:rPr>
        <w:t>Waste Management</w:t>
      </w:r>
      <w:r>
        <w:rPr>
          <w:color w:val="58595B"/>
          <w:sz w:val="12"/>
        </w:rPr>
        <w:t xml:space="preserve">, </w:t>
      </w:r>
      <w:r>
        <w:rPr>
          <w:color w:val="58595B"/>
          <w:spacing w:val="2"/>
          <w:sz w:val="12"/>
        </w:rPr>
        <w:t xml:space="preserve">Inquiry report </w:t>
      </w:r>
      <w:r>
        <w:rPr>
          <w:color w:val="58595B"/>
          <w:sz w:val="12"/>
        </w:rPr>
        <w:t xml:space="preserve">no. </w:t>
      </w:r>
      <w:r>
        <w:rPr>
          <w:color w:val="58595B"/>
          <w:spacing w:val="2"/>
          <w:sz w:val="12"/>
        </w:rPr>
        <w:t xml:space="preserve">38, </w:t>
      </w:r>
      <w:r>
        <w:rPr>
          <w:color w:val="58595B"/>
          <w:sz w:val="12"/>
        </w:rPr>
        <w:t>Canberra, October, p.</w:t>
      </w:r>
      <w:r>
        <w:rPr>
          <w:color w:val="58595B"/>
          <w:spacing w:val="24"/>
          <w:sz w:val="12"/>
        </w:rPr>
        <w:t xml:space="preserve"> </w:t>
      </w:r>
      <w:r>
        <w:rPr>
          <w:color w:val="58595B"/>
          <w:spacing w:val="2"/>
          <w:sz w:val="12"/>
        </w:rPr>
        <w:t>223.</w:t>
      </w:r>
    </w:p>
    <w:p w14:paraId="3B942EF5" w14:textId="77777777" w:rsidR="00724131" w:rsidRDefault="00823349">
      <w:pPr>
        <w:pStyle w:val="ListParagraph"/>
        <w:numPr>
          <w:ilvl w:val="0"/>
          <w:numId w:val="2"/>
        </w:numPr>
        <w:tabs>
          <w:tab w:val="left" w:pos="418"/>
        </w:tabs>
        <w:spacing w:before="29" w:line="242" w:lineRule="auto"/>
        <w:ind w:right="5993" w:hanging="283"/>
        <w:rPr>
          <w:sz w:val="12"/>
        </w:rPr>
      </w:pPr>
      <w:r>
        <w:rPr>
          <w:color w:val="58595B"/>
          <w:sz w:val="12"/>
        </w:rPr>
        <w:t xml:space="preserve">For example, landowners such as marginal </w:t>
      </w:r>
      <w:r>
        <w:rPr>
          <w:color w:val="58595B"/>
          <w:spacing w:val="2"/>
          <w:sz w:val="12"/>
        </w:rPr>
        <w:t xml:space="preserve">farmers </w:t>
      </w:r>
      <w:r>
        <w:rPr>
          <w:color w:val="58595B"/>
          <w:sz w:val="12"/>
        </w:rPr>
        <w:t xml:space="preserve">who, knowingly    or </w:t>
      </w:r>
      <w:r>
        <w:rPr>
          <w:color w:val="58595B"/>
          <w:spacing w:val="2"/>
          <w:sz w:val="12"/>
        </w:rPr>
        <w:t xml:space="preserve">otherwise, </w:t>
      </w:r>
      <w:r>
        <w:rPr>
          <w:color w:val="58595B"/>
          <w:sz w:val="12"/>
        </w:rPr>
        <w:t xml:space="preserve">accept contaminated waste will often lack the resources required to cover the considerable clean up  </w:t>
      </w:r>
      <w:r>
        <w:rPr>
          <w:color w:val="58595B"/>
          <w:spacing w:val="5"/>
          <w:sz w:val="12"/>
        </w:rPr>
        <w:t xml:space="preserve"> </w:t>
      </w:r>
      <w:r>
        <w:rPr>
          <w:color w:val="58595B"/>
          <w:sz w:val="12"/>
        </w:rPr>
        <w:t>costs.</w:t>
      </w:r>
    </w:p>
    <w:p w14:paraId="3EDA4B44" w14:textId="04A440CC" w:rsidR="00724131" w:rsidRDefault="00823349">
      <w:pPr>
        <w:pStyle w:val="ListParagraph"/>
        <w:numPr>
          <w:ilvl w:val="0"/>
          <w:numId w:val="2"/>
        </w:numPr>
        <w:tabs>
          <w:tab w:val="left" w:pos="418"/>
        </w:tabs>
        <w:spacing w:before="29" w:line="242" w:lineRule="auto"/>
        <w:ind w:right="6143" w:hanging="283"/>
        <w:rPr>
          <w:sz w:val="12"/>
        </w:rPr>
      </w:pPr>
      <w:r>
        <w:rPr>
          <w:color w:val="58595B"/>
          <w:sz w:val="12"/>
        </w:rPr>
        <w:t xml:space="preserve">EPA </w:t>
      </w:r>
      <w:r>
        <w:rPr>
          <w:color w:val="58595B"/>
          <w:spacing w:val="2"/>
          <w:sz w:val="12"/>
        </w:rPr>
        <w:t xml:space="preserve">Victoria </w:t>
      </w:r>
      <w:r>
        <w:rPr>
          <w:color w:val="58595B"/>
          <w:sz w:val="12"/>
        </w:rPr>
        <w:t xml:space="preserve">2015, </w:t>
      </w:r>
      <w:r>
        <w:rPr>
          <w:i/>
          <w:color w:val="58595B"/>
          <w:sz w:val="12"/>
        </w:rPr>
        <w:t>Cost and capacity review</w:t>
      </w:r>
      <w:r>
        <w:rPr>
          <w:color w:val="58595B"/>
          <w:sz w:val="12"/>
        </w:rPr>
        <w:t xml:space="preserve">, Final </w:t>
      </w:r>
      <w:r>
        <w:rPr>
          <w:color w:val="58595B"/>
          <w:spacing w:val="2"/>
          <w:sz w:val="12"/>
        </w:rPr>
        <w:t xml:space="preserve">Report, </w:t>
      </w:r>
      <w:r>
        <w:rPr>
          <w:color w:val="58595B"/>
          <w:sz w:val="12"/>
        </w:rPr>
        <w:t xml:space="preserve">internal working </w:t>
      </w:r>
      <w:r>
        <w:rPr>
          <w:color w:val="58595B"/>
          <w:spacing w:val="2"/>
          <w:sz w:val="12"/>
        </w:rPr>
        <w:t xml:space="preserve">report </w:t>
      </w:r>
      <w:r>
        <w:rPr>
          <w:color w:val="58595B"/>
          <w:sz w:val="12"/>
        </w:rPr>
        <w:t xml:space="preserve">prepared for EPA by </w:t>
      </w:r>
      <w:r>
        <w:rPr>
          <w:color w:val="58595B"/>
          <w:spacing w:val="2"/>
          <w:sz w:val="12"/>
        </w:rPr>
        <w:t xml:space="preserve">PwC </w:t>
      </w:r>
      <w:r>
        <w:rPr>
          <w:color w:val="58595B"/>
          <w:sz w:val="12"/>
        </w:rPr>
        <w:t>Australia, November,</w:t>
      </w:r>
    </w:p>
    <w:p w14:paraId="57863682" w14:textId="77777777" w:rsidR="00724131" w:rsidRDefault="00823349">
      <w:pPr>
        <w:ind w:left="417" w:right="228"/>
        <w:rPr>
          <w:sz w:val="12"/>
        </w:rPr>
      </w:pPr>
      <w:r>
        <w:rPr>
          <w:color w:val="58595B"/>
          <w:sz w:val="12"/>
        </w:rPr>
        <w:t>pp. 21–22.</w:t>
      </w:r>
      <w:bookmarkStart w:id="0" w:name="_GoBack"/>
      <w:bookmarkEnd w:id="0"/>
    </w:p>
    <w:sectPr w:rsidR="00724131">
      <w:pgSz w:w="11910" w:h="16840"/>
      <w:pgMar w:top="980" w:right="0" w:bottom="280" w:left="1680" w:header="788" w:footer="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3C29B8A4" w14:textId="77777777" w:rsidR="000F1CAC" w:rsidRDefault="00823349">
      <w:r>
        <w:separator/>
      </w:r>
    </w:p>
  </w:endnote>
  <w:endnote w:type="continuationSeparator" w:id="0">
    <w:p w14:paraId="594E9697" w14:textId="77777777" w:rsidR="000F1CAC" w:rsidRDefault="008233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ＭＳ 明朝">
    <w:charset w:val="4E"/>
    <w:family w:val="auto"/>
    <w:pitch w:val="variable"/>
    <w:sig w:usb0="E00002FF" w:usb1="6AC7FDFB" w:usb2="00000012" w:usb3="00000000" w:csb0="0002009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1B6147A8" w14:textId="77777777" w:rsidR="000F1CAC" w:rsidRDefault="00823349">
      <w:r>
        <w:separator/>
      </w:r>
    </w:p>
  </w:footnote>
  <w:footnote w:type="continuationSeparator" w:id="0">
    <w:p w14:paraId="63C88B0C" w14:textId="77777777" w:rsidR="000F1CAC" w:rsidRDefault="00823349">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BF6EF8A" w14:textId="77777777" w:rsidR="00724131" w:rsidRDefault="00054426">
    <w:pPr>
      <w:pStyle w:val="BodyText"/>
      <w:spacing w:line="14" w:lineRule="auto"/>
    </w:pPr>
    <w:r>
      <w:pict w14:anchorId="39D0B7AD">
        <v:line id="_x0000_s2114" style="position:absolute;z-index:-59896;mso-position-horizontal-relative:page;mso-position-vertical-relative:page" from="0,45.8pt" to="60.25pt,45.8pt" strokecolor="#0095a7" strokeweight="7pt">
          <w10:wrap anchorx="page" anchory="page"/>
        </v:line>
      </w:pict>
    </w:r>
    <w:r>
      <w:pict w14:anchorId="17233973">
        <v:shapetype id="_x0000_t202" coordsize="21600,21600" o:spt="202" path="m0,0l0,21600,21600,21600,21600,0xe">
          <v:stroke joinstyle="miter"/>
          <v:path gradientshapeok="t" o:connecttype="rect"/>
        </v:shapetype>
        <v:shape id="_x0000_s2113" type="#_x0000_t202" style="position:absolute;margin-left:68.85pt;margin-top:40.9pt;width:16.75pt;height:9.5pt;z-index:-59872;mso-position-horizontal-relative:page;mso-position-vertical-relative:page" filled="f" stroked="f">
          <v:textbox inset="0,0,0,0">
            <w:txbxContent>
              <w:p w14:paraId="65B35DA2" w14:textId="77777777" w:rsidR="00724131" w:rsidRDefault="00823349">
                <w:pPr>
                  <w:spacing w:before="1"/>
                  <w:ind w:left="40"/>
                  <w:rPr>
                    <w:sz w:val="15"/>
                  </w:rPr>
                </w:pPr>
                <w:r>
                  <w:fldChar w:fldCharType="begin"/>
                </w:r>
                <w:r>
                  <w:rPr>
                    <w:color w:val="58595B"/>
                    <w:sz w:val="15"/>
                  </w:rPr>
                  <w:instrText xml:space="preserve"> PAGE </w:instrText>
                </w:r>
                <w:r>
                  <w:fldChar w:fldCharType="separate"/>
                </w:r>
                <w:r w:rsidR="00054426">
                  <w:rPr>
                    <w:noProof/>
                    <w:color w:val="58595B"/>
                    <w:sz w:val="15"/>
                  </w:rPr>
                  <w:t>328</w:t>
                </w:r>
                <w:r>
                  <w:fldChar w:fldCharType="end"/>
                </w:r>
              </w:p>
            </w:txbxContent>
          </v:textbox>
          <w10:wrap anchorx="page" anchory="page"/>
        </v:shape>
      </w:pict>
    </w:r>
    <w:r>
      <w:pict w14:anchorId="3D5F9CD6">
        <v:shape id="_x0000_s2112" type="#_x0000_t202" style="position:absolute;margin-left:95.35pt;margin-top:40.9pt;width:147.8pt;height:9.5pt;z-index:-59848;mso-position-horizontal-relative:page;mso-position-vertical-relative:page" filled="f" stroked="f">
          <v:textbox inset="0,0,0,0">
            <w:txbxContent>
              <w:p w14:paraId="23A7540D" w14:textId="77777777" w:rsidR="00724131" w:rsidRDefault="00823349">
                <w:pPr>
                  <w:spacing w:before="1"/>
                  <w:ind w:left="20"/>
                  <w:rPr>
                    <w:sz w:val="15"/>
                  </w:rPr>
                </w:pPr>
                <w:r>
                  <w:rPr>
                    <w:color w:val="58595B"/>
                    <w:sz w:val="15"/>
                  </w:rPr>
                  <w:t>INDEPENDENT INQUIRY INTO THE EPA</w:t>
                </w:r>
              </w:p>
            </w:txbxContent>
          </v:textbox>
          <w10:wrap anchorx="page" anchory="page"/>
        </v:shape>
      </w:pict>
    </w:r>
  </w:p>
</w:hdr>
</file>

<file path=word/header1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9ED960F" w14:textId="77777777" w:rsidR="00724131" w:rsidRDefault="00054426">
    <w:pPr>
      <w:pStyle w:val="BodyText"/>
      <w:spacing w:line="14" w:lineRule="auto"/>
    </w:pPr>
    <w:r>
      <w:pict w14:anchorId="6E4C9420">
        <v:line id="_x0000_s2093" style="position:absolute;z-index:-59392;mso-position-horizontal-relative:page;mso-position-vertical-relative:page" from="534.95pt,45.8pt" to="595.25pt,45.8pt" strokecolor="#0095a7" strokeweight="7pt">
          <w10:wrap anchorx="page" anchory="page"/>
        </v:line>
      </w:pict>
    </w:r>
    <w:r>
      <w:pict w14:anchorId="0ADB8185">
        <v:shapetype id="_x0000_t202" coordsize="21600,21600" o:spt="202" path="m0,0l0,21600,21600,21600,21600,0xe">
          <v:stroke joinstyle="miter"/>
          <v:path gradientshapeok="t" o:connecttype="rect"/>
        </v:shapetype>
        <v:shape id="_x0000_s2092" type="#_x0000_t202" style="position:absolute;margin-left:327pt;margin-top:40.9pt;width:172.9pt;height:9.5pt;z-index:-59368;mso-position-horizontal-relative:page;mso-position-vertical-relative:page" filled="f" stroked="f">
          <v:textbox inset="0,0,0,0">
            <w:txbxContent>
              <w:p w14:paraId="65CCDBF9" w14:textId="77777777" w:rsidR="00724131" w:rsidRDefault="00823349">
                <w:pPr>
                  <w:spacing w:before="1"/>
                  <w:ind w:left="20"/>
                  <w:rPr>
                    <w:sz w:val="15"/>
                  </w:rPr>
                </w:pPr>
                <w:r>
                  <w:rPr>
                    <w:color w:val="58595B"/>
                    <w:sz w:val="15"/>
                  </w:rPr>
                  <w:t>CHAPTER 20    THE EPA’S CAPABILITY NEEDS</w:t>
                </w:r>
              </w:p>
            </w:txbxContent>
          </v:textbox>
          <w10:wrap anchorx="page" anchory="page"/>
        </v:shape>
      </w:pict>
    </w:r>
    <w:r>
      <w:pict w14:anchorId="22048264">
        <v:shape id="_x0000_s2091" type="#_x0000_t202" style="position:absolute;margin-left:509.45pt;margin-top:40.9pt;width:17.15pt;height:9.5pt;z-index:-59344;mso-position-horizontal-relative:page;mso-position-vertical-relative:page" filled="f" stroked="f">
          <v:textbox inset="0,0,0,0">
            <w:txbxContent>
              <w:p w14:paraId="03D45395" w14:textId="77777777" w:rsidR="00724131" w:rsidRDefault="00823349">
                <w:pPr>
                  <w:spacing w:before="1"/>
                  <w:ind w:left="40"/>
                  <w:rPr>
                    <w:sz w:val="15"/>
                  </w:rPr>
                </w:pPr>
                <w:r>
                  <w:fldChar w:fldCharType="begin"/>
                </w:r>
                <w:r>
                  <w:rPr>
                    <w:color w:val="58595B"/>
                    <w:sz w:val="15"/>
                  </w:rPr>
                  <w:instrText xml:space="preserve"> PAGE </w:instrText>
                </w:r>
                <w:r>
                  <w:fldChar w:fldCharType="separate"/>
                </w:r>
                <w:r w:rsidR="00054426">
                  <w:rPr>
                    <w:noProof/>
                    <w:color w:val="58595B"/>
                    <w:sz w:val="15"/>
                  </w:rPr>
                  <w:t>349</w:t>
                </w:r>
                <w:r>
                  <w:fldChar w:fldCharType="end"/>
                </w:r>
              </w:p>
            </w:txbxContent>
          </v:textbox>
          <w10:wrap anchorx="page" anchory="page"/>
        </v:shape>
      </w:pict>
    </w:r>
  </w:p>
</w:hdr>
</file>

<file path=word/header1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A030A06" w14:textId="77777777" w:rsidR="00724131" w:rsidRDefault="00054426">
    <w:pPr>
      <w:pStyle w:val="BodyText"/>
      <w:spacing w:line="14" w:lineRule="auto"/>
    </w:pPr>
    <w:r>
      <w:pict w14:anchorId="220AFD36">
        <v:line id="_x0000_s2090" style="position:absolute;z-index:-59320;mso-position-horizontal-relative:page;mso-position-vertical-relative:page" from="0,45.8pt" to="60.25pt,45.8pt" strokecolor="#0095a7" strokeweight="7pt">
          <w10:wrap anchorx="page" anchory="page"/>
        </v:line>
      </w:pict>
    </w:r>
    <w:r>
      <w:pict w14:anchorId="1AA0D404">
        <v:shapetype id="_x0000_t202" coordsize="21600,21600" o:spt="202" path="m0,0l0,21600,21600,21600,21600,0xe">
          <v:stroke joinstyle="miter"/>
          <v:path gradientshapeok="t" o:connecttype="rect"/>
        </v:shapetype>
        <v:shape id="_x0000_s2089" type="#_x0000_t202" style="position:absolute;margin-left:68.85pt;margin-top:40.9pt;width:17pt;height:9.5pt;z-index:-59296;mso-position-horizontal-relative:page;mso-position-vertical-relative:page" filled="f" stroked="f">
          <v:textbox inset="0,0,0,0">
            <w:txbxContent>
              <w:p w14:paraId="574E9FB9" w14:textId="77777777" w:rsidR="00724131" w:rsidRDefault="00823349">
                <w:pPr>
                  <w:spacing w:before="1"/>
                  <w:ind w:left="40"/>
                  <w:rPr>
                    <w:sz w:val="15"/>
                  </w:rPr>
                </w:pPr>
                <w:r>
                  <w:fldChar w:fldCharType="begin"/>
                </w:r>
                <w:r>
                  <w:rPr>
                    <w:color w:val="58595B"/>
                    <w:sz w:val="15"/>
                  </w:rPr>
                  <w:instrText xml:space="preserve"> PAGE </w:instrText>
                </w:r>
                <w:r>
                  <w:fldChar w:fldCharType="separate"/>
                </w:r>
                <w:r w:rsidR="00054426">
                  <w:rPr>
                    <w:noProof/>
                    <w:color w:val="58595B"/>
                    <w:sz w:val="15"/>
                  </w:rPr>
                  <w:t>352</w:t>
                </w:r>
                <w:r>
                  <w:fldChar w:fldCharType="end"/>
                </w:r>
              </w:p>
            </w:txbxContent>
          </v:textbox>
          <w10:wrap anchorx="page" anchory="page"/>
        </v:shape>
      </w:pict>
    </w:r>
    <w:r>
      <w:pict w14:anchorId="26F2574D">
        <v:shape id="_x0000_s2088" type="#_x0000_t202" style="position:absolute;margin-left:95.35pt;margin-top:40.9pt;width:147.8pt;height:9.5pt;z-index:-59272;mso-position-horizontal-relative:page;mso-position-vertical-relative:page" filled="f" stroked="f">
          <v:textbox inset="0,0,0,0">
            <w:txbxContent>
              <w:p w14:paraId="3BBB2DFE" w14:textId="77777777" w:rsidR="00724131" w:rsidRDefault="00823349">
                <w:pPr>
                  <w:spacing w:before="1"/>
                  <w:ind w:left="20"/>
                  <w:rPr>
                    <w:sz w:val="15"/>
                  </w:rPr>
                </w:pPr>
                <w:r>
                  <w:rPr>
                    <w:color w:val="58595B"/>
                    <w:sz w:val="15"/>
                  </w:rPr>
                  <w:t>INDEPENDENT INQUIRY INTO THE EPA</w:t>
                </w:r>
              </w:p>
            </w:txbxContent>
          </v:textbox>
          <w10:wrap anchorx="page" anchory="page"/>
        </v:shape>
      </w:pict>
    </w:r>
  </w:p>
</w:hdr>
</file>

<file path=word/header1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6A255E9" w14:textId="77777777" w:rsidR="00724131" w:rsidRDefault="00054426">
    <w:pPr>
      <w:pStyle w:val="BodyText"/>
      <w:spacing w:line="14" w:lineRule="auto"/>
    </w:pPr>
    <w:r>
      <w:pict w14:anchorId="3A0BE124">
        <v:line id="_x0000_s2087" style="position:absolute;z-index:-59248;mso-position-horizontal-relative:page;mso-position-vertical-relative:page" from="534.95pt,45.8pt" to="595.25pt,45.8pt" strokecolor="#0095a7" strokeweight="7pt">
          <w10:wrap anchorx="page" anchory="page"/>
        </v:line>
      </w:pict>
    </w:r>
    <w:r>
      <w:pict w14:anchorId="74C8F672">
        <v:shapetype id="_x0000_t202" coordsize="21600,21600" o:spt="202" path="m0,0l0,21600,21600,21600,21600,0xe">
          <v:stroke joinstyle="miter"/>
          <v:path gradientshapeok="t" o:connecttype="rect"/>
        </v:shapetype>
        <v:shape id="_x0000_s2086" type="#_x0000_t202" style="position:absolute;margin-left:327pt;margin-top:40.9pt;width:172.9pt;height:9.5pt;z-index:-59224;mso-position-horizontal-relative:page;mso-position-vertical-relative:page" filled="f" stroked="f">
          <v:textbox inset="0,0,0,0">
            <w:txbxContent>
              <w:p w14:paraId="330B91C3" w14:textId="77777777" w:rsidR="00724131" w:rsidRDefault="00823349">
                <w:pPr>
                  <w:spacing w:before="1"/>
                  <w:ind w:left="20"/>
                  <w:rPr>
                    <w:sz w:val="15"/>
                  </w:rPr>
                </w:pPr>
                <w:r>
                  <w:rPr>
                    <w:color w:val="58595B"/>
                    <w:sz w:val="15"/>
                  </w:rPr>
                  <w:t>CHAPTER 20    THE EPA’S CAPABILITY NEEDS</w:t>
                </w:r>
              </w:p>
            </w:txbxContent>
          </v:textbox>
          <w10:wrap anchorx="page" anchory="page"/>
        </v:shape>
      </w:pict>
    </w:r>
    <w:r>
      <w:pict w14:anchorId="5CA3617B">
        <v:shape id="_x0000_s2085" type="#_x0000_t202" style="position:absolute;margin-left:511.05pt;margin-top:40.9pt;width:14.05pt;height:9.5pt;z-index:-59200;mso-position-horizontal-relative:page;mso-position-vertical-relative:page" filled="f" stroked="f">
          <v:textbox inset="0,0,0,0">
            <w:txbxContent>
              <w:p w14:paraId="03BC1937" w14:textId="77777777" w:rsidR="00724131" w:rsidRDefault="00823349">
                <w:pPr>
                  <w:spacing w:before="1"/>
                  <w:ind w:left="20" w:right="-10"/>
                  <w:rPr>
                    <w:sz w:val="15"/>
                  </w:rPr>
                </w:pPr>
                <w:r>
                  <w:rPr>
                    <w:color w:val="58595B"/>
                    <w:sz w:val="15"/>
                  </w:rPr>
                  <w:t>351</w:t>
                </w:r>
              </w:p>
            </w:txbxContent>
          </v:textbox>
          <w10:wrap anchorx="page" anchory="page"/>
        </v:shape>
      </w:pict>
    </w:r>
  </w:p>
</w:hdr>
</file>

<file path=word/header1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74F4B32" w14:textId="77777777" w:rsidR="00724131" w:rsidRDefault="00054426">
    <w:pPr>
      <w:pStyle w:val="BodyText"/>
      <w:spacing w:line="14" w:lineRule="auto"/>
    </w:pPr>
    <w:r>
      <w:pict w14:anchorId="02DFA572">
        <v:line id="_x0000_s2081" style="position:absolute;z-index:-59104;mso-position-horizontal-relative:page;mso-position-vertical-relative:page" from="0,45.8pt" to="60.25pt,45.8pt" strokecolor="#0095a7" strokeweight="7pt">
          <w10:wrap anchorx="page" anchory="page"/>
        </v:line>
      </w:pict>
    </w:r>
    <w:r>
      <w:pict w14:anchorId="58DAC042">
        <v:shapetype id="_x0000_t202" coordsize="21600,21600" o:spt="202" path="m0,0l0,21600,21600,21600,21600,0xe">
          <v:stroke joinstyle="miter"/>
          <v:path gradientshapeok="t" o:connecttype="rect"/>
        </v:shapetype>
        <v:shape id="_x0000_s2080" type="#_x0000_t202" style="position:absolute;margin-left:68.85pt;margin-top:40.9pt;width:17pt;height:9.5pt;z-index:-59080;mso-position-horizontal-relative:page;mso-position-vertical-relative:page" filled="f" stroked="f">
          <v:textbox inset="0,0,0,0">
            <w:txbxContent>
              <w:p w14:paraId="409114FC" w14:textId="77777777" w:rsidR="00724131" w:rsidRDefault="00823349">
                <w:pPr>
                  <w:spacing w:before="1"/>
                  <w:ind w:left="40"/>
                  <w:rPr>
                    <w:sz w:val="15"/>
                  </w:rPr>
                </w:pPr>
                <w:r>
                  <w:fldChar w:fldCharType="begin"/>
                </w:r>
                <w:r>
                  <w:rPr>
                    <w:color w:val="58595B"/>
                    <w:sz w:val="15"/>
                  </w:rPr>
                  <w:instrText xml:space="preserve"> PAGE </w:instrText>
                </w:r>
                <w:r>
                  <w:fldChar w:fldCharType="separate"/>
                </w:r>
                <w:r w:rsidR="00054426">
                  <w:rPr>
                    <w:noProof/>
                    <w:color w:val="58595B"/>
                    <w:sz w:val="15"/>
                  </w:rPr>
                  <w:t>356</w:t>
                </w:r>
                <w:r>
                  <w:fldChar w:fldCharType="end"/>
                </w:r>
              </w:p>
            </w:txbxContent>
          </v:textbox>
          <w10:wrap anchorx="page" anchory="page"/>
        </v:shape>
      </w:pict>
    </w:r>
    <w:r>
      <w:pict w14:anchorId="5B0E8682">
        <v:shape id="_x0000_s2079" type="#_x0000_t202" style="position:absolute;margin-left:95.35pt;margin-top:40.9pt;width:147.8pt;height:9.5pt;z-index:-59056;mso-position-horizontal-relative:page;mso-position-vertical-relative:page" filled="f" stroked="f">
          <v:textbox inset="0,0,0,0">
            <w:txbxContent>
              <w:p w14:paraId="380F34EF" w14:textId="77777777" w:rsidR="00724131" w:rsidRDefault="00823349">
                <w:pPr>
                  <w:spacing w:before="1"/>
                  <w:ind w:left="20"/>
                  <w:rPr>
                    <w:sz w:val="15"/>
                  </w:rPr>
                </w:pPr>
                <w:r>
                  <w:rPr>
                    <w:color w:val="58595B"/>
                    <w:sz w:val="15"/>
                  </w:rPr>
                  <w:t>INDEPENDENT INQUIRY INTO THE EPA</w:t>
                </w:r>
              </w:p>
            </w:txbxContent>
          </v:textbox>
          <w10:wrap anchorx="page" anchory="page"/>
        </v:shape>
      </w:pict>
    </w:r>
  </w:p>
</w:hdr>
</file>

<file path=word/header1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BE6A653" w14:textId="77777777" w:rsidR="00724131" w:rsidRDefault="00054426">
    <w:pPr>
      <w:pStyle w:val="BodyText"/>
      <w:spacing w:line="14" w:lineRule="auto"/>
    </w:pPr>
    <w:r>
      <w:pict w14:anchorId="574B1499">
        <v:line id="_x0000_s2084" style="position:absolute;z-index:-59176;mso-position-horizontal-relative:page;mso-position-vertical-relative:page" from="534.95pt,45.8pt" to="595.25pt,45.8pt" strokecolor="#0095a7" strokeweight="7pt">
          <w10:wrap anchorx="page" anchory="page"/>
        </v:line>
      </w:pict>
    </w:r>
    <w:r>
      <w:pict w14:anchorId="76621695">
        <v:shapetype id="_x0000_t202" coordsize="21600,21600" o:spt="202" path="m0,0l0,21600,21600,21600,21600,0xe">
          <v:stroke joinstyle="miter"/>
          <v:path gradientshapeok="t" o:connecttype="rect"/>
        </v:shapetype>
        <v:shape id="_x0000_s2083" type="#_x0000_t202" style="position:absolute;margin-left:327pt;margin-top:40.9pt;width:172.9pt;height:9.5pt;z-index:-59152;mso-position-horizontal-relative:page;mso-position-vertical-relative:page" filled="f" stroked="f">
          <v:textbox inset="0,0,0,0">
            <w:txbxContent>
              <w:p w14:paraId="03D7EED5" w14:textId="77777777" w:rsidR="00724131" w:rsidRDefault="00823349">
                <w:pPr>
                  <w:spacing w:before="1"/>
                  <w:ind w:left="20"/>
                  <w:rPr>
                    <w:sz w:val="15"/>
                  </w:rPr>
                </w:pPr>
                <w:r>
                  <w:rPr>
                    <w:color w:val="58595B"/>
                    <w:sz w:val="15"/>
                  </w:rPr>
                  <w:t>CHAPTER 20    THE EPA’S CAPABILITY NEEDS</w:t>
                </w:r>
              </w:p>
            </w:txbxContent>
          </v:textbox>
          <w10:wrap anchorx="page" anchory="page"/>
        </v:shape>
      </w:pict>
    </w:r>
    <w:r>
      <w:pict w14:anchorId="2C094CA3">
        <v:shape id="_x0000_s2082" type="#_x0000_t202" style="position:absolute;margin-left:509.5pt;margin-top:40.9pt;width:16.9pt;height:9.5pt;z-index:-59128;mso-position-horizontal-relative:page;mso-position-vertical-relative:page" filled="f" stroked="f">
          <v:textbox inset="0,0,0,0">
            <w:txbxContent>
              <w:p w14:paraId="1AB52BA1" w14:textId="77777777" w:rsidR="00724131" w:rsidRDefault="00823349">
                <w:pPr>
                  <w:spacing w:before="1"/>
                  <w:ind w:left="40"/>
                  <w:rPr>
                    <w:sz w:val="15"/>
                  </w:rPr>
                </w:pPr>
                <w:r>
                  <w:fldChar w:fldCharType="begin"/>
                </w:r>
                <w:r>
                  <w:rPr>
                    <w:color w:val="58595B"/>
                    <w:sz w:val="15"/>
                  </w:rPr>
                  <w:instrText xml:space="preserve"> PAGE </w:instrText>
                </w:r>
                <w:r>
                  <w:fldChar w:fldCharType="separate"/>
                </w:r>
                <w:r w:rsidR="00054426">
                  <w:rPr>
                    <w:noProof/>
                    <w:color w:val="58595B"/>
                    <w:sz w:val="15"/>
                  </w:rPr>
                  <w:t>355</w:t>
                </w:r>
                <w:r>
                  <w:fldChar w:fldCharType="end"/>
                </w:r>
              </w:p>
            </w:txbxContent>
          </v:textbox>
          <w10:wrap anchorx="page" anchory="page"/>
        </v:shape>
      </w:pict>
    </w:r>
  </w:p>
</w:hdr>
</file>

<file path=word/header1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A16340A" w14:textId="77777777" w:rsidR="00724131" w:rsidRDefault="00724131">
    <w:pPr>
      <w:pStyle w:val="BodyText"/>
      <w:spacing w:line="14" w:lineRule="auto"/>
      <w:rPr>
        <w:sz w:val="2"/>
      </w:rPr>
    </w:pPr>
  </w:p>
</w:hdr>
</file>

<file path=word/header1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AEE2D2E" w14:textId="77777777" w:rsidR="00724131" w:rsidRDefault="00724131">
    <w:pPr>
      <w:pStyle w:val="BodyText"/>
      <w:spacing w:line="14" w:lineRule="auto"/>
      <w:rPr>
        <w:sz w:val="2"/>
      </w:rPr>
    </w:pPr>
  </w:p>
</w:hdr>
</file>

<file path=word/header1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2FADD16" w14:textId="77777777" w:rsidR="00724131" w:rsidRDefault="00054426">
    <w:pPr>
      <w:pStyle w:val="BodyText"/>
      <w:spacing w:line="14" w:lineRule="auto"/>
    </w:pPr>
    <w:r>
      <w:pict w14:anchorId="7BCDE273">
        <v:line id="_x0000_s2078" style="position:absolute;z-index:-59032;mso-position-horizontal-relative:page;mso-position-vertical-relative:page" from="0,45.8pt" to="60.25pt,45.8pt" strokecolor="#0095a7" strokeweight="7pt">
          <w10:wrap anchorx="page" anchory="page"/>
        </v:line>
      </w:pict>
    </w:r>
    <w:r>
      <w:pict w14:anchorId="247562CB">
        <v:shapetype id="_x0000_t202" coordsize="21600,21600" o:spt="202" path="m0,0l0,21600,21600,21600,21600,0xe">
          <v:stroke joinstyle="miter"/>
          <v:path gradientshapeok="t" o:connecttype="rect"/>
        </v:shapetype>
        <v:shape id="_x0000_s2077" type="#_x0000_t202" style="position:absolute;margin-left:68.85pt;margin-top:40.9pt;width:16.9pt;height:9.5pt;z-index:-59008;mso-position-horizontal-relative:page;mso-position-vertical-relative:page" filled="f" stroked="f">
          <v:textbox inset="0,0,0,0">
            <w:txbxContent>
              <w:p w14:paraId="3BA680FC" w14:textId="77777777" w:rsidR="00724131" w:rsidRDefault="00823349">
                <w:pPr>
                  <w:spacing w:before="1"/>
                  <w:ind w:left="40"/>
                  <w:rPr>
                    <w:sz w:val="15"/>
                  </w:rPr>
                </w:pPr>
                <w:r>
                  <w:fldChar w:fldCharType="begin"/>
                </w:r>
                <w:r>
                  <w:rPr>
                    <w:color w:val="58595B"/>
                    <w:sz w:val="15"/>
                  </w:rPr>
                  <w:instrText xml:space="preserve"> PAGE </w:instrText>
                </w:r>
                <w:r>
                  <w:fldChar w:fldCharType="separate"/>
                </w:r>
                <w:r w:rsidR="00054426">
                  <w:rPr>
                    <w:noProof/>
                    <w:color w:val="58595B"/>
                    <w:sz w:val="15"/>
                  </w:rPr>
                  <w:t>358</w:t>
                </w:r>
                <w:r>
                  <w:fldChar w:fldCharType="end"/>
                </w:r>
              </w:p>
            </w:txbxContent>
          </v:textbox>
          <w10:wrap anchorx="page" anchory="page"/>
        </v:shape>
      </w:pict>
    </w:r>
    <w:r>
      <w:pict w14:anchorId="465BD9E4">
        <v:shape id="_x0000_s2076" type="#_x0000_t202" style="position:absolute;margin-left:95.35pt;margin-top:40.9pt;width:147.8pt;height:9.5pt;z-index:-58984;mso-position-horizontal-relative:page;mso-position-vertical-relative:page" filled="f" stroked="f">
          <v:textbox inset="0,0,0,0">
            <w:txbxContent>
              <w:p w14:paraId="432C6372" w14:textId="77777777" w:rsidR="00724131" w:rsidRDefault="00823349">
                <w:pPr>
                  <w:spacing w:before="1"/>
                  <w:ind w:left="20"/>
                  <w:rPr>
                    <w:sz w:val="15"/>
                  </w:rPr>
                </w:pPr>
                <w:r>
                  <w:rPr>
                    <w:color w:val="58595B"/>
                    <w:sz w:val="15"/>
                  </w:rPr>
                  <w:t>INDEPENDENT INQUIRY INTO THE EPA</w:t>
                </w:r>
              </w:p>
            </w:txbxContent>
          </v:textbox>
          <w10:wrap anchorx="page" anchory="page"/>
        </v:shape>
      </w:pict>
    </w:r>
  </w:p>
</w:hdr>
</file>

<file path=word/header1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227AFE5" w14:textId="77777777" w:rsidR="00724131" w:rsidRDefault="00054426">
    <w:pPr>
      <w:pStyle w:val="BodyText"/>
      <w:spacing w:line="14" w:lineRule="auto"/>
    </w:pPr>
    <w:r>
      <w:pict w14:anchorId="4CC2D8FE">
        <v:line id="_x0000_s2075" style="position:absolute;z-index:-58960;mso-position-horizontal-relative:page;mso-position-vertical-relative:page" from="534.95pt,45.8pt" to="595.25pt,45.8pt" strokecolor="#0095a7" strokeweight="7pt">
          <w10:wrap anchorx="page" anchory="page"/>
        </v:line>
      </w:pict>
    </w:r>
    <w:r>
      <w:pict w14:anchorId="6A0B67F4">
        <v:shapetype id="_x0000_t202" coordsize="21600,21600" o:spt="202" path="m0,0l0,21600,21600,21600,21600,0xe">
          <v:stroke joinstyle="miter"/>
          <v:path gradientshapeok="t" o:connecttype="rect"/>
        </v:shapetype>
        <v:shape id="_x0000_s2074" type="#_x0000_t202" style="position:absolute;margin-left:337.4pt;margin-top:40.9pt;width:162.5pt;height:9.5pt;z-index:-58936;mso-position-horizontal-relative:page;mso-position-vertical-relative:page" filled="f" stroked="f">
          <v:textbox inset="0,0,0,0">
            <w:txbxContent>
              <w:p w14:paraId="468F1B37" w14:textId="77777777" w:rsidR="00724131" w:rsidRDefault="00823349">
                <w:pPr>
                  <w:spacing w:before="1"/>
                  <w:ind w:left="20"/>
                  <w:rPr>
                    <w:sz w:val="15"/>
                  </w:rPr>
                </w:pPr>
                <w:r>
                  <w:rPr>
                    <w:color w:val="58595B"/>
                    <w:sz w:val="15"/>
                  </w:rPr>
                  <w:t>CHAPTER 21    FUNDING FOR THE FUTURE</w:t>
                </w:r>
              </w:p>
            </w:txbxContent>
          </v:textbox>
          <w10:wrap anchorx="page" anchory="page"/>
        </v:shape>
      </w:pict>
    </w:r>
    <w:r>
      <w:pict w14:anchorId="529FFA1E">
        <v:shape id="_x0000_s2073" type="#_x0000_t202" style="position:absolute;margin-left:509.55pt;margin-top:40.9pt;width:16.85pt;height:9.5pt;z-index:-58912;mso-position-horizontal-relative:page;mso-position-vertical-relative:page" filled="f" stroked="f">
          <v:textbox inset="0,0,0,0">
            <w:txbxContent>
              <w:p w14:paraId="4717861D" w14:textId="77777777" w:rsidR="00724131" w:rsidRDefault="00823349">
                <w:pPr>
                  <w:spacing w:before="1"/>
                  <w:ind w:left="40"/>
                  <w:rPr>
                    <w:sz w:val="15"/>
                  </w:rPr>
                </w:pPr>
                <w:r>
                  <w:fldChar w:fldCharType="begin"/>
                </w:r>
                <w:r>
                  <w:rPr>
                    <w:color w:val="58595B"/>
                    <w:sz w:val="15"/>
                  </w:rPr>
                  <w:instrText xml:space="preserve"> PAGE </w:instrText>
                </w:r>
                <w:r>
                  <w:fldChar w:fldCharType="separate"/>
                </w:r>
                <w:r w:rsidR="00054426">
                  <w:rPr>
                    <w:noProof/>
                    <w:color w:val="58595B"/>
                    <w:sz w:val="15"/>
                  </w:rPr>
                  <w:t>359</w:t>
                </w:r>
                <w:r>
                  <w:fldChar w:fldCharType="end"/>
                </w:r>
              </w:p>
            </w:txbxContent>
          </v:textbox>
          <w10:wrap anchorx="page" anchory="page"/>
        </v:shape>
      </w:pict>
    </w:r>
  </w:p>
</w:hdr>
</file>

<file path=word/header1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3DAF08D" w14:textId="77777777" w:rsidR="00724131" w:rsidRDefault="00054426">
    <w:pPr>
      <w:pStyle w:val="BodyText"/>
      <w:spacing w:line="14" w:lineRule="auto"/>
    </w:pPr>
    <w:r>
      <w:pict w14:anchorId="5E4B421D">
        <v:line id="_x0000_s2072" style="position:absolute;z-index:-58888;mso-position-horizontal-relative:page;mso-position-vertical-relative:page" from="0,45.8pt" to="60.25pt,45.8pt" strokecolor="#0095a7" strokeweight="7pt">
          <w10:wrap anchorx="page" anchory="page"/>
        </v:line>
      </w:pict>
    </w:r>
    <w:r>
      <w:pict w14:anchorId="08343DFC">
        <v:shapetype id="_x0000_t202" coordsize="21600,21600" o:spt="202" path="m0,0l0,21600,21600,21600,21600,0xe">
          <v:stroke joinstyle="miter"/>
          <v:path gradientshapeok="t" o:connecttype="rect"/>
        </v:shapetype>
        <v:shape id="_x0000_s2071" type="#_x0000_t202" style="position:absolute;margin-left:68.85pt;margin-top:40.9pt;width:17pt;height:9.5pt;z-index:-58864;mso-position-horizontal-relative:page;mso-position-vertical-relative:page" filled="f" stroked="f">
          <v:textbox inset="0,0,0,0">
            <w:txbxContent>
              <w:p w14:paraId="281E09AF" w14:textId="77777777" w:rsidR="00724131" w:rsidRDefault="00823349">
                <w:pPr>
                  <w:spacing w:before="1"/>
                  <w:ind w:left="40"/>
                  <w:rPr>
                    <w:sz w:val="15"/>
                  </w:rPr>
                </w:pPr>
                <w:r>
                  <w:fldChar w:fldCharType="begin"/>
                </w:r>
                <w:r>
                  <w:rPr>
                    <w:color w:val="58595B"/>
                    <w:sz w:val="15"/>
                  </w:rPr>
                  <w:instrText xml:space="preserve"> PAGE </w:instrText>
                </w:r>
                <w:r>
                  <w:fldChar w:fldCharType="separate"/>
                </w:r>
                <w:r w:rsidR="00054426">
                  <w:rPr>
                    <w:noProof/>
                    <w:color w:val="58595B"/>
                    <w:sz w:val="15"/>
                  </w:rPr>
                  <w:t>368</w:t>
                </w:r>
                <w:r>
                  <w:fldChar w:fldCharType="end"/>
                </w:r>
              </w:p>
            </w:txbxContent>
          </v:textbox>
          <w10:wrap anchorx="page" anchory="page"/>
        </v:shape>
      </w:pict>
    </w:r>
    <w:r>
      <w:pict w14:anchorId="573AB227">
        <v:shape id="_x0000_s2070" type="#_x0000_t202" style="position:absolute;margin-left:95.35pt;margin-top:40.9pt;width:147.8pt;height:9.5pt;z-index:-58840;mso-position-horizontal-relative:page;mso-position-vertical-relative:page" filled="f" stroked="f">
          <v:textbox inset="0,0,0,0">
            <w:txbxContent>
              <w:p w14:paraId="282CAE40" w14:textId="77777777" w:rsidR="00724131" w:rsidRDefault="00823349">
                <w:pPr>
                  <w:spacing w:before="1"/>
                  <w:ind w:left="20"/>
                  <w:rPr>
                    <w:sz w:val="15"/>
                  </w:rPr>
                </w:pPr>
                <w:r>
                  <w:rPr>
                    <w:color w:val="58595B"/>
                    <w:sz w:val="15"/>
                  </w:rPr>
                  <w:t>INDEPENDENT INQUIRY INTO THE EPA</w:t>
                </w:r>
              </w:p>
            </w:txbxContent>
          </v:textbox>
          <w10:wrap anchorx="page" anchory="page"/>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36023E8" w14:textId="77777777" w:rsidR="00724131" w:rsidRDefault="00054426">
    <w:pPr>
      <w:pStyle w:val="BodyText"/>
      <w:spacing w:line="14" w:lineRule="auto"/>
    </w:pPr>
    <w:r>
      <w:pict w14:anchorId="18109017">
        <v:line id="_x0000_s2111" style="position:absolute;z-index:-59824;mso-position-horizontal-relative:page;mso-position-vertical-relative:page" from="534.95pt,45.8pt" to="595.25pt,45.8pt" strokecolor="#0095a7" strokeweight="7pt">
          <w10:wrap anchorx="page" anchory="page"/>
        </v:line>
      </w:pict>
    </w:r>
    <w:r>
      <w:pict w14:anchorId="4E748DBC">
        <v:shapetype id="_x0000_t202" coordsize="21600,21600" o:spt="202" path="m0,0l0,21600,21600,21600,21600,0xe">
          <v:stroke joinstyle="miter"/>
          <v:path gradientshapeok="t" o:connecttype="rect"/>
        </v:shapetype>
        <v:shape id="_x0000_s2110" type="#_x0000_t202" style="position:absolute;margin-left:216.05pt;margin-top:40.9pt;width:283.9pt;height:9.5pt;z-index:-59800;mso-position-horizontal-relative:page;mso-position-vertical-relative:page" filled="f" stroked="f">
          <v:textbox inset="0,0,0,0">
            <w:txbxContent>
              <w:p w14:paraId="52BFB20C" w14:textId="77777777" w:rsidR="00724131" w:rsidRDefault="00823349">
                <w:pPr>
                  <w:spacing w:before="1"/>
                  <w:ind w:left="20"/>
                  <w:rPr>
                    <w:sz w:val="15"/>
                  </w:rPr>
                </w:pPr>
                <w:r>
                  <w:rPr>
                    <w:color w:val="58595B"/>
                    <w:sz w:val="15"/>
                  </w:rPr>
                  <w:t>CHAPTER 19    ESTABLISHING EFFECTIVE GOVERNANCE ARRANGEMENTS</w:t>
                </w:r>
              </w:p>
            </w:txbxContent>
          </v:textbox>
          <w10:wrap anchorx="page" anchory="page"/>
        </v:shape>
      </w:pict>
    </w:r>
    <w:r>
      <w:pict w14:anchorId="686E34CB">
        <v:shape id="_x0000_s2109" type="#_x0000_t202" style="position:absolute;margin-left:509.65pt;margin-top:40.9pt;width:16.8pt;height:9.5pt;z-index:-59776;mso-position-horizontal-relative:page;mso-position-vertical-relative:page" filled="f" stroked="f">
          <v:textbox inset="0,0,0,0">
            <w:txbxContent>
              <w:p w14:paraId="6AAF5269" w14:textId="77777777" w:rsidR="00724131" w:rsidRDefault="00823349">
                <w:pPr>
                  <w:spacing w:before="1"/>
                  <w:ind w:left="40"/>
                  <w:rPr>
                    <w:sz w:val="15"/>
                  </w:rPr>
                </w:pPr>
                <w:r>
                  <w:fldChar w:fldCharType="begin"/>
                </w:r>
                <w:r>
                  <w:rPr>
                    <w:color w:val="58595B"/>
                    <w:sz w:val="15"/>
                  </w:rPr>
                  <w:instrText xml:space="preserve"> PAGE </w:instrText>
                </w:r>
                <w:r>
                  <w:fldChar w:fldCharType="separate"/>
                </w:r>
                <w:r w:rsidR="00054426">
                  <w:rPr>
                    <w:noProof/>
                    <w:color w:val="58595B"/>
                    <w:sz w:val="15"/>
                  </w:rPr>
                  <w:t>329</w:t>
                </w:r>
                <w:r>
                  <w:fldChar w:fldCharType="end"/>
                </w:r>
              </w:p>
            </w:txbxContent>
          </v:textbox>
          <w10:wrap anchorx="page" anchory="page"/>
        </v:shape>
      </w:pict>
    </w:r>
  </w:p>
</w:hdr>
</file>

<file path=word/header2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44B2C5C" w14:textId="77777777" w:rsidR="00724131" w:rsidRDefault="00054426">
    <w:pPr>
      <w:pStyle w:val="BodyText"/>
      <w:spacing w:line="14" w:lineRule="auto"/>
    </w:pPr>
    <w:r>
      <w:pict w14:anchorId="01D1788F">
        <v:line id="_x0000_s2069" style="position:absolute;z-index:-58816;mso-position-horizontal-relative:page;mso-position-vertical-relative:page" from="534.95pt,45.8pt" to="595.25pt,45.8pt" strokecolor="#0095a7" strokeweight="7pt">
          <w10:wrap anchorx="page" anchory="page"/>
        </v:line>
      </w:pict>
    </w:r>
    <w:r>
      <w:pict w14:anchorId="5C0AB920">
        <v:shapetype id="_x0000_t202" coordsize="21600,21600" o:spt="202" path="m0,0l0,21600,21600,21600,21600,0xe">
          <v:stroke joinstyle="miter"/>
          <v:path gradientshapeok="t" o:connecttype="rect"/>
        </v:shapetype>
        <v:shape id="_x0000_s2068" type="#_x0000_t202" style="position:absolute;margin-left:337.4pt;margin-top:40.9pt;width:162.5pt;height:9.5pt;z-index:-58792;mso-position-horizontal-relative:page;mso-position-vertical-relative:page" filled="f" stroked="f">
          <v:textbox inset="0,0,0,0">
            <w:txbxContent>
              <w:p w14:paraId="1ED8C26E" w14:textId="77777777" w:rsidR="00724131" w:rsidRDefault="00823349">
                <w:pPr>
                  <w:spacing w:before="1"/>
                  <w:ind w:left="20"/>
                  <w:rPr>
                    <w:sz w:val="15"/>
                  </w:rPr>
                </w:pPr>
                <w:r>
                  <w:rPr>
                    <w:color w:val="58595B"/>
                    <w:sz w:val="15"/>
                  </w:rPr>
                  <w:t>CHAPTER 21    FUNDING FOR THE FUTURE</w:t>
                </w:r>
              </w:p>
            </w:txbxContent>
          </v:textbox>
          <w10:wrap anchorx="page" anchory="page"/>
        </v:shape>
      </w:pict>
    </w:r>
    <w:r>
      <w:pict w14:anchorId="226CDCCB">
        <v:shape id="_x0000_s2067" type="#_x0000_t202" style="position:absolute;margin-left:509.45pt;margin-top:40.9pt;width:17.15pt;height:9.5pt;z-index:-58768;mso-position-horizontal-relative:page;mso-position-vertical-relative:page" filled="f" stroked="f">
          <v:textbox inset="0,0,0,0">
            <w:txbxContent>
              <w:p w14:paraId="47B178A2" w14:textId="77777777" w:rsidR="00724131" w:rsidRDefault="00823349">
                <w:pPr>
                  <w:spacing w:before="1"/>
                  <w:ind w:left="40"/>
                  <w:rPr>
                    <w:sz w:val="15"/>
                  </w:rPr>
                </w:pPr>
                <w:r>
                  <w:fldChar w:fldCharType="begin"/>
                </w:r>
                <w:r>
                  <w:rPr>
                    <w:color w:val="58595B"/>
                    <w:sz w:val="15"/>
                  </w:rPr>
                  <w:instrText xml:space="preserve"> PAGE </w:instrText>
                </w:r>
                <w:r>
                  <w:fldChar w:fldCharType="separate"/>
                </w:r>
                <w:r w:rsidR="00054426">
                  <w:rPr>
                    <w:noProof/>
                    <w:color w:val="58595B"/>
                    <w:sz w:val="15"/>
                  </w:rPr>
                  <w:t>369</w:t>
                </w:r>
                <w:r>
                  <w:fldChar w:fldCharType="end"/>
                </w:r>
              </w:p>
            </w:txbxContent>
          </v:textbox>
          <w10:wrap anchorx="page" anchory="page"/>
        </v:shape>
      </w:pict>
    </w:r>
  </w:p>
</w:hdr>
</file>

<file path=word/header2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68997C7" w14:textId="77777777" w:rsidR="00724131" w:rsidRDefault="00054426">
    <w:pPr>
      <w:pStyle w:val="BodyText"/>
      <w:spacing w:line="14" w:lineRule="auto"/>
    </w:pPr>
    <w:r>
      <w:pict w14:anchorId="455F0BE5">
        <v:line id="_x0000_s2066" style="position:absolute;z-index:-58744;mso-position-horizontal-relative:page;mso-position-vertical-relative:page" from="0,45.8pt" to="60.25pt,45.8pt" strokecolor="#0095a7" strokeweight="7pt">
          <w10:wrap anchorx="page" anchory="page"/>
        </v:line>
      </w:pict>
    </w:r>
    <w:r>
      <w:pict w14:anchorId="6A583A36">
        <v:shapetype id="_x0000_t202" coordsize="21600,21600" o:spt="202" path="m0,0l0,21600,21600,21600,21600,0xe">
          <v:stroke joinstyle="miter"/>
          <v:path gradientshapeok="t" o:connecttype="rect"/>
        </v:shapetype>
        <v:shape id="_x0000_s2065" type="#_x0000_t202" style="position:absolute;margin-left:68.85pt;margin-top:40.9pt;width:16.55pt;height:9.5pt;z-index:-58720;mso-position-horizontal-relative:page;mso-position-vertical-relative:page" filled="f" stroked="f">
          <v:textbox inset="0,0,0,0">
            <w:txbxContent>
              <w:p w14:paraId="54A91512" w14:textId="77777777" w:rsidR="00724131" w:rsidRDefault="00823349">
                <w:pPr>
                  <w:spacing w:before="1"/>
                  <w:ind w:left="40"/>
                  <w:rPr>
                    <w:sz w:val="15"/>
                  </w:rPr>
                </w:pPr>
                <w:r>
                  <w:fldChar w:fldCharType="begin"/>
                </w:r>
                <w:r>
                  <w:rPr>
                    <w:color w:val="58595B"/>
                    <w:sz w:val="15"/>
                  </w:rPr>
                  <w:instrText xml:space="preserve"> PAGE </w:instrText>
                </w:r>
                <w:r>
                  <w:fldChar w:fldCharType="separate"/>
                </w:r>
                <w:r w:rsidR="00054426">
                  <w:rPr>
                    <w:noProof/>
                    <w:color w:val="58595B"/>
                    <w:sz w:val="15"/>
                  </w:rPr>
                  <w:t>372</w:t>
                </w:r>
                <w:r>
                  <w:fldChar w:fldCharType="end"/>
                </w:r>
              </w:p>
            </w:txbxContent>
          </v:textbox>
          <w10:wrap anchorx="page" anchory="page"/>
        </v:shape>
      </w:pict>
    </w:r>
    <w:r>
      <w:pict w14:anchorId="55BE2AA5">
        <v:shape id="_x0000_s2064" type="#_x0000_t202" style="position:absolute;margin-left:95.35pt;margin-top:40.9pt;width:147.8pt;height:9.5pt;z-index:-58696;mso-position-horizontal-relative:page;mso-position-vertical-relative:page" filled="f" stroked="f">
          <v:textbox inset="0,0,0,0">
            <w:txbxContent>
              <w:p w14:paraId="3A8608F9" w14:textId="77777777" w:rsidR="00724131" w:rsidRDefault="00823349">
                <w:pPr>
                  <w:spacing w:before="1"/>
                  <w:ind w:left="20"/>
                  <w:rPr>
                    <w:sz w:val="15"/>
                  </w:rPr>
                </w:pPr>
                <w:r>
                  <w:rPr>
                    <w:color w:val="58595B"/>
                    <w:sz w:val="15"/>
                  </w:rPr>
                  <w:t>INDEPENDENT INQUIRY INTO THE EPA</w:t>
                </w:r>
              </w:p>
            </w:txbxContent>
          </v:textbox>
          <w10:wrap anchorx="page" anchory="page"/>
        </v:shape>
      </w:pict>
    </w:r>
  </w:p>
</w:hdr>
</file>

<file path=word/header2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E6C1738" w14:textId="77777777" w:rsidR="00724131" w:rsidRDefault="00054426">
    <w:pPr>
      <w:pStyle w:val="BodyText"/>
      <w:spacing w:line="14" w:lineRule="auto"/>
    </w:pPr>
    <w:r>
      <w:pict w14:anchorId="7B76CD89">
        <v:line id="_x0000_s2063" style="position:absolute;z-index:-58672;mso-position-horizontal-relative:page;mso-position-vertical-relative:page" from="534.95pt,45.8pt" to="595.25pt,45.8pt" strokecolor="#0095a7" strokeweight="7pt">
          <w10:wrap anchorx="page" anchory="page"/>
        </v:line>
      </w:pict>
    </w:r>
    <w:r>
      <w:pict w14:anchorId="17B7F98F">
        <v:shapetype id="_x0000_t202" coordsize="21600,21600" o:spt="202" path="m0,0l0,21600,21600,21600,21600,0xe">
          <v:stroke joinstyle="miter"/>
          <v:path gradientshapeok="t" o:connecttype="rect"/>
        </v:shapetype>
        <v:shape id="_x0000_s2062" type="#_x0000_t202" style="position:absolute;margin-left:337.4pt;margin-top:40.9pt;width:162.5pt;height:9.5pt;z-index:-58648;mso-position-horizontal-relative:page;mso-position-vertical-relative:page" filled="f" stroked="f">
          <v:textbox inset="0,0,0,0">
            <w:txbxContent>
              <w:p w14:paraId="4F94A98E" w14:textId="77777777" w:rsidR="00724131" w:rsidRDefault="00823349">
                <w:pPr>
                  <w:spacing w:before="1"/>
                  <w:ind w:left="20"/>
                  <w:rPr>
                    <w:sz w:val="15"/>
                  </w:rPr>
                </w:pPr>
                <w:r>
                  <w:rPr>
                    <w:color w:val="58595B"/>
                    <w:sz w:val="15"/>
                  </w:rPr>
                  <w:t>CHAPTER 21    FUNDING FOR THE FUTURE</w:t>
                </w:r>
              </w:p>
            </w:txbxContent>
          </v:textbox>
          <w10:wrap anchorx="page" anchory="page"/>
        </v:shape>
      </w:pict>
    </w:r>
    <w:r>
      <w:pict w14:anchorId="07ED8EF0">
        <v:shape id="_x0000_s2061" type="#_x0000_t202" style="position:absolute;margin-left:511.2pt;margin-top:40.9pt;width:13.95pt;height:9.5pt;z-index:-58624;mso-position-horizontal-relative:page;mso-position-vertical-relative:page" filled="f" stroked="f">
          <v:textbox inset="0,0,0,0">
            <w:txbxContent>
              <w:p w14:paraId="5A909926" w14:textId="77777777" w:rsidR="00724131" w:rsidRDefault="00823349">
                <w:pPr>
                  <w:spacing w:before="1"/>
                  <w:ind w:left="20" w:right="-12"/>
                  <w:rPr>
                    <w:sz w:val="15"/>
                  </w:rPr>
                </w:pPr>
                <w:r>
                  <w:rPr>
                    <w:color w:val="58595B"/>
                    <w:sz w:val="15"/>
                  </w:rPr>
                  <w:t>371</w:t>
                </w:r>
              </w:p>
            </w:txbxContent>
          </v:textbox>
          <w10:wrap anchorx="page" anchory="page"/>
        </v:shape>
      </w:pict>
    </w:r>
  </w:p>
</w:hdr>
</file>

<file path=word/header2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6871BD1" w14:textId="77777777" w:rsidR="00724131" w:rsidRDefault="00054426">
    <w:pPr>
      <w:pStyle w:val="BodyText"/>
      <w:spacing w:line="14" w:lineRule="auto"/>
    </w:pPr>
    <w:r>
      <w:pict w14:anchorId="3F913234">
        <v:line id="_x0000_s2057" style="position:absolute;z-index:-58528;mso-position-horizontal-relative:page;mso-position-vertical-relative:page" from="0,45.8pt" to="60.25pt,45.8pt" strokecolor="#0095a7" strokeweight="7pt">
          <w10:wrap anchorx="page" anchory="page"/>
        </v:line>
      </w:pict>
    </w:r>
    <w:r>
      <w:pict w14:anchorId="403FC464">
        <v:shapetype id="_x0000_t202" coordsize="21600,21600" o:spt="202" path="m0,0l0,21600,21600,21600,21600,0xe">
          <v:stroke joinstyle="miter"/>
          <v:path gradientshapeok="t" o:connecttype="rect"/>
        </v:shapetype>
        <v:shape id="_x0000_s2056" type="#_x0000_t202" style="position:absolute;margin-left:68.85pt;margin-top:40.9pt;width:15.7pt;height:9.5pt;z-index:-58504;mso-position-horizontal-relative:page;mso-position-vertical-relative:page" filled="f" stroked="f">
          <v:textbox inset="0,0,0,0">
            <w:txbxContent>
              <w:p w14:paraId="3E66340F" w14:textId="77777777" w:rsidR="00724131" w:rsidRDefault="00823349">
                <w:pPr>
                  <w:spacing w:before="1"/>
                  <w:ind w:left="40"/>
                  <w:rPr>
                    <w:sz w:val="15"/>
                  </w:rPr>
                </w:pPr>
                <w:r>
                  <w:fldChar w:fldCharType="begin"/>
                </w:r>
                <w:r>
                  <w:rPr>
                    <w:color w:val="58595B"/>
                    <w:sz w:val="15"/>
                  </w:rPr>
                  <w:instrText xml:space="preserve"> PAGE </w:instrText>
                </w:r>
                <w:r>
                  <w:fldChar w:fldCharType="separate"/>
                </w:r>
                <w:r w:rsidR="00054426">
                  <w:rPr>
                    <w:noProof/>
                    <w:color w:val="58595B"/>
                    <w:sz w:val="15"/>
                  </w:rPr>
                  <w:t>378</w:t>
                </w:r>
                <w:r>
                  <w:fldChar w:fldCharType="end"/>
                </w:r>
              </w:p>
            </w:txbxContent>
          </v:textbox>
          <w10:wrap anchorx="page" anchory="page"/>
        </v:shape>
      </w:pict>
    </w:r>
    <w:r>
      <w:pict w14:anchorId="695DFF73">
        <v:shape id="_x0000_s2055" type="#_x0000_t202" style="position:absolute;margin-left:95.35pt;margin-top:40.9pt;width:147.8pt;height:9.5pt;z-index:-58480;mso-position-horizontal-relative:page;mso-position-vertical-relative:page" filled="f" stroked="f">
          <v:textbox inset="0,0,0,0">
            <w:txbxContent>
              <w:p w14:paraId="6D7F3F72" w14:textId="77777777" w:rsidR="00724131" w:rsidRDefault="00823349">
                <w:pPr>
                  <w:spacing w:before="1"/>
                  <w:ind w:left="20"/>
                  <w:rPr>
                    <w:sz w:val="15"/>
                  </w:rPr>
                </w:pPr>
                <w:r>
                  <w:rPr>
                    <w:color w:val="58595B"/>
                    <w:sz w:val="15"/>
                  </w:rPr>
                  <w:t>INDEPENDENT INQUIRY INTO THE EPA</w:t>
                </w:r>
              </w:p>
            </w:txbxContent>
          </v:textbox>
          <w10:wrap anchorx="page" anchory="page"/>
        </v:shape>
      </w:pict>
    </w:r>
  </w:p>
</w:hdr>
</file>

<file path=word/header2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DB79612" w14:textId="77777777" w:rsidR="00724131" w:rsidRDefault="00054426">
    <w:pPr>
      <w:pStyle w:val="BodyText"/>
      <w:spacing w:line="14" w:lineRule="auto"/>
    </w:pPr>
    <w:r>
      <w:pict w14:anchorId="561DD7C9">
        <v:line id="_x0000_s2060" style="position:absolute;z-index:-58600;mso-position-horizontal-relative:page;mso-position-vertical-relative:page" from="534.95pt,45.8pt" to="595.25pt,45.8pt" strokecolor="#0095a7" strokeweight="7pt">
          <w10:wrap anchorx="page" anchory="page"/>
        </v:line>
      </w:pict>
    </w:r>
    <w:r>
      <w:pict w14:anchorId="51EC2145">
        <v:shapetype id="_x0000_t202" coordsize="21600,21600" o:spt="202" path="m0,0l0,21600,21600,21600,21600,0xe">
          <v:stroke joinstyle="miter"/>
          <v:path gradientshapeok="t" o:connecttype="rect"/>
        </v:shapetype>
        <v:shape id="_x0000_s2059" type="#_x0000_t202" style="position:absolute;margin-left:337.4pt;margin-top:40.9pt;width:162.5pt;height:9.5pt;z-index:-58576;mso-position-horizontal-relative:page;mso-position-vertical-relative:page" filled="f" stroked="f">
          <v:textbox inset="0,0,0,0">
            <w:txbxContent>
              <w:p w14:paraId="36379DA6" w14:textId="77777777" w:rsidR="00724131" w:rsidRDefault="00823349">
                <w:pPr>
                  <w:spacing w:before="1"/>
                  <w:ind w:left="20"/>
                  <w:rPr>
                    <w:sz w:val="15"/>
                  </w:rPr>
                </w:pPr>
                <w:r>
                  <w:rPr>
                    <w:color w:val="58595B"/>
                    <w:sz w:val="15"/>
                  </w:rPr>
                  <w:t>CHAPTER 21    FUNDING FOR THE FUTURE</w:t>
                </w:r>
              </w:p>
            </w:txbxContent>
          </v:textbox>
          <w10:wrap anchorx="page" anchory="page"/>
        </v:shape>
      </w:pict>
    </w:r>
    <w:r>
      <w:pict w14:anchorId="6AC53971">
        <v:shape id="_x0000_s2058" type="#_x0000_t202" style="position:absolute;margin-left:509.75pt;margin-top:40.9pt;width:16.65pt;height:9.5pt;z-index:-58552;mso-position-horizontal-relative:page;mso-position-vertical-relative:page" filled="f" stroked="f">
          <v:textbox inset="0,0,0,0">
            <w:txbxContent>
              <w:p w14:paraId="51755C76" w14:textId="77777777" w:rsidR="00724131" w:rsidRDefault="00823349">
                <w:pPr>
                  <w:spacing w:before="1"/>
                  <w:ind w:left="40"/>
                  <w:rPr>
                    <w:sz w:val="15"/>
                  </w:rPr>
                </w:pPr>
                <w:r>
                  <w:fldChar w:fldCharType="begin"/>
                </w:r>
                <w:r>
                  <w:rPr>
                    <w:color w:val="58595B"/>
                    <w:sz w:val="15"/>
                  </w:rPr>
                  <w:instrText xml:space="preserve"> PAGE </w:instrText>
                </w:r>
                <w:r>
                  <w:fldChar w:fldCharType="separate"/>
                </w:r>
                <w:r w:rsidR="00054426">
                  <w:rPr>
                    <w:noProof/>
                    <w:color w:val="58595B"/>
                    <w:sz w:val="15"/>
                  </w:rPr>
                  <w:t>379</w:t>
                </w:r>
                <w:r>
                  <w:fldChar w:fldCharType="end"/>
                </w:r>
              </w:p>
            </w:txbxContent>
          </v:textbox>
          <w10:wrap anchorx="page" anchory="page"/>
        </v:shape>
      </w:pict>
    </w:r>
  </w:p>
</w:hdr>
</file>

<file path=word/header2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9744581" w14:textId="77777777" w:rsidR="00724131" w:rsidRDefault="00054426">
    <w:pPr>
      <w:pStyle w:val="BodyText"/>
      <w:spacing w:line="14" w:lineRule="auto"/>
    </w:pPr>
    <w:r>
      <w:pict w14:anchorId="2B399B0A">
        <v:line id="_x0000_s2054" style="position:absolute;z-index:-58456;mso-position-horizontal-relative:page;mso-position-vertical-relative:page" from="0,45.8pt" to="60.25pt,45.8pt" strokecolor="#0095a7" strokeweight="7pt">
          <w10:wrap anchorx="page" anchory="page"/>
        </v:line>
      </w:pict>
    </w:r>
    <w:r>
      <w:pict w14:anchorId="5BFD9331">
        <v:shapetype id="_x0000_t202" coordsize="21600,21600" o:spt="202" path="m0,0l0,21600,21600,21600,21600,0xe">
          <v:stroke joinstyle="miter"/>
          <v:path gradientshapeok="t" o:connecttype="rect"/>
        </v:shapetype>
        <v:shape id="_x0000_s2053" type="#_x0000_t202" style="position:absolute;margin-left:68.85pt;margin-top:40.9pt;width:17pt;height:9.5pt;z-index:-58432;mso-position-horizontal-relative:page;mso-position-vertical-relative:page" filled="f" stroked="f">
          <v:textbox inset="0,0,0,0">
            <w:txbxContent>
              <w:p w14:paraId="57569A3F" w14:textId="77777777" w:rsidR="00724131" w:rsidRDefault="00823349">
                <w:pPr>
                  <w:spacing w:before="1"/>
                  <w:ind w:left="40"/>
                  <w:rPr>
                    <w:sz w:val="15"/>
                  </w:rPr>
                </w:pPr>
                <w:r>
                  <w:fldChar w:fldCharType="begin"/>
                </w:r>
                <w:r>
                  <w:rPr>
                    <w:color w:val="58595B"/>
                    <w:sz w:val="15"/>
                  </w:rPr>
                  <w:instrText xml:space="preserve"> PAGE </w:instrText>
                </w:r>
                <w:r>
                  <w:fldChar w:fldCharType="separate"/>
                </w:r>
                <w:r w:rsidR="00054426">
                  <w:rPr>
                    <w:noProof/>
                    <w:color w:val="58595B"/>
                    <w:sz w:val="15"/>
                  </w:rPr>
                  <w:t>384</w:t>
                </w:r>
                <w:r>
                  <w:fldChar w:fldCharType="end"/>
                </w:r>
              </w:p>
            </w:txbxContent>
          </v:textbox>
          <w10:wrap anchorx="page" anchory="page"/>
        </v:shape>
      </w:pict>
    </w:r>
    <w:r>
      <w:pict w14:anchorId="2A04A05C">
        <v:shape id="_x0000_s2052" type="#_x0000_t202" style="position:absolute;margin-left:95.35pt;margin-top:40.9pt;width:147.8pt;height:9.5pt;z-index:-58408;mso-position-horizontal-relative:page;mso-position-vertical-relative:page" filled="f" stroked="f">
          <v:textbox inset="0,0,0,0">
            <w:txbxContent>
              <w:p w14:paraId="2E3B6BB6" w14:textId="77777777" w:rsidR="00724131" w:rsidRDefault="00823349">
                <w:pPr>
                  <w:spacing w:before="1"/>
                  <w:ind w:left="20"/>
                  <w:rPr>
                    <w:sz w:val="15"/>
                  </w:rPr>
                </w:pPr>
                <w:r>
                  <w:rPr>
                    <w:color w:val="58595B"/>
                    <w:sz w:val="15"/>
                  </w:rPr>
                  <w:t>INDEPENDENT INQUIRY INTO THE EPA</w:t>
                </w:r>
              </w:p>
            </w:txbxContent>
          </v:textbox>
          <w10:wrap anchorx="page" anchory="page"/>
        </v:shape>
      </w:pict>
    </w:r>
  </w:p>
</w:hdr>
</file>

<file path=word/header2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849EC32" w14:textId="77777777" w:rsidR="00724131" w:rsidRDefault="00054426">
    <w:pPr>
      <w:pStyle w:val="BodyText"/>
      <w:spacing w:line="14" w:lineRule="auto"/>
    </w:pPr>
    <w:r>
      <w:pict w14:anchorId="0E88AFEF">
        <v:line id="_x0000_s2051" style="position:absolute;z-index:-58384;mso-position-horizontal-relative:page;mso-position-vertical-relative:page" from="534.95pt,45.8pt" to="595.25pt,45.8pt" strokecolor="#0095a7" strokeweight="7pt">
          <w10:wrap anchorx="page" anchory="page"/>
        </v:line>
      </w:pict>
    </w:r>
    <w:r>
      <w:pict w14:anchorId="2CD21461">
        <v:shapetype id="_x0000_t202" coordsize="21600,21600" o:spt="202" path="m0,0l0,21600,21600,21600,21600,0xe">
          <v:stroke joinstyle="miter"/>
          <v:path gradientshapeok="t" o:connecttype="rect"/>
        </v:shapetype>
        <v:shape id="_x0000_s2050" type="#_x0000_t202" style="position:absolute;margin-left:337.4pt;margin-top:40.9pt;width:162.5pt;height:9.5pt;z-index:-58360;mso-position-horizontal-relative:page;mso-position-vertical-relative:page" filled="f" stroked="f">
          <v:textbox inset="0,0,0,0">
            <w:txbxContent>
              <w:p w14:paraId="6C21B8E4" w14:textId="77777777" w:rsidR="00724131" w:rsidRDefault="00823349">
                <w:pPr>
                  <w:spacing w:before="1"/>
                  <w:ind w:left="20"/>
                  <w:rPr>
                    <w:sz w:val="15"/>
                  </w:rPr>
                </w:pPr>
                <w:r>
                  <w:rPr>
                    <w:color w:val="58595B"/>
                    <w:sz w:val="15"/>
                  </w:rPr>
                  <w:t>CHAPTER 21    FUNDING FOR THE FUTURE</w:t>
                </w:r>
              </w:p>
            </w:txbxContent>
          </v:textbox>
          <w10:wrap anchorx="page" anchory="page"/>
        </v:shape>
      </w:pict>
    </w:r>
    <w:r>
      <w:pict w14:anchorId="12649BB1">
        <v:shape id="_x0000_s2049" type="#_x0000_t202" style="position:absolute;margin-left:509.5pt;margin-top:40.9pt;width:17.1pt;height:9.5pt;z-index:-58336;mso-position-horizontal-relative:page;mso-position-vertical-relative:page" filled="f" stroked="f">
          <v:textbox inset="0,0,0,0">
            <w:txbxContent>
              <w:p w14:paraId="0BDEDE85" w14:textId="77777777" w:rsidR="00724131" w:rsidRDefault="00823349">
                <w:pPr>
                  <w:spacing w:before="1"/>
                  <w:ind w:left="40"/>
                  <w:rPr>
                    <w:sz w:val="15"/>
                  </w:rPr>
                </w:pPr>
                <w:r>
                  <w:fldChar w:fldCharType="begin"/>
                </w:r>
                <w:r>
                  <w:rPr>
                    <w:color w:val="58595B"/>
                    <w:sz w:val="15"/>
                  </w:rPr>
                  <w:instrText xml:space="preserve"> PAGE </w:instrText>
                </w:r>
                <w:r>
                  <w:fldChar w:fldCharType="separate"/>
                </w:r>
                <w:r w:rsidR="00054426">
                  <w:rPr>
                    <w:noProof/>
                    <w:color w:val="58595B"/>
                    <w:sz w:val="15"/>
                  </w:rPr>
                  <w:t>385</w:t>
                </w:r>
                <w:r>
                  <w:fldChar w:fldCharType="end"/>
                </w:r>
              </w:p>
            </w:txbxContent>
          </v:textbox>
          <w10:wrap anchorx="page" anchory="page"/>
        </v:shape>
      </w:pic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AAE51B9" w14:textId="77777777" w:rsidR="00724131" w:rsidRDefault="00054426">
    <w:pPr>
      <w:pStyle w:val="BodyText"/>
      <w:spacing w:line="14" w:lineRule="auto"/>
    </w:pPr>
    <w:r>
      <w:pict w14:anchorId="66EC453B">
        <v:line id="_x0000_s2108" style="position:absolute;z-index:-59752;mso-position-horizontal-relative:page;mso-position-vertical-relative:page" from="0,45.8pt" to="60.25pt,45.8pt" strokecolor="#0095a7" strokeweight="7pt">
          <w10:wrap anchorx="page" anchory="page"/>
        </v:line>
      </w:pict>
    </w:r>
    <w:r>
      <w:pict w14:anchorId="1128E172">
        <v:shapetype id="_x0000_t202" coordsize="21600,21600" o:spt="202" path="m0,0l0,21600,21600,21600,21600,0xe">
          <v:stroke joinstyle="miter"/>
          <v:path gradientshapeok="t" o:connecttype="rect"/>
        </v:shapetype>
        <v:shape id="_x0000_s2107" type="#_x0000_t202" style="position:absolute;margin-left:68.85pt;margin-top:40.9pt;width:17pt;height:9.5pt;z-index:-59728;mso-position-horizontal-relative:page;mso-position-vertical-relative:page" filled="f" stroked="f">
          <v:textbox inset="0,0,0,0">
            <w:txbxContent>
              <w:p w14:paraId="1711939F" w14:textId="77777777" w:rsidR="00724131" w:rsidRDefault="00823349">
                <w:pPr>
                  <w:spacing w:before="1"/>
                  <w:ind w:left="40"/>
                  <w:rPr>
                    <w:sz w:val="15"/>
                  </w:rPr>
                </w:pPr>
                <w:r>
                  <w:fldChar w:fldCharType="begin"/>
                </w:r>
                <w:r>
                  <w:rPr>
                    <w:color w:val="58595B"/>
                    <w:sz w:val="15"/>
                  </w:rPr>
                  <w:instrText xml:space="preserve"> PAGE </w:instrText>
                </w:r>
                <w:r>
                  <w:fldChar w:fldCharType="separate"/>
                </w:r>
                <w:r w:rsidR="00054426">
                  <w:rPr>
                    <w:noProof/>
                    <w:color w:val="58595B"/>
                    <w:sz w:val="15"/>
                  </w:rPr>
                  <w:t>338</w:t>
                </w:r>
                <w:r>
                  <w:fldChar w:fldCharType="end"/>
                </w:r>
              </w:p>
            </w:txbxContent>
          </v:textbox>
          <w10:wrap anchorx="page" anchory="page"/>
        </v:shape>
      </w:pict>
    </w:r>
    <w:r>
      <w:pict w14:anchorId="685D934D">
        <v:shape id="_x0000_s2106" type="#_x0000_t202" style="position:absolute;margin-left:95.35pt;margin-top:40.9pt;width:147.8pt;height:9.5pt;z-index:-59704;mso-position-horizontal-relative:page;mso-position-vertical-relative:page" filled="f" stroked="f">
          <v:textbox inset="0,0,0,0">
            <w:txbxContent>
              <w:p w14:paraId="2A19A4E8" w14:textId="77777777" w:rsidR="00724131" w:rsidRDefault="00823349">
                <w:pPr>
                  <w:spacing w:before="1"/>
                  <w:ind w:left="20"/>
                  <w:rPr>
                    <w:sz w:val="15"/>
                  </w:rPr>
                </w:pPr>
                <w:r>
                  <w:rPr>
                    <w:color w:val="58595B"/>
                    <w:sz w:val="15"/>
                  </w:rPr>
                  <w:t>INDEPENDENT INQUIRY INTO THE EPA</w:t>
                </w:r>
              </w:p>
            </w:txbxContent>
          </v:textbox>
          <w10:wrap anchorx="page" anchory="page"/>
        </v:shape>
      </w:pict>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7112703" w14:textId="77777777" w:rsidR="00724131" w:rsidRDefault="00054426">
    <w:pPr>
      <w:pStyle w:val="BodyText"/>
      <w:spacing w:line="14" w:lineRule="auto"/>
    </w:pPr>
    <w:r>
      <w:pict w14:anchorId="68E8D659">
        <v:line id="_x0000_s2105" style="position:absolute;z-index:-59680;mso-position-horizontal-relative:page;mso-position-vertical-relative:page" from="534.95pt,45.8pt" to="595.25pt,45.8pt" strokecolor="#0095a7" strokeweight="7pt">
          <w10:wrap anchorx="page" anchory="page"/>
        </v:line>
      </w:pict>
    </w:r>
    <w:r>
      <w:pict w14:anchorId="47740B51">
        <v:shapetype id="_x0000_t202" coordsize="21600,21600" o:spt="202" path="m0,0l0,21600,21600,21600,21600,0xe">
          <v:stroke joinstyle="miter"/>
          <v:path gradientshapeok="t" o:connecttype="rect"/>
        </v:shapetype>
        <v:shape id="_x0000_s2104" type="#_x0000_t202" style="position:absolute;margin-left:216.05pt;margin-top:40.9pt;width:283.9pt;height:9.5pt;z-index:-59656;mso-position-horizontal-relative:page;mso-position-vertical-relative:page" filled="f" stroked="f">
          <v:textbox inset="0,0,0,0">
            <w:txbxContent>
              <w:p w14:paraId="630AD7D3" w14:textId="77777777" w:rsidR="00724131" w:rsidRDefault="00823349">
                <w:pPr>
                  <w:spacing w:before="1"/>
                  <w:ind w:left="20"/>
                  <w:rPr>
                    <w:sz w:val="15"/>
                  </w:rPr>
                </w:pPr>
                <w:r>
                  <w:rPr>
                    <w:color w:val="58595B"/>
                    <w:sz w:val="15"/>
                  </w:rPr>
                  <w:t>CHAPTER 19    ESTABLISHING EFFECTIVE GOVERNANCE ARRANGEMENTS</w:t>
                </w:r>
              </w:p>
            </w:txbxContent>
          </v:textbox>
          <w10:wrap anchorx="page" anchory="page"/>
        </v:shape>
      </w:pict>
    </w:r>
    <w:r>
      <w:pict w14:anchorId="49E30D59">
        <v:shape id="_x0000_s2103" type="#_x0000_t202" style="position:absolute;margin-left:509.5pt;margin-top:40.9pt;width:17.05pt;height:9.5pt;z-index:-59632;mso-position-horizontal-relative:page;mso-position-vertical-relative:page" filled="f" stroked="f">
          <v:textbox inset="0,0,0,0">
            <w:txbxContent>
              <w:p w14:paraId="4157FA51" w14:textId="77777777" w:rsidR="00724131" w:rsidRDefault="00823349">
                <w:pPr>
                  <w:spacing w:before="1"/>
                  <w:ind w:left="40"/>
                  <w:rPr>
                    <w:sz w:val="15"/>
                  </w:rPr>
                </w:pPr>
                <w:r>
                  <w:fldChar w:fldCharType="begin"/>
                </w:r>
                <w:r>
                  <w:rPr>
                    <w:color w:val="58595B"/>
                    <w:sz w:val="15"/>
                  </w:rPr>
                  <w:instrText xml:space="preserve"> PAGE </w:instrText>
                </w:r>
                <w:r>
                  <w:fldChar w:fldCharType="separate"/>
                </w:r>
                <w:r w:rsidR="00054426">
                  <w:rPr>
                    <w:noProof/>
                    <w:color w:val="58595B"/>
                    <w:sz w:val="15"/>
                  </w:rPr>
                  <w:t>339</w:t>
                </w:r>
                <w:r>
                  <w:fldChar w:fldCharType="end"/>
                </w:r>
              </w:p>
            </w:txbxContent>
          </v:textbox>
          <w10:wrap anchorx="page" anchory="page"/>
        </v:shape>
      </w:pict>
    </w: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9E87C1B" w14:textId="77777777" w:rsidR="00724131" w:rsidRDefault="00054426">
    <w:pPr>
      <w:pStyle w:val="BodyText"/>
      <w:spacing w:line="14" w:lineRule="auto"/>
    </w:pPr>
    <w:r>
      <w:pict w14:anchorId="2683F0E4">
        <v:line id="_x0000_s2099" style="position:absolute;z-index:-59536;mso-position-horizontal-relative:page;mso-position-vertical-relative:page" from="534.95pt,45.8pt" to="595.25pt,45.8pt" strokecolor="#0095a7" strokeweight="7pt">
          <w10:wrap anchorx="page" anchory="page"/>
        </v:line>
      </w:pict>
    </w:r>
    <w:r>
      <w:pict w14:anchorId="2EBD2156">
        <v:shapetype id="_x0000_t202" coordsize="21600,21600" o:spt="202" path="m0,0l0,21600,21600,21600,21600,0xe">
          <v:stroke joinstyle="miter"/>
          <v:path gradientshapeok="t" o:connecttype="rect"/>
        </v:shapetype>
        <v:shape id="_x0000_s2098" type="#_x0000_t202" style="position:absolute;margin-left:216.05pt;margin-top:40.9pt;width:283.9pt;height:9.5pt;z-index:-59512;mso-position-horizontal-relative:page;mso-position-vertical-relative:page" filled="f" stroked="f">
          <v:textbox inset="0,0,0,0">
            <w:txbxContent>
              <w:p w14:paraId="340DD5AA" w14:textId="77777777" w:rsidR="00724131" w:rsidRDefault="00823349">
                <w:pPr>
                  <w:spacing w:before="1"/>
                  <w:ind w:left="20"/>
                  <w:rPr>
                    <w:sz w:val="15"/>
                  </w:rPr>
                </w:pPr>
                <w:r>
                  <w:rPr>
                    <w:color w:val="58595B"/>
                    <w:sz w:val="15"/>
                  </w:rPr>
                  <w:t>CHAPTER 19    ESTABLISHING EFFECTIVE GOVERNANCE ARRANGEMENTS</w:t>
                </w:r>
              </w:p>
            </w:txbxContent>
          </v:textbox>
          <w10:wrap anchorx="page" anchory="page"/>
        </v:shape>
      </w:pict>
    </w:r>
    <w:r>
      <w:pict w14:anchorId="28B4B729">
        <v:shape id="_x0000_s2097" type="#_x0000_t202" style="position:absolute;margin-left:511pt;margin-top:40.9pt;width:14pt;height:9.5pt;z-index:-59488;mso-position-horizontal-relative:page;mso-position-vertical-relative:page" filled="f" stroked="f">
          <v:textbox inset="0,0,0,0">
            <w:txbxContent>
              <w:p w14:paraId="29ACF5AD" w14:textId="77777777" w:rsidR="00724131" w:rsidRDefault="00823349">
                <w:pPr>
                  <w:spacing w:before="1"/>
                  <w:ind w:left="20" w:right="-11"/>
                  <w:rPr>
                    <w:sz w:val="15"/>
                  </w:rPr>
                </w:pPr>
                <w:r>
                  <w:rPr>
                    <w:color w:val="58595B"/>
                    <w:sz w:val="15"/>
                  </w:rPr>
                  <w:t>341</w:t>
                </w:r>
              </w:p>
            </w:txbxContent>
          </v:textbox>
          <w10:wrap anchorx="page" anchory="page"/>
        </v:shape>
      </w:pict>
    </w: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EB2FDA0" w14:textId="77777777" w:rsidR="00724131" w:rsidRDefault="00054426">
    <w:pPr>
      <w:pStyle w:val="BodyText"/>
      <w:spacing w:line="14" w:lineRule="auto"/>
    </w:pPr>
    <w:r>
      <w:pict w14:anchorId="37E36E58">
        <v:line id="_x0000_s2102" style="position:absolute;z-index:-59608;mso-position-horizontal-relative:page;mso-position-vertical-relative:page" from="0,45.8pt" to="60.25pt,45.8pt" strokecolor="#0095a7" strokeweight="7pt">
          <w10:wrap anchorx="page" anchory="page"/>
        </v:line>
      </w:pict>
    </w:r>
    <w:r>
      <w:pict w14:anchorId="2B0D06A1">
        <v:shapetype id="_x0000_t202" coordsize="21600,21600" o:spt="202" path="m0,0l0,21600,21600,21600,21600,0xe">
          <v:stroke joinstyle="miter"/>
          <v:path gradientshapeok="t" o:connecttype="rect"/>
        </v:shapetype>
        <v:shape id="_x0000_s2101" type="#_x0000_t202" style="position:absolute;margin-left:69.85pt;margin-top:40.9pt;width:15.15pt;height:9.5pt;z-index:-59584;mso-position-horizontal-relative:page;mso-position-vertical-relative:page" filled="f" stroked="f">
          <v:textbox inset="0,0,0,0">
            <w:txbxContent>
              <w:p w14:paraId="6FAEDD43" w14:textId="77777777" w:rsidR="00724131" w:rsidRDefault="00823349">
                <w:pPr>
                  <w:spacing w:before="1"/>
                  <w:ind w:left="20"/>
                  <w:rPr>
                    <w:sz w:val="15"/>
                  </w:rPr>
                </w:pPr>
                <w:r>
                  <w:rPr>
                    <w:color w:val="58595B"/>
                    <w:sz w:val="15"/>
                  </w:rPr>
                  <w:t>340</w:t>
                </w:r>
              </w:p>
            </w:txbxContent>
          </v:textbox>
          <w10:wrap anchorx="page" anchory="page"/>
        </v:shape>
      </w:pict>
    </w:r>
    <w:r>
      <w:pict w14:anchorId="2DC40E1B">
        <v:shape id="_x0000_s2100" type="#_x0000_t202" style="position:absolute;margin-left:95.35pt;margin-top:40.9pt;width:147.8pt;height:9.5pt;z-index:-59560;mso-position-horizontal-relative:page;mso-position-vertical-relative:page" filled="f" stroked="f">
          <v:textbox inset="0,0,0,0">
            <w:txbxContent>
              <w:p w14:paraId="07CD4B90" w14:textId="77777777" w:rsidR="00724131" w:rsidRDefault="00823349">
                <w:pPr>
                  <w:spacing w:before="1"/>
                  <w:ind w:left="20"/>
                  <w:rPr>
                    <w:sz w:val="15"/>
                  </w:rPr>
                </w:pPr>
                <w:r>
                  <w:rPr>
                    <w:color w:val="58595B"/>
                    <w:sz w:val="15"/>
                  </w:rPr>
                  <w:t>INDEPENDENT INQUIRY INTO THE EPA</w:t>
                </w:r>
              </w:p>
            </w:txbxContent>
          </v:textbox>
          <w10:wrap anchorx="page" anchory="page"/>
        </v:shape>
      </w:pict>
    </w: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3C863C9" w14:textId="77777777" w:rsidR="00724131" w:rsidRDefault="00724131">
    <w:pPr>
      <w:pStyle w:val="BodyText"/>
      <w:spacing w:line="14" w:lineRule="auto"/>
      <w:rPr>
        <w:sz w:val="2"/>
      </w:rPr>
    </w:pP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342A2DB" w14:textId="77777777" w:rsidR="00724131" w:rsidRDefault="00724131">
    <w:pPr>
      <w:pStyle w:val="BodyText"/>
      <w:spacing w:line="14" w:lineRule="auto"/>
      <w:rPr>
        <w:sz w:val="2"/>
      </w:rPr>
    </w:pPr>
  </w:p>
</w:hdr>
</file>

<file path=word/header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484233F" w14:textId="77777777" w:rsidR="00724131" w:rsidRDefault="00054426">
    <w:pPr>
      <w:pStyle w:val="BodyText"/>
      <w:spacing w:line="14" w:lineRule="auto"/>
    </w:pPr>
    <w:r>
      <w:pict w14:anchorId="555DDD73">
        <v:line id="_x0000_s2096" style="position:absolute;z-index:-59464;mso-position-horizontal-relative:page;mso-position-vertical-relative:page" from="0,45.8pt" to="60.25pt,45.8pt" strokecolor="#0095a7" strokeweight="7pt">
          <w10:wrap anchorx="page" anchory="page"/>
        </v:line>
      </w:pict>
    </w:r>
    <w:r>
      <w:pict w14:anchorId="0D057519">
        <v:shapetype id="_x0000_t202" coordsize="21600,21600" o:spt="202" path="m0,0l0,21600,21600,21600,21600,0xe">
          <v:stroke joinstyle="miter"/>
          <v:path gradientshapeok="t" o:connecttype="rect"/>
        </v:shapetype>
        <v:shape id="_x0000_s2095" type="#_x0000_t202" style="position:absolute;margin-left:68.85pt;margin-top:40.9pt;width:17.35pt;height:9.5pt;z-index:-59440;mso-position-horizontal-relative:page;mso-position-vertical-relative:page" filled="f" stroked="f">
          <v:textbox inset="0,0,0,0">
            <w:txbxContent>
              <w:p w14:paraId="6CA22FE0" w14:textId="77777777" w:rsidR="00724131" w:rsidRDefault="00823349">
                <w:pPr>
                  <w:spacing w:before="1"/>
                  <w:ind w:left="40"/>
                  <w:rPr>
                    <w:sz w:val="15"/>
                  </w:rPr>
                </w:pPr>
                <w:r>
                  <w:fldChar w:fldCharType="begin"/>
                </w:r>
                <w:r>
                  <w:rPr>
                    <w:color w:val="58595B"/>
                    <w:sz w:val="15"/>
                  </w:rPr>
                  <w:instrText xml:space="preserve"> PAGE </w:instrText>
                </w:r>
                <w:r>
                  <w:fldChar w:fldCharType="separate"/>
                </w:r>
                <w:r w:rsidR="00054426">
                  <w:rPr>
                    <w:noProof/>
                    <w:color w:val="58595B"/>
                    <w:sz w:val="15"/>
                  </w:rPr>
                  <w:t>348</w:t>
                </w:r>
                <w:r>
                  <w:fldChar w:fldCharType="end"/>
                </w:r>
              </w:p>
            </w:txbxContent>
          </v:textbox>
          <w10:wrap anchorx="page" anchory="page"/>
        </v:shape>
      </w:pict>
    </w:r>
    <w:r>
      <w:pict w14:anchorId="2569FE46">
        <v:shape id="_x0000_s2094" type="#_x0000_t202" style="position:absolute;margin-left:95.35pt;margin-top:40.9pt;width:147.8pt;height:9.5pt;z-index:-59416;mso-position-horizontal-relative:page;mso-position-vertical-relative:page" filled="f" stroked="f">
          <v:textbox inset="0,0,0,0">
            <w:txbxContent>
              <w:p w14:paraId="7D97D3C5" w14:textId="77777777" w:rsidR="00724131" w:rsidRDefault="00823349">
                <w:pPr>
                  <w:spacing w:before="1"/>
                  <w:ind w:left="20"/>
                  <w:rPr>
                    <w:sz w:val="15"/>
                  </w:rPr>
                </w:pPr>
                <w:r>
                  <w:rPr>
                    <w:color w:val="58595B"/>
                    <w:sz w:val="15"/>
                  </w:rPr>
                  <w:t>INDEPENDENT INQUIRY INTO THE EPA</w:t>
                </w:r>
              </w:p>
            </w:txbxContent>
          </v:textbox>
          <w10:wrap anchorx="page" anchory="page"/>
        </v:shape>
      </w:pic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03F16DBD"/>
    <w:multiLevelType w:val="hybridMultilevel"/>
    <w:tmpl w:val="8A184776"/>
    <w:lvl w:ilvl="0" w:tplc="E808029A">
      <w:start w:val="1"/>
      <w:numFmt w:val="bullet"/>
      <w:lvlText w:val="•"/>
      <w:lvlJc w:val="left"/>
      <w:pPr>
        <w:ind w:left="1587" w:hanging="171"/>
      </w:pPr>
      <w:rPr>
        <w:rFonts w:ascii="Arial" w:eastAsia="Arial" w:hAnsi="Arial" w:cs="Arial" w:hint="default"/>
        <w:color w:val="0095A7"/>
        <w:spacing w:val="-12"/>
        <w:w w:val="100"/>
        <w:sz w:val="20"/>
        <w:szCs w:val="20"/>
      </w:rPr>
    </w:lvl>
    <w:lvl w:ilvl="1" w:tplc="36ACE1DC">
      <w:start w:val="1"/>
      <w:numFmt w:val="bullet"/>
      <w:lvlText w:val="•"/>
      <w:lvlJc w:val="left"/>
      <w:pPr>
        <w:ind w:left="2444" w:hanging="171"/>
      </w:pPr>
      <w:rPr>
        <w:rFonts w:hint="default"/>
      </w:rPr>
    </w:lvl>
    <w:lvl w:ilvl="2" w:tplc="75DC0794">
      <w:start w:val="1"/>
      <w:numFmt w:val="bullet"/>
      <w:lvlText w:val="•"/>
      <w:lvlJc w:val="left"/>
      <w:pPr>
        <w:ind w:left="3309" w:hanging="171"/>
      </w:pPr>
      <w:rPr>
        <w:rFonts w:hint="default"/>
      </w:rPr>
    </w:lvl>
    <w:lvl w:ilvl="3" w:tplc="03A6793A">
      <w:start w:val="1"/>
      <w:numFmt w:val="bullet"/>
      <w:lvlText w:val="•"/>
      <w:lvlJc w:val="left"/>
      <w:pPr>
        <w:ind w:left="4173" w:hanging="171"/>
      </w:pPr>
      <w:rPr>
        <w:rFonts w:hint="default"/>
      </w:rPr>
    </w:lvl>
    <w:lvl w:ilvl="4" w:tplc="4664FBA0">
      <w:start w:val="1"/>
      <w:numFmt w:val="bullet"/>
      <w:lvlText w:val="•"/>
      <w:lvlJc w:val="left"/>
      <w:pPr>
        <w:ind w:left="5038" w:hanging="171"/>
      </w:pPr>
      <w:rPr>
        <w:rFonts w:hint="default"/>
      </w:rPr>
    </w:lvl>
    <w:lvl w:ilvl="5" w:tplc="CA26D328">
      <w:start w:val="1"/>
      <w:numFmt w:val="bullet"/>
      <w:lvlText w:val="•"/>
      <w:lvlJc w:val="left"/>
      <w:pPr>
        <w:ind w:left="5902" w:hanging="171"/>
      </w:pPr>
      <w:rPr>
        <w:rFonts w:hint="default"/>
      </w:rPr>
    </w:lvl>
    <w:lvl w:ilvl="6" w:tplc="66008E16">
      <w:start w:val="1"/>
      <w:numFmt w:val="bullet"/>
      <w:lvlText w:val="•"/>
      <w:lvlJc w:val="left"/>
      <w:pPr>
        <w:ind w:left="6767" w:hanging="171"/>
      </w:pPr>
      <w:rPr>
        <w:rFonts w:hint="default"/>
      </w:rPr>
    </w:lvl>
    <w:lvl w:ilvl="7" w:tplc="75B889B2">
      <w:start w:val="1"/>
      <w:numFmt w:val="bullet"/>
      <w:lvlText w:val="•"/>
      <w:lvlJc w:val="left"/>
      <w:pPr>
        <w:ind w:left="7631" w:hanging="171"/>
      </w:pPr>
      <w:rPr>
        <w:rFonts w:hint="default"/>
      </w:rPr>
    </w:lvl>
    <w:lvl w:ilvl="8" w:tplc="F2A06B50">
      <w:start w:val="1"/>
      <w:numFmt w:val="bullet"/>
      <w:lvlText w:val="•"/>
      <w:lvlJc w:val="left"/>
      <w:pPr>
        <w:ind w:left="8496" w:hanging="171"/>
      </w:pPr>
      <w:rPr>
        <w:rFonts w:hint="default"/>
      </w:rPr>
    </w:lvl>
  </w:abstractNum>
  <w:abstractNum w:abstractNumId="1">
    <w:nsid w:val="08DD2616"/>
    <w:multiLevelType w:val="hybridMultilevel"/>
    <w:tmpl w:val="C7605384"/>
    <w:lvl w:ilvl="0" w:tplc="4156D836">
      <w:start w:val="1"/>
      <w:numFmt w:val="lowerRoman"/>
      <w:lvlText w:val="%1)"/>
      <w:lvlJc w:val="left"/>
      <w:pPr>
        <w:ind w:left="644" w:hanging="341"/>
        <w:jc w:val="left"/>
      </w:pPr>
      <w:rPr>
        <w:rFonts w:ascii="Arial" w:eastAsia="Arial" w:hAnsi="Arial" w:cs="Arial" w:hint="default"/>
        <w:color w:val="58595B"/>
        <w:spacing w:val="-4"/>
        <w:w w:val="100"/>
        <w:sz w:val="20"/>
        <w:szCs w:val="20"/>
      </w:rPr>
    </w:lvl>
    <w:lvl w:ilvl="1" w:tplc="08B08AD2">
      <w:start w:val="1"/>
      <w:numFmt w:val="bullet"/>
      <w:lvlText w:val="•"/>
      <w:lvlJc w:val="left"/>
      <w:pPr>
        <w:ind w:left="1598" w:hanging="341"/>
      </w:pPr>
      <w:rPr>
        <w:rFonts w:hint="default"/>
      </w:rPr>
    </w:lvl>
    <w:lvl w:ilvl="2" w:tplc="1AB01864">
      <w:start w:val="1"/>
      <w:numFmt w:val="bullet"/>
      <w:lvlText w:val="•"/>
      <w:lvlJc w:val="left"/>
      <w:pPr>
        <w:ind w:left="2557" w:hanging="341"/>
      </w:pPr>
      <w:rPr>
        <w:rFonts w:hint="default"/>
      </w:rPr>
    </w:lvl>
    <w:lvl w:ilvl="3" w:tplc="1CA42D4E">
      <w:start w:val="1"/>
      <w:numFmt w:val="bullet"/>
      <w:lvlText w:val="•"/>
      <w:lvlJc w:val="left"/>
      <w:pPr>
        <w:ind w:left="3515" w:hanging="341"/>
      </w:pPr>
      <w:rPr>
        <w:rFonts w:hint="default"/>
      </w:rPr>
    </w:lvl>
    <w:lvl w:ilvl="4" w:tplc="7A185708">
      <w:start w:val="1"/>
      <w:numFmt w:val="bullet"/>
      <w:lvlText w:val="•"/>
      <w:lvlJc w:val="left"/>
      <w:pPr>
        <w:ind w:left="4474" w:hanging="341"/>
      </w:pPr>
      <w:rPr>
        <w:rFonts w:hint="default"/>
      </w:rPr>
    </w:lvl>
    <w:lvl w:ilvl="5" w:tplc="3D3221EA">
      <w:start w:val="1"/>
      <w:numFmt w:val="bullet"/>
      <w:lvlText w:val="•"/>
      <w:lvlJc w:val="left"/>
      <w:pPr>
        <w:ind w:left="5432" w:hanging="341"/>
      </w:pPr>
      <w:rPr>
        <w:rFonts w:hint="default"/>
      </w:rPr>
    </w:lvl>
    <w:lvl w:ilvl="6" w:tplc="76924DE2">
      <w:start w:val="1"/>
      <w:numFmt w:val="bullet"/>
      <w:lvlText w:val="•"/>
      <w:lvlJc w:val="left"/>
      <w:pPr>
        <w:ind w:left="6391" w:hanging="341"/>
      </w:pPr>
      <w:rPr>
        <w:rFonts w:hint="default"/>
      </w:rPr>
    </w:lvl>
    <w:lvl w:ilvl="7" w:tplc="5CD019B4">
      <w:start w:val="1"/>
      <w:numFmt w:val="bullet"/>
      <w:lvlText w:val="•"/>
      <w:lvlJc w:val="left"/>
      <w:pPr>
        <w:ind w:left="7349" w:hanging="341"/>
      </w:pPr>
      <w:rPr>
        <w:rFonts w:hint="default"/>
      </w:rPr>
    </w:lvl>
    <w:lvl w:ilvl="8" w:tplc="62061CC8">
      <w:start w:val="1"/>
      <w:numFmt w:val="bullet"/>
      <w:lvlText w:val="•"/>
      <w:lvlJc w:val="left"/>
      <w:pPr>
        <w:ind w:left="8308" w:hanging="341"/>
      </w:pPr>
      <w:rPr>
        <w:rFonts w:hint="default"/>
      </w:rPr>
    </w:lvl>
  </w:abstractNum>
  <w:abstractNum w:abstractNumId="2">
    <w:nsid w:val="12D34CF7"/>
    <w:multiLevelType w:val="hybridMultilevel"/>
    <w:tmpl w:val="A918AFFE"/>
    <w:lvl w:ilvl="0" w:tplc="3B86EE5A">
      <w:start w:val="1"/>
      <w:numFmt w:val="bullet"/>
      <w:lvlText w:val="•"/>
      <w:lvlJc w:val="left"/>
      <w:pPr>
        <w:ind w:left="1587" w:hanging="171"/>
      </w:pPr>
      <w:rPr>
        <w:rFonts w:ascii="Arial" w:eastAsia="Arial" w:hAnsi="Arial" w:cs="Arial" w:hint="default"/>
        <w:color w:val="0095A7"/>
        <w:spacing w:val="-12"/>
        <w:w w:val="100"/>
        <w:sz w:val="20"/>
        <w:szCs w:val="20"/>
      </w:rPr>
    </w:lvl>
    <w:lvl w:ilvl="1" w:tplc="A588020E">
      <w:start w:val="1"/>
      <w:numFmt w:val="bullet"/>
      <w:lvlText w:val="•"/>
      <w:lvlJc w:val="left"/>
      <w:pPr>
        <w:ind w:left="2444" w:hanging="171"/>
      </w:pPr>
      <w:rPr>
        <w:rFonts w:hint="default"/>
      </w:rPr>
    </w:lvl>
    <w:lvl w:ilvl="2" w:tplc="1D5CB862">
      <w:start w:val="1"/>
      <w:numFmt w:val="bullet"/>
      <w:lvlText w:val="•"/>
      <w:lvlJc w:val="left"/>
      <w:pPr>
        <w:ind w:left="3309" w:hanging="171"/>
      </w:pPr>
      <w:rPr>
        <w:rFonts w:hint="default"/>
      </w:rPr>
    </w:lvl>
    <w:lvl w:ilvl="3" w:tplc="1542E0BA">
      <w:start w:val="1"/>
      <w:numFmt w:val="bullet"/>
      <w:lvlText w:val="•"/>
      <w:lvlJc w:val="left"/>
      <w:pPr>
        <w:ind w:left="4173" w:hanging="171"/>
      </w:pPr>
      <w:rPr>
        <w:rFonts w:hint="default"/>
      </w:rPr>
    </w:lvl>
    <w:lvl w:ilvl="4" w:tplc="F9E6A472">
      <w:start w:val="1"/>
      <w:numFmt w:val="bullet"/>
      <w:lvlText w:val="•"/>
      <w:lvlJc w:val="left"/>
      <w:pPr>
        <w:ind w:left="5038" w:hanging="171"/>
      </w:pPr>
      <w:rPr>
        <w:rFonts w:hint="default"/>
      </w:rPr>
    </w:lvl>
    <w:lvl w:ilvl="5" w:tplc="2A24EE60">
      <w:start w:val="1"/>
      <w:numFmt w:val="bullet"/>
      <w:lvlText w:val="•"/>
      <w:lvlJc w:val="left"/>
      <w:pPr>
        <w:ind w:left="5902" w:hanging="171"/>
      </w:pPr>
      <w:rPr>
        <w:rFonts w:hint="default"/>
      </w:rPr>
    </w:lvl>
    <w:lvl w:ilvl="6" w:tplc="704EDA26">
      <w:start w:val="1"/>
      <w:numFmt w:val="bullet"/>
      <w:lvlText w:val="•"/>
      <w:lvlJc w:val="left"/>
      <w:pPr>
        <w:ind w:left="6767" w:hanging="171"/>
      </w:pPr>
      <w:rPr>
        <w:rFonts w:hint="default"/>
      </w:rPr>
    </w:lvl>
    <w:lvl w:ilvl="7" w:tplc="716214BC">
      <w:start w:val="1"/>
      <w:numFmt w:val="bullet"/>
      <w:lvlText w:val="•"/>
      <w:lvlJc w:val="left"/>
      <w:pPr>
        <w:ind w:left="7631" w:hanging="171"/>
      </w:pPr>
      <w:rPr>
        <w:rFonts w:hint="default"/>
      </w:rPr>
    </w:lvl>
    <w:lvl w:ilvl="8" w:tplc="CD0239DE">
      <w:start w:val="1"/>
      <w:numFmt w:val="bullet"/>
      <w:lvlText w:val="•"/>
      <w:lvlJc w:val="left"/>
      <w:pPr>
        <w:ind w:left="8496" w:hanging="171"/>
      </w:pPr>
      <w:rPr>
        <w:rFonts w:hint="default"/>
      </w:rPr>
    </w:lvl>
  </w:abstractNum>
  <w:abstractNum w:abstractNumId="3">
    <w:nsid w:val="17281911"/>
    <w:multiLevelType w:val="hybridMultilevel"/>
    <w:tmpl w:val="BAE8CB6A"/>
    <w:lvl w:ilvl="0" w:tplc="249CE82C">
      <w:start w:val="21"/>
      <w:numFmt w:val="decimal"/>
      <w:lvlText w:val="%1"/>
      <w:lvlJc w:val="left"/>
      <w:pPr>
        <w:ind w:left="702" w:hanging="569"/>
        <w:jc w:val="left"/>
      </w:pPr>
      <w:rPr>
        <w:rFonts w:hint="default"/>
      </w:rPr>
    </w:lvl>
    <w:lvl w:ilvl="1" w:tplc="984058C8">
      <w:start w:val="7"/>
      <w:numFmt w:val="decimal"/>
      <w:lvlText w:val="%1.%2"/>
      <w:lvlJc w:val="left"/>
      <w:pPr>
        <w:ind w:left="702" w:hanging="569"/>
        <w:jc w:val="left"/>
      </w:pPr>
      <w:rPr>
        <w:rFonts w:ascii="Arial" w:eastAsia="Arial" w:hAnsi="Arial" w:cs="Arial" w:hint="default"/>
        <w:color w:val="0095A7"/>
        <w:spacing w:val="-12"/>
        <w:w w:val="100"/>
        <w:sz w:val="24"/>
        <w:szCs w:val="24"/>
      </w:rPr>
    </w:lvl>
    <w:lvl w:ilvl="2" w:tplc="513AB454">
      <w:start w:val="1"/>
      <w:numFmt w:val="decimal"/>
      <w:lvlText w:val="%1.%2.%3"/>
      <w:lvlJc w:val="left"/>
      <w:pPr>
        <w:ind w:left="2015" w:hanging="598"/>
        <w:jc w:val="right"/>
      </w:pPr>
      <w:rPr>
        <w:rFonts w:ascii="Arial" w:eastAsia="Arial" w:hAnsi="Arial" w:cs="Arial" w:hint="default"/>
        <w:color w:val="0095A7"/>
        <w:spacing w:val="-21"/>
        <w:w w:val="100"/>
        <w:sz w:val="20"/>
        <w:szCs w:val="20"/>
      </w:rPr>
    </w:lvl>
    <w:lvl w:ilvl="3" w:tplc="82407896">
      <w:start w:val="1"/>
      <w:numFmt w:val="bullet"/>
      <w:lvlText w:val="•"/>
      <w:lvlJc w:val="left"/>
      <w:pPr>
        <w:ind w:left="3470" w:hanging="598"/>
      </w:pPr>
      <w:rPr>
        <w:rFonts w:hint="default"/>
      </w:rPr>
    </w:lvl>
    <w:lvl w:ilvl="4" w:tplc="967EF866">
      <w:start w:val="1"/>
      <w:numFmt w:val="bullet"/>
      <w:lvlText w:val="•"/>
      <w:lvlJc w:val="left"/>
      <w:pPr>
        <w:ind w:left="4195" w:hanging="598"/>
      </w:pPr>
      <w:rPr>
        <w:rFonts w:hint="default"/>
      </w:rPr>
    </w:lvl>
    <w:lvl w:ilvl="5" w:tplc="ED3CDE9C">
      <w:start w:val="1"/>
      <w:numFmt w:val="bullet"/>
      <w:lvlText w:val="•"/>
      <w:lvlJc w:val="left"/>
      <w:pPr>
        <w:ind w:left="4920" w:hanging="598"/>
      </w:pPr>
      <w:rPr>
        <w:rFonts w:hint="default"/>
      </w:rPr>
    </w:lvl>
    <w:lvl w:ilvl="6" w:tplc="BEB01AC6">
      <w:start w:val="1"/>
      <w:numFmt w:val="bullet"/>
      <w:lvlText w:val="•"/>
      <w:lvlJc w:val="left"/>
      <w:pPr>
        <w:ind w:left="5645" w:hanging="598"/>
      </w:pPr>
      <w:rPr>
        <w:rFonts w:hint="default"/>
      </w:rPr>
    </w:lvl>
    <w:lvl w:ilvl="7" w:tplc="624EB5CE">
      <w:start w:val="1"/>
      <w:numFmt w:val="bullet"/>
      <w:lvlText w:val="•"/>
      <w:lvlJc w:val="left"/>
      <w:pPr>
        <w:ind w:left="6370" w:hanging="598"/>
      </w:pPr>
      <w:rPr>
        <w:rFonts w:hint="default"/>
      </w:rPr>
    </w:lvl>
    <w:lvl w:ilvl="8" w:tplc="2DB01E34">
      <w:start w:val="1"/>
      <w:numFmt w:val="bullet"/>
      <w:lvlText w:val="•"/>
      <w:lvlJc w:val="left"/>
      <w:pPr>
        <w:ind w:left="7095" w:hanging="598"/>
      </w:pPr>
      <w:rPr>
        <w:rFonts w:hint="default"/>
      </w:rPr>
    </w:lvl>
  </w:abstractNum>
  <w:abstractNum w:abstractNumId="4">
    <w:nsid w:val="1A5F5519"/>
    <w:multiLevelType w:val="hybridMultilevel"/>
    <w:tmpl w:val="BBD21E94"/>
    <w:lvl w:ilvl="0" w:tplc="60868E18">
      <w:start w:val="1"/>
      <w:numFmt w:val="lowerRoman"/>
      <w:lvlText w:val="%1)"/>
      <w:lvlJc w:val="left"/>
      <w:pPr>
        <w:ind w:left="510" w:hanging="341"/>
        <w:jc w:val="left"/>
      </w:pPr>
      <w:rPr>
        <w:rFonts w:ascii="Arial" w:eastAsia="Arial" w:hAnsi="Arial" w:cs="Arial" w:hint="default"/>
        <w:color w:val="58595B"/>
        <w:spacing w:val="-12"/>
        <w:w w:val="100"/>
        <w:sz w:val="20"/>
        <w:szCs w:val="20"/>
      </w:rPr>
    </w:lvl>
    <w:lvl w:ilvl="1" w:tplc="A75ABEBC">
      <w:start w:val="1"/>
      <w:numFmt w:val="bullet"/>
      <w:lvlText w:val="•"/>
      <w:lvlJc w:val="left"/>
      <w:pPr>
        <w:ind w:left="1335" w:hanging="341"/>
      </w:pPr>
      <w:rPr>
        <w:rFonts w:hint="default"/>
      </w:rPr>
    </w:lvl>
    <w:lvl w:ilvl="2" w:tplc="DA0233F6">
      <w:start w:val="1"/>
      <w:numFmt w:val="bullet"/>
      <w:lvlText w:val="•"/>
      <w:lvlJc w:val="left"/>
      <w:pPr>
        <w:ind w:left="2150" w:hanging="341"/>
      </w:pPr>
      <w:rPr>
        <w:rFonts w:hint="default"/>
      </w:rPr>
    </w:lvl>
    <w:lvl w:ilvl="3" w:tplc="D07849FC">
      <w:start w:val="1"/>
      <w:numFmt w:val="bullet"/>
      <w:lvlText w:val="•"/>
      <w:lvlJc w:val="left"/>
      <w:pPr>
        <w:ind w:left="2966" w:hanging="341"/>
      </w:pPr>
      <w:rPr>
        <w:rFonts w:hint="default"/>
      </w:rPr>
    </w:lvl>
    <w:lvl w:ilvl="4" w:tplc="A27E6096">
      <w:start w:val="1"/>
      <w:numFmt w:val="bullet"/>
      <w:lvlText w:val="•"/>
      <w:lvlJc w:val="left"/>
      <w:pPr>
        <w:ind w:left="3781" w:hanging="341"/>
      </w:pPr>
      <w:rPr>
        <w:rFonts w:hint="default"/>
      </w:rPr>
    </w:lvl>
    <w:lvl w:ilvl="5" w:tplc="DDC09ECC">
      <w:start w:val="1"/>
      <w:numFmt w:val="bullet"/>
      <w:lvlText w:val="•"/>
      <w:lvlJc w:val="left"/>
      <w:pPr>
        <w:ind w:left="4597" w:hanging="341"/>
      </w:pPr>
      <w:rPr>
        <w:rFonts w:hint="default"/>
      </w:rPr>
    </w:lvl>
    <w:lvl w:ilvl="6" w:tplc="872C40E4">
      <w:start w:val="1"/>
      <w:numFmt w:val="bullet"/>
      <w:lvlText w:val="•"/>
      <w:lvlJc w:val="left"/>
      <w:pPr>
        <w:ind w:left="5412" w:hanging="341"/>
      </w:pPr>
      <w:rPr>
        <w:rFonts w:hint="default"/>
      </w:rPr>
    </w:lvl>
    <w:lvl w:ilvl="7" w:tplc="BD3C40BA">
      <w:start w:val="1"/>
      <w:numFmt w:val="bullet"/>
      <w:lvlText w:val="•"/>
      <w:lvlJc w:val="left"/>
      <w:pPr>
        <w:ind w:left="6227" w:hanging="341"/>
      </w:pPr>
      <w:rPr>
        <w:rFonts w:hint="default"/>
      </w:rPr>
    </w:lvl>
    <w:lvl w:ilvl="8" w:tplc="95D0BE40">
      <w:start w:val="1"/>
      <w:numFmt w:val="bullet"/>
      <w:lvlText w:val="•"/>
      <w:lvlJc w:val="left"/>
      <w:pPr>
        <w:ind w:left="7043" w:hanging="341"/>
      </w:pPr>
      <w:rPr>
        <w:rFonts w:hint="default"/>
      </w:rPr>
    </w:lvl>
  </w:abstractNum>
  <w:abstractNum w:abstractNumId="5">
    <w:nsid w:val="1B956C58"/>
    <w:multiLevelType w:val="hybridMultilevel"/>
    <w:tmpl w:val="9AF2A5F6"/>
    <w:lvl w:ilvl="0" w:tplc="78281D6C">
      <w:start w:val="1"/>
      <w:numFmt w:val="decimal"/>
      <w:lvlText w:val="%1"/>
      <w:lvlJc w:val="left"/>
      <w:pPr>
        <w:ind w:left="417" w:hanging="284"/>
        <w:jc w:val="left"/>
      </w:pPr>
      <w:rPr>
        <w:rFonts w:ascii="Arial" w:eastAsia="Arial" w:hAnsi="Arial" w:cs="Arial" w:hint="default"/>
        <w:color w:val="58595B"/>
        <w:spacing w:val="-10"/>
        <w:w w:val="100"/>
        <w:sz w:val="12"/>
        <w:szCs w:val="12"/>
      </w:rPr>
    </w:lvl>
    <w:lvl w:ilvl="1" w:tplc="1ECE21AC">
      <w:start w:val="1"/>
      <w:numFmt w:val="bullet"/>
      <w:lvlText w:val="•"/>
      <w:lvlJc w:val="left"/>
      <w:pPr>
        <w:ind w:left="1587" w:hanging="171"/>
      </w:pPr>
      <w:rPr>
        <w:rFonts w:ascii="Arial" w:eastAsia="Arial" w:hAnsi="Arial" w:cs="Arial" w:hint="default"/>
        <w:color w:val="0095A7"/>
        <w:spacing w:val="-12"/>
        <w:w w:val="100"/>
        <w:sz w:val="20"/>
        <w:szCs w:val="20"/>
      </w:rPr>
    </w:lvl>
    <w:lvl w:ilvl="2" w:tplc="364ED214">
      <w:start w:val="1"/>
      <w:numFmt w:val="bullet"/>
      <w:lvlText w:val="•"/>
      <w:lvlJc w:val="left"/>
      <w:pPr>
        <w:ind w:left="1884" w:hanging="171"/>
      </w:pPr>
      <w:rPr>
        <w:rFonts w:hint="default"/>
      </w:rPr>
    </w:lvl>
    <w:lvl w:ilvl="3" w:tplc="E3862E96">
      <w:start w:val="1"/>
      <w:numFmt w:val="bullet"/>
      <w:lvlText w:val="•"/>
      <w:lvlJc w:val="left"/>
      <w:pPr>
        <w:ind w:left="2188" w:hanging="171"/>
      </w:pPr>
      <w:rPr>
        <w:rFonts w:hint="default"/>
      </w:rPr>
    </w:lvl>
    <w:lvl w:ilvl="4" w:tplc="8F44CDBE">
      <w:start w:val="1"/>
      <w:numFmt w:val="bullet"/>
      <w:lvlText w:val="•"/>
      <w:lvlJc w:val="left"/>
      <w:pPr>
        <w:ind w:left="2493" w:hanging="171"/>
      </w:pPr>
      <w:rPr>
        <w:rFonts w:hint="default"/>
      </w:rPr>
    </w:lvl>
    <w:lvl w:ilvl="5" w:tplc="AC50E836">
      <w:start w:val="1"/>
      <w:numFmt w:val="bullet"/>
      <w:lvlText w:val="•"/>
      <w:lvlJc w:val="left"/>
      <w:pPr>
        <w:ind w:left="2797" w:hanging="171"/>
      </w:pPr>
      <w:rPr>
        <w:rFonts w:hint="default"/>
      </w:rPr>
    </w:lvl>
    <w:lvl w:ilvl="6" w:tplc="07EE8E24">
      <w:start w:val="1"/>
      <w:numFmt w:val="bullet"/>
      <w:lvlText w:val="•"/>
      <w:lvlJc w:val="left"/>
      <w:pPr>
        <w:ind w:left="3102" w:hanging="171"/>
      </w:pPr>
      <w:rPr>
        <w:rFonts w:hint="default"/>
      </w:rPr>
    </w:lvl>
    <w:lvl w:ilvl="7" w:tplc="91D07CA6">
      <w:start w:val="1"/>
      <w:numFmt w:val="bullet"/>
      <w:lvlText w:val="•"/>
      <w:lvlJc w:val="left"/>
      <w:pPr>
        <w:ind w:left="3406" w:hanging="171"/>
      </w:pPr>
      <w:rPr>
        <w:rFonts w:hint="default"/>
      </w:rPr>
    </w:lvl>
    <w:lvl w:ilvl="8" w:tplc="7CBE0944">
      <w:start w:val="1"/>
      <w:numFmt w:val="bullet"/>
      <w:lvlText w:val="•"/>
      <w:lvlJc w:val="left"/>
      <w:pPr>
        <w:ind w:left="3711" w:hanging="171"/>
      </w:pPr>
      <w:rPr>
        <w:rFonts w:hint="default"/>
      </w:rPr>
    </w:lvl>
  </w:abstractNum>
  <w:abstractNum w:abstractNumId="6">
    <w:nsid w:val="1BAC55CD"/>
    <w:multiLevelType w:val="hybridMultilevel"/>
    <w:tmpl w:val="9EB2A1CC"/>
    <w:lvl w:ilvl="0" w:tplc="BE0C517C">
      <w:start w:val="1"/>
      <w:numFmt w:val="bullet"/>
      <w:lvlText w:val="•"/>
      <w:lvlJc w:val="left"/>
      <w:pPr>
        <w:ind w:left="1587" w:hanging="171"/>
      </w:pPr>
      <w:rPr>
        <w:rFonts w:ascii="Arial" w:eastAsia="Arial" w:hAnsi="Arial" w:cs="Arial" w:hint="default"/>
        <w:color w:val="0095A7"/>
        <w:spacing w:val="-12"/>
        <w:w w:val="100"/>
        <w:sz w:val="20"/>
        <w:szCs w:val="20"/>
      </w:rPr>
    </w:lvl>
    <w:lvl w:ilvl="1" w:tplc="8E7EFDD2">
      <w:start w:val="1"/>
      <w:numFmt w:val="bullet"/>
      <w:lvlText w:val="•"/>
      <w:lvlJc w:val="left"/>
      <w:pPr>
        <w:ind w:left="2444" w:hanging="171"/>
      </w:pPr>
      <w:rPr>
        <w:rFonts w:hint="default"/>
      </w:rPr>
    </w:lvl>
    <w:lvl w:ilvl="2" w:tplc="2FFC5EBC">
      <w:start w:val="1"/>
      <w:numFmt w:val="bullet"/>
      <w:lvlText w:val="•"/>
      <w:lvlJc w:val="left"/>
      <w:pPr>
        <w:ind w:left="3309" w:hanging="171"/>
      </w:pPr>
      <w:rPr>
        <w:rFonts w:hint="default"/>
      </w:rPr>
    </w:lvl>
    <w:lvl w:ilvl="3" w:tplc="E864C10E">
      <w:start w:val="1"/>
      <w:numFmt w:val="bullet"/>
      <w:lvlText w:val="•"/>
      <w:lvlJc w:val="left"/>
      <w:pPr>
        <w:ind w:left="4173" w:hanging="171"/>
      </w:pPr>
      <w:rPr>
        <w:rFonts w:hint="default"/>
      </w:rPr>
    </w:lvl>
    <w:lvl w:ilvl="4" w:tplc="ACFA94EE">
      <w:start w:val="1"/>
      <w:numFmt w:val="bullet"/>
      <w:lvlText w:val="•"/>
      <w:lvlJc w:val="left"/>
      <w:pPr>
        <w:ind w:left="5038" w:hanging="171"/>
      </w:pPr>
      <w:rPr>
        <w:rFonts w:hint="default"/>
      </w:rPr>
    </w:lvl>
    <w:lvl w:ilvl="5" w:tplc="04C20496">
      <w:start w:val="1"/>
      <w:numFmt w:val="bullet"/>
      <w:lvlText w:val="•"/>
      <w:lvlJc w:val="left"/>
      <w:pPr>
        <w:ind w:left="5902" w:hanging="171"/>
      </w:pPr>
      <w:rPr>
        <w:rFonts w:hint="default"/>
      </w:rPr>
    </w:lvl>
    <w:lvl w:ilvl="6" w:tplc="3C946586">
      <w:start w:val="1"/>
      <w:numFmt w:val="bullet"/>
      <w:lvlText w:val="•"/>
      <w:lvlJc w:val="left"/>
      <w:pPr>
        <w:ind w:left="6767" w:hanging="171"/>
      </w:pPr>
      <w:rPr>
        <w:rFonts w:hint="default"/>
      </w:rPr>
    </w:lvl>
    <w:lvl w:ilvl="7" w:tplc="43E41214">
      <w:start w:val="1"/>
      <w:numFmt w:val="bullet"/>
      <w:lvlText w:val="•"/>
      <w:lvlJc w:val="left"/>
      <w:pPr>
        <w:ind w:left="7631" w:hanging="171"/>
      </w:pPr>
      <w:rPr>
        <w:rFonts w:hint="default"/>
      </w:rPr>
    </w:lvl>
    <w:lvl w:ilvl="8" w:tplc="E77E7220">
      <w:start w:val="1"/>
      <w:numFmt w:val="bullet"/>
      <w:lvlText w:val="•"/>
      <w:lvlJc w:val="left"/>
      <w:pPr>
        <w:ind w:left="8496" w:hanging="171"/>
      </w:pPr>
      <w:rPr>
        <w:rFonts w:hint="default"/>
      </w:rPr>
    </w:lvl>
  </w:abstractNum>
  <w:abstractNum w:abstractNumId="7">
    <w:nsid w:val="1D4B01A2"/>
    <w:multiLevelType w:val="hybridMultilevel"/>
    <w:tmpl w:val="AC9EC0F6"/>
    <w:lvl w:ilvl="0" w:tplc="3D72ACAC">
      <w:start w:val="20"/>
      <w:numFmt w:val="decimal"/>
      <w:lvlText w:val="%1"/>
      <w:lvlJc w:val="left"/>
      <w:pPr>
        <w:ind w:left="1986" w:hanging="570"/>
        <w:jc w:val="left"/>
      </w:pPr>
      <w:rPr>
        <w:rFonts w:hint="default"/>
      </w:rPr>
    </w:lvl>
    <w:lvl w:ilvl="1" w:tplc="C33C4C6E">
      <w:start w:val="1"/>
      <w:numFmt w:val="decimal"/>
      <w:lvlText w:val="%1.%2"/>
      <w:lvlJc w:val="left"/>
      <w:pPr>
        <w:ind w:left="1986" w:hanging="570"/>
        <w:jc w:val="right"/>
      </w:pPr>
      <w:rPr>
        <w:rFonts w:ascii="Arial" w:eastAsia="Arial" w:hAnsi="Arial" w:cs="Arial" w:hint="default"/>
        <w:color w:val="0095A7"/>
        <w:spacing w:val="-23"/>
        <w:w w:val="100"/>
        <w:sz w:val="24"/>
        <w:szCs w:val="24"/>
      </w:rPr>
    </w:lvl>
    <w:lvl w:ilvl="2" w:tplc="87DC758C">
      <w:start w:val="1"/>
      <w:numFmt w:val="decimal"/>
      <w:lvlText w:val="%1.%2.%3"/>
      <w:lvlJc w:val="left"/>
      <w:pPr>
        <w:ind w:left="134" w:hanging="640"/>
        <w:jc w:val="left"/>
      </w:pPr>
      <w:rPr>
        <w:rFonts w:ascii="Arial" w:eastAsia="Arial" w:hAnsi="Arial" w:cs="Arial" w:hint="default"/>
        <w:color w:val="0095A7"/>
        <w:spacing w:val="-19"/>
        <w:w w:val="100"/>
        <w:sz w:val="20"/>
        <w:szCs w:val="20"/>
      </w:rPr>
    </w:lvl>
    <w:lvl w:ilvl="3" w:tplc="DF10FA02">
      <w:start w:val="1"/>
      <w:numFmt w:val="bullet"/>
      <w:lvlText w:val="•"/>
      <w:lvlJc w:val="left"/>
      <w:pPr>
        <w:ind w:left="3439" w:hanging="640"/>
      </w:pPr>
      <w:rPr>
        <w:rFonts w:hint="default"/>
      </w:rPr>
    </w:lvl>
    <w:lvl w:ilvl="4" w:tplc="BFA84AD6">
      <w:start w:val="1"/>
      <w:numFmt w:val="bullet"/>
      <w:lvlText w:val="•"/>
      <w:lvlJc w:val="left"/>
      <w:pPr>
        <w:ind w:left="4168" w:hanging="640"/>
      </w:pPr>
      <w:rPr>
        <w:rFonts w:hint="default"/>
      </w:rPr>
    </w:lvl>
    <w:lvl w:ilvl="5" w:tplc="6C6C0990">
      <w:start w:val="1"/>
      <w:numFmt w:val="bullet"/>
      <w:lvlText w:val="•"/>
      <w:lvlJc w:val="left"/>
      <w:pPr>
        <w:ind w:left="4898" w:hanging="640"/>
      </w:pPr>
      <w:rPr>
        <w:rFonts w:hint="default"/>
      </w:rPr>
    </w:lvl>
    <w:lvl w:ilvl="6" w:tplc="59244C4C">
      <w:start w:val="1"/>
      <w:numFmt w:val="bullet"/>
      <w:lvlText w:val="•"/>
      <w:lvlJc w:val="left"/>
      <w:pPr>
        <w:ind w:left="5627" w:hanging="640"/>
      </w:pPr>
      <w:rPr>
        <w:rFonts w:hint="default"/>
      </w:rPr>
    </w:lvl>
    <w:lvl w:ilvl="7" w:tplc="6B3E9528">
      <w:start w:val="1"/>
      <w:numFmt w:val="bullet"/>
      <w:lvlText w:val="•"/>
      <w:lvlJc w:val="left"/>
      <w:pPr>
        <w:ind w:left="6357" w:hanging="640"/>
      </w:pPr>
      <w:rPr>
        <w:rFonts w:hint="default"/>
      </w:rPr>
    </w:lvl>
    <w:lvl w:ilvl="8" w:tplc="A364E3B0">
      <w:start w:val="1"/>
      <w:numFmt w:val="bullet"/>
      <w:lvlText w:val="•"/>
      <w:lvlJc w:val="left"/>
      <w:pPr>
        <w:ind w:left="7086" w:hanging="640"/>
      </w:pPr>
      <w:rPr>
        <w:rFonts w:hint="default"/>
      </w:rPr>
    </w:lvl>
  </w:abstractNum>
  <w:abstractNum w:abstractNumId="8">
    <w:nsid w:val="1D7E0F0B"/>
    <w:multiLevelType w:val="hybridMultilevel"/>
    <w:tmpl w:val="7150879E"/>
    <w:lvl w:ilvl="0" w:tplc="549A19D4">
      <w:start w:val="1"/>
      <w:numFmt w:val="bullet"/>
      <w:lvlText w:val="•"/>
      <w:lvlJc w:val="left"/>
      <w:pPr>
        <w:ind w:left="1587" w:hanging="171"/>
      </w:pPr>
      <w:rPr>
        <w:rFonts w:ascii="Arial" w:eastAsia="Arial" w:hAnsi="Arial" w:cs="Arial" w:hint="default"/>
        <w:color w:val="0095A7"/>
        <w:spacing w:val="-12"/>
        <w:w w:val="100"/>
        <w:sz w:val="20"/>
        <w:szCs w:val="20"/>
      </w:rPr>
    </w:lvl>
    <w:lvl w:ilvl="1" w:tplc="4016FBF2">
      <w:start w:val="1"/>
      <w:numFmt w:val="bullet"/>
      <w:lvlText w:val="•"/>
      <w:lvlJc w:val="left"/>
      <w:pPr>
        <w:ind w:left="2444" w:hanging="171"/>
      </w:pPr>
      <w:rPr>
        <w:rFonts w:hint="default"/>
      </w:rPr>
    </w:lvl>
    <w:lvl w:ilvl="2" w:tplc="05168698">
      <w:start w:val="1"/>
      <w:numFmt w:val="bullet"/>
      <w:lvlText w:val="•"/>
      <w:lvlJc w:val="left"/>
      <w:pPr>
        <w:ind w:left="3309" w:hanging="171"/>
      </w:pPr>
      <w:rPr>
        <w:rFonts w:hint="default"/>
      </w:rPr>
    </w:lvl>
    <w:lvl w:ilvl="3" w:tplc="EC82C46A">
      <w:start w:val="1"/>
      <w:numFmt w:val="bullet"/>
      <w:lvlText w:val="•"/>
      <w:lvlJc w:val="left"/>
      <w:pPr>
        <w:ind w:left="4173" w:hanging="171"/>
      </w:pPr>
      <w:rPr>
        <w:rFonts w:hint="default"/>
      </w:rPr>
    </w:lvl>
    <w:lvl w:ilvl="4" w:tplc="B90E012A">
      <w:start w:val="1"/>
      <w:numFmt w:val="bullet"/>
      <w:lvlText w:val="•"/>
      <w:lvlJc w:val="left"/>
      <w:pPr>
        <w:ind w:left="5038" w:hanging="171"/>
      </w:pPr>
      <w:rPr>
        <w:rFonts w:hint="default"/>
      </w:rPr>
    </w:lvl>
    <w:lvl w:ilvl="5" w:tplc="F256533A">
      <w:start w:val="1"/>
      <w:numFmt w:val="bullet"/>
      <w:lvlText w:val="•"/>
      <w:lvlJc w:val="left"/>
      <w:pPr>
        <w:ind w:left="5902" w:hanging="171"/>
      </w:pPr>
      <w:rPr>
        <w:rFonts w:hint="default"/>
      </w:rPr>
    </w:lvl>
    <w:lvl w:ilvl="6" w:tplc="69E85290">
      <w:start w:val="1"/>
      <w:numFmt w:val="bullet"/>
      <w:lvlText w:val="•"/>
      <w:lvlJc w:val="left"/>
      <w:pPr>
        <w:ind w:left="6767" w:hanging="171"/>
      </w:pPr>
      <w:rPr>
        <w:rFonts w:hint="default"/>
      </w:rPr>
    </w:lvl>
    <w:lvl w:ilvl="7" w:tplc="E6D65388">
      <w:start w:val="1"/>
      <w:numFmt w:val="bullet"/>
      <w:lvlText w:val="•"/>
      <w:lvlJc w:val="left"/>
      <w:pPr>
        <w:ind w:left="7631" w:hanging="171"/>
      </w:pPr>
      <w:rPr>
        <w:rFonts w:hint="default"/>
      </w:rPr>
    </w:lvl>
    <w:lvl w:ilvl="8" w:tplc="E788F5CC">
      <w:start w:val="1"/>
      <w:numFmt w:val="bullet"/>
      <w:lvlText w:val="•"/>
      <w:lvlJc w:val="left"/>
      <w:pPr>
        <w:ind w:left="8496" w:hanging="171"/>
      </w:pPr>
      <w:rPr>
        <w:rFonts w:hint="default"/>
      </w:rPr>
    </w:lvl>
  </w:abstractNum>
  <w:abstractNum w:abstractNumId="9">
    <w:nsid w:val="1F5C4E4B"/>
    <w:multiLevelType w:val="hybridMultilevel"/>
    <w:tmpl w:val="BD469F62"/>
    <w:lvl w:ilvl="0" w:tplc="15666918">
      <w:start w:val="1"/>
      <w:numFmt w:val="bullet"/>
      <w:lvlText w:val="•"/>
      <w:lvlJc w:val="left"/>
      <w:pPr>
        <w:ind w:left="283" w:hanging="227"/>
      </w:pPr>
      <w:rPr>
        <w:rFonts w:ascii="Arial" w:eastAsia="Arial" w:hAnsi="Arial" w:cs="Arial" w:hint="default"/>
        <w:color w:val="58595B"/>
        <w:spacing w:val="-3"/>
        <w:w w:val="100"/>
        <w:sz w:val="18"/>
        <w:szCs w:val="18"/>
      </w:rPr>
    </w:lvl>
    <w:lvl w:ilvl="1" w:tplc="16483D30">
      <w:start w:val="1"/>
      <w:numFmt w:val="bullet"/>
      <w:lvlText w:val="•"/>
      <w:lvlJc w:val="left"/>
      <w:pPr>
        <w:ind w:left="600" w:hanging="227"/>
      </w:pPr>
      <w:rPr>
        <w:rFonts w:hint="default"/>
      </w:rPr>
    </w:lvl>
    <w:lvl w:ilvl="2" w:tplc="D05A889C">
      <w:start w:val="1"/>
      <w:numFmt w:val="bullet"/>
      <w:lvlText w:val="•"/>
      <w:lvlJc w:val="left"/>
      <w:pPr>
        <w:ind w:left="921" w:hanging="227"/>
      </w:pPr>
      <w:rPr>
        <w:rFonts w:hint="default"/>
      </w:rPr>
    </w:lvl>
    <w:lvl w:ilvl="3" w:tplc="40F20720">
      <w:start w:val="1"/>
      <w:numFmt w:val="bullet"/>
      <w:lvlText w:val="•"/>
      <w:lvlJc w:val="left"/>
      <w:pPr>
        <w:ind w:left="1242" w:hanging="227"/>
      </w:pPr>
      <w:rPr>
        <w:rFonts w:hint="default"/>
      </w:rPr>
    </w:lvl>
    <w:lvl w:ilvl="4" w:tplc="9BE8887C">
      <w:start w:val="1"/>
      <w:numFmt w:val="bullet"/>
      <w:lvlText w:val="•"/>
      <w:lvlJc w:val="left"/>
      <w:pPr>
        <w:ind w:left="1562" w:hanging="227"/>
      </w:pPr>
      <w:rPr>
        <w:rFonts w:hint="default"/>
      </w:rPr>
    </w:lvl>
    <w:lvl w:ilvl="5" w:tplc="73285672">
      <w:start w:val="1"/>
      <w:numFmt w:val="bullet"/>
      <w:lvlText w:val="•"/>
      <w:lvlJc w:val="left"/>
      <w:pPr>
        <w:ind w:left="1883" w:hanging="227"/>
      </w:pPr>
      <w:rPr>
        <w:rFonts w:hint="default"/>
      </w:rPr>
    </w:lvl>
    <w:lvl w:ilvl="6" w:tplc="AF2001D4">
      <w:start w:val="1"/>
      <w:numFmt w:val="bullet"/>
      <w:lvlText w:val="•"/>
      <w:lvlJc w:val="left"/>
      <w:pPr>
        <w:ind w:left="2204" w:hanging="227"/>
      </w:pPr>
      <w:rPr>
        <w:rFonts w:hint="default"/>
      </w:rPr>
    </w:lvl>
    <w:lvl w:ilvl="7" w:tplc="A24EFD5E">
      <w:start w:val="1"/>
      <w:numFmt w:val="bullet"/>
      <w:lvlText w:val="•"/>
      <w:lvlJc w:val="left"/>
      <w:pPr>
        <w:ind w:left="2524" w:hanging="227"/>
      </w:pPr>
      <w:rPr>
        <w:rFonts w:hint="default"/>
      </w:rPr>
    </w:lvl>
    <w:lvl w:ilvl="8" w:tplc="B6F2D780">
      <w:start w:val="1"/>
      <w:numFmt w:val="bullet"/>
      <w:lvlText w:val="•"/>
      <w:lvlJc w:val="left"/>
      <w:pPr>
        <w:ind w:left="2845" w:hanging="227"/>
      </w:pPr>
      <w:rPr>
        <w:rFonts w:hint="default"/>
      </w:rPr>
    </w:lvl>
  </w:abstractNum>
  <w:abstractNum w:abstractNumId="10">
    <w:nsid w:val="21601F6A"/>
    <w:multiLevelType w:val="hybridMultilevel"/>
    <w:tmpl w:val="C3C269B8"/>
    <w:lvl w:ilvl="0" w:tplc="24066FA0">
      <w:start w:val="1"/>
      <w:numFmt w:val="bullet"/>
      <w:lvlText w:val="•"/>
      <w:lvlJc w:val="left"/>
      <w:pPr>
        <w:ind w:left="283" w:hanging="227"/>
      </w:pPr>
      <w:rPr>
        <w:rFonts w:ascii="Arial" w:eastAsia="Arial" w:hAnsi="Arial" w:cs="Arial" w:hint="default"/>
        <w:color w:val="58595B"/>
        <w:spacing w:val="-10"/>
        <w:w w:val="100"/>
        <w:sz w:val="18"/>
        <w:szCs w:val="18"/>
      </w:rPr>
    </w:lvl>
    <w:lvl w:ilvl="1" w:tplc="D77AF734">
      <w:start w:val="1"/>
      <w:numFmt w:val="bullet"/>
      <w:lvlText w:val="•"/>
      <w:lvlJc w:val="left"/>
      <w:pPr>
        <w:ind w:left="602" w:hanging="227"/>
      </w:pPr>
      <w:rPr>
        <w:rFonts w:hint="default"/>
      </w:rPr>
    </w:lvl>
    <w:lvl w:ilvl="2" w:tplc="25105BB4">
      <w:start w:val="1"/>
      <w:numFmt w:val="bullet"/>
      <w:lvlText w:val="•"/>
      <w:lvlJc w:val="left"/>
      <w:pPr>
        <w:ind w:left="925" w:hanging="227"/>
      </w:pPr>
      <w:rPr>
        <w:rFonts w:hint="default"/>
      </w:rPr>
    </w:lvl>
    <w:lvl w:ilvl="3" w:tplc="5F7477F4">
      <w:start w:val="1"/>
      <w:numFmt w:val="bullet"/>
      <w:lvlText w:val="•"/>
      <w:lvlJc w:val="left"/>
      <w:pPr>
        <w:ind w:left="1248" w:hanging="227"/>
      </w:pPr>
      <w:rPr>
        <w:rFonts w:hint="default"/>
      </w:rPr>
    </w:lvl>
    <w:lvl w:ilvl="4" w:tplc="5C1C1CA8">
      <w:start w:val="1"/>
      <w:numFmt w:val="bullet"/>
      <w:lvlText w:val="•"/>
      <w:lvlJc w:val="left"/>
      <w:pPr>
        <w:ind w:left="1571" w:hanging="227"/>
      </w:pPr>
      <w:rPr>
        <w:rFonts w:hint="default"/>
      </w:rPr>
    </w:lvl>
    <w:lvl w:ilvl="5" w:tplc="CA549CAA">
      <w:start w:val="1"/>
      <w:numFmt w:val="bullet"/>
      <w:lvlText w:val="•"/>
      <w:lvlJc w:val="left"/>
      <w:pPr>
        <w:ind w:left="1893" w:hanging="227"/>
      </w:pPr>
      <w:rPr>
        <w:rFonts w:hint="default"/>
      </w:rPr>
    </w:lvl>
    <w:lvl w:ilvl="6" w:tplc="C6EE21BC">
      <w:start w:val="1"/>
      <w:numFmt w:val="bullet"/>
      <w:lvlText w:val="•"/>
      <w:lvlJc w:val="left"/>
      <w:pPr>
        <w:ind w:left="2216" w:hanging="227"/>
      </w:pPr>
      <w:rPr>
        <w:rFonts w:hint="default"/>
      </w:rPr>
    </w:lvl>
    <w:lvl w:ilvl="7" w:tplc="A0AEC538">
      <w:start w:val="1"/>
      <w:numFmt w:val="bullet"/>
      <w:lvlText w:val="•"/>
      <w:lvlJc w:val="left"/>
      <w:pPr>
        <w:ind w:left="2539" w:hanging="227"/>
      </w:pPr>
      <w:rPr>
        <w:rFonts w:hint="default"/>
      </w:rPr>
    </w:lvl>
    <w:lvl w:ilvl="8" w:tplc="B1F6984E">
      <w:start w:val="1"/>
      <w:numFmt w:val="bullet"/>
      <w:lvlText w:val="•"/>
      <w:lvlJc w:val="left"/>
      <w:pPr>
        <w:ind w:left="2862" w:hanging="227"/>
      </w:pPr>
      <w:rPr>
        <w:rFonts w:hint="default"/>
      </w:rPr>
    </w:lvl>
  </w:abstractNum>
  <w:abstractNum w:abstractNumId="11">
    <w:nsid w:val="22C348D2"/>
    <w:multiLevelType w:val="hybridMultilevel"/>
    <w:tmpl w:val="DDE09900"/>
    <w:lvl w:ilvl="0" w:tplc="1766F732">
      <w:start w:val="21"/>
      <w:numFmt w:val="decimal"/>
      <w:lvlText w:val="%1"/>
      <w:lvlJc w:val="left"/>
      <w:pPr>
        <w:ind w:left="1970" w:hanging="553"/>
        <w:jc w:val="left"/>
      </w:pPr>
      <w:rPr>
        <w:rFonts w:hint="default"/>
      </w:rPr>
    </w:lvl>
    <w:lvl w:ilvl="1" w:tplc="ED0465F0">
      <w:start w:val="1"/>
      <w:numFmt w:val="decimal"/>
      <w:lvlText w:val="%1.%2"/>
      <w:lvlJc w:val="left"/>
      <w:pPr>
        <w:ind w:left="1970" w:hanging="553"/>
        <w:jc w:val="right"/>
      </w:pPr>
      <w:rPr>
        <w:rFonts w:ascii="Arial" w:eastAsia="Arial" w:hAnsi="Arial" w:cs="Arial" w:hint="default"/>
        <w:color w:val="0095A7"/>
        <w:spacing w:val="-23"/>
        <w:w w:val="100"/>
        <w:sz w:val="24"/>
        <w:szCs w:val="24"/>
      </w:rPr>
    </w:lvl>
    <w:lvl w:ilvl="2" w:tplc="11D6BE14">
      <w:start w:val="1"/>
      <w:numFmt w:val="decimal"/>
      <w:lvlText w:val="%1.%2.%3"/>
      <w:lvlJc w:val="left"/>
      <w:pPr>
        <w:ind w:left="2046" w:hanging="630"/>
        <w:jc w:val="right"/>
      </w:pPr>
      <w:rPr>
        <w:rFonts w:ascii="Arial" w:eastAsia="Arial" w:hAnsi="Arial" w:cs="Arial" w:hint="default"/>
        <w:color w:val="0095A7"/>
        <w:spacing w:val="-19"/>
        <w:w w:val="100"/>
        <w:sz w:val="20"/>
        <w:szCs w:val="20"/>
      </w:rPr>
    </w:lvl>
    <w:lvl w:ilvl="3" w:tplc="A2CCE9A0">
      <w:start w:val="1"/>
      <w:numFmt w:val="bullet"/>
      <w:lvlText w:val="•"/>
      <w:lvlJc w:val="left"/>
      <w:pPr>
        <w:ind w:left="3859" w:hanging="630"/>
      </w:pPr>
      <w:rPr>
        <w:rFonts w:hint="default"/>
      </w:rPr>
    </w:lvl>
    <w:lvl w:ilvl="4" w:tplc="5FA49D4C">
      <w:start w:val="1"/>
      <w:numFmt w:val="bullet"/>
      <w:lvlText w:val="•"/>
      <w:lvlJc w:val="left"/>
      <w:pPr>
        <w:ind w:left="4768" w:hanging="630"/>
      </w:pPr>
      <w:rPr>
        <w:rFonts w:hint="default"/>
      </w:rPr>
    </w:lvl>
    <w:lvl w:ilvl="5" w:tplc="098ED624">
      <w:start w:val="1"/>
      <w:numFmt w:val="bullet"/>
      <w:lvlText w:val="•"/>
      <w:lvlJc w:val="left"/>
      <w:pPr>
        <w:ind w:left="5678" w:hanging="630"/>
      </w:pPr>
      <w:rPr>
        <w:rFonts w:hint="default"/>
      </w:rPr>
    </w:lvl>
    <w:lvl w:ilvl="6" w:tplc="BCBE3FC4">
      <w:start w:val="1"/>
      <w:numFmt w:val="bullet"/>
      <w:lvlText w:val="•"/>
      <w:lvlJc w:val="left"/>
      <w:pPr>
        <w:ind w:left="6587" w:hanging="630"/>
      </w:pPr>
      <w:rPr>
        <w:rFonts w:hint="default"/>
      </w:rPr>
    </w:lvl>
    <w:lvl w:ilvl="7" w:tplc="BA3AEEEC">
      <w:start w:val="1"/>
      <w:numFmt w:val="bullet"/>
      <w:lvlText w:val="•"/>
      <w:lvlJc w:val="left"/>
      <w:pPr>
        <w:ind w:left="7497" w:hanging="630"/>
      </w:pPr>
      <w:rPr>
        <w:rFonts w:hint="default"/>
      </w:rPr>
    </w:lvl>
    <w:lvl w:ilvl="8" w:tplc="87AEBA60">
      <w:start w:val="1"/>
      <w:numFmt w:val="bullet"/>
      <w:lvlText w:val="•"/>
      <w:lvlJc w:val="left"/>
      <w:pPr>
        <w:ind w:left="8406" w:hanging="630"/>
      </w:pPr>
      <w:rPr>
        <w:rFonts w:hint="default"/>
      </w:rPr>
    </w:lvl>
  </w:abstractNum>
  <w:abstractNum w:abstractNumId="12">
    <w:nsid w:val="23356DD2"/>
    <w:multiLevelType w:val="hybridMultilevel"/>
    <w:tmpl w:val="BC523FFC"/>
    <w:lvl w:ilvl="0" w:tplc="0F12906E">
      <w:start w:val="21"/>
      <w:numFmt w:val="decimal"/>
      <w:lvlText w:val="%1"/>
      <w:lvlJc w:val="left"/>
      <w:pPr>
        <w:ind w:left="711" w:hanging="577"/>
        <w:jc w:val="left"/>
      </w:pPr>
      <w:rPr>
        <w:rFonts w:hint="default"/>
      </w:rPr>
    </w:lvl>
    <w:lvl w:ilvl="1" w:tplc="4CFA790A">
      <w:start w:val="4"/>
      <w:numFmt w:val="decimal"/>
      <w:lvlText w:val="%1.%2"/>
      <w:lvlJc w:val="left"/>
      <w:pPr>
        <w:ind w:left="711" w:hanging="577"/>
        <w:jc w:val="left"/>
      </w:pPr>
      <w:rPr>
        <w:rFonts w:ascii="Arial" w:eastAsia="Arial" w:hAnsi="Arial" w:cs="Arial" w:hint="default"/>
        <w:color w:val="0095A7"/>
        <w:spacing w:val="-11"/>
        <w:w w:val="100"/>
        <w:sz w:val="24"/>
        <w:szCs w:val="24"/>
      </w:rPr>
    </w:lvl>
    <w:lvl w:ilvl="2" w:tplc="EAE29D92">
      <w:start w:val="1"/>
      <w:numFmt w:val="decimal"/>
      <w:lvlText w:val="%1.%2.%3"/>
      <w:lvlJc w:val="left"/>
      <w:pPr>
        <w:ind w:left="757" w:hanging="624"/>
        <w:jc w:val="right"/>
      </w:pPr>
      <w:rPr>
        <w:rFonts w:ascii="Arial" w:eastAsia="Arial" w:hAnsi="Arial" w:cs="Arial" w:hint="default"/>
        <w:color w:val="0095A7"/>
        <w:spacing w:val="-19"/>
        <w:w w:val="100"/>
        <w:sz w:val="20"/>
        <w:szCs w:val="20"/>
      </w:rPr>
    </w:lvl>
    <w:lvl w:ilvl="3" w:tplc="70504232">
      <w:start w:val="1"/>
      <w:numFmt w:val="lowerRoman"/>
      <w:lvlText w:val="%4)"/>
      <w:lvlJc w:val="left"/>
      <w:pPr>
        <w:ind w:left="1927" w:hanging="341"/>
        <w:jc w:val="left"/>
      </w:pPr>
      <w:rPr>
        <w:rFonts w:ascii="Arial" w:eastAsia="Arial" w:hAnsi="Arial" w:cs="Arial" w:hint="default"/>
        <w:color w:val="58595B"/>
        <w:spacing w:val="-4"/>
        <w:w w:val="100"/>
        <w:sz w:val="20"/>
        <w:szCs w:val="20"/>
      </w:rPr>
    </w:lvl>
    <w:lvl w:ilvl="4" w:tplc="D94E2F7A">
      <w:start w:val="1"/>
      <w:numFmt w:val="bullet"/>
      <w:lvlText w:val="•"/>
      <w:lvlJc w:val="left"/>
      <w:pPr>
        <w:ind w:left="3576" w:hanging="341"/>
      </w:pPr>
      <w:rPr>
        <w:rFonts w:hint="default"/>
      </w:rPr>
    </w:lvl>
    <w:lvl w:ilvl="5" w:tplc="B756EEA2">
      <w:start w:val="1"/>
      <w:numFmt w:val="bullet"/>
      <w:lvlText w:val="•"/>
      <w:lvlJc w:val="left"/>
      <w:pPr>
        <w:ind w:left="4404" w:hanging="341"/>
      </w:pPr>
      <w:rPr>
        <w:rFonts w:hint="default"/>
      </w:rPr>
    </w:lvl>
    <w:lvl w:ilvl="6" w:tplc="7F101F6E">
      <w:start w:val="1"/>
      <w:numFmt w:val="bullet"/>
      <w:lvlText w:val="•"/>
      <w:lvlJc w:val="left"/>
      <w:pPr>
        <w:ind w:left="5232" w:hanging="341"/>
      </w:pPr>
      <w:rPr>
        <w:rFonts w:hint="default"/>
      </w:rPr>
    </w:lvl>
    <w:lvl w:ilvl="7" w:tplc="2A263AFA">
      <w:start w:val="1"/>
      <w:numFmt w:val="bullet"/>
      <w:lvlText w:val="•"/>
      <w:lvlJc w:val="left"/>
      <w:pPr>
        <w:ind w:left="6060" w:hanging="341"/>
      </w:pPr>
      <w:rPr>
        <w:rFonts w:hint="default"/>
      </w:rPr>
    </w:lvl>
    <w:lvl w:ilvl="8" w:tplc="E2A43120">
      <w:start w:val="1"/>
      <w:numFmt w:val="bullet"/>
      <w:lvlText w:val="•"/>
      <w:lvlJc w:val="left"/>
      <w:pPr>
        <w:ind w:left="6889" w:hanging="341"/>
      </w:pPr>
      <w:rPr>
        <w:rFonts w:hint="default"/>
      </w:rPr>
    </w:lvl>
  </w:abstractNum>
  <w:abstractNum w:abstractNumId="13">
    <w:nsid w:val="29474838"/>
    <w:multiLevelType w:val="hybridMultilevel"/>
    <w:tmpl w:val="8424FDF8"/>
    <w:lvl w:ilvl="0" w:tplc="B666EEFA">
      <w:start w:val="1"/>
      <w:numFmt w:val="bullet"/>
      <w:lvlText w:val="•"/>
      <w:lvlJc w:val="left"/>
      <w:pPr>
        <w:ind w:left="340" w:hanging="171"/>
      </w:pPr>
      <w:rPr>
        <w:rFonts w:ascii="Arial" w:eastAsia="Arial" w:hAnsi="Arial" w:cs="Arial" w:hint="default"/>
        <w:color w:val="0095A7"/>
        <w:spacing w:val="-12"/>
        <w:w w:val="100"/>
        <w:sz w:val="20"/>
        <w:szCs w:val="20"/>
      </w:rPr>
    </w:lvl>
    <w:lvl w:ilvl="1" w:tplc="A42830B6">
      <w:start w:val="1"/>
      <w:numFmt w:val="bullet"/>
      <w:lvlText w:val="•"/>
      <w:lvlJc w:val="left"/>
      <w:pPr>
        <w:ind w:left="1173" w:hanging="171"/>
      </w:pPr>
      <w:rPr>
        <w:rFonts w:hint="default"/>
      </w:rPr>
    </w:lvl>
    <w:lvl w:ilvl="2" w:tplc="113ED960">
      <w:start w:val="1"/>
      <w:numFmt w:val="bullet"/>
      <w:lvlText w:val="•"/>
      <w:lvlJc w:val="left"/>
      <w:pPr>
        <w:ind w:left="2006" w:hanging="171"/>
      </w:pPr>
      <w:rPr>
        <w:rFonts w:hint="default"/>
      </w:rPr>
    </w:lvl>
    <w:lvl w:ilvl="3" w:tplc="CEC60D4E">
      <w:start w:val="1"/>
      <w:numFmt w:val="bullet"/>
      <w:lvlText w:val="•"/>
      <w:lvlJc w:val="left"/>
      <w:pPr>
        <w:ind w:left="2840" w:hanging="171"/>
      </w:pPr>
      <w:rPr>
        <w:rFonts w:hint="default"/>
      </w:rPr>
    </w:lvl>
    <w:lvl w:ilvl="4" w:tplc="C4D6F16A">
      <w:start w:val="1"/>
      <w:numFmt w:val="bullet"/>
      <w:lvlText w:val="•"/>
      <w:lvlJc w:val="left"/>
      <w:pPr>
        <w:ind w:left="3673" w:hanging="171"/>
      </w:pPr>
      <w:rPr>
        <w:rFonts w:hint="default"/>
      </w:rPr>
    </w:lvl>
    <w:lvl w:ilvl="5" w:tplc="05C49BB6">
      <w:start w:val="1"/>
      <w:numFmt w:val="bullet"/>
      <w:lvlText w:val="•"/>
      <w:lvlJc w:val="left"/>
      <w:pPr>
        <w:ind w:left="4507" w:hanging="171"/>
      </w:pPr>
      <w:rPr>
        <w:rFonts w:hint="default"/>
      </w:rPr>
    </w:lvl>
    <w:lvl w:ilvl="6" w:tplc="2A0A4A44">
      <w:start w:val="1"/>
      <w:numFmt w:val="bullet"/>
      <w:lvlText w:val="•"/>
      <w:lvlJc w:val="left"/>
      <w:pPr>
        <w:ind w:left="5340" w:hanging="171"/>
      </w:pPr>
      <w:rPr>
        <w:rFonts w:hint="default"/>
      </w:rPr>
    </w:lvl>
    <w:lvl w:ilvl="7" w:tplc="74381294">
      <w:start w:val="1"/>
      <w:numFmt w:val="bullet"/>
      <w:lvlText w:val="•"/>
      <w:lvlJc w:val="left"/>
      <w:pPr>
        <w:ind w:left="6173" w:hanging="171"/>
      </w:pPr>
      <w:rPr>
        <w:rFonts w:hint="default"/>
      </w:rPr>
    </w:lvl>
    <w:lvl w:ilvl="8" w:tplc="09D0C2B6">
      <w:start w:val="1"/>
      <w:numFmt w:val="bullet"/>
      <w:lvlText w:val="•"/>
      <w:lvlJc w:val="left"/>
      <w:pPr>
        <w:ind w:left="7007" w:hanging="171"/>
      </w:pPr>
      <w:rPr>
        <w:rFonts w:hint="default"/>
      </w:rPr>
    </w:lvl>
  </w:abstractNum>
  <w:abstractNum w:abstractNumId="14">
    <w:nsid w:val="2A083323"/>
    <w:multiLevelType w:val="hybridMultilevel"/>
    <w:tmpl w:val="E6421910"/>
    <w:lvl w:ilvl="0" w:tplc="EDAEE108">
      <w:start w:val="19"/>
      <w:numFmt w:val="decimal"/>
      <w:lvlText w:val="%1"/>
      <w:lvlJc w:val="left"/>
      <w:pPr>
        <w:ind w:left="765" w:hanging="632"/>
        <w:jc w:val="left"/>
      </w:pPr>
      <w:rPr>
        <w:rFonts w:hint="default"/>
      </w:rPr>
    </w:lvl>
    <w:lvl w:ilvl="1" w:tplc="83A6E5F6">
      <w:start w:val="5"/>
      <w:numFmt w:val="decimal"/>
      <w:lvlText w:val="%1.%2"/>
      <w:lvlJc w:val="left"/>
      <w:pPr>
        <w:ind w:left="765" w:hanging="632"/>
        <w:jc w:val="left"/>
      </w:pPr>
      <w:rPr>
        <w:rFonts w:hint="default"/>
      </w:rPr>
    </w:lvl>
    <w:lvl w:ilvl="2" w:tplc="BC382E78">
      <w:start w:val="1"/>
      <w:numFmt w:val="decimal"/>
      <w:lvlText w:val="%1.%2.%3"/>
      <w:lvlJc w:val="left"/>
      <w:pPr>
        <w:ind w:left="765" w:hanging="632"/>
        <w:jc w:val="left"/>
      </w:pPr>
      <w:rPr>
        <w:rFonts w:ascii="Arial" w:eastAsia="Arial" w:hAnsi="Arial" w:cs="Arial" w:hint="default"/>
        <w:color w:val="0095A7"/>
        <w:spacing w:val="-19"/>
        <w:w w:val="100"/>
        <w:sz w:val="20"/>
        <w:szCs w:val="20"/>
      </w:rPr>
    </w:lvl>
    <w:lvl w:ilvl="3" w:tplc="392A75FA">
      <w:start w:val="1"/>
      <w:numFmt w:val="bullet"/>
      <w:lvlText w:val="•"/>
      <w:lvlJc w:val="left"/>
      <w:pPr>
        <w:ind w:left="3599" w:hanging="632"/>
      </w:pPr>
      <w:rPr>
        <w:rFonts w:hint="default"/>
      </w:rPr>
    </w:lvl>
    <w:lvl w:ilvl="4" w:tplc="846C8A36">
      <w:start w:val="1"/>
      <w:numFmt w:val="bullet"/>
      <w:lvlText w:val="•"/>
      <w:lvlJc w:val="left"/>
      <w:pPr>
        <w:ind w:left="4546" w:hanging="632"/>
      </w:pPr>
      <w:rPr>
        <w:rFonts w:hint="default"/>
      </w:rPr>
    </w:lvl>
    <w:lvl w:ilvl="5" w:tplc="A2FADDD6">
      <w:start w:val="1"/>
      <w:numFmt w:val="bullet"/>
      <w:lvlText w:val="•"/>
      <w:lvlJc w:val="left"/>
      <w:pPr>
        <w:ind w:left="5492" w:hanging="632"/>
      </w:pPr>
      <w:rPr>
        <w:rFonts w:hint="default"/>
      </w:rPr>
    </w:lvl>
    <w:lvl w:ilvl="6" w:tplc="06042624">
      <w:start w:val="1"/>
      <w:numFmt w:val="bullet"/>
      <w:lvlText w:val="•"/>
      <w:lvlJc w:val="left"/>
      <w:pPr>
        <w:ind w:left="6439" w:hanging="632"/>
      </w:pPr>
      <w:rPr>
        <w:rFonts w:hint="default"/>
      </w:rPr>
    </w:lvl>
    <w:lvl w:ilvl="7" w:tplc="BD561C68">
      <w:start w:val="1"/>
      <w:numFmt w:val="bullet"/>
      <w:lvlText w:val="•"/>
      <w:lvlJc w:val="left"/>
      <w:pPr>
        <w:ind w:left="7385" w:hanging="632"/>
      </w:pPr>
      <w:rPr>
        <w:rFonts w:hint="default"/>
      </w:rPr>
    </w:lvl>
    <w:lvl w:ilvl="8" w:tplc="3B6649D4">
      <w:start w:val="1"/>
      <w:numFmt w:val="bullet"/>
      <w:lvlText w:val="•"/>
      <w:lvlJc w:val="left"/>
      <w:pPr>
        <w:ind w:left="8332" w:hanging="632"/>
      </w:pPr>
      <w:rPr>
        <w:rFonts w:hint="default"/>
      </w:rPr>
    </w:lvl>
  </w:abstractNum>
  <w:abstractNum w:abstractNumId="15">
    <w:nsid w:val="2B9073CE"/>
    <w:multiLevelType w:val="hybridMultilevel"/>
    <w:tmpl w:val="F0FA4BDC"/>
    <w:lvl w:ilvl="0" w:tplc="B4049D9E">
      <w:start w:val="19"/>
      <w:numFmt w:val="decimal"/>
      <w:lvlText w:val="%1"/>
      <w:lvlJc w:val="left"/>
      <w:pPr>
        <w:ind w:left="1976" w:hanging="560"/>
        <w:jc w:val="left"/>
      </w:pPr>
      <w:rPr>
        <w:rFonts w:hint="default"/>
      </w:rPr>
    </w:lvl>
    <w:lvl w:ilvl="1" w:tplc="41749266">
      <w:start w:val="1"/>
      <w:numFmt w:val="decimal"/>
      <w:lvlText w:val="%1.%2"/>
      <w:lvlJc w:val="left"/>
      <w:pPr>
        <w:ind w:left="1976" w:hanging="560"/>
        <w:jc w:val="right"/>
      </w:pPr>
      <w:rPr>
        <w:rFonts w:ascii="Arial" w:eastAsia="Arial" w:hAnsi="Arial" w:cs="Arial" w:hint="default"/>
        <w:color w:val="0095A7"/>
        <w:spacing w:val="-23"/>
        <w:w w:val="100"/>
        <w:sz w:val="24"/>
        <w:szCs w:val="24"/>
      </w:rPr>
    </w:lvl>
    <w:lvl w:ilvl="2" w:tplc="C6146482">
      <w:start w:val="1"/>
      <w:numFmt w:val="bullet"/>
      <w:lvlText w:val="•"/>
      <w:lvlJc w:val="left"/>
      <w:pPr>
        <w:ind w:left="2967" w:hanging="560"/>
      </w:pPr>
      <w:rPr>
        <w:rFonts w:hint="default"/>
      </w:rPr>
    </w:lvl>
    <w:lvl w:ilvl="3" w:tplc="6BD093C6">
      <w:start w:val="1"/>
      <w:numFmt w:val="bullet"/>
      <w:lvlText w:val="•"/>
      <w:lvlJc w:val="left"/>
      <w:pPr>
        <w:ind w:left="3874" w:hanging="560"/>
      </w:pPr>
      <w:rPr>
        <w:rFonts w:hint="default"/>
      </w:rPr>
    </w:lvl>
    <w:lvl w:ilvl="4" w:tplc="B3681C46">
      <w:start w:val="1"/>
      <w:numFmt w:val="bullet"/>
      <w:lvlText w:val="•"/>
      <w:lvlJc w:val="left"/>
      <w:pPr>
        <w:ind w:left="4781" w:hanging="560"/>
      </w:pPr>
      <w:rPr>
        <w:rFonts w:hint="default"/>
      </w:rPr>
    </w:lvl>
    <w:lvl w:ilvl="5" w:tplc="1DA4932A">
      <w:start w:val="1"/>
      <w:numFmt w:val="bullet"/>
      <w:lvlText w:val="•"/>
      <w:lvlJc w:val="left"/>
      <w:pPr>
        <w:ind w:left="5689" w:hanging="560"/>
      </w:pPr>
      <w:rPr>
        <w:rFonts w:hint="default"/>
      </w:rPr>
    </w:lvl>
    <w:lvl w:ilvl="6" w:tplc="4836997C">
      <w:start w:val="1"/>
      <w:numFmt w:val="bullet"/>
      <w:lvlText w:val="•"/>
      <w:lvlJc w:val="left"/>
      <w:pPr>
        <w:ind w:left="6596" w:hanging="560"/>
      </w:pPr>
      <w:rPr>
        <w:rFonts w:hint="default"/>
      </w:rPr>
    </w:lvl>
    <w:lvl w:ilvl="7" w:tplc="B25C0BDC">
      <w:start w:val="1"/>
      <w:numFmt w:val="bullet"/>
      <w:lvlText w:val="•"/>
      <w:lvlJc w:val="left"/>
      <w:pPr>
        <w:ind w:left="7503" w:hanging="560"/>
      </w:pPr>
      <w:rPr>
        <w:rFonts w:hint="default"/>
      </w:rPr>
    </w:lvl>
    <w:lvl w:ilvl="8" w:tplc="79E48838">
      <w:start w:val="1"/>
      <w:numFmt w:val="bullet"/>
      <w:lvlText w:val="•"/>
      <w:lvlJc w:val="left"/>
      <w:pPr>
        <w:ind w:left="8410" w:hanging="560"/>
      </w:pPr>
      <w:rPr>
        <w:rFonts w:hint="default"/>
      </w:rPr>
    </w:lvl>
  </w:abstractNum>
  <w:abstractNum w:abstractNumId="16">
    <w:nsid w:val="2E3A1540"/>
    <w:multiLevelType w:val="hybridMultilevel"/>
    <w:tmpl w:val="E208D59C"/>
    <w:lvl w:ilvl="0" w:tplc="7CBCDB9A">
      <w:start w:val="1"/>
      <w:numFmt w:val="lowerRoman"/>
      <w:lvlText w:val="%1)"/>
      <w:lvlJc w:val="left"/>
      <w:pPr>
        <w:ind w:left="510" w:hanging="341"/>
        <w:jc w:val="left"/>
      </w:pPr>
      <w:rPr>
        <w:rFonts w:ascii="Arial" w:eastAsia="Arial" w:hAnsi="Arial" w:cs="Arial" w:hint="default"/>
        <w:color w:val="58595B"/>
        <w:spacing w:val="-4"/>
        <w:w w:val="100"/>
        <w:sz w:val="20"/>
        <w:szCs w:val="20"/>
      </w:rPr>
    </w:lvl>
    <w:lvl w:ilvl="1" w:tplc="5ADE5190">
      <w:start w:val="1"/>
      <w:numFmt w:val="bullet"/>
      <w:lvlText w:val="•"/>
      <w:lvlJc w:val="left"/>
      <w:pPr>
        <w:ind w:left="1335" w:hanging="341"/>
      </w:pPr>
      <w:rPr>
        <w:rFonts w:hint="default"/>
      </w:rPr>
    </w:lvl>
    <w:lvl w:ilvl="2" w:tplc="9ACC05F2">
      <w:start w:val="1"/>
      <w:numFmt w:val="bullet"/>
      <w:lvlText w:val="•"/>
      <w:lvlJc w:val="left"/>
      <w:pPr>
        <w:ind w:left="2150" w:hanging="341"/>
      </w:pPr>
      <w:rPr>
        <w:rFonts w:hint="default"/>
      </w:rPr>
    </w:lvl>
    <w:lvl w:ilvl="3" w:tplc="7CB4841A">
      <w:start w:val="1"/>
      <w:numFmt w:val="bullet"/>
      <w:lvlText w:val="•"/>
      <w:lvlJc w:val="left"/>
      <w:pPr>
        <w:ind w:left="2966" w:hanging="341"/>
      </w:pPr>
      <w:rPr>
        <w:rFonts w:hint="default"/>
      </w:rPr>
    </w:lvl>
    <w:lvl w:ilvl="4" w:tplc="37C4AECC">
      <w:start w:val="1"/>
      <w:numFmt w:val="bullet"/>
      <w:lvlText w:val="•"/>
      <w:lvlJc w:val="left"/>
      <w:pPr>
        <w:ind w:left="3781" w:hanging="341"/>
      </w:pPr>
      <w:rPr>
        <w:rFonts w:hint="default"/>
      </w:rPr>
    </w:lvl>
    <w:lvl w:ilvl="5" w:tplc="37FAD824">
      <w:start w:val="1"/>
      <w:numFmt w:val="bullet"/>
      <w:lvlText w:val="•"/>
      <w:lvlJc w:val="left"/>
      <w:pPr>
        <w:ind w:left="4597" w:hanging="341"/>
      </w:pPr>
      <w:rPr>
        <w:rFonts w:hint="default"/>
      </w:rPr>
    </w:lvl>
    <w:lvl w:ilvl="6" w:tplc="87B0DC66">
      <w:start w:val="1"/>
      <w:numFmt w:val="bullet"/>
      <w:lvlText w:val="•"/>
      <w:lvlJc w:val="left"/>
      <w:pPr>
        <w:ind w:left="5412" w:hanging="341"/>
      </w:pPr>
      <w:rPr>
        <w:rFonts w:hint="default"/>
      </w:rPr>
    </w:lvl>
    <w:lvl w:ilvl="7" w:tplc="CBC866B8">
      <w:start w:val="1"/>
      <w:numFmt w:val="bullet"/>
      <w:lvlText w:val="•"/>
      <w:lvlJc w:val="left"/>
      <w:pPr>
        <w:ind w:left="6227" w:hanging="341"/>
      </w:pPr>
      <w:rPr>
        <w:rFonts w:hint="default"/>
      </w:rPr>
    </w:lvl>
    <w:lvl w:ilvl="8" w:tplc="0952097C">
      <w:start w:val="1"/>
      <w:numFmt w:val="bullet"/>
      <w:lvlText w:val="•"/>
      <w:lvlJc w:val="left"/>
      <w:pPr>
        <w:ind w:left="7043" w:hanging="341"/>
      </w:pPr>
      <w:rPr>
        <w:rFonts w:hint="default"/>
      </w:rPr>
    </w:lvl>
  </w:abstractNum>
  <w:abstractNum w:abstractNumId="17">
    <w:nsid w:val="33E4607D"/>
    <w:multiLevelType w:val="hybridMultilevel"/>
    <w:tmpl w:val="D61EF93C"/>
    <w:lvl w:ilvl="0" w:tplc="2AA429D4">
      <w:start w:val="1"/>
      <w:numFmt w:val="bullet"/>
      <w:lvlText w:val="•"/>
      <w:lvlJc w:val="left"/>
      <w:pPr>
        <w:ind w:left="304" w:hanging="171"/>
      </w:pPr>
      <w:rPr>
        <w:rFonts w:ascii="Arial" w:eastAsia="Arial" w:hAnsi="Arial" w:cs="Arial" w:hint="default"/>
        <w:color w:val="0095A7"/>
        <w:spacing w:val="-12"/>
        <w:w w:val="100"/>
        <w:sz w:val="20"/>
        <w:szCs w:val="20"/>
      </w:rPr>
    </w:lvl>
    <w:lvl w:ilvl="1" w:tplc="0CAA44FE">
      <w:start w:val="1"/>
      <w:numFmt w:val="bullet"/>
      <w:lvlText w:val="–"/>
      <w:lvlJc w:val="left"/>
      <w:pPr>
        <w:ind w:left="701" w:hanging="167"/>
      </w:pPr>
      <w:rPr>
        <w:rFonts w:ascii="Arial" w:eastAsia="Arial" w:hAnsi="Arial" w:cs="Arial" w:hint="default"/>
        <w:i/>
        <w:color w:val="231F20"/>
        <w:w w:val="100"/>
        <w:sz w:val="20"/>
        <w:szCs w:val="20"/>
      </w:rPr>
    </w:lvl>
    <w:lvl w:ilvl="2" w:tplc="4D04191C">
      <w:start w:val="1"/>
      <w:numFmt w:val="bullet"/>
      <w:lvlText w:val="•"/>
      <w:lvlJc w:val="left"/>
      <w:pPr>
        <w:ind w:left="1587" w:hanging="171"/>
      </w:pPr>
      <w:rPr>
        <w:rFonts w:ascii="Arial" w:eastAsia="Arial" w:hAnsi="Arial" w:cs="Arial" w:hint="default"/>
        <w:color w:val="0095A7"/>
        <w:spacing w:val="-12"/>
        <w:w w:val="100"/>
        <w:sz w:val="20"/>
        <w:szCs w:val="20"/>
      </w:rPr>
    </w:lvl>
    <w:lvl w:ilvl="3" w:tplc="97E84A72">
      <w:start w:val="1"/>
      <w:numFmt w:val="bullet"/>
      <w:lvlText w:val="•"/>
      <w:lvlJc w:val="left"/>
      <w:pPr>
        <w:ind w:left="2450" w:hanging="171"/>
      </w:pPr>
      <w:rPr>
        <w:rFonts w:hint="default"/>
      </w:rPr>
    </w:lvl>
    <w:lvl w:ilvl="4" w:tplc="755A6832">
      <w:start w:val="1"/>
      <w:numFmt w:val="bullet"/>
      <w:lvlText w:val="•"/>
      <w:lvlJc w:val="left"/>
      <w:pPr>
        <w:ind w:left="3321" w:hanging="171"/>
      </w:pPr>
      <w:rPr>
        <w:rFonts w:hint="default"/>
      </w:rPr>
    </w:lvl>
    <w:lvl w:ilvl="5" w:tplc="A516CEAE">
      <w:start w:val="1"/>
      <w:numFmt w:val="bullet"/>
      <w:lvlText w:val="•"/>
      <w:lvlJc w:val="left"/>
      <w:pPr>
        <w:ind w:left="4192" w:hanging="171"/>
      </w:pPr>
      <w:rPr>
        <w:rFonts w:hint="default"/>
      </w:rPr>
    </w:lvl>
    <w:lvl w:ilvl="6" w:tplc="9A346676">
      <w:start w:val="1"/>
      <w:numFmt w:val="bullet"/>
      <w:lvlText w:val="•"/>
      <w:lvlJc w:val="left"/>
      <w:pPr>
        <w:ind w:left="5062" w:hanging="171"/>
      </w:pPr>
      <w:rPr>
        <w:rFonts w:hint="default"/>
      </w:rPr>
    </w:lvl>
    <w:lvl w:ilvl="7" w:tplc="51A2120A">
      <w:start w:val="1"/>
      <w:numFmt w:val="bullet"/>
      <w:lvlText w:val="•"/>
      <w:lvlJc w:val="left"/>
      <w:pPr>
        <w:ind w:left="5933" w:hanging="171"/>
      </w:pPr>
      <w:rPr>
        <w:rFonts w:hint="default"/>
      </w:rPr>
    </w:lvl>
    <w:lvl w:ilvl="8" w:tplc="757EFE40">
      <w:start w:val="1"/>
      <w:numFmt w:val="bullet"/>
      <w:lvlText w:val="•"/>
      <w:lvlJc w:val="left"/>
      <w:pPr>
        <w:ind w:left="6804" w:hanging="171"/>
      </w:pPr>
      <w:rPr>
        <w:rFonts w:hint="default"/>
      </w:rPr>
    </w:lvl>
  </w:abstractNum>
  <w:abstractNum w:abstractNumId="18">
    <w:nsid w:val="360D620E"/>
    <w:multiLevelType w:val="hybridMultilevel"/>
    <w:tmpl w:val="0D2A753A"/>
    <w:lvl w:ilvl="0" w:tplc="ADB0E5E4">
      <w:start w:val="19"/>
      <w:numFmt w:val="decimal"/>
      <w:lvlText w:val="%1"/>
      <w:lvlJc w:val="left"/>
      <w:pPr>
        <w:ind w:left="716" w:hanging="583"/>
        <w:jc w:val="left"/>
      </w:pPr>
      <w:rPr>
        <w:rFonts w:hint="default"/>
      </w:rPr>
    </w:lvl>
    <w:lvl w:ilvl="1" w:tplc="E12A8288">
      <w:start w:val="6"/>
      <w:numFmt w:val="decimal"/>
      <w:lvlText w:val="%1.%2"/>
      <w:lvlJc w:val="left"/>
      <w:pPr>
        <w:ind w:left="716" w:hanging="583"/>
        <w:jc w:val="left"/>
      </w:pPr>
      <w:rPr>
        <w:rFonts w:ascii="Arial" w:eastAsia="Arial" w:hAnsi="Arial" w:cs="Arial" w:hint="default"/>
        <w:color w:val="0095A7"/>
        <w:spacing w:val="-12"/>
        <w:w w:val="100"/>
        <w:sz w:val="24"/>
        <w:szCs w:val="24"/>
      </w:rPr>
    </w:lvl>
    <w:lvl w:ilvl="2" w:tplc="0DBC3FB2">
      <w:start w:val="1"/>
      <w:numFmt w:val="decimal"/>
      <w:lvlText w:val="%1.%2.%3"/>
      <w:lvlJc w:val="left"/>
      <w:pPr>
        <w:ind w:left="764" w:hanging="630"/>
        <w:jc w:val="right"/>
      </w:pPr>
      <w:rPr>
        <w:rFonts w:ascii="Arial" w:eastAsia="Arial" w:hAnsi="Arial" w:cs="Arial" w:hint="default"/>
        <w:color w:val="0095A7"/>
        <w:spacing w:val="-19"/>
        <w:w w:val="100"/>
        <w:sz w:val="20"/>
        <w:szCs w:val="20"/>
      </w:rPr>
    </w:lvl>
    <w:lvl w:ilvl="3" w:tplc="06DA3972">
      <w:start w:val="1"/>
      <w:numFmt w:val="bullet"/>
      <w:lvlText w:val="•"/>
      <w:lvlJc w:val="left"/>
      <w:pPr>
        <w:ind w:left="2863" w:hanging="630"/>
      </w:pPr>
      <w:rPr>
        <w:rFonts w:hint="default"/>
      </w:rPr>
    </w:lvl>
    <w:lvl w:ilvl="4" w:tplc="456218C2">
      <w:start w:val="1"/>
      <w:numFmt w:val="bullet"/>
      <w:lvlText w:val="•"/>
      <w:lvlJc w:val="left"/>
      <w:pPr>
        <w:ind w:left="3915" w:hanging="630"/>
      </w:pPr>
      <w:rPr>
        <w:rFonts w:hint="default"/>
      </w:rPr>
    </w:lvl>
    <w:lvl w:ilvl="5" w:tplc="22F2287C">
      <w:start w:val="1"/>
      <w:numFmt w:val="bullet"/>
      <w:lvlText w:val="•"/>
      <w:lvlJc w:val="left"/>
      <w:pPr>
        <w:ind w:left="4966" w:hanging="630"/>
      </w:pPr>
      <w:rPr>
        <w:rFonts w:hint="default"/>
      </w:rPr>
    </w:lvl>
    <w:lvl w:ilvl="6" w:tplc="A468A8A4">
      <w:start w:val="1"/>
      <w:numFmt w:val="bullet"/>
      <w:lvlText w:val="•"/>
      <w:lvlJc w:val="left"/>
      <w:pPr>
        <w:ind w:left="6018" w:hanging="630"/>
      </w:pPr>
      <w:rPr>
        <w:rFonts w:hint="default"/>
      </w:rPr>
    </w:lvl>
    <w:lvl w:ilvl="7" w:tplc="502ADA16">
      <w:start w:val="1"/>
      <w:numFmt w:val="bullet"/>
      <w:lvlText w:val="•"/>
      <w:lvlJc w:val="left"/>
      <w:pPr>
        <w:ind w:left="7070" w:hanging="630"/>
      </w:pPr>
      <w:rPr>
        <w:rFonts w:hint="default"/>
      </w:rPr>
    </w:lvl>
    <w:lvl w:ilvl="8" w:tplc="2FCE5AEA">
      <w:start w:val="1"/>
      <w:numFmt w:val="bullet"/>
      <w:lvlText w:val="•"/>
      <w:lvlJc w:val="left"/>
      <w:pPr>
        <w:ind w:left="8122" w:hanging="630"/>
      </w:pPr>
      <w:rPr>
        <w:rFonts w:hint="default"/>
      </w:rPr>
    </w:lvl>
  </w:abstractNum>
  <w:abstractNum w:abstractNumId="19">
    <w:nsid w:val="36370956"/>
    <w:multiLevelType w:val="hybridMultilevel"/>
    <w:tmpl w:val="9146D252"/>
    <w:lvl w:ilvl="0" w:tplc="2176005C">
      <w:start w:val="1"/>
      <w:numFmt w:val="bullet"/>
      <w:lvlText w:val="•"/>
      <w:lvlJc w:val="left"/>
      <w:pPr>
        <w:ind w:left="340" w:hanging="171"/>
      </w:pPr>
      <w:rPr>
        <w:rFonts w:ascii="Arial" w:eastAsia="Arial" w:hAnsi="Arial" w:cs="Arial" w:hint="default"/>
        <w:color w:val="0095A7"/>
        <w:spacing w:val="-24"/>
        <w:w w:val="100"/>
        <w:sz w:val="20"/>
        <w:szCs w:val="20"/>
      </w:rPr>
    </w:lvl>
    <w:lvl w:ilvl="1" w:tplc="1286099C">
      <w:start w:val="1"/>
      <w:numFmt w:val="bullet"/>
      <w:lvlText w:val="•"/>
      <w:lvlJc w:val="left"/>
      <w:pPr>
        <w:ind w:left="1171" w:hanging="171"/>
      </w:pPr>
      <w:rPr>
        <w:rFonts w:hint="default"/>
      </w:rPr>
    </w:lvl>
    <w:lvl w:ilvl="2" w:tplc="06428DBA">
      <w:start w:val="1"/>
      <w:numFmt w:val="bullet"/>
      <w:lvlText w:val="•"/>
      <w:lvlJc w:val="left"/>
      <w:pPr>
        <w:ind w:left="2002" w:hanging="171"/>
      </w:pPr>
      <w:rPr>
        <w:rFonts w:hint="default"/>
      </w:rPr>
    </w:lvl>
    <w:lvl w:ilvl="3" w:tplc="AC942926">
      <w:start w:val="1"/>
      <w:numFmt w:val="bullet"/>
      <w:lvlText w:val="•"/>
      <w:lvlJc w:val="left"/>
      <w:pPr>
        <w:ind w:left="2834" w:hanging="171"/>
      </w:pPr>
      <w:rPr>
        <w:rFonts w:hint="default"/>
      </w:rPr>
    </w:lvl>
    <w:lvl w:ilvl="4" w:tplc="FB64C974">
      <w:start w:val="1"/>
      <w:numFmt w:val="bullet"/>
      <w:lvlText w:val="•"/>
      <w:lvlJc w:val="left"/>
      <w:pPr>
        <w:ind w:left="3665" w:hanging="171"/>
      </w:pPr>
      <w:rPr>
        <w:rFonts w:hint="default"/>
      </w:rPr>
    </w:lvl>
    <w:lvl w:ilvl="5" w:tplc="04DCA444">
      <w:start w:val="1"/>
      <w:numFmt w:val="bullet"/>
      <w:lvlText w:val="•"/>
      <w:lvlJc w:val="left"/>
      <w:pPr>
        <w:ind w:left="4497" w:hanging="171"/>
      </w:pPr>
      <w:rPr>
        <w:rFonts w:hint="default"/>
      </w:rPr>
    </w:lvl>
    <w:lvl w:ilvl="6" w:tplc="55D2F564">
      <w:start w:val="1"/>
      <w:numFmt w:val="bullet"/>
      <w:lvlText w:val="•"/>
      <w:lvlJc w:val="left"/>
      <w:pPr>
        <w:ind w:left="5328" w:hanging="171"/>
      </w:pPr>
      <w:rPr>
        <w:rFonts w:hint="default"/>
      </w:rPr>
    </w:lvl>
    <w:lvl w:ilvl="7" w:tplc="BE7C3BC6">
      <w:start w:val="1"/>
      <w:numFmt w:val="bullet"/>
      <w:lvlText w:val="•"/>
      <w:lvlJc w:val="left"/>
      <w:pPr>
        <w:ind w:left="6159" w:hanging="171"/>
      </w:pPr>
      <w:rPr>
        <w:rFonts w:hint="default"/>
      </w:rPr>
    </w:lvl>
    <w:lvl w:ilvl="8" w:tplc="6BD2BD6A">
      <w:start w:val="1"/>
      <w:numFmt w:val="bullet"/>
      <w:lvlText w:val="•"/>
      <w:lvlJc w:val="left"/>
      <w:pPr>
        <w:ind w:left="6991" w:hanging="171"/>
      </w:pPr>
      <w:rPr>
        <w:rFonts w:hint="default"/>
      </w:rPr>
    </w:lvl>
  </w:abstractNum>
  <w:abstractNum w:abstractNumId="20">
    <w:nsid w:val="3D966BF1"/>
    <w:multiLevelType w:val="hybridMultilevel"/>
    <w:tmpl w:val="B6D22FB2"/>
    <w:lvl w:ilvl="0" w:tplc="2B907E9A">
      <w:start w:val="1"/>
      <w:numFmt w:val="bullet"/>
      <w:lvlText w:val="•"/>
      <w:lvlJc w:val="left"/>
      <w:pPr>
        <w:ind w:left="1587" w:hanging="171"/>
      </w:pPr>
      <w:rPr>
        <w:rFonts w:ascii="Arial" w:eastAsia="Arial" w:hAnsi="Arial" w:cs="Arial" w:hint="default"/>
        <w:color w:val="0095A7"/>
        <w:spacing w:val="-12"/>
        <w:w w:val="100"/>
        <w:sz w:val="20"/>
        <w:szCs w:val="20"/>
      </w:rPr>
    </w:lvl>
    <w:lvl w:ilvl="1" w:tplc="3AD09A22">
      <w:start w:val="1"/>
      <w:numFmt w:val="bullet"/>
      <w:lvlText w:val="•"/>
      <w:lvlJc w:val="left"/>
      <w:pPr>
        <w:ind w:left="2444" w:hanging="171"/>
      </w:pPr>
      <w:rPr>
        <w:rFonts w:hint="default"/>
      </w:rPr>
    </w:lvl>
    <w:lvl w:ilvl="2" w:tplc="8F02EC54">
      <w:start w:val="1"/>
      <w:numFmt w:val="bullet"/>
      <w:lvlText w:val="•"/>
      <w:lvlJc w:val="left"/>
      <w:pPr>
        <w:ind w:left="3309" w:hanging="171"/>
      </w:pPr>
      <w:rPr>
        <w:rFonts w:hint="default"/>
      </w:rPr>
    </w:lvl>
    <w:lvl w:ilvl="3" w:tplc="E3D851AA">
      <w:start w:val="1"/>
      <w:numFmt w:val="bullet"/>
      <w:lvlText w:val="•"/>
      <w:lvlJc w:val="left"/>
      <w:pPr>
        <w:ind w:left="4173" w:hanging="171"/>
      </w:pPr>
      <w:rPr>
        <w:rFonts w:hint="default"/>
      </w:rPr>
    </w:lvl>
    <w:lvl w:ilvl="4" w:tplc="406E4CD0">
      <w:start w:val="1"/>
      <w:numFmt w:val="bullet"/>
      <w:lvlText w:val="•"/>
      <w:lvlJc w:val="left"/>
      <w:pPr>
        <w:ind w:left="5038" w:hanging="171"/>
      </w:pPr>
      <w:rPr>
        <w:rFonts w:hint="default"/>
      </w:rPr>
    </w:lvl>
    <w:lvl w:ilvl="5" w:tplc="2CD2D1EE">
      <w:start w:val="1"/>
      <w:numFmt w:val="bullet"/>
      <w:lvlText w:val="•"/>
      <w:lvlJc w:val="left"/>
      <w:pPr>
        <w:ind w:left="5902" w:hanging="171"/>
      </w:pPr>
      <w:rPr>
        <w:rFonts w:hint="default"/>
      </w:rPr>
    </w:lvl>
    <w:lvl w:ilvl="6" w:tplc="0FF80B54">
      <w:start w:val="1"/>
      <w:numFmt w:val="bullet"/>
      <w:lvlText w:val="•"/>
      <w:lvlJc w:val="left"/>
      <w:pPr>
        <w:ind w:left="6767" w:hanging="171"/>
      </w:pPr>
      <w:rPr>
        <w:rFonts w:hint="default"/>
      </w:rPr>
    </w:lvl>
    <w:lvl w:ilvl="7" w:tplc="E98652A4">
      <w:start w:val="1"/>
      <w:numFmt w:val="bullet"/>
      <w:lvlText w:val="•"/>
      <w:lvlJc w:val="left"/>
      <w:pPr>
        <w:ind w:left="7631" w:hanging="171"/>
      </w:pPr>
      <w:rPr>
        <w:rFonts w:hint="default"/>
      </w:rPr>
    </w:lvl>
    <w:lvl w:ilvl="8" w:tplc="E29AD4A2">
      <w:start w:val="1"/>
      <w:numFmt w:val="bullet"/>
      <w:lvlText w:val="•"/>
      <w:lvlJc w:val="left"/>
      <w:pPr>
        <w:ind w:left="8496" w:hanging="171"/>
      </w:pPr>
      <w:rPr>
        <w:rFonts w:hint="default"/>
      </w:rPr>
    </w:lvl>
  </w:abstractNum>
  <w:abstractNum w:abstractNumId="21">
    <w:nsid w:val="3EBE5214"/>
    <w:multiLevelType w:val="hybridMultilevel"/>
    <w:tmpl w:val="07AEDBF4"/>
    <w:lvl w:ilvl="0" w:tplc="DE924444">
      <w:start w:val="20"/>
      <w:numFmt w:val="decimal"/>
      <w:lvlText w:val="%1)"/>
      <w:lvlJc w:val="left"/>
      <w:pPr>
        <w:ind w:left="134" w:hanging="340"/>
        <w:jc w:val="left"/>
      </w:pPr>
      <w:rPr>
        <w:rFonts w:ascii="Arial" w:eastAsia="Arial" w:hAnsi="Arial" w:cs="Arial" w:hint="default"/>
        <w:color w:val="58595B"/>
        <w:spacing w:val="-12"/>
        <w:w w:val="100"/>
        <w:sz w:val="20"/>
        <w:szCs w:val="20"/>
      </w:rPr>
    </w:lvl>
    <w:lvl w:ilvl="1" w:tplc="36E45866">
      <w:start w:val="1"/>
      <w:numFmt w:val="lowerRoman"/>
      <w:lvlText w:val="%2)"/>
      <w:lvlJc w:val="left"/>
      <w:pPr>
        <w:ind w:left="644" w:hanging="341"/>
        <w:jc w:val="left"/>
      </w:pPr>
      <w:rPr>
        <w:rFonts w:ascii="Arial" w:eastAsia="Arial" w:hAnsi="Arial" w:cs="Arial" w:hint="default"/>
        <w:color w:val="58595B"/>
        <w:spacing w:val="-4"/>
        <w:w w:val="100"/>
        <w:sz w:val="20"/>
        <w:szCs w:val="20"/>
      </w:rPr>
    </w:lvl>
    <w:lvl w:ilvl="2" w:tplc="CF244D8A">
      <w:start w:val="1"/>
      <w:numFmt w:val="bullet"/>
      <w:lvlText w:val="•"/>
      <w:lvlJc w:val="left"/>
      <w:pPr>
        <w:ind w:left="1705" w:hanging="341"/>
      </w:pPr>
      <w:rPr>
        <w:rFonts w:hint="default"/>
      </w:rPr>
    </w:lvl>
    <w:lvl w:ilvl="3" w:tplc="1D9095C6">
      <w:start w:val="1"/>
      <w:numFmt w:val="bullet"/>
      <w:lvlText w:val="•"/>
      <w:lvlJc w:val="left"/>
      <w:pPr>
        <w:ind w:left="2770" w:hanging="341"/>
      </w:pPr>
      <w:rPr>
        <w:rFonts w:hint="default"/>
      </w:rPr>
    </w:lvl>
    <w:lvl w:ilvl="4" w:tplc="64D0D6F4">
      <w:start w:val="1"/>
      <w:numFmt w:val="bullet"/>
      <w:lvlText w:val="•"/>
      <w:lvlJc w:val="left"/>
      <w:pPr>
        <w:ind w:left="3835" w:hanging="341"/>
      </w:pPr>
      <w:rPr>
        <w:rFonts w:hint="default"/>
      </w:rPr>
    </w:lvl>
    <w:lvl w:ilvl="5" w:tplc="D5CA5ECA">
      <w:start w:val="1"/>
      <w:numFmt w:val="bullet"/>
      <w:lvlText w:val="•"/>
      <w:lvlJc w:val="left"/>
      <w:pPr>
        <w:ind w:left="4900" w:hanging="341"/>
      </w:pPr>
      <w:rPr>
        <w:rFonts w:hint="default"/>
      </w:rPr>
    </w:lvl>
    <w:lvl w:ilvl="6" w:tplc="D7AC8C0E">
      <w:start w:val="1"/>
      <w:numFmt w:val="bullet"/>
      <w:lvlText w:val="•"/>
      <w:lvlJc w:val="left"/>
      <w:pPr>
        <w:ind w:left="5965" w:hanging="341"/>
      </w:pPr>
      <w:rPr>
        <w:rFonts w:hint="default"/>
      </w:rPr>
    </w:lvl>
    <w:lvl w:ilvl="7" w:tplc="7714B4E0">
      <w:start w:val="1"/>
      <w:numFmt w:val="bullet"/>
      <w:lvlText w:val="•"/>
      <w:lvlJc w:val="left"/>
      <w:pPr>
        <w:ind w:left="7030" w:hanging="341"/>
      </w:pPr>
      <w:rPr>
        <w:rFonts w:hint="default"/>
      </w:rPr>
    </w:lvl>
    <w:lvl w:ilvl="8" w:tplc="6542FFA0">
      <w:start w:val="1"/>
      <w:numFmt w:val="bullet"/>
      <w:lvlText w:val="•"/>
      <w:lvlJc w:val="left"/>
      <w:pPr>
        <w:ind w:left="8095" w:hanging="341"/>
      </w:pPr>
      <w:rPr>
        <w:rFonts w:hint="default"/>
      </w:rPr>
    </w:lvl>
  </w:abstractNum>
  <w:abstractNum w:abstractNumId="22">
    <w:nsid w:val="3FB7220F"/>
    <w:multiLevelType w:val="hybridMultilevel"/>
    <w:tmpl w:val="A6405B86"/>
    <w:lvl w:ilvl="0" w:tplc="AF64FDEC">
      <w:start w:val="21"/>
      <w:numFmt w:val="decimal"/>
      <w:lvlText w:val="%1"/>
      <w:lvlJc w:val="left"/>
      <w:pPr>
        <w:ind w:left="758" w:hanging="625"/>
        <w:jc w:val="left"/>
      </w:pPr>
      <w:rPr>
        <w:rFonts w:hint="default"/>
      </w:rPr>
    </w:lvl>
    <w:lvl w:ilvl="1" w:tplc="E71A870E">
      <w:start w:val="6"/>
      <w:numFmt w:val="decimal"/>
      <w:lvlText w:val="%1.%2"/>
      <w:lvlJc w:val="left"/>
      <w:pPr>
        <w:ind w:left="758" w:hanging="625"/>
        <w:jc w:val="left"/>
      </w:pPr>
      <w:rPr>
        <w:rFonts w:hint="default"/>
      </w:rPr>
    </w:lvl>
    <w:lvl w:ilvl="2" w:tplc="A5AC2882">
      <w:start w:val="1"/>
      <w:numFmt w:val="decimal"/>
      <w:lvlText w:val="%1.%2.%3"/>
      <w:lvlJc w:val="left"/>
      <w:pPr>
        <w:ind w:left="758" w:hanging="625"/>
        <w:jc w:val="right"/>
      </w:pPr>
      <w:rPr>
        <w:rFonts w:ascii="Arial" w:eastAsia="Arial" w:hAnsi="Arial" w:cs="Arial" w:hint="default"/>
        <w:color w:val="0095A7"/>
        <w:spacing w:val="-19"/>
        <w:w w:val="100"/>
        <w:sz w:val="20"/>
        <w:szCs w:val="20"/>
      </w:rPr>
    </w:lvl>
    <w:lvl w:ilvl="3" w:tplc="83C82DCE">
      <w:start w:val="1"/>
      <w:numFmt w:val="bullet"/>
      <w:lvlText w:val="•"/>
      <w:lvlJc w:val="left"/>
      <w:pPr>
        <w:ind w:left="3599" w:hanging="625"/>
      </w:pPr>
      <w:rPr>
        <w:rFonts w:hint="default"/>
      </w:rPr>
    </w:lvl>
    <w:lvl w:ilvl="4" w:tplc="971E0386">
      <w:start w:val="1"/>
      <w:numFmt w:val="bullet"/>
      <w:lvlText w:val="•"/>
      <w:lvlJc w:val="left"/>
      <w:pPr>
        <w:ind w:left="4546" w:hanging="625"/>
      </w:pPr>
      <w:rPr>
        <w:rFonts w:hint="default"/>
      </w:rPr>
    </w:lvl>
    <w:lvl w:ilvl="5" w:tplc="65107C92">
      <w:start w:val="1"/>
      <w:numFmt w:val="bullet"/>
      <w:lvlText w:val="•"/>
      <w:lvlJc w:val="left"/>
      <w:pPr>
        <w:ind w:left="5492" w:hanging="625"/>
      </w:pPr>
      <w:rPr>
        <w:rFonts w:hint="default"/>
      </w:rPr>
    </w:lvl>
    <w:lvl w:ilvl="6" w:tplc="7944C0FA">
      <w:start w:val="1"/>
      <w:numFmt w:val="bullet"/>
      <w:lvlText w:val="•"/>
      <w:lvlJc w:val="left"/>
      <w:pPr>
        <w:ind w:left="6439" w:hanging="625"/>
      </w:pPr>
      <w:rPr>
        <w:rFonts w:hint="default"/>
      </w:rPr>
    </w:lvl>
    <w:lvl w:ilvl="7" w:tplc="AD52CDDC">
      <w:start w:val="1"/>
      <w:numFmt w:val="bullet"/>
      <w:lvlText w:val="•"/>
      <w:lvlJc w:val="left"/>
      <w:pPr>
        <w:ind w:left="7385" w:hanging="625"/>
      </w:pPr>
      <w:rPr>
        <w:rFonts w:hint="default"/>
      </w:rPr>
    </w:lvl>
    <w:lvl w:ilvl="8" w:tplc="052A83B4">
      <w:start w:val="1"/>
      <w:numFmt w:val="bullet"/>
      <w:lvlText w:val="•"/>
      <w:lvlJc w:val="left"/>
      <w:pPr>
        <w:ind w:left="8332" w:hanging="625"/>
      </w:pPr>
      <w:rPr>
        <w:rFonts w:hint="default"/>
      </w:rPr>
    </w:lvl>
  </w:abstractNum>
  <w:abstractNum w:abstractNumId="23">
    <w:nsid w:val="40D434E6"/>
    <w:multiLevelType w:val="hybridMultilevel"/>
    <w:tmpl w:val="498CFD1E"/>
    <w:lvl w:ilvl="0" w:tplc="2238FFCE">
      <w:start w:val="1"/>
      <w:numFmt w:val="lowerRoman"/>
      <w:lvlText w:val="%1)"/>
      <w:lvlJc w:val="left"/>
      <w:pPr>
        <w:ind w:left="510" w:hanging="341"/>
        <w:jc w:val="left"/>
      </w:pPr>
      <w:rPr>
        <w:rFonts w:ascii="Arial" w:eastAsia="Arial" w:hAnsi="Arial" w:cs="Arial" w:hint="default"/>
        <w:color w:val="58595B"/>
        <w:spacing w:val="-4"/>
        <w:w w:val="100"/>
        <w:sz w:val="20"/>
        <w:szCs w:val="20"/>
      </w:rPr>
    </w:lvl>
    <w:lvl w:ilvl="1" w:tplc="33AA6F0A">
      <w:start w:val="1"/>
      <w:numFmt w:val="bullet"/>
      <w:lvlText w:val="•"/>
      <w:lvlJc w:val="left"/>
      <w:pPr>
        <w:ind w:left="1335" w:hanging="341"/>
      </w:pPr>
      <w:rPr>
        <w:rFonts w:hint="default"/>
      </w:rPr>
    </w:lvl>
    <w:lvl w:ilvl="2" w:tplc="4CC453D6">
      <w:start w:val="1"/>
      <w:numFmt w:val="bullet"/>
      <w:lvlText w:val="•"/>
      <w:lvlJc w:val="left"/>
      <w:pPr>
        <w:ind w:left="2150" w:hanging="341"/>
      </w:pPr>
      <w:rPr>
        <w:rFonts w:hint="default"/>
      </w:rPr>
    </w:lvl>
    <w:lvl w:ilvl="3" w:tplc="94BA0892">
      <w:start w:val="1"/>
      <w:numFmt w:val="bullet"/>
      <w:lvlText w:val="•"/>
      <w:lvlJc w:val="left"/>
      <w:pPr>
        <w:ind w:left="2966" w:hanging="341"/>
      </w:pPr>
      <w:rPr>
        <w:rFonts w:hint="default"/>
      </w:rPr>
    </w:lvl>
    <w:lvl w:ilvl="4" w:tplc="2BC0E472">
      <w:start w:val="1"/>
      <w:numFmt w:val="bullet"/>
      <w:lvlText w:val="•"/>
      <w:lvlJc w:val="left"/>
      <w:pPr>
        <w:ind w:left="3781" w:hanging="341"/>
      </w:pPr>
      <w:rPr>
        <w:rFonts w:hint="default"/>
      </w:rPr>
    </w:lvl>
    <w:lvl w:ilvl="5" w:tplc="9E048D1A">
      <w:start w:val="1"/>
      <w:numFmt w:val="bullet"/>
      <w:lvlText w:val="•"/>
      <w:lvlJc w:val="left"/>
      <w:pPr>
        <w:ind w:left="4597" w:hanging="341"/>
      </w:pPr>
      <w:rPr>
        <w:rFonts w:hint="default"/>
      </w:rPr>
    </w:lvl>
    <w:lvl w:ilvl="6" w:tplc="B0C62166">
      <w:start w:val="1"/>
      <w:numFmt w:val="bullet"/>
      <w:lvlText w:val="•"/>
      <w:lvlJc w:val="left"/>
      <w:pPr>
        <w:ind w:left="5412" w:hanging="341"/>
      </w:pPr>
      <w:rPr>
        <w:rFonts w:hint="default"/>
      </w:rPr>
    </w:lvl>
    <w:lvl w:ilvl="7" w:tplc="CED426C8">
      <w:start w:val="1"/>
      <w:numFmt w:val="bullet"/>
      <w:lvlText w:val="•"/>
      <w:lvlJc w:val="left"/>
      <w:pPr>
        <w:ind w:left="6227" w:hanging="341"/>
      </w:pPr>
      <w:rPr>
        <w:rFonts w:hint="default"/>
      </w:rPr>
    </w:lvl>
    <w:lvl w:ilvl="8" w:tplc="292012EC">
      <w:start w:val="1"/>
      <w:numFmt w:val="bullet"/>
      <w:lvlText w:val="•"/>
      <w:lvlJc w:val="left"/>
      <w:pPr>
        <w:ind w:left="7043" w:hanging="341"/>
      </w:pPr>
      <w:rPr>
        <w:rFonts w:hint="default"/>
      </w:rPr>
    </w:lvl>
  </w:abstractNum>
  <w:abstractNum w:abstractNumId="24">
    <w:nsid w:val="49A04E81"/>
    <w:multiLevelType w:val="hybridMultilevel"/>
    <w:tmpl w:val="00BEEC74"/>
    <w:lvl w:ilvl="0" w:tplc="CE169620">
      <w:start w:val="1"/>
      <w:numFmt w:val="decimal"/>
      <w:lvlText w:val="%1"/>
      <w:lvlJc w:val="left"/>
      <w:pPr>
        <w:ind w:left="417" w:hanging="284"/>
        <w:jc w:val="left"/>
      </w:pPr>
      <w:rPr>
        <w:rFonts w:ascii="Arial" w:eastAsia="Arial" w:hAnsi="Arial" w:cs="Arial" w:hint="default"/>
        <w:color w:val="58595B"/>
        <w:spacing w:val="-4"/>
        <w:w w:val="100"/>
        <w:sz w:val="12"/>
        <w:szCs w:val="12"/>
      </w:rPr>
    </w:lvl>
    <w:lvl w:ilvl="1" w:tplc="E194A7CA">
      <w:start w:val="1"/>
      <w:numFmt w:val="bullet"/>
      <w:lvlText w:val="•"/>
      <w:lvlJc w:val="left"/>
      <w:pPr>
        <w:ind w:left="1587" w:hanging="171"/>
      </w:pPr>
      <w:rPr>
        <w:rFonts w:ascii="Arial" w:eastAsia="Arial" w:hAnsi="Arial" w:cs="Arial" w:hint="default"/>
        <w:color w:val="0095A7"/>
        <w:spacing w:val="-16"/>
        <w:w w:val="100"/>
        <w:sz w:val="20"/>
        <w:szCs w:val="20"/>
      </w:rPr>
    </w:lvl>
    <w:lvl w:ilvl="2" w:tplc="6890C728">
      <w:start w:val="1"/>
      <w:numFmt w:val="bullet"/>
      <w:lvlText w:val="•"/>
      <w:lvlJc w:val="left"/>
      <w:pPr>
        <w:ind w:left="2353" w:hanging="171"/>
      </w:pPr>
      <w:rPr>
        <w:rFonts w:hint="default"/>
      </w:rPr>
    </w:lvl>
    <w:lvl w:ilvl="3" w:tplc="C91E24AA">
      <w:start w:val="1"/>
      <w:numFmt w:val="bullet"/>
      <w:lvlText w:val="•"/>
      <w:lvlJc w:val="left"/>
      <w:pPr>
        <w:ind w:left="3127" w:hanging="171"/>
      </w:pPr>
      <w:rPr>
        <w:rFonts w:hint="default"/>
      </w:rPr>
    </w:lvl>
    <w:lvl w:ilvl="4" w:tplc="D7242C52">
      <w:start w:val="1"/>
      <w:numFmt w:val="bullet"/>
      <w:lvlText w:val="•"/>
      <w:lvlJc w:val="left"/>
      <w:pPr>
        <w:ind w:left="3901" w:hanging="171"/>
      </w:pPr>
      <w:rPr>
        <w:rFonts w:hint="default"/>
      </w:rPr>
    </w:lvl>
    <w:lvl w:ilvl="5" w:tplc="B17EB400">
      <w:start w:val="1"/>
      <w:numFmt w:val="bullet"/>
      <w:lvlText w:val="•"/>
      <w:lvlJc w:val="left"/>
      <w:pPr>
        <w:ind w:left="4675" w:hanging="171"/>
      </w:pPr>
      <w:rPr>
        <w:rFonts w:hint="default"/>
      </w:rPr>
    </w:lvl>
    <w:lvl w:ilvl="6" w:tplc="D5DCDCBA">
      <w:start w:val="1"/>
      <w:numFmt w:val="bullet"/>
      <w:lvlText w:val="•"/>
      <w:lvlJc w:val="left"/>
      <w:pPr>
        <w:ind w:left="5449" w:hanging="171"/>
      </w:pPr>
      <w:rPr>
        <w:rFonts w:hint="default"/>
      </w:rPr>
    </w:lvl>
    <w:lvl w:ilvl="7" w:tplc="72F465AE">
      <w:start w:val="1"/>
      <w:numFmt w:val="bullet"/>
      <w:lvlText w:val="•"/>
      <w:lvlJc w:val="left"/>
      <w:pPr>
        <w:ind w:left="6223" w:hanging="171"/>
      </w:pPr>
      <w:rPr>
        <w:rFonts w:hint="default"/>
      </w:rPr>
    </w:lvl>
    <w:lvl w:ilvl="8" w:tplc="46464C7A">
      <w:start w:val="1"/>
      <w:numFmt w:val="bullet"/>
      <w:lvlText w:val="•"/>
      <w:lvlJc w:val="left"/>
      <w:pPr>
        <w:ind w:left="6997" w:hanging="171"/>
      </w:pPr>
      <w:rPr>
        <w:rFonts w:hint="default"/>
      </w:rPr>
    </w:lvl>
  </w:abstractNum>
  <w:abstractNum w:abstractNumId="25">
    <w:nsid w:val="4A7522AC"/>
    <w:multiLevelType w:val="hybridMultilevel"/>
    <w:tmpl w:val="AD7276A4"/>
    <w:lvl w:ilvl="0" w:tplc="DE5E762E">
      <w:start w:val="1"/>
      <w:numFmt w:val="bullet"/>
      <w:lvlText w:val="•"/>
      <w:lvlJc w:val="left"/>
      <w:pPr>
        <w:ind w:left="283" w:hanging="227"/>
      </w:pPr>
      <w:rPr>
        <w:rFonts w:ascii="Arial" w:eastAsia="Arial" w:hAnsi="Arial" w:cs="Arial" w:hint="default"/>
        <w:color w:val="58595B"/>
        <w:spacing w:val="-9"/>
        <w:w w:val="100"/>
        <w:sz w:val="18"/>
        <w:szCs w:val="18"/>
      </w:rPr>
    </w:lvl>
    <w:lvl w:ilvl="1" w:tplc="5CC0C65E">
      <w:start w:val="1"/>
      <w:numFmt w:val="bullet"/>
      <w:lvlText w:val="•"/>
      <w:lvlJc w:val="left"/>
      <w:pPr>
        <w:ind w:left="600" w:hanging="227"/>
      </w:pPr>
      <w:rPr>
        <w:rFonts w:hint="default"/>
      </w:rPr>
    </w:lvl>
    <w:lvl w:ilvl="2" w:tplc="77F8E886">
      <w:start w:val="1"/>
      <w:numFmt w:val="bullet"/>
      <w:lvlText w:val="•"/>
      <w:lvlJc w:val="left"/>
      <w:pPr>
        <w:ind w:left="921" w:hanging="227"/>
      </w:pPr>
      <w:rPr>
        <w:rFonts w:hint="default"/>
      </w:rPr>
    </w:lvl>
    <w:lvl w:ilvl="3" w:tplc="06A42FAC">
      <w:start w:val="1"/>
      <w:numFmt w:val="bullet"/>
      <w:lvlText w:val="•"/>
      <w:lvlJc w:val="left"/>
      <w:pPr>
        <w:ind w:left="1242" w:hanging="227"/>
      </w:pPr>
      <w:rPr>
        <w:rFonts w:hint="default"/>
      </w:rPr>
    </w:lvl>
    <w:lvl w:ilvl="4" w:tplc="3D148EC6">
      <w:start w:val="1"/>
      <w:numFmt w:val="bullet"/>
      <w:lvlText w:val="•"/>
      <w:lvlJc w:val="left"/>
      <w:pPr>
        <w:ind w:left="1562" w:hanging="227"/>
      </w:pPr>
      <w:rPr>
        <w:rFonts w:hint="default"/>
      </w:rPr>
    </w:lvl>
    <w:lvl w:ilvl="5" w:tplc="C6204CDC">
      <w:start w:val="1"/>
      <w:numFmt w:val="bullet"/>
      <w:lvlText w:val="•"/>
      <w:lvlJc w:val="left"/>
      <w:pPr>
        <w:ind w:left="1883" w:hanging="227"/>
      </w:pPr>
      <w:rPr>
        <w:rFonts w:hint="default"/>
      </w:rPr>
    </w:lvl>
    <w:lvl w:ilvl="6" w:tplc="2782F2EE">
      <w:start w:val="1"/>
      <w:numFmt w:val="bullet"/>
      <w:lvlText w:val="•"/>
      <w:lvlJc w:val="left"/>
      <w:pPr>
        <w:ind w:left="2204" w:hanging="227"/>
      </w:pPr>
      <w:rPr>
        <w:rFonts w:hint="default"/>
      </w:rPr>
    </w:lvl>
    <w:lvl w:ilvl="7" w:tplc="31B2052E">
      <w:start w:val="1"/>
      <w:numFmt w:val="bullet"/>
      <w:lvlText w:val="•"/>
      <w:lvlJc w:val="left"/>
      <w:pPr>
        <w:ind w:left="2524" w:hanging="227"/>
      </w:pPr>
      <w:rPr>
        <w:rFonts w:hint="default"/>
      </w:rPr>
    </w:lvl>
    <w:lvl w:ilvl="8" w:tplc="F1C01C54">
      <w:start w:val="1"/>
      <w:numFmt w:val="bullet"/>
      <w:lvlText w:val="•"/>
      <w:lvlJc w:val="left"/>
      <w:pPr>
        <w:ind w:left="2845" w:hanging="227"/>
      </w:pPr>
      <w:rPr>
        <w:rFonts w:hint="default"/>
      </w:rPr>
    </w:lvl>
  </w:abstractNum>
  <w:abstractNum w:abstractNumId="26">
    <w:nsid w:val="5D1C4CD8"/>
    <w:multiLevelType w:val="hybridMultilevel"/>
    <w:tmpl w:val="911AF686"/>
    <w:lvl w:ilvl="0" w:tplc="02FA9EA4">
      <w:start w:val="1"/>
      <w:numFmt w:val="bullet"/>
      <w:lvlText w:val="•"/>
      <w:lvlJc w:val="left"/>
      <w:pPr>
        <w:ind w:left="1587" w:hanging="171"/>
      </w:pPr>
      <w:rPr>
        <w:rFonts w:ascii="Arial" w:eastAsia="Arial" w:hAnsi="Arial" w:cs="Arial" w:hint="default"/>
        <w:color w:val="0095A7"/>
        <w:spacing w:val="-12"/>
        <w:w w:val="100"/>
        <w:sz w:val="20"/>
        <w:szCs w:val="20"/>
      </w:rPr>
    </w:lvl>
    <w:lvl w:ilvl="1" w:tplc="A244B2D8">
      <w:start w:val="1"/>
      <w:numFmt w:val="bullet"/>
      <w:lvlText w:val="•"/>
      <w:lvlJc w:val="left"/>
      <w:pPr>
        <w:ind w:left="2444" w:hanging="171"/>
      </w:pPr>
      <w:rPr>
        <w:rFonts w:hint="default"/>
      </w:rPr>
    </w:lvl>
    <w:lvl w:ilvl="2" w:tplc="7B7A680A">
      <w:start w:val="1"/>
      <w:numFmt w:val="bullet"/>
      <w:lvlText w:val="•"/>
      <w:lvlJc w:val="left"/>
      <w:pPr>
        <w:ind w:left="3309" w:hanging="171"/>
      </w:pPr>
      <w:rPr>
        <w:rFonts w:hint="default"/>
      </w:rPr>
    </w:lvl>
    <w:lvl w:ilvl="3" w:tplc="9F145F8A">
      <w:start w:val="1"/>
      <w:numFmt w:val="bullet"/>
      <w:lvlText w:val="•"/>
      <w:lvlJc w:val="left"/>
      <w:pPr>
        <w:ind w:left="4173" w:hanging="171"/>
      </w:pPr>
      <w:rPr>
        <w:rFonts w:hint="default"/>
      </w:rPr>
    </w:lvl>
    <w:lvl w:ilvl="4" w:tplc="8D206BEC">
      <w:start w:val="1"/>
      <w:numFmt w:val="bullet"/>
      <w:lvlText w:val="•"/>
      <w:lvlJc w:val="left"/>
      <w:pPr>
        <w:ind w:left="5038" w:hanging="171"/>
      </w:pPr>
      <w:rPr>
        <w:rFonts w:hint="default"/>
      </w:rPr>
    </w:lvl>
    <w:lvl w:ilvl="5" w:tplc="BA168A6C">
      <w:start w:val="1"/>
      <w:numFmt w:val="bullet"/>
      <w:lvlText w:val="•"/>
      <w:lvlJc w:val="left"/>
      <w:pPr>
        <w:ind w:left="5902" w:hanging="171"/>
      </w:pPr>
      <w:rPr>
        <w:rFonts w:hint="default"/>
      </w:rPr>
    </w:lvl>
    <w:lvl w:ilvl="6" w:tplc="DD885D12">
      <w:start w:val="1"/>
      <w:numFmt w:val="bullet"/>
      <w:lvlText w:val="•"/>
      <w:lvlJc w:val="left"/>
      <w:pPr>
        <w:ind w:left="6767" w:hanging="171"/>
      </w:pPr>
      <w:rPr>
        <w:rFonts w:hint="default"/>
      </w:rPr>
    </w:lvl>
    <w:lvl w:ilvl="7" w:tplc="F704F698">
      <w:start w:val="1"/>
      <w:numFmt w:val="bullet"/>
      <w:lvlText w:val="•"/>
      <w:lvlJc w:val="left"/>
      <w:pPr>
        <w:ind w:left="7631" w:hanging="171"/>
      </w:pPr>
      <w:rPr>
        <w:rFonts w:hint="default"/>
      </w:rPr>
    </w:lvl>
    <w:lvl w:ilvl="8" w:tplc="E8C6B196">
      <w:start w:val="1"/>
      <w:numFmt w:val="bullet"/>
      <w:lvlText w:val="•"/>
      <w:lvlJc w:val="left"/>
      <w:pPr>
        <w:ind w:left="8496" w:hanging="171"/>
      </w:pPr>
      <w:rPr>
        <w:rFonts w:hint="default"/>
      </w:rPr>
    </w:lvl>
  </w:abstractNum>
  <w:abstractNum w:abstractNumId="27">
    <w:nsid w:val="63050F27"/>
    <w:multiLevelType w:val="hybridMultilevel"/>
    <w:tmpl w:val="E9308EFE"/>
    <w:lvl w:ilvl="0" w:tplc="2A463426">
      <w:start w:val="1"/>
      <w:numFmt w:val="lowerRoman"/>
      <w:lvlText w:val="%1)"/>
      <w:lvlJc w:val="left"/>
      <w:pPr>
        <w:ind w:left="510" w:hanging="341"/>
        <w:jc w:val="left"/>
      </w:pPr>
      <w:rPr>
        <w:rFonts w:ascii="Arial" w:eastAsia="Arial" w:hAnsi="Arial" w:cs="Arial" w:hint="default"/>
        <w:color w:val="58595B"/>
        <w:spacing w:val="-4"/>
        <w:w w:val="100"/>
        <w:sz w:val="20"/>
        <w:szCs w:val="20"/>
      </w:rPr>
    </w:lvl>
    <w:lvl w:ilvl="1" w:tplc="09A8CE32">
      <w:start w:val="1"/>
      <w:numFmt w:val="lowerLetter"/>
      <w:lvlText w:val="%2."/>
      <w:lvlJc w:val="left"/>
      <w:pPr>
        <w:ind w:left="850" w:hanging="341"/>
        <w:jc w:val="left"/>
      </w:pPr>
      <w:rPr>
        <w:rFonts w:ascii="Arial" w:eastAsia="Arial" w:hAnsi="Arial" w:cs="Arial" w:hint="default"/>
        <w:color w:val="58595B"/>
        <w:spacing w:val="-4"/>
        <w:w w:val="100"/>
        <w:sz w:val="20"/>
        <w:szCs w:val="20"/>
      </w:rPr>
    </w:lvl>
    <w:lvl w:ilvl="2" w:tplc="0FB85D70">
      <w:start w:val="1"/>
      <w:numFmt w:val="bullet"/>
      <w:lvlText w:val="•"/>
      <w:lvlJc w:val="left"/>
      <w:pPr>
        <w:ind w:left="1726" w:hanging="341"/>
      </w:pPr>
      <w:rPr>
        <w:rFonts w:hint="default"/>
      </w:rPr>
    </w:lvl>
    <w:lvl w:ilvl="3" w:tplc="E70AFC3E">
      <w:start w:val="1"/>
      <w:numFmt w:val="bullet"/>
      <w:lvlText w:val="•"/>
      <w:lvlJc w:val="left"/>
      <w:pPr>
        <w:ind w:left="2592" w:hanging="341"/>
      </w:pPr>
      <w:rPr>
        <w:rFonts w:hint="default"/>
      </w:rPr>
    </w:lvl>
    <w:lvl w:ilvl="4" w:tplc="721E750A">
      <w:start w:val="1"/>
      <w:numFmt w:val="bullet"/>
      <w:lvlText w:val="•"/>
      <w:lvlJc w:val="left"/>
      <w:pPr>
        <w:ind w:left="3458" w:hanging="341"/>
      </w:pPr>
      <w:rPr>
        <w:rFonts w:hint="default"/>
      </w:rPr>
    </w:lvl>
    <w:lvl w:ilvl="5" w:tplc="71FE97E8">
      <w:start w:val="1"/>
      <w:numFmt w:val="bullet"/>
      <w:lvlText w:val="•"/>
      <w:lvlJc w:val="left"/>
      <w:pPr>
        <w:ind w:left="4324" w:hanging="341"/>
      </w:pPr>
      <w:rPr>
        <w:rFonts w:hint="default"/>
      </w:rPr>
    </w:lvl>
    <w:lvl w:ilvl="6" w:tplc="23C4593E">
      <w:start w:val="1"/>
      <w:numFmt w:val="bullet"/>
      <w:lvlText w:val="•"/>
      <w:lvlJc w:val="left"/>
      <w:pPr>
        <w:ind w:left="5190" w:hanging="341"/>
      </w:pPr>
      <w:rPr>
        <w:rFonts w:hint="default"/>
      </w:rPr>
    </w:lvl>
    <w:lvl w:ilvl="7" w:tplc="11E84E64">
      <w:start w:val="1"/>
      <w:numFmt w:val="bullet"/>
      <w:lvlText w:val="•"/>
      <w:lvlJc w:val="left"/>
      <w:pPr>
        <w:ind w:left="6056" w:hanging="341"/>
      </w:pPr>
      <w:rPr>
        <w:rFonts w:hint="default"/>
      </w:rPr>
    </w:lvl>
    <w:lvl w:ilvl="8" w:tplc="DB5016D6">
      <w:start w:val="1"/>
      <w:numFmt w:val="bullet"/>
      <w:lvlText w:val="•"/>
      <w:lvlJc w:val="left"/>
      <w:pPr>
        <w:ind w:left="6922" w:hanging="341"/>
      </w:pPr>
      <w:rPr>
        <w:rFonts w:hint="default"/>
      </w:rPr>
    </w:lvl>
  </w:abstractNum>
  <w:abstractNum w:abstractNumId="28">
    <w:nsid w:val="66615FBB"/>
    <w:multiLevelType w:val="hybridMultilevel"/>
    <w:tmpl w:val="85AC7B54"/>
    <w:lvl w:ilvl="0" w:tplc="AF3AE398">
      <w:start w:val="1"/>
      <w:numFmt w:val="bullet"/>
      <w:lvlText w:val="•"/>
      <w:lvlJc w:val="left"/>
      <w:pPr>
        <w:ind w:left="319" w:hanging="227"/>
      </w:pPr>
      <w:rPr>
        <w:rFonts w:ascii="Arial" w:eastAsia="Arial" w:hAnsi="Arial" w:cs="Arial" w:hint="default"/>
        <w:color w:val="58595B"/>
        <w:spacing w:val="-13"/>
        <w:w w:val="100"/>
        <w:sz w:val="18"/>
        <w:szCs w:val="18"/>
      </w:rPr>
    </w:lvl>
    <w:lvl w:ilvl="1" w:tplc="C61CCE7E">
      <w:start w:val="1"/>
      <w:numFmt w:val="bullet"/>
      <w:lvlText w:val="•"/>
      <w:lvlJc w:val="left"/>
      <w:pPr>
        <w:ind w:left="526" w:hanging="227"/>
      </w:pPr>
      <w:rPr>
        <w:rFonts w:hint="default"/>
      </w:rPr>
    </w:lvl>
    <w:lvl w:ilvl="2" w:tplc="37D07642">
      <w:start w:val="1"/>
      <w:numFmt w:val="bullet"/>
      <w:lvlText w:val="•"/>
      <w:lvlJc w:val="left"/>
      <w:pPr>
        <w:ind w:left="733" w:hanging="227"/>
      </w:pPr>
      <w:rPr>
        <w:rFonts w:hint="default"/>
      </w:rPr>
    </w:lvl>
    <w:lvl w:ilvl="3" w:tplc="38B4B18E">
      <w:start w:val="1"/>
      <w:numFmt w:val="bullet"/>
      <w:lvlText w:val="•"/>
      <w:lvlJc w:val="left"/>
      <w:pPr>
        <w:ind w:left="940" w:hanging="227"/>
      </w:pPr>
      <w:rPr>
        <w:rFonts w:hint="default"/>
      </w:rPr>
    </w:lvl>
    <w:lvl w:ilvl="4" w:tplc="46128304">
      <w:start w:val="1"/>
      <w:numFmt w:val="bullet"/>
      <w:lvlText w:val="•"/>
      <w:lvlJc w:val="left"/>
      <w:pPr>
        <w:ind w:left="1147" w:hanging="227"/>
      </w:pPr>
      <w:rPr>
        <w:rFonts w:hint="default"/>
      </w:rPr>
    </w:lvl>
    <w:lvl w:ilvl="5" w:tplc="BA98F47E">
      <w:start w:val="1"/>
      <w:numFmt w:val="bullet"/>
      <w:lvlText w:val="•"/>
      <w:lvlJc w:val="left"/>
      <w:pPr>
        <w:ind w:left="1354" w:hanging="227"/>
      </w:pPr>
      <w:rPr>
        <w:rFonts w:hint="default"/>
      </w:rPr>
    </w:lvl>
    <w:lvl w:ilvl="6" w:tplc="3CC6006A">
      <w:start w:val="1"/>
      <w:numFmt w:val="bullet"/>
      <w:lvlText w:val="•"/>
      <w:lvlJc w:val="left"/>
      <w:pPr>
        <w:ind w:left="1560" w:hanging="227"/>
      </w:pPr>
      <w:rPr>
        <w:rFonts w:hint="default"/>
      </w:rPr>
    </w:lvl>
    <w:lvl w:ilvl="7" w:tplc="27122072">
      <w:start w:val="1"/>
      <w:numFmt w:val="bullet"/>
      <w:lvlText w:val="•"/>
      <w:lvlJc w:val="left"/>
      <w:pPr>
        <w:ind w:left="1767" w:hanging="227"/>
      </w:pPr>
      <w:rPr>
        <w:rFonts w:hint="default"/>
      </w:rPr>
    </w:lvl>
    <w:lvl w:ilvl="8" w:tplc="1C08DBAC">
      <w:start w:val="1"/>
      <w:numFmt w:val="bullet"/>
      <w:lvlText w:val="•"/>
      <w:lvlJc w:val="left"/>
      <w:pPr>
        <w:ind w:left="1974" w:hanging="227"/>
      </w:pPr>
      <w:rPr>
        <w:rFonts w:hint="default"/>
      </w:rPr>
    </w:lvl>
  </w:abstractNum>
  <w:abstractNum w:abstractNumId="29">
    <w:nsid w:val="68891E4E"/>
    <w:multiLevelType w:val="hybridMultilevel"/>
    <w:tmpl w:val="75689F60"/>
    <w:lvl w:ilvl="0" w:tplc="C616F1D6">
      <w:start w:val="1"/>
      <w:numFmt w:val="bullet"/>
      <w:lvlText w:val="•"/>
      <w:lvlJc w:val="left"/>
      <w:pPr>
        <w:ind w:left="1587" w:hanging="171"/>
      </w:pPr>
      <w:rPr>
        <w:rFonts w:ascii="Arial" w:eastAsia="Arial" w:hAnsi="Arial" w:cs="Arial" w:hint="default"/>
        <w:color w:val="0095A7"/>
        <w:spacing w:val="-12"/>
        <w:w w:val="100"/>
        <w:sz w:val="20"/>
        <w:szCs w:val="20"/>
      </w:rPr>
    </w:lvl>
    <w:lvl w:ilvl="1" w:tplc="294A870E">
      <w:start w:val="1"/>
      <w:numFmt w:val="bullet"/>
      <w:lvlText w:val="•"/>
      <w:lvlJc w:val="left"/>
      <w:pPr>
        <w:ind w:left="2444" w:hanging="171"/>
      </w:pPr>
      <w:rPr>
        <w:rFonts w:hint="default"/>
      </w:rPr>
    </w:lvl>
    <w:lvl w:ilvl="2" w:tplc="AA12F3BA">
      <w:start w:val="1"/>
      <w:numFmt w:val="bullet"/>
      <w:lvlText w:val="•"/>
      <w:lvlJc w:val="left"/>
      <w:pPr>
        <w:ind w:left="3309" w:hanging="171"/>
      </w:pPr>
      <w:rPr>
        <w:rFonts w:hint="default"/>
      </w:rPr>
    </w:lvl>
    <w:lvl w:ilvl="3" w:tplc="E61C4980">
      <w:start w:val="1"/>
      <w:numFmt w:val="bullet"/>
      <w:lvlText w:val="•"/>
      <w:lvlJc w:val="left"/>
      <w:pPr>
        <w:ind w:left="4173" w:hanging="171"/>
      </w:pPr>
      <w:rPr>
        <w:rFonts w:hint="default"/>
      </w:rPr>
    </w:lvl>
    <w:lvl w:ilvl="4" w:tplc="2F1A7CEA">
      <w:start w:val="1"/>
      <w:numFmt w:val="bullet"/>
      <w:lvlText w:val="•"/>
      <w:lvlJc w:val="left"/>
      <w:pPr>
        <w:ind w:left="5038" w:hanging="171"/>
      </w:pPr>
      <w:rPr>
        <w:rFonts w:hint="default"/>
      </w:rPr>
    </w:lvl>
    <w:lvl w:ilvl="5" w:tplc="97D074EA">
      <w:start w:val="1"/>
      <w:numFmt w:val="bullet"/>
      <w:lvlText w:val="•"/>
      <w:lvlJc w:val="left"/>
      <w:pPr>
        <w:ind w:left="5902" w:hanging="171"/>
      </w:pPr>
      <w:rPr>
        <w:rFonts w:hint="default"/>
      </w:rPr>
    </w:lvl>
    <w:lvl w:ilvl="6" w:tplc="C6C04A84">
      <w:start w:val="1"/>
      <w:numFmt w:val="bullet"/>
      <w:lvlText w:val="•"/>
      <w:lvlJc w:val="left"/>
      <w:pPr>
        <w:ind w:left="6767" w:hanging="171"/>
      </w:pPr>
      <w:rPr>
        <w:rFonts w:hint="default"/>
      </w:rPr>
    </w:lvl>
    <w:lvl w:ilvl="7" w:tplc="076E6C02">
      <w:start w:val="1"/>
      <w:numFmt w:val="bullet"/>
      <w:lvlText w:val="•"/>
      <w:lvlJc w:val="left"/>
      <w:pPr>
        <w:ind w:left="7631" w:hanging="171"/>
      </w:pPr>
      <w:rPr>
        <w:rFonts w:hint="default"/>
      </w:rPr>
    </w:lvl>
    <w:lvl w:ilvl="8" w:tplc="21D2BEF4">
      <w:start w:val="1"/>
      <w:numFmt w:val="bullet"/>
      <w:lvlText w:val="•"/>
      <w:lvlJc w:val="left"/>
      <w:pPr>
        <w:ind w:left="8496" w:hanging="171"/>
      </w:pPr>
      <w:rPr>
        <w:rFonts w:hint="default"/>
      </w:rPr>
    </w:lvl>
  </w:abstractNum>
  <w:abstractNum w:abstractNumId="30">
    <w:nsid w:val="7470447D"/>
    <w:multiLevelType w:val="hybridMultilevel"/>
    <w:tmpl w:val="6D163DAA"/>
    <w:lvl w:ilvl="0" w:tplc="23E21984">
      <w:start w:val="1"/>
      <w:numFmt w:val="lowerRoman"/>
      <w:lvlText w:val="%1)"/>
      <w:lvlJc w:val="left"/>
      <w:pPr>
        <w:ind w:left="510" w:hanging="341"/>
        <w:jc w:val="left"/>
      </w:pPr>
      <w:rPr>
        <w:rFonts w:ascii="Arial" w:eastAsia="Arial" w:hAnsi="Arial" w:cs="Arial" w:hint="default"/>
        <w:color w:val="58595B"/>
        <w:spacing w:val="-4"/>
        <w:w w:val="100"/>
        <w:sz w:val="20"/>
        <w:szCs w:val="20"/>
      </w:rPr>
    </w:lvl>
    <w:lvl w:ilvl="1" w:tplc="55A64CC4">
      <w:start w:val="1"/>
      <w:numFmt w:val="bullet"/>
      <w:lvlText w:val="•"/>
      <w:lvlJc w:val="left"/>
      <w:pPr>
        <w:ind w:left="1333" w:hanging="341"/>
      </w:pPr>
      <w:rPr>
        <w:rFonts w:hint="default"/>
      </w:rPr>
    </w:lvl>
    <w:lvl w:ilvl="2" w:tplc="6F54755C">
      <w:start w:val="1"/>
      <w:numFmt w:val="bullet"/>
      <w:lvlText w:val="•"/>
      <w:lvlJc w:val="left"/>
      <w:pPr>
        <w:ind w:left="2146" w:hanging="341"/>
      </w:pPr>
      <w:rPr>
        <w:rFonts w:hint="default"/>
      </w:rPr>
    </w:lvl>
    <w:lvl w:ilvl="3" w:tplc="E0F6E80E">
      <w:start w:val="1"/>
      <w:numFmt w:val="bullet"/>
      <w:lvlText w:val="•"/>
      <w:lvlJc w:val="left"/>
      <w:pPr>
        <w:ind w:left="2960" w:hanging="341"/>
      </w:pPr>
      <w:rPr>
        <w:rFonts w:hint="default"/>
      </w:rPr>
    </w:lvl>
    <w:lvl w:ilvl="4" w:tplc="FB361318">
      <w:start w:val="1"/>
      <w:numFmt w:val="bullet"/>
      <w:lvlText w:val="•"/>
      <w:lvlJc w:val="left"/>
      <w:pPr>
        <w:ind w:left="3773" w:hanging="341"/>
      </w:pPr>
      <w:rPr>
        <w:rFonts w:hint="default"/>
      </w:rPr>
    </w:lvl>
    <w:lvl w:ilvl="5" w:tplc="F422529E">
      <w:start w:val="1"/>
      <w:numFmt w:val="bullet"/>
      <w:lvlText w:val="•"/>
      <w:lvlJc w:val="left"/>
      <w:pPr>
        <w:ind w:left="4587" w:hanging="341"/>
      </w:pPr>
      <w:rPr>
        <w:rFonts w:hint="default"/>
      </w:rPr>
    </w:lvl>
    <w:lvl w:ilvl="6" w:tplc="CD04CF0A">
      <w:start w:val="1"/>
      <w:numFmt w:val="bullet"/>
      <w:lvlText w:val="•"/>
      <w:lvlJc w:val="left"/>
      <w:pPr>
        <w:ind w:left="5400" w:hanging="341"/>
      </w:pPr>
      <w:rPr>
        <w:rFonts w:hint="default"/>
      </w:rPr>
    </w:lvl>
    <w:lvl w:ilvl="7" w:tplc="2F80936A">
      <w:start w:val="1"/>
      <w:numFmt w:val="bullet"/>
      <w:lvlText w:val="•"/>
      <w:lvlJc w:val="left"/>
      <w:pPr>
        <w:ind w:left="6213" w:hanging="341"/>
      </w:pPr>
      <w:rPr>
        <w:rFonts w:hint="default"/>
      </w:rPr>
    </w:lvl>
    <w:lvl w:ilvl="8" w:tplc="B3206B5A">
      <w:start w:val="1"/>
      <w:numFmt w:val="bullet"/>
      <w:lvlText w:val="•"/>
      <w:lvlJc w:val="left"/>
      <w:pPr>
        <w:ind w:left="7027" w:hanging="341"/>
      </w:pPr>
      <w:rPr>
        <w:rFonts w:hint="default"/>
      </w:rPr>
    </w:lvl>
  </w:abstractNum>
  <w:abstractNum w:abstractNumId="31">
    <w:nsid w:val="7B9269B0"/>
    <w:multiLevelType w:val="hybridMultilevel"/>
    <w:tmpl w:val="9EFCC180"/>
    <w:lvl w:ilvl="0" w:tplc="FB00D1B0">
      <w:start w:val="1"/>
      <w:numFmt w:val="bullet"/>
      <w:lvlText w:val="•"/>
      <w:lvlJc w:val="left"/>
      <w:pPr>
        <w:ind w:left="1587" w:hanging="171"/>
      </w:pPr>
      <w:rPr>
        <w:rFonts w:ascii="Arial" w:eastAsia="Arial" w:hAnsi="Arial" w:cs="Arial" w:hint="default"/>
        <w:color w:val="0095A7"/>
        <w:spacing w:val="-15"/>
        <w:w w:val="100"/>
        <w:sz w:val="20"/>
        <w:szCs w:val="20"/>
      </w:rPr>
    </w:lvl>
    <w:lvl w:ilvl="1" w:tplc="03D683CA">
      <w:start w:val="1"/>
      <w:numFmt w:val="bullet"/>
      <w:lvlText w:val="•"/>
      <w:lvlJc w:val="left"/>
      <w:pPr>
        <w:ind w:left="2444" w:hanging="171"/>
      </w:pPr>
      <w:rPr>
        <w:rFonts w:hint="default"/>
      </w:rPr>
    </w:lvl>
    <w:lvl w:ilvl="2" w:tplc="3A9A8A58">
      <w:start w:val="1"/>
      <w:numFmt w:val="bullet"/>
      <w:lvlText w:val="•"/>
      <w:lvlJc w:val="left"/>
      <w:pPr>
        <w:ind w:left="3309" w:hanging="171"/>
      </w:pPr>
      <w:rPr>
        <w:rFonts w:hint="default"/>
      </w:rPr>
    </w:lvl>
    <w:lvl w:ilvl="3" w:tplc="CF0C96BA">
      <w:start w:val="1"/>
      <w:numFmt w:val="bullet"/>
      <w:lvlText w:val="•"/>
      <w:lvlJc w:val="left"/>
      <w:pPr>
        <w:ind w:left="4173" w:hanging="171"/>
      </w:pPr>
      <w:rPr>
        <w:rFonts w:hint="default"/>
      </w:rPr>
    </w:lvl>
    <w:lvl w:ilvl="4" w:tplc="D75A501A">
      <w:start w:val="1"/>
      <w:numFmt w:val="bullet"/>
      <w:lvlText w:val="•"/>
      <w:lvlJc w:val="left"/>
      <w:pPr>
        <w:ind w:left="5038" w:hanging="171"/>
      </w:pPr>
      <w:rPr>
        <w:rFonts w:hint="default"/>
      </w:rPr>
    </w:lvl>
    <w:lvl w:ilvl="5" w:tplc="8C24A278">
      <w:start w:val="1"/>
      <w:numFmt w:val="bullet"/>
      <w:lvlText w:val="•"/>
      <w:lvlJc w:val="left"/>
      <w:pPr>
        <w:ind w:left="5902" w:hanging="171"/>
      </w:pPr>
      <w:rPr>
        <w:rFonts w:hint="default"/>
      </w:rPr>
    </w:lvl>
    <w:lvl w:ilvl="6" w:tplc="5344AB8C">
      <w:start w:val="1"/>
      <w:numFmt w:val="bullet"/>
      <w:lvlText w:val="•"/>
      <w:lvlJc w:val="left"/>
      <w:pPr>
        <w:ind w:left="6767" w:hanging="171"/>
      </w:pPr>
      <w:rPr>
        <w:rFonts w:hint="default"/>
      </w:rPr>
    </w:lvl>
    <w:lvl w:ilvl="7" w:tplc="B792F552">
      <w:start w:val="1"/>
      <w:numFmt w:val="bullet"/>
      <w:lvlText w:val="•"/>
      <w:lvlJc w:val="left"/>
      <w:pPr>
        <w:ind w:left="7631" w:hanging="171"/>
      </w:pPr>
      <w:rPr>
        <w:rFonts w:hint="default"/>
      </w:rPr>
    </w:lvl>
    <w:lvl w:ilvl="8" w:tplc="DF626392">
      <w:start w:val="1"/>
      <w:numFmt w:val="bullet"/>
      <w:lvlText w:val="•"/>
      <w:lvlJc w:val="left"/>
      <w:pPr>
        <w:ind w:left="8496" w:hanging="171"/>
      </w:pPr>
      <w:rPr>
        <w:rFonts w:hint="default"/>
      </w:rPr>
    </w:lvl>
  </w:abstractNum>
  <w:abstractNum w:abstractNumId="32">
    <w:nsid w:val="7CE7063A"/>
    <w:multiLevelType w:val="hybridMultilevel"/>
    <w:tmpl w:val="07D49EAA"/>
    <w:lvl w:ilvl="0" w:tplc="8830230E">
      <w:start w:val="1"/>
      <w:numFmt w:val="decimal"/>
      <w:lvlText w:val="%1"/>
      <w:lvlJc w:val="left"/>
      <w:pPr>
        <w:ind w:left="417" w:hanging="284"/>
        <w:jc w:val="left"/>
      </w:pPr>
      <w:rPr>
        <w:rFonts w:ascii="Arial" w:eastAsia="Arial" w:hAnsi="Arial" w:cs="Arial" w:hint="default"/>
        <w:color w:val="58595B"/>
        <w:spacing w:val="-4"/>
        <w:w w:val="100"/>
        <w:sz w:val="12"/>
        <w:szCs w:val="12"/>
      </w:rPr>
    </w:lvl>
    <w:lvl w:ilvl="1" w:tplc="4128E672">
      <w:start w:val="16"/>
      <w:numFmt w:val="lowerLetter"/>
      <w:lvlText w:val="%2."/>
      <w:lvlJc w:val="left"/>
      <w:pPr>
        <w:ind w:left="551" w:hanging="134"/>
        <w:jc w:val="left"/>
      </w:pPr>
      <w:rPr>
        <w:rFonts w:ascii="Arial" w:eastAsia="Arial" w:hAnsi="Arial" w:cs="Arial" w:hint="default"/>
        <w:color w:val="58595B"/>
        <w:w w:val="100"/>
        <w:sz w:val="12"/>
        <w:szCs w:val="12"/>
      </w:rPr>
    </w:lvl>
    <w:lvl w:ilvl="2" w:tplc="3FB209DE">
      <w:start w:val="1"/>
      <w:numFmt w:val="bullet"/>
      <w:lvlText w:val="•"/>
      <w:lvlJc w:val="left"/>
      <w:pPr>
        <w:ind w:left="1633" w:hanging="134"/>
      </w:pPr>
      <w:rPr>
        <w:rFonts w:hint="default"/>
      </w:rPr>
    </w:lvl>
    <w:lvl w:ilvl="3" w:tplc="E90C155E">
      <w:start w:val="1"/>
      <w:numFmt w:val="bullet"/>
      <w:lvlText w:val="•"/>
      <w:lvlJc w:val="left"/>
      <w:pPr>
        <w:ind w:left="2707" w:hanging="134"/>
      </w:pPr>
      <w:rPr>
        <w:rFonts w:hint="default"/>
      </w:rPr>
    </w:lvl>
    <w:lvl w:ilvl="4" w:tplc="0C42A522">
      <w:start w:val="1"/>
      <w:numFmt w:val="bullet"/>
      <w:lvlText w:val="•"/>
      <w:lvlJc w:val="left"/>
      <w:pPr>
        <w:ind w:left="3781" w:hanging="134"/>
      </w:pPr>
      <w:rPr>
        <w:rFonts w:hint="default"/>
      </w:rPr>
    </w:lvl>
    <w:lvl w:ilvl="5" w:tplc="B8925634">
      <w:start w:val="1"/>
      <w:numFmt w:val="bullet"/>
      <w:lvlText w:val="•"/>
      <w:lvlJc w:val="left"/>
      <w:pPr>
        <w:ind w:left="4855" w:hanging="134"/>
      </w:pPr>
      <w:rPr>
        <w:rFonts w:hint="default"/>
      </w:rPr>
    </w:lvl>
    <w:lvl w:ilvl="6" w:tplc="60ACFB44">
      <w:start w:val="1"/>
      <w:numFmt w:val="bullet"/>
      <w:lvlText w:val="•"/>
      <w:lvlJc w:val="left"/>
      <w:pPr>
        <w:ind w:left="5929" w:hanging="134"/>
      </w:pPr>
      <w:rPr>
        <w:rFonts w:hint="default"/>
      </w:rPr>
    </w:lvl>
    <w:lvl w:ilvl="7" w:tplc="EE8C0776">
      <w:start w:val="1"/>
      <w:numFmt w:val="bullet"/>
      <w:lvlText w:val="•"/>
      <w:lvlJc w:val="left"/>
      <w:pPr>
        <w:ind w:left="7003" w:hanging="134"/>
      </w:pPr>
      <w:rPr>
        <w:rFonts w:hint="default"/>
      </w:rPr>
    </w:lvl>
    <w:lvl w:ilvl="8" w:tplc="9EE09242">
      <w:start w:val="1"/>
      <w:numFmt w:val="bullet"/>
      <w:lvlText w:val="•"/>
      <w:lvlJc w:val="left"/>
      <w:pPr>
        <w:ind w:left="8077" w:hanging="134"/>
      </w:pPr>
      <w:rPr>
        <w:rFonts w:hint="default"/>
      </w:rPr>
    </w:lvl>
  </w:abstractNum>
  <w:num w:numId="1">
    <w:abstractNumId w:val="20"/>
  </w:num>
  <w:num w:numId="2">
    <w:abstractNumId w:val="32"/>
  </w:num>
  <w:num w:numId="3">
    <w:abstractNumId w:val="23"/>
  </w:num>
  <w:num w:numId="4">
    <w:abstractNumId w:val="16"/>
  </w:num>
  <w:num w:numId="5">
    <w:abstractNumId w:val="4"/>
  </w:num>
  <w:num w:numId="6">
    <w:abstractNumId w:val="8"/>
  </w:num>
  <w:num w:numId="7">
    <w:abstractNumId w:val="3"/>
  </w:num>
  <w:num w:numId="8">
    <w:abstractNumId w:val="6"/>
  </w:num>
  <w:num w:numId="9">
    <w:abstractNumId w:val="26"/>
  </w:num>
  <w:num w:numId="10">
    <w:abstractNumId w:val="22"/>
  </w:num>
  <w:num w:numId="11">
    <w:abstractNumId w:val="31"/>
  </w:num>
  <w:num w:numId="12">
    <w:abstractNumId w:val="10"/>
  </w:num>
  <w:num w:numId="13">
    <w:abstractNumId w:val="25"/>
  </w:num>
  <w:num w:numId="14">
    <w:abstractNumId w:val="9"/>
  </w:num>
  <w:num w:numId="15">
    <w:abstractNumId w:val="29"/>
  </w:num>
  <w:num w:numId="16">
    <w:abstractNumId w:val="12"/>
  </w:num>
  <w:num w:numId="17">
    <w:abstractNumId w:val="0"/>
  </w:num>
  <w:num w:numId="18">
    <w:abstractNumId w:val="19"/>
  </w:num>
  <w:num w:numId="19">
    <w:abstractNumId w:val="11"/>
  </w:num>
  <w:num w:numId="20">
    <w:abstractNumId w:val="24"/>
  </w:num>
  <w:num w:numId="21">
    <w:abstractNumId w:val="7"/>
  </w:num>
  <w:num w:numId="22">
    <w:abstractNumId w:val="13"/>
  </w:num>
  <w:num w:numId="23">
    <w:abstractNumId w:val="5"/>
  </w:num>
  <w:num w:numId="24">
    <w:abstractNumId w:val="30"/>
  </w:num>
  <w:num w:numId="25">
    <w:abstractNumId w:val="27"/>
  </w:num>
  <w:num w:numId="26">
    <w:abstractNumId w:val="18"/>
  </w:num>
  <w:num w:numId="27">
    <w:abstractNumId w:val="2"/>
  </w:num>
  <w:num w:numId="28">
    <w:abstractNumId w:val="14"/>
  </w:num>
  <w:num w:numId="29">
    <w:abstractNumId w:val="28"/>
  </w:num>
  <w:num w:numId="30">
    <w:abstractNumId w:val="1"/>
  </w:num>
  <w:num w:numId="31">
    <w:abstractNumId w:val="17"/>
  </w:num>
  <w:num w:numId="32">
    <w:abstractNumId w:val="21"/>
  </w:num>
  <w:num w:numId="3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defaultTabStop w:val="720"/>
  <w:evenAndOddHeaders/>
  <w:drawingGridHorizontalSpacing w:val="110"/>
  <w:displayHorizontalDrawingGridEvery w:val="2"/>
  <w:characterSpacingControl w:val="doNotCompress"/>
  <w:hdrShapeDefaults>
    <o:shapedefaults v:ext="edit" spidmax="2139"/>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724131"/>
    <w:rsid w:val="00054426"/>
    <w:rsid w:val="00061924"/>
    <w:rsid w:val="000F1CAC"/>
    <w:rsid w:val="00130597"/>
    <w:rsid w:val="001337B8"/>
    <w:rsid w:val="002E245C"/>
    <w:rsid w:val="00371CFF"/>
    <w:rsid w:val="00661F07"/>
    <w:rsid w:val="00724131"/>
    <w:rsid w:val="00765C97"/>
    <w:rsid w:val="00791987"/>
    <w:rsid w:val="007A1DD4"/>
    <w:rsid w:val="00823349"/>
    <w:rsid w:val="00B6132A"/>
    <w:rsid w:val="00BE22B2"/>
    <w:rsid w:val="00C741DE"/>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139"/>
    <o:shapelayout v:ext="edit">
      <o:idmap v:ext="edit" data="1"/>
    </o:shapelayout>
  </w:shapeDefaults>
  <w:decimalSymbol w:val="."/>
  <w:listSeparator w:val=","/>
  <w14:docId w14:val="79A911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79"/>
      <w:ind w:left="134" w:right="1246"/>
      <w:outlineLvl w:val="0"/>
    </w:pPr>
    <w:rPr>
      <w:sz w:val="40"/>
      <w:szCs w:val="40"/>
    </w:rPr>
  </w:style>
  <w:style w:type="paragraph" w:styleId="Heading2">
    <w:name w:val="heading 2"/>
    <w:basedOn w:val="Normal"/>
    <w:uiPriority w:val="1"/>
    <w:qFormat/>
    <w:pPr>
      <w:spacing w:before="187"/>
      <w:ind w:left="1417" w:right="228"/>
      <w:outlineLvl w:val="1"/>
    </w:pPr>
    <w:rPr>
      <w:sz w:val="28"/>
      <w:szCs w:val="28"/>
    </w:rPr>
  </w:style>
  <w:style w:type="paragraph" w:styleId="Heading3">
    <w:name w:val="heading 3"/>
    <w:basedOn w:val="Normal"/>
    <w:uiPriority w:val="1"/>
    <w:qFormat/>
    <w:pPr>
      <w:ind w:left="1417"/>
      <w:outlineLvl w:val="2"/>
    </w:pPr>
    <w:rPr>
      <w:sz w:val="24"/>
      <w:szCs w:val="24"/>
    </w:rPr>
  </w:style>
  <w:style w:type="paragraph" w:styleId="Heading4">
    <w:name w:val="heading 4"/>
    <w:basedOn w:val="Normal"/>
    <w:uiPriority w:val="1"/>
    <w:qFormat/>
    <w:pPr>
      <w:spacing w:before="128"/>
      <w:ind w:left="170" w:right="232"/>
      <w:outlineLvl w:val="3"/>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spacing w:before="115"/>
      <w:ind w:left="417" w:hanging="170"/>
    </w:pPr>
  </w:style>
  <w:style w:type="paragraph" w:customStyle="1" w:styleId="TableParagraph">
    <w:name w:val="Table Paragraph"/>
    <w:basedOn w:val="Normal"/>
    <w:uiPriority w:val="1"/>
    <w:qFormat/>
    <w:pPr>
      <w:spacing w:before="73"/>
    </w:pPr>
  </w:style>
  <w:style w:type="paragraph" w:styleId="BalloonText">
    <w:name w:val="Balloon Text"/>
    <w:basedOn w:val="Normal"/>
    <w:link w:val="BalloonTextChar"/>
    <w:uiPriority w:val="99"/>
    <w:semiHidden/>
    <w:unhideWhenUsed/>
    <w:rsid w:val="001337B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337B8"/>
    <w:rPr>
      <w:rFonts w:ascii="Lucida Grande" w:eastAsia="Arial"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en-AU"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4" Type="http://schemas.openxmlformats.org/officeDocument/2006/relationships/header" Target="header3.xml"/><Relationship Id="rId15" Type="http://schemas.openxmlformats.org/officeDocument/2006/relationships/header" Target="header4.xml"/><Relationship Id="rId16" Type="http://schemas.openxmlformats.org/officeDocument/2006/relationships/image" Target="media/image5.jpeg"/><Relationship Id="rId17" Type="http://schemas.openxmlformats.org/officeDocument/2006/relationships/header" Target="header5.xml"/><Relationship Id="rId18" Type="http://schemas.openxmlformats.org/officeDocument/2006/relationships/header" Target="header6.xml"/><Relationship Id="rId19" Type="http://schemas.openxmlformats.org/officeDocument/2006/relationships/hyperlink" Target="http://vpsc.vic.gov.au/" TargetMode="External"/><Relationship Id="rId63" Type="http://schemas.openxmlformats.org/officeDocument/2006/relationships/header" Target="header26.xml"/><Relationship Id="rId64" Type="http://schemas.openxmlformats.org/officeDocument/2006/relationships/fontTable" Target="fontTable.xml"/><Relationship Id="rId65" Type="http://schemas.openxmlformats.org/officeDocument/2006/relationships/theme" Target="theme/theme1.xml"/><Relationship Id="rId50" Type="http://schemas.openxmlformats.org/officeDocument/2006/relationships/image" Target="media/image10.jpeg"/><Relationship Id="rId51" Type="http://schemas.openxmlformats.org/officeDocument/2006/relationships/header" Target="header19.xml"/><Relationship Id="rId52" Type="http://schemas.openxmlformats.org/officeDocument/2006/relationships/header" Target="header20.xml"/><Relationship Id="rId53" Type="http://schemas.openxmlformats.org/officeDocument/2006/relationships/image" Target="media/image11.jpeg"/><Relationship Id="rId54" Type="http://schemas.openxmlformats.org/officeDocument/2006/relationships/image" Target="media/image12.jpeg"/><Relationship Id="rId55" Type="http://schemas.openxmlformats.org/officeDocument/2006/relationships/image" Target="media/image13.jpeg"/><Relationship Id="rId56" Type="http://schemas.openxmlformats.org/officeDocument/2006/relationships/header" Target="header21.xml"/><Relationship Id="rId57" Type="http://schemas.openxmlformats.org/officeDocument/2006/relationships/header" Target="header22.xml"/><Relationship Id="rId58" Type="http://schemas.openxmlformats.org/officeDocument/2006/relationships/header" Target="header23.xml"/><Relationship Id="rId59" Type="http://schemas.openxmlformats.org/officeDocument/2006/relationships/header" Target="header24.xml"/><Relationship Id="rId40" Type="http://schemas.openxmlformats.org/officeDocument/2006/relationships/hyperlink" Target="http://coolcosmos.ipac.caltech.edu/page/environmental" TargetMode="External"/><Relationship Id="rId41" Type="http://schemas.openxmlformats.org/officeDocument/2006/relationships/hyperlink" Target="http://time.com/2950261/china-drones-pollution/" TargetMode="External"/><Relationship Id="rId42" Type="http://schemas.openxmlformats.org/officeDocument/2006/relationships/hyperlink" Target="http://datastart.com.au/" TargetMode="External"/><Relationship Id="rId43" Type="http://schemas.openxmlformats.org/officeDocument/2006/relationships/hyperlink" Target="http://www.govhack.org/" TargetMode="External"/><Relationship Id="rId44" Type="http://schemas.openxmlformats.org/officeDocument/2006/relationships/image" Target="media/image8.png"/><Relationship Id="rId45" Type="http://schemas.openxmlformats.org/officeDocument/2006/relationships/header" Target="header15.xml"/><Relationship Id="rId46" Type="http://schemas.openxmlformats.org/officeDocument/2006/relationships/image" Target="media/image9.png"/><Relationship Id="rId47" Type="http://schemas.openxmlformats.org/officeDocument/2006/relationships/header" Target="header16.xml"/><Relationship Id="rId48" Type="http://schemas.openxmlformats.org/officeDocument/2006/relationships/header" Target="header17.xml"/><Relationship Id="rId49" Type="http://schemas.openxmlformats.org/officeDocument/2006/relationships/header" Target="header18.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image" Target="media/image2.jpeg"/><Relationship Id="rId30" Type="http://schemas.openxmlformats.org/officeDocument/2006/relationships/header" Target="header12.xml"/><Relationship Id="rId31" Type="http://schemas.openxmlformats.org/officeDocument/2006/relationships/header" Target="header13.xml"/><Relationship Id="rId32" Type="http://schemas.openxmlformats.org/officeDocument/2006/relationships/header" Target="header14.xml"/><Relationship Id="rId33" Type="http://schemas.openxmlformats.org/officeDocument/2006/relationships/hyperlink" Target="http://vpsc.vic.gov.au/workforce-capability-leadership-and-" TargetMode="External"/><Relationship Id="rId34" Type="http://schemas.openxmlformats.org/officeDocument/2006/relationships/hyperlink" Target="http://www.apsc.gov.au/" TargetMode="External"/><Relationship Id="rId35" Type="http://schemas.openxmlformats.org/officeDocument/2006/relationships/hyperlink" Target="http://www.themandarin.com.au/52900-tom-burton-turnbulls-new-age-" TargetMode="External"/><Relationship Id="rId36" Type="http://schemas.openxmlformats.org/officeDocument/2006/relationships/hyperlink" Target="http://www.epa.gov/" TargetMode="External"/><Relationship Id="rId37" Type="http://schemas.openxmlformats.org/officeDocument/2006/relationships/hyperlink" Target="http://www.enterprisesolutions.vic.gov.au/about-enterprise-solutions/" TargetMode="External"/><Relationship Id="rId38" Type="http://schemas.openxmlformats.org/officeDocument/2006/relationships/hyperlink" Target="http://www.data.vic.gov.au/" TargetMode="External"/><Relationship Id="rId39" Type="http://schemas.openxmlformats.org/officeDocument/2006/relationships/hyperlink" Target="http://www.cmd.org.au/what-we-do/" TargetMode="External"/><Relationship Id="rId20" Type="http://schemas.openxmlformats.org/officeDocument/2006/relationships/hyperlink" Target="http://www.epa.vic.gov.au/" TargetMode="External"/><Relationship Id="rId21" Type="http://schemas.openxmlformats.org/officeDocument/2006/relationships/hyperlink" Target="http://www.themandarin.com.au/57359-chris-eccles-" TargetMode="External"/><Relationship Id="rId22" Type="http://schemas.openxmlformats.org/officeDocument/2006/relationships/hyperlink" Target="http://www.epa.vic.gov.au/" TargetMode="External"/><Relationship Id="rId23" Type="http://schemas.openxmlformats.org/officeDocument/2006/relationships/header" Target="header7.xml"/><Relationship Id="rId24" Type="http://schemas.openxmlformats.org/officeDocument/2006/relationships/image" Target="media/image6.jpeg"/><Relationship Id="rId25" Type="http://schemas.openxmlformats.org/officeDocument/2006/relationships/header" Target="header8.xml"/><Relationship Id="rId26" Type="http://schemas.openxmlformats.org/officeDocument/2006/relationships/header" Target="header9.xml"/><Relationship Id="rId27" Type="http://schemas.openxmlformats.org/officeDocument/2006/relationships/header" Target="header10.xml"/><Relationship Id="rId28" Type="http://schemas.openxmlformats.org/officeDocument/2006/relationships/image" Target="media/image7.jpeg"/><Relationship Id="rId29" Type="http://schemas.openxmlformats.org/officeDocument/2006/relationships/header" Target="header11.xml"/><Relationship Id="rId60" Type="http://schemas.openxmlformats.org/officeDocument/2006/relationships/image" Target="media/image14.jpeg"/><Relationship Id="rId61" Type="http://schemas.openxmlformats.org/officeDocument/2006/relationships/image" Target="media/image15.png"/><Relationship Id="rId62" Type="http://schemas.openxmlformats.org/officeDocument/2006/relationships/header" Target="header25.xml"/><Relationship Id="rId10" Type="http://schemas.openxmlformats.org/officeDocument/2006/relationships/image" Target="media/image3.jpeg"/><Relationship Id="rId11" Type="http://schemas.openxmlformats.org/officeDocument/2006/relationships/image" Target="media/image4.jpeg"/><Relationship Id="rId1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TotalTime>
  <Pages>67</Pages>
  <Words>21670</Words>
  <Characters>126124</Characters>
  <Application>Microsoft Macintosh Word</Application>
  <DocSecurity>0</DocSecurity>
  <Lines>2573</Lines>
  <Paragraphs>874</Paragraphs>
  <ScaleCrop>false</ScaleCrop>
  <Company>Three's a Crowd</Company>
  <LinksUpToDate>false</LinksUpToDate>
  <CharactersWithSpaces>146920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Karina Baird</cp:lastModifiedBy>
  <cp:revision>15</cp:revision>
  <dcterms:created xsi:type="dcterms:W3CDTF">2016-05-31T15:41:00Z</dcterms:created>
  <dcterms:modified xsi:type="dcterms:W3CDTF">2016-06-01T05:54:00Z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2016-05-31T00:00:00Z</vt:filetime>
  </property>
  <property fmtid="{D5CDD505-2E9C-101B-9397-08002B2CF9AE}" pid="3" name="Creator">
    <vt:lpwstr>Adobe InDesign CC 2015 (Macintosh)</vt:lpwstr>
  </property>
  <property fmtid="{D5CDD505-2E9C-101B-9397-08002B2CF9AE}" pid="4" name="LastSaved">
    <vt:filetime>2016-05-31T00:00:00Z</vt:filetime>
  </property>
</Properties>
</file>