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4A025E73" w14:textId="77777777" w:rsidR="00160E7F" w:rsidRDefault="002B0299">
      <w:pPr>
        <w:pStyle w:val="BodyText"/>
        <w:spacing w:before="4"/>
        <w:rPr>
          <w:rFonts w:ascii="Times New Roman"/>
          <w:sz w:val="17"/>
        </w:rPr>
      </w:pPr>
      <w:r>
        <w:rPr>
          <w:noProof/>
        </w:rPr>
        <w:drawing>
          <wp:anchor distT="0" distB="0" distL="0" distR="0" simplePos="0" relativeHeight="251658240" behindDoc="0" locked="0" layoutInCell="1" allowOverlap="1" wp14:anchorId="1640D6FE" wp14:editId="7C019EC8">
            <wp:simplePos x="0" y="0"/>
            <wp:positionH relativeFrom="page">
              <wp:posOffset>965</wp:posOffset>
            </wp:positionH>
            <wp:positionV relativeFrom="page">
              <wp:posOffset>3</wp:posOffset>
            </wp:positionV>
            <wp:extent cx="7559306" cy="10692384"/>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email">
                      <a:extLst>
                        <a:ext uri="{28A0092B-C50C-407E-A947-70E740481C1C}">
                          <a14:useLocalDpi xmlns:a14="http://schemas.microsoft.com/office/drawing/2010/main"/>
                        </a:ext>
                      </a:extLst>
                    </a:blip>
                    <a:stretch>
                      <a:fillRect/>
                    </a:stretch>
                  </pic:blipFill>
                  <pic:spPr>
                    <a:xfrm>
                      <a:off x="0" y="0"/>
                      <a:ext cx="7559306" cy="10692384"/>
                    </a:xfrm>
                    <a:prstGeom prst="rect">
                      <a:avLst/>
                    </a:prstGeom>
                  </pic:spPr>
                </pic:pic>
              </a:graphicData>
            </a:graphic>
          </wp:anchor>
        </w:drawing>
      </w:r>
    </w:p>
    <w:p w14:paraId="57EE41AF" w14:textId="77777777" w:rsidR="00160E7F" w:rsidRDefault="00160E7F">
      <w:pPr>
        <w:rPr>
          <w:rFonts w:ascii="Times New Roman"/>
          <w:sz w:val="17"/>
        </w:rPr>
        <w:sectPr w:rsidR="00160E7F">
          <w:type w:val="continuous"/>
          <w:pgSz w:w="11910" w:h="16840"/>
          <w:pgMar w:top="0" w:right="0" w:bottom="0" w:left="0" w:header="720" w:footer="720" w:gutter="0"/>
          <w:cols w:space="720"/>
        </w:sectPr>
      </w:pPr>
    </w:p>
    <w:p w14:paraId="6A5AC398" w14:textId="77777777" w:rsidR="00160E7F" w:rsidRDefault="000638CB">
      <w:pPr>
        <w:spacing w:before="61"/>
        <w:ind w:right="116"/>
        <w:jc w:val="right"/>
        <w:rPr>
          <w:sz w:val="15"/>
        </w:rPr>
      </w:pPr>
      <w:r>
        <w:lastRenderedPageBreak/>
        <w:pict w14:anchorId="08891C5F">
          <v:group id="_x0000_s1127" style="position:absolute;left:0;text-align:left;margin-left:0;margin-top:0;width:598.8pt;height:841.9pt;z-index:-91048;mso-position-horizontal-relative:page;mso-position-vertical-relative:page" coordsize="11976,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9" type="#_x0000_t75" style="position:absolute;width:11904;height:16838">
              <v:imagedata r:id="rId10" o:title=""/>
            </v:shape>
            <v:line id="_x0000_s1128" style="position:absolute" from="10700,917" to="11906,917" strokecolor="white" strokeweight="7pt"/>
            <w10:wrap anchorx="page" anchory="page"/>
          </v:group>
        </w:pict>
      </w:r>
      <w:r w:rsidR="002B0299">
        <w:rPr>
          <w:color w:val="FFFFFF"/>
          <w:sz w:val="15"/>
        </w:rPr>
        <w:t>201</w:t>
      </w:r>
    </w:p>
    <w:p w14:paraId="370E8313" w14:textId="77777777" w:rsidR="00160E7F" w:rsidRDefault="00160E7F">
      <w:pPr>
        <w:pStyle w:val="BodyText"/>
      </w:pPr>
    </w:p>
    <w:p w14:paraId="42C7361C" w14:textId="77777777" w:rsidR="00160E7F" w:rsidRDefault="00160E7F">
      <w:pPr>
        <w:pStyle w:val="BodyText"/>
      </w:pPr>
    </w:p>
    <w:p w14:paraId="6F73B193" w14:textId="77777777" w:rsidR="00160E7F" w:rsidRDefault="00160E7F">
      <w:pPr>
        <w:pStyle w:val="BodyText"/>
      </w:pPr>
    </w:p>
    <w:p w14:paraId="447059B3" w14:textId="77777777" w:rsidR="00160E7F" w:rsidRDefault="00160E7F">
      <w:pPr>
        <w:pStyle w:val="BodyText"/>
      </w:pPr>
    </w:p>
    <w:p w14:paraId="252E0743" w14:textId="77777777" w:rsidR="00160E7F" w:rsidRDefault="00160E7F">
      <w:pPr>
        <w:pStyle w:val="BodyText"/>
        <w:spacing w:before="5"/>
        <w:rPr>
          <w:sz w:val="17"/>
        </w:rPr>
      </w:pPr>
    </w:p>
    <w:p w14:paraId="71D96A02" w14:textId="77777777" w:rsidR="00160E7F" w:rsidRDefault="002B0299">
      <w:pPr>
        <w:pStyle w:val="BodyText"/>
        <w:ind w:left="134"/>
        <w:jc w:val="both"/>
      </w:pPr>
      <w:r>
        <w:rPr>
          <w:color w:val="FFFFFF"/>
        </w:rPr>
        <w:t>PART C</w:t>
      </w:r>
    </w:p>
    <w:p w14:paraId="3CC4B24F" w14:textId="77777777" w:rsidR="00160E7F" w:rsidRDefault="002B0299">
      <w:pPr>
        <w:pStyle w:val="Heading1"/>
        <w:spacing w:before="102" w:line="440" w:lineRule="exact"/>
        <w:ind w:right="2315"/>
        <w:jc w:val="both"/>
      </w:pPr>
      <w:r>
        <w:rPr>
          <w:color w:val="FFFFFF"/>
          <w:spacing w:val="-7"/>
        </w:rPr>
        <w:t xml:space="preserve">HOW SHOULD </w:t>
      </w:r>
      <w:r>
        <w:rPr>
          <w:color w:val="FFFFFF"/>
          <w:spacing w:val="-5"/>
        </w:rPr>
        <w:t xml:space="preserve">THE </w:t>
      </w:r>
      <w:r>
        <w:rPr>
          <w:color w:val="FFFFFF"/>
          <w:spacing w:val="-15"/>
        </w:rPr>
        <w:t xml:space="preserve">EPA </w:t>
      </w:r>
      <w:r>
        <w:rPr>
          <w:color w:val="FFFFFF"/>
          <w:spacing w:val="-9"/>
        </w:rPr>
        <w:t xml:space="preserve">PERFORM </w:t>
      </w:r>
      <w:r>
        <w:rPr>
          <w:color w:val="FFFFFF"/>
          <w:spacing w:val="-8"/>
        </w:rPr>
        <w:t xml:space="preserve">THESE FUNCTIONS </w:t>
      </w:r>
      <w:r>
        <w:rPr>
          <w:color w:val="FFFFFF"/>
          <w:spacing w:val="-3"/>
        </w:rPr>
        <w:t xml:space="preserve">AND </w:t>
      </w:r>
      <w:r>
        <w:rPr>
          <w:color w:val="FFFFFF"/>
          <w:spacing w:val="-8"/>
        </w:rPr>
        <w:t xml:space="preserve">ACHIEVE ITS </w:t>
      </w:r>
      <w:r>
        <w:rPr>
          <w:color w:val="FFFFFF"/>
          <w:spacing w:val="-11"/>
        </w:rPr>
        <w:t>OBJECTIVES?</w:t>
      </w:r>
    </w:p>
    <w:p w14:paraId="60F9439C" w14:textId="77777777" w:rsidR="00160E7F" w:rsidRDefault="00160E7F">
      <w:pPr>
        <w:spacing w:line="440" w:lineRule="exact"/>
        <w:jc w:val="both"/>
        <w:sectPr w:rsidR="00160E7F">
          <w:pgSz w:w="11910" w:h="16840"/>
          <w:pgMar w:top="740" w:right="1300" w:bottom="280" w:left="1680" w:header="720" w:footer="720" w:gutter="0"/>
          <w:cols w:space="720"/>
        </w:sectPr>
      </w:pPr>
    </w:p>
    <w:p w14:paraId="55A39961" w14:textId="77777777" w:rsidR="00160E7F" w:rsidRDefault="002B0299">
      <w:pPr>
        <w:pStyle w:val="BodyText"/>
        <w:spacing w:before="4"/>
        <w:rPr>
          <w:rFonts w:ascii="Times New Roman"/>
          <w:sz w:val="17"/>
        </w:rPr>
      </w:pPr>
      <w:r>
        <w:rPr>
          <w:noProof/>
        </w:rPr>
        <w:lastRenderedPageBreak/>
        <w:drawing>
          <wp:anchor distT="0" distB="0" distL="0" distR="0" simplePos="0" relativeHeight="268344431" behindDoc="1" locked="0" layoutInCell="1" allowOverlap="1" wp14:anchorId="0F121C4A" wp14:editId="65356108">
            <wp:simplePos x="0" y="0"/>
            <wp:positionH relativeFrom="page">
              <wp:posOffset>0</wp:posOffset>
            </wp:positionH>
            <wp:positionV relativeFrom="page">
              <wp:posOffset>0</wp:posOffset>
            </wp:positionV>
            <wp:extent cx="7560268" cy="10692384"/>
            <wp:effectExtent l="0" t="0" r="0" b="0"/>
            <wp:wrapNone/>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003FF2B0" w14:textId="77777777" w:rsidR="00160E7F" w:rsidRDefault="00160E7F">
      <w:pPr>
        <w:rPr>
          <w:rFonts w:ascii="Times New Roman"/>
          <w:sz w:val="17"/>
        </w:rPr>
        <w:sectPr w:rsidR="00160E7F">
          <w:pgSz w:w="11910" w:h="16840"/>
          <w:pgMar w:top="0" w:right="0" w:bottom="0" w:left="0" w:header="720" w:footer="720" w:gutter="0"/>
          <w:cols w:space="720"/>
        </w:sectPr>
      </w:pPr>
    </w:p>
    <w:p w14:paraId="304DF240" w14:textId="52082C57" w:rsidR="00160E7F" w:rsidRDefault="000638CB">
      <w:pPr>
        <w:spacing w:before="61"/>
        <w:ind w:right="115"/>
        <w:jc w:val="right"/>
        <w:rPr>
          <w:sz w:val="15"/>
        </w:rPr>
      </w:pPr>
      <w:r>
        <w:lastRenderedPageBreak/>
        <w:pict w14:anchorId="1592F715">
          <v:group id="_x0000_s1124" style="position:absolute;left:0;text-align:left;margin-left:0;margin-top:4pt;width:598.8pt;height:841.9pt;z-index:-91000;mso-position-horizontal-relative:page;mso-position-vertical-relative:page" coordsize="11976,16838">
            <v:shape id="_x0000_s1126" type="#_x0000_t75" style="position:absolute;width:11906;height:16838">
              <v:imagedata r:id="rId12" o:title=""/>
            </v:shape>
            <v:line id="_x0000_s1125" style="position:absolute" from="10700,917" to="11906,917" strokecolor="#0095a7" strokeweight="7pt"/>
            <w10:wrap anchorx="page" anchory="page"/>
          </v:group>
        </w:pict>
      </w:r>
      <w:r w:rsidR="002B0299">
        <w:rPr>
          <w:color w:val="58595B"/>
          <w:sz w:val="15"/>
        </w:rPr>
        <w:t>203</w:t>
      </w:r>
    </w:p>
    <w:p w14:paraId="39535074" w14:textId="23B78223" w:rsidR="00160E7F" w:rsidRDefault="00160E7F">
      <w:pPr>
        <w:pStyle w:val="BodyText"/>
      </w:pPr>
    </w:p>
    <w:p w14:paraId="4C4233C7" w14:textId="546EAD66" w:rsidR="00160E7F" w:rsidRDefault="00160E7F">
      <w:pPr>
        <w:pStyle w:val="BodyText"/>
      </w:pPr>
    </w:p>
    <w:p w14:paraId="22C937A1" w14:textId="77777777" w:rsidR="00160E7F" w:rsidRDefault="00160E7F">
      <w:pPr>
        <w:pStyle w:val="BodyText"/>
      </w:pPr>
    </w:p>
    <w:p w14:paraId="1C67E944" w14:textId="73A89058" w:rsidR="00160E7F" w:rsidRDefault="00160E7F">
      <w:pPr>
        <w:pStyle w:val="BodyText"/>
      </w:pPr>
    </w:p>
    <w:p w14:paraId="596C9E02" w14:textId="7C6E54DB" w:rsidR="00160E7F" w:rsidRDefault="00160E7F">
      <w:pPr>
        <w:pStyle w:val="BodyText"/>
        <w:spacing w:before="5"/>
        <w:rPr>
          <w:sz w:val="17"/>
        </w:rPr>
      </w:pPr>
    </w:p>
    <w:p w14:paraId="36F6976E" w14:textId="41060563" w:rsidR="00160E7F" w:rsidRDefault="002B0299">
      <w:pPr>
        <w:pStyle w:val="Heading4"/>
        <w:spacing w:before="0"/>
        <w:ind w:left="134" w:right="822"/>
      </w:pPr>
      <w:r>
        <w:rPr>
          <w:color w:val="0095A7"/>
        </w:rPr>
        <w:t>CHAPTER 11</w:t>
      </w:r>
    </w:p>
    <w:p w14:paraId="2D1C3599" w14:textId="477C7F97" w:rsidR="00160E7F" w:rsidRDefault="002B0299">
      <w:pPr>
        <w:spacing w:before="79"/>
        <w:ind w:left="134" w:right="822"/>
        <w:rPr>
          <w:sz w:val="40"/>
        </w:rPr>
      </w:pPr>
      <w:r>
        <w:rPr>
          <w:color w:val="58595B"/>
          <w:sz w:val="40"/>
        </w:rPr>
        <w:t>THE REGULATORY TOOLKIT</w:t>
      </w:r>
    </w:p>
    <w:p w14:paraId="2E40F1DE" w14:textId="77777777" w:rsidR="00160E7F" w:rsidRDefault="00160E7F">
      <w:pPr>
        <w:rPr>
          <w:sz w:val="40"/>
        </w:rPr>
        <w:sectPr w:rsidR="00160E7F">
          <w:pgSz w:w="11910" w:h="16840"/>
          <w:pgMar w:top="740" w:right="1300" w:bottom="280" w:left="1680" w:header="720" w:footer="720" w:gutter="0"/>
          <w:cols w:space="720"/>
        </w:sectPr>
      </w:pPr>
    </w:p>
    <w:p w14:paraId="0C8BAFD6" w14:textId="77777777" w:rsidR="00160E7F" w:rsidRDefault="00160E7F">
      <w:pPr>
        <w:pStyle w:val="BodyText"/>
      </w:pPr>
    </w:p>
    <w:p w14:paraId="65E56494" w14:textId="77777777" w:rsidR="00160E7F" w:rsidRDefault="00160E7F">
      <w:pPr>
        <w:pStyle w:val="BodyText"/>
      </w:pPr>
    </w:p>
    <w:p w14:paraId="2C5078AE" w14:textId="77777777" w:rsidR="00160E7F" w:rsidRDefault="00160E7F">
      <w:pPr>
        <w:pStyle w:val="BodyText"/>
      </w:pPr>
    </w:p>
    <w:p w14:paraId="263268CE" w14:textId="77777777" w:rsidR="00160E7F" w:rsidRDefault="00160E7F">
      <w:pPr>
        <w:pStyle w:val="BodyText"/>
      </w:pPr>
    </w:p>
    <w:p w14:paraId="76EB6626" w14:textId="77777777" w:rsidR="00160E7F" w:rsidRDefault="002B0299">
      <w:pPr>
        <w:spacing w:before="187"/>
        <w:ind w:left="1417" w:right="789"/>
        <w:rPr>
          <w:sz w:val="28"/>
        </w:rPr>
      </w:pPr>
      <w:r>
        <w:rPr>
          <w:color w:val="0095A7"/>
          <w:sz w:val="28"/>
        </w:rPr>
        <w:t>THE REGULATORY TOOLKIT</w:t>
      </w:r>
    </w:p>
    <w:p w14:paraId="3FBAAC4D" w14:textId="77777777" w:rsidR="00160E7F" w:rsidRDefault="000638CB">
      <w:pPr>
        <w:pStyle w:val="BodyText"/>
        <w:spacing w:before="4"/>
        <w:rPr>
          <w:sz w:val="17"/>
        </w:rPr>
      </w:pPr>
      <w:r>
        <w:pict w14:anchorId="421DB05A">
          <v:shapetype id="_x0000_t202" coordsize="21600,21600" o:spt="202" path="m0,0l0,21600,21600,21600,21600,0xe">
            <v:stroke joinstyle="miter"/>
            <v:path gradientshapeok="t" o:connecttype="rect"/>
          </v:shapetype>
          <v:shape id="_x0000_s1123" type="#_x0000_t202" style="position:absolute;margin-left:70.85pt;margin-top:11.2pt;width:432.7pt;height:114.5pt;z-index:1120;mso-wrap-distance-left:0;mso-wrap-distance-right:0;mso-position-horizontal-relative:page" fillcolor="#eff6f0" stroked="f">
            <v:textbox inset="0,0,0,0">
              <w:txbxContent>
                <w:p w14:paraId="4ADE8662" w14:textId="77777777" w:rsidR="00804E46" w:rsidRDefault="00804E46">
                  <w:pPr>
                    <w:spacing w:before="128"/>
                    <w:ind w:left="170" w:right="567"/>
                    <w:rPr>
                      <w:b/>
                      <w:sz w:val="20"/>
                    </w:rPr>
                  </w:pPr>
                  <w:r>
                    <w:rPr>
                      <w:b/>
                      <w:color w:val="0095A7"/>
                      <w:sz w:val="20"/>
                    </w:rPr>
                    <w:t>KEY MESSAGES</w:t>
                  </w:r>
                </w:p>
                <w:p w14:paraId="55D627C8" w14:textId="77777777" w:rsidR="00804E46" w:rsidRDefault="00804E46">
                  <w:pPr>
                    <w:pStyle w:val="BodyText"/>
                    <w:spacing w:before="153"/>
                    <w:ind w:left="170" w:right="567"/>
                  </w:pPr>
                  <w:r>
                    <w:rPr>
                      <w:color w:val="58595B"/>
                    </w:rPr>
                    <w:t>Effective regulators must have a continuum of tools at their disposal.</w:t>
                  </w:r>
                </w:p>
                <w:p w14:paraId="13C0F6C1" w14:textId="77777777" w:rsidR="00804E46" w:rsidRDefault="00804E46">
                  <w:pPr>
                    <w:pStyle w:val="BodyText"/>
                    <w:spacing w:before="3"/>
                    <w:rPr>
                      <w:sz w:val="18"/>
                    </w:rPr>
                  </w:pPr>
                </w:p>
                <w:p w14:paraId="6CC70E72" w14:textId="77777777" w:rsidR="00804E46" w:rsidRDefault="00804E46">
                  <w:pPr>
                    <w:pStyle w:val="BodyText"/>
                    <w:spacing w:line="280" w:lineRule="auto"/>
                    <w:ind w:left="170" w:right="567"/>
                  </w:pPr>
                  <w:r>
                    <w:rPr>
                      <w:color w:val="58595B"/>
                    </w:rPr>
                    <w:t>The EPA must use its tools proportionately, decisively and in a timely way, to address problems with least regulatory burden.</w:t>
                  </w:r>
                </w:p>
                <w:p w14:paraId="2B821E6E" w14:textId="77777777" w:rsidR="00804E46" w:rsidRDefault="00804E46">
                  <w:pPr>
                    <w:pStyle w:val="BodyText"/>
                    <w:spacing w:before="172" w:line="280" w:lineRule="auto"/>
                    <w:ind w:left="170" w:right="567"/>
                  </w:pPr>
                  <w:r>
                    <w:rPr>
                      <w:color w:val="58595B"/>
                    </w:rPr>
                    <w:t>The EPA needs some strengthened and new tools that better address current and emerging problems.</w:t>
                  </w:r>
                </w:p>
              </w:txbxContent>
            </v:textbox>
            <w10:wrap type="topAndBottom" anchorx="page"/>
          </v:shape>
        </w:pict>
      </w:r>
    </w:p>
    <w:p w14:paraId="7770E068" w14:textId="77777777" w:rsidR="00160E7F" w:rsidRDefault="00160E7F">
      <w:pPr>
        <w:pStyle w:val="BodyText"/>
        <w:spacing w:before="7"/>
        <w:rPr>
          <w:sz w:val="28"/>
        </w:rPr>
      </w:pPr>
    </w:p>
    <w:p w14:paraId="405DFF33" w14:textId="77777777" w:rsidR="00160E7F" w:rsidRDefault="002B0299">
      <w:pPr>
        <w:pStyle w:val="ListParagraph"/>
        <w:numPr>
          <w:ilvl w:val="1"/>
          <w:numId w:val="49"/>
        </w:numPr>
        <w:tabs>
          <w:tab w:val="left" w:pos="1955"/>
        </w:tabs>
        <w:spacing w:before="69"/>
        <w:ind w:hanging="537"/>
        <w:jc w:val="left"/>
        <w:rPr>
          <w:sz w:val="24"/>
        </w:rPr>
      </w:pPr>
      <w:r>
        <w:rPr>
          <w:color w:val="0095A7"/>
          <w:sz w:val="24"/>
        </w:rPr>
        <w:t>Introduction</w:t>
      </w:r>
    </w:p>
    <w:p w14:paraId="71142675" w14:textId="77777777" w:rsidR="00160E7F" w:rsidRDefault="002B0299">
      <w:pPr>
        <w:pStyle w:val="BodyText"/>
        <w:spacing w:before="145" w:line="280" w:lineRule="auto"/>
        <w:ind w:left="1417" w:right="331"/>
        <w:jc w:val="both"/>
      </w:pPr>
      <w:r>
        <w:rPr>
          <w:color w:val="58595B"/>
        </w:rPr>
        <w:t>The inquiry’s terms of reference asked us to consider the scope, adequacy and effectiveness of the EPA’s statutory tools and instruments, to protect the community and the environment and to address new and emerging risks.</w:t>
      </w:r>
    </w:p>
    <w:p w14:paraId="2D145C07" w14:textId="77777777" w:rsidR="00160E7F" w:rsidRDefault="002B0299">
      <w:pPr>
        <w:pStyle w:val="BodyText"/>
        <w:spacing w:before="172" w:line="280" w:lineRule="auto"/>
        <w:ind w:left="1417" w:right="789"/>
      </w:pPr>
      <w:r>
        <w:rPr>
          <w:color w:val="58595B"/>
        </w:rPr>
        <w:t>Many inquiry participants commented about the EPA’s current regulatory toolkit and how it is used:</w:t>
      </w:r>
    </w:p>
    <w:p w14:paraId="011B4666" w14:textId="77777777" w:rsidR="00160E7F" w:rsidRDefault="002B0299">
      <w:pPr>
        <w:spacing w:before="172" w:line="280" w:lineRule="auto"/>
        <w:ind w:left="1984" w:right="789"/>
        <w:rPr>
          <w:sz w:val="20"/>
        </w:rPr>
      </w:pPr>
      <w:r>
        <w:rPr>
          <w:i/>
          <w:color w:val="231F20"/>
          <w:sz w:val="20"/>
        </w:rPr>
        <w:t xml:space="preserve">The shift in paradigm of environmental harm has left the legislative framework around environment protection outdated and inadequate. This has resulted in the EPA not having the right legislative tools to keep up with current environmental challenges. </w:t>
      </w:r>
      <w:r>
        <w:rPr>
          <w:color w:val="231F20"/>
          <w:sz w:val="20"/>
        </w:rPr>
        <w:t>(Law Institute of Victoria submission, p. 2)</w:t>
      </w:r>
    </w:p>
    <w:p w14:paraId="0E685FF8" w14:textId="77777777" w:rsidR="00160E7F" w:rsidRDefault="002B0299">
      <w:pPr>
        <w:spacing w:before="172" w:line="280" w:lineRule="auto"/>
        <w:ind w:left="1984" w:right="789"/>
        <w:rPr>
          <w:sz w:val="20"/>
        </w:rPr>
      </w:pPr>
      <w:r>
        <w:rPr>
          <w:i/>
          <w:color w:val="231F20"/>
          <w:sz w:val="20"/>
        </w:rPr>
        <w:t xml:space="preserve">At present there appears to be a reluctance to enforce and punish industry and government offenders. </w:t>
      </w:r>
      <w:r>
        <w:rPr>
          <w:color w:val="231F20"/>
          <w:sz w:val="20"/>
        </w:rPr>
        <w:t>(Bellarine Landcare Group submission, p. 5)</w:t>
      </w:r>
    </w:p>
    <w:p w14:paraId="55366750" w14:textId="77777777" w:rsidR="00160E7F" w:rsidRDefault="002B0299">
      <w:pPr>
        <w:spacing w:before="172" w:line="280" w:lineRule="auto"/>
        <w:ind w:left="1984" w:right="789"/>
        <w:rPr>
          <w:sz w:val="20"/>
        </w:rPr>
      </w:pPr>
      <w:r>
        <w:rPr>
          <w:i/>
          <w:color w:val="231F20"/>
          <w:sz w:val="20"/>
        </w:rPr>
        <w:t xml:space="preserve">EPA should be undertaking more of an educational and advisory role with local government. </w:t>
      </w:r>
      <w:r>
        <w:rPr>
          <w:color w:val="231F20"/>
          <w:sz w:val="20"/>
        </w:rPr>
        <w:t>(City of Boroondara submission, p. 3)</w:t>
      </w:r>
    </w:p>
    <w:p w14:paraId="23265293" w14:textId="77777777" w:rsidR="00160E7F" w:rsidRDefault="002B0299">
      <w:pPr>
        <w:pStyle w:val="BodyText"/>
        <w:spacing w:before="172" w:line="280" w:lineRule="auto"/>
        <w:ind w:left="1417" w:right="789"/>
      </w:pPr>
      <w:r>
        <w:rPr>
          <w:color w:val="58595B"/>
        </w:rPr>
        <w:t>In this chapter, we consider whether the EPA currently makes full use of the statutory tools available to it and whether these tools adequately equip it for the future:</w:t>
      </w:r>
    </w:p>
    <w:p w14:paraId="103A9FC8" w14:textId="77777777" w:rsidR="00160E7F" w:rsidRDefault="002B0299">
      <w:pPr>
        <w:pStyle w:val="ListParagraph"/>
        <w:numPr>
          <w:ilvl w:val="0"/>
          <w:numId w:val="48"/>
        </w:numPr>
        <w:tabs>
          <w:tab w:val="left" w:pos="1588"/>
        </w:tabs>
        <w:spacing w:before="115"/>
        <w:ind w:hanging="170"/>
        <w:rPr>
          <w:sz w:val="20"/>
        </w:rPr>
      </w:pPr>
      <w:r>
        <w:rPr>
          <w:color w:val="58595B"/>
          <w:sz w:val="20"/>
        </w:rPr>
        <w:t>to address public health issues identified in our first term of</w:t>
      </w:r>
      <w:r>
        <w:rPr>
          <w:color w:val="58595B"/>
          <w:spacing w:val="10"/>
          <w:sz w:val="20"/>
        </w:rPr>
        <w:t xml:space="preserve"> </w:t>
      </w:r>
      <w:r>
        <w:rPr>
          <w:color w:val="58595B"/>
          <w:sz w:val="20"/>
        </w:rPr>
        <w:t>reference</w:t>
      </w:r>
    </w:p>
    <w:p w14:paraId="34106EFC" w14:textId="77777777" w:rsidR="00160E7F" w:rsidRDefault="002B0299">
      <w:pPr>
        <w:pStyle w:val="ListParagraph"/>
        <w:numPr>
          <w:ilvl w:val="0"/>
          <w:numId w:val="48"/>
        </w:numPr>
        <w:tabs>
          <w:tab w:val="left" w:pos="1588"/>
        </w:tabs>
        <w:spacing w:before="153"/>
        <w:ind w:hanging="170"/>
        <w:rPr>
          <w:sz w:val="20"/>
        </w:rPr>
      </w:pPr>
      <w:r>
        <w:rPr>
          <w:color w:val="58595B"/>
          <w:sz w:val="20"/>
        </w:rPr>
        <w:t>to deal effectively with new and emerging environmental hazards</w:t>
      </w:r>
    </w:p>
    <w:p w14:paraId="757E7D47" w14:textId="77777777" w:rsidR="00160E7F" w:rsidRDefault="002B0299">
      <w:pPr>
        <w:pStyle w:val="ListParagraph"/>
        <w:numPr>
          <w:ilvl w:val="0"/>
          <w:numId w:val="48"/>
        </w:numPr>
        <w:tabs>
          <w:tab w:val="left" w:pos="1588"/>
        </w:tabs>
        <w:spacing w:before="153"/>
        <w:ind w:hanging="170"/>
        <w:rPr>
          <w:sz w:val="20"/>
        </w:rPr>
      </w:pPr>
      <w:r>
        <w:rPr>
          <w:color w:val="58595B"/>
          <w:sz w:val="20"/>
        </w:rPr>
        <w:t>to be the strong regulator with a clear focus on prevention that we consider it must be in</w:t>
      </w:r>
      <w:r>
        <w:rPr>
          <w:color w:val="58595B"/>
          <w:spacing w:val="-1"/>
          <w:sz w:val="20"/>
        </w:rPr>
        <w:t xml:space="preserve"> </w:t>
      </w:r>
      <w:r>
        <w:rPr>
          <w:color w:val="58595B"/>
          <w:sz w:val="20"/>
        </w:rPr>
        <w:t>future.</w:t>
      </w:r>
    </w:p>
    <w:p w14:paraId="109914CB" w14:textId="77777777" w:rsidR="00160E7F" w:rsidRDefault="00160E7F">
      <w:pPr>
        <w:pStyle w:val="BodyText"/>
        <w:spacing w:before="3"/>
        <w:rPr>
          <w:sz w:val="18"/>
        </w:rPr>
      </w:pPr>
    </w:p>
    <w:p w14:paraId="5BBF56EF" w14:textId="77777777" w:rsidR="00160E7F" w:rsidRDefault="002B0299">
      <w:pPr>
        <w:pStyle w:val="BodyText"/>
        <w:spacing w:line="280" w:lineRule="auto"/>
        <w:ind w:left="1417" w:right="405"/>
      </w:pPr>
      <w:r>
        <w:rPr>
          <w:color w:val="58595B"/>
        </w:rPr>
        <w:t>In considering the adequacy of the EPA’s tools, instruments and approaches, we reviewed submissions and expert advice on the gaps and deficiencies of the current toolkit and how it has been applied. We also reviewed regulatory models and better practice options from other regulatory frameworks and the practice of environment protection in other jurisdictions.</w:t>
      </w:r>
    </w:p>
    <w:p w14:paraId="5676E896" w14:textId="77777777" w:rsidR="00160E7F" w:rsidRDefault="002B0299">
      <w:pPr>
        <w:pStyle w:val="BodyText"/>
        <w:spacing w:before="172" w:line="280" w:lineRule="auto"/>
        <w:ind w:left="1417" w:right="185"/>
      </w:pPr>
      <w:r>
        <w:rPr>
          <w:color w:val="58595B"/>
        </w:rPr>
        <w:t>The EPA already has the powers to deploy a wide range of regulatory strategies, and it could make greater use of some tools – in particular, education and information, economic instruments, harnessing third parties and existing sanctions.</w:t>
      </w:r>
    </w:p>
    <w:p w14:paraId="2AC5B390" w14:textId="77777777" w:rsidR="00160E7F" w:rsidRDefault="002B0299">
      <w:pPr>
        <w:pStyle w:val="BodyText"/>
        <w:spacing w:before="172"/>
        <w:ind w:left="1417" w:right="789"/>
      </w:pPr>
      <w:r>
        <w:rPr>
          <w:color w:val="58595B"/>
        </w:rPr>
        <w:t>But we also consider the EPA’s toolkit could be enhanced.</w:t>
      </w:r>
    </w:p>
    <w:p w14:paraId="7D865275" w14:textId="77777777" w:rsidR="00160E7F" w:rsidRDefault="00160E7F">
      <w:pPr>
        <w:sectPr w:rsidR="00160E7F">
          <w:headerReference w:type="even" r:id="rId13"/>
          <w:headerReference w:type="default" r:id="rId14"/>
          <w:pgSz w:w="11910" w:h="16840"/>
          <w:pgMar w:top="980" w:right="1680" w:bottom="280" w:left="0" w:header="788" w:footer="0" w:gutter="0"/>
          <w:pgNumType w:start="204"/>
          <w:cols w:space="720"/>
        </w:sectPr>
      </w:pPr>
    </w:p>
    <w:p w14:paraId="251646B8" w14:textId="77777777" w:rsidR="00160E7F" w:rsidRDefault="00160E7F">
      <w:pPr>
        <w:pStyle w:val="BodyText"/>
      </w:pPr>
    </w:p>
    <w:p w14:paraId="62A3D031" w14:textId="77777777" w:rsidR="00160E7F" w:rsidRDefault="00160E7F">
      <w:pPr>
        <w:pStyle w:val="BodyText"/>
      </w:pPr>
    </w:p>
    <w:p w14:paraId="4176CF5A" w14:textId="77777777" w:rsidR="00160E7F" w:rsidRDefault="00160E7F">
      <w:pPr>
        <w:pStyle w:val="BodyText"/>
      </w:pPr>
    </w:p>
    <w:p w14:paraId="05FD8A96" w14:textId="77777777" w:rsidR="00160E7F" w:rsidRDefault="00160E7F">
      <w:pPr>
        <w:pStyle w:val="BodyText"/>
      </w:pPr>
    </w:p>
    <w:p w14:paraId="6ABA5CA1" w14:textId="77777777" w:rsidR="00160E7F" w:rsidRDefault="002B0299">
      <w:pPr>
        <w:pStyle w:val="Heading3"/>
        <w:numPr>
          <w:ilvl w:val="1"/>
          <w:numId w:val="49"/>
        </w:numPr>
        <w:tabs>
          <w:tab w:val="left" w:pos="700"/>
        </w:tabs>
        <w:ind w:left="699" w:hanging="565"/>
        <w:jc w:val="left"/>
      </w:pPr>
      <w:r>
        <w:rPr>
          <w:color w:val="0095A7"/>
        </w:rPr>
        <w:t xml:space="preserve">Is the </w:t>
      </w:r>
      <w:r>
        <w:rPr>
          <w:color w:val="0095A7"/>
          <w:spacing w:val="-5"/>
        </w:rPr>
        <w:t xml:space="preserve">EPA </w:t>
      </w:r>
      <w:r>
        <w:rPr>
          <w:color w:val="0095A7"/>
        </w:rPr>
        <w:t>making the best use of its regulatory toolkit?</w:t>
      </w:r>
    </w:p>
    <w:p w14:paraId="0A8078EA" w14:textId="77777777" w:rsidR="00160E7F" w:rsidRDefault="002B0299">
      <w:pPr>
        <w:pStyle w:val="BodyText"/>
        <w:spacing w:before="145" w:line="280" w:lineRule="auto"/>
        <w:ind w:left="134" w:right="1482"/>
        <w:rPr>
          <w:sz w:val="11"/>
        </w:rPr>
      </w:pPr>
      <w:r>
        <w:rPr>
          <w:color w:val="58595B"/>
        </w:rPr>
        <w:t>A regulator’s choice of regulatory tools and the emphasis it gives to different forms of intervention can be termed its ‘regulatory approach’. The ‘regulatory approach’ describes how a regulator goes about its regulatory task. It is the lens through which the regulator interprets its role and purpose. It drives its actions and the choices it makes, and it explains those choices internally and externally. Ultimately, a regulator’s culture and its conviction in pursuing its regulatory approach is as, or more, important than its regulatory tools. A regulator must be willing to take action and fulfil its regulatory</w:t>
      </w:r>
      <w:r>
        <w:rPr>
          <w:color w:val="58595B"/>
          <w:spacing w:val="23"/>
        </w:rPr>
        <w:t xml:space="preserve"> </w:t>
      </w:r>
      <w:r>
        <w:rPr>
          <w:color w:val="58595B"/>
          <w:spacing w:val="-4"/>
        </w:rPr>
        <w:t>role.</w:t>
      </w:r>
      <w:r>
        <w:rPr>
          <w:color w:val="58595B"/>
          <w:spacing w:val="-4"/>
          <w:position w:val="7"/>
          <w:sz w:val="11"/>
        </w:rPr>
        <w:t>1</w:t>
      </w:r>
    </w:p>
    <w:p w14:paraId="7DAB561C" w14:textId="77777777" w:rsidR="00160E7F" w:rsidRDefault="002B0299">
      <w:pPr>
        <w:pStyle w:val="BodyText"/>
        <w:spacing w:before="172" w:line="280" w:lineRule="auto"/>
        <w:ind w:left="134" w:right="1433"/>
      </w:pPr>
      <w:r>
        <w:rPr>
          <w:color w:val="58595B"/>
        </w:rPr>
        <w:t>The EPA should use an appropriate mix of tools and instruments, depending on the risks being addressed and the characteristics of the parties involved. In practice, the EPA will need and should always have a hierarchy of strategies:</w:t>
      </w:r>
    </w:p>
    <w:p w14:paraId="31137DB6" w14:textId="77777777" w:rsidR="00160E7F" w:rsidRDefault="002B0299">
      <w:pPr>
        <w:pStyle w:val="ListParagraph"/>
        <w:numPr>
          <w:ilvl w:val="0"/>
          <w:numId w:val="47"/>
        </w:numPr>
        <w:tabs>
          <w:tab w:val="left" w:pos="305"/>
        </w:tabs>
        <w:spacing w:before="115" w:line="280" w:lineRule="auto"/>
        <w:ind w:right="2001" w:hanging="170"/>
        <w:rPr>
          <w:sz w:val="20"/>
        </w:rPr>
      </w:pPr>
      <w:r>
        <w:rPr>
          <w:color w:val="58595B"/>
          <w:sz w:val="20"/>
        </w:rPr>
        <w:t>use less burdensome and less resource intensive options such as advice and persuasion where they are</w:t>
      </w:r>
      <w:r>
        <w:rPr>
          <w:color w:val="58595B"/>
          <w:spacing w:val="3"/>
          <w:sz w:val="20"/>
        </w:rPr>
        <w:t xml:space="preserve"> </w:t>
      </w:r>
      <w:r>
        <w:rPr>
          <w:color w:val="58595B"/>
          <w:sz w:val="20"/>
        </w:rPr>
        <w:t>effective</w:t>
      </w:r>
    </w:p>
    <w:p w14:paraId="53CA8D9A" w14:textId="77777777" w:rsidR="00160E7F" w:rsidRDefault="002B0299">
      <w:pPr>
        <w:pStyle w:val="ListParagraph"/>
        <w:numPr>
          <w:ilvl w:val="0"/>
          <w:numId w:val="47"/>
        </w:numPr>
        <w:tabs>
          <w:tab w:val="left" w:pos="305"/>
        </w:tabs>
        <w:spacing w:before="115"/>
        <w:ind w:hanging="170"/>
        <w:rPr>
          <w:sz w:val="20"/>
        </w:rPr>
      </w:pPr>
      <w:r>
        <w:rPr>
          <w:color w:val="58595B"/>
          <w:sz w:val="20"/>
        </w:rPr>
        <w:t>‘incentivise’ economic or informational instruments when the risk of non-compliance is</w:t>
      </w:r>
      <w:r>
        <w:rPr>
          <w:color w:val="58595B"/>
          <w:spacing w:val="30"/>
          <w:sz w:val="20"/>
        </w:rPr>
        <w:t xml:space="preserve"> </w:t>
      </w:r>
      <w:r>
        <w:rPr>
          <w:color w:val="58595B"/>
          <w:sz w:val="20"/>
        </w:rPr>
        <w:t>low</w:t>
      </w:r>
    </w:p>
    <w:p w14:paraId="1CA728A9" w14:textId="77777777" w:rsidR="00160E7F" w:rsidRDefault="002B0299">
      <w:pPr>
        <w:pStyle w:val="ListParagraph"/>
        <w:numPr>
          <w:ilvl w:val="0"/>
          <w:numId w:val="47"/>
        </w:numPr>
        <w:tabs>
          <w:tab w:val="left" w:pos="305"/>
        </w:tabs>
        <w:spacing w:before="153" w:line="280" w:lineRule="auto"/>
        <w:ind w:right="1569" w:hanging="170"/>
        <w:rPr>
          <w:sz w:val="20"/>
        </w:rPr>
      </w:pPr>
      <w:r>
        <w:rPr>
          <w:color w:val="58595B"/>
          <w:sz w:val="20"/>
        </w:rPr>
        <w:t>adopt interventionist compliance and enforcement strategies when justified by the risk of harm to human health and the</w:t>
      </w:r>
      <w:r>
        <w:rPr>
          <w:color w:val="58595B"/>
          <w:spacing w:val="-8"/>
          <w:sz w:val="20"/>
        </w:rPr>
        <w:t xml:space="preserve"> </w:t>
      </w:r>
      <w:r>
        <w:rPr>
          <w:color w:val="58595B"/>
          <w:sz w:val="20"/>
        </w:rPr>
        <w:t>environment.</w:t>
      </w:r>
    </w:p>
    <w:p w14:paraId="53CF9B75" w14:textId="77777777" w:rsidR="00160E7F" w:rsidRDefault="002B0299">
      <w:pPr>
        <w:spacing w:before="172" w:line="280" w:lineRule="auto"/>
        <w:ind w:left="701" w:right="2193"/>
        <w:rPr>
          <w:sz w:val="11"/>
        </w:rPr>
      </w:pPr>
      <w:r>
        <w:rPr>
          <w:i/>
          <w:color w:val="231F20"/>
          <w:sz w:val="20"/>
        </w:rPr>
        <w:t>[B]y having a capability to escalate to tough enforcement, most regulation can be about collaborative capacity building.</w:t>
      </w:r>
      <w:r>
        <w:rPr>
          <w:color w:val="231F20"/>
          <w:position w:val="7"/>
          <w:sz w:val="11"/>
        </w:rPr>
        <w:t>2</w:t>
      </w:r>
    </w:p>
    <w:p w14:paraId="5E8BBCF5" w14:textId="77777777" w:rsidR="00160E7F" w:rsidRDefault="002B0299">
      <w:pPr>
        <w:pStyle w:val="BodyText"/>
        <w:spacing w:before="172" w:line="280" w:lineRule="auto"/>
        <w:ind w:left="134" w:right="1433"/>
      </w:pPr>
      <w:r>
        <w:rPr>
          <w:color w:val="58595B"/>
        </w:rPr>
        <w:t>This</w:t>
      </w:r>
      <w:r>
        <w:rPr>
          <w:color w:val="58595B"/>
          <w:spacing w:val="-9"/>
        </w:rPr>
        <w:t xml:space="preserve"> </w:t>
      </w:r>
      <w:r>
        <w:rPr>
          <w:color w:val="58595B"/>
          <w:spacing w:val="-3"/>
        </w:rPr>
        <w:t>involves</w:t>
      </w:r>
      <w:r>
        <w:rPr>
          <w:color w:val="58595B"/>
          <w:spacing w:val="-9"/>
        </w:rPr>
        <w:t xml:space="preserve"> </w:t>
      </w:r>
      <w:r>
        <w:rPr>
          <w:color w:val="58595B"/>
        </w:rPr>
        <w:t>mature</w:t>
      </w:r>
      <w:r>
        <w:rPr>
          <w:color w:val="58595B"/>
          <w:spacing w:val="-9"/>
        </w:rPr>
        <w:t xml:space="preserve"> </w:t>
      </w:r>
      <w:r>
        <w:rPr>
          <w:color w:val="58595B"/>
          <w:spacing w:val="-2"/>
        </w:rPr>
        <w:t>judgement</w:t>
      </w:r>
      <w:r>
        <w:rPr>
          <w:color w:val="58595B"/>
          <w:spacing w:val="-9"/>
        </w:rPr>
        <w:t xml:space="preserve"> </w:t>
      </w:r>
      <w:r>
        <w:rPr>
          <w:color w:val="58595B"/>
        </w:rPr>
        <w:t>and</w:t>
      </w:r>
      <w:r>
        <w:rPr>
          <w:color w:val="58595B"/>
          <w:spacing w:val="-9"/>
        </w:rPr>
        <w:t xml:space="preserve"> </w:t>
      </w:r>
      <w:r>
        <w:rPr>
          <w:color w:val="58595B"/>
        </w:rPr>
        <w:t>flexibility</w:t>
      </w:r>
      <w:r>
        <w:rPr>
          <w:color w:val="58595B"/>
          <w:spacing w:val="-9"/>
        </w:rPr>
        <w:t xml:space="preserve"> </w:t>
      </w:r>
      <w:r>
        <w:rPr>
          <w:color w:val="58595B"/>
        </w:rPr>
        <w:t>from</w:t>
      </w:r>
      <w:r>
        <w:rPr>
          <w:color w:val="58595B"/>
          <w:spacing w:val="-9"/>
        </w:rPr>
        <w:t xml:space="preserve"> </w:t>
      </w:r>
      <w:r>
        <w:rPr>
          <w:color w:val="58595B"/>
        </w:rPr>
        <w:t>the</w:t>
      </w:r>
      <w:r>
        <w:rPr>
          <w:color w:val="58595B"/>
          <w:spacing w:val="-9"/>
        </w:rPr>
        <w:t xml:space="preserve"> </w:t>
      </w:r>
      <w:r>
        <w:rPr>
          <w:color w:val="58595B"/>
          <w:spacing w:val="-4"/>
        </w:rPr>
        <w:t>regulator,</w:t>
      </w:r>
      <w:r>
        <w:rPr>
          <w:color w:val="58595B"/>
          <w:spacing w:val="-9"/>
        </w:rPr>
        <w:t xml:space="preserve"> </w:t>
      </w:r>
      <w:r>
        <w:rPr>
          <w:color w:val="58595B"/>
        </w:rPr>
        <w:t>based</w:t>
      </w:r>
      <w:r>
        <w:rPr>
          <w:color w:val="58595B"/>
          <w:spacing w:val="-9"/>
        </w:rPr>
        <w:t xml:space="preserve"> </w:t>
      </w:r>
      <w:r>
        <w:rPr>
          <w:color w:val="58595B"/>
        </w:rPr>
        <w:t>on</w:t>
      </w:r>
      <w:r>
        <w:rPr>
          <w:color w:val="58595B"/>
          <w:spacing w:val="-9"/>
        </w:rPr>
        <w:t xml:space="preserve"> </w:t>
      </w:r>
      <w:r>
        <w:rPr>
          <w:color w:val="58595B"/>
        </w:rPr>
        <w:t>a</w:t>
      </w:r>
      <w:r>
        <w:rPr>
          <w:color w:val="58595B"/>
          <w:spacing w:val="-9"/>
        </w:rPr>
        <w:t xml:space="preserve"> </w:t>
      </w:r>
      <w:r>
        <w:rPr>
          <w:color w:val="58595B"/>
        </w:rPr>
        <w:t>good</w:t>
      </w:r>
      <w:r>
        <w:rPr>
          <w:color w:val="58595B"/>
          <w:spacing w:val="-9"/>
        </w:rPr>
        <w:t xml:space="preserve"> </w:t>
      </w:r>
      <w:r>
        <w:rPr>
          <w:color w:val="58595B"/>
        </w:rPr>
        <w:t>understanding</w:t>
      </w:r>
      <w:r>
        <w:rPr>
          <w:color w:val="58595B"/>
          <w:spacing w:val="-9"/>
        </w:rPr>
        <w:t xml:space="preserve"> </w:t>
      </w:r>
      <w:r>
        <w:rPr>
          <w:color w:val="58595B"/>
        </w:rPr>
        <w:t>of what</w:t>
      </w:r>
      <w:r>
        <w:rPr>
          <w:color w:val="58595B"/>
          <w:spacing w:val="-11"/>
        </w:rPr>
        <w:t xml:space="preserve"> </w:t>
      </w:r>
      <w:r>
        <w:rPr>
          <w:color w:val="58595B"/>
        </w:rPr>
        <w:t>constitutes</w:t>
      </w:r>
      <w:r>
        <w:rPr>
          <w:color w:val="58595B"/>
          <w:spacing w:val="-11"/>
        </w:rPr>
        <w:t xml:space="preserve"> </w:t>
      </w:r>
      <w:r>
        <w:rPr>
          <w:color w:val="58595B"/>
        </w:rPr>
        <w:t>a</w:t>
      </w:r>
      <w:r>
        <w:rPr>
          <w:color w:val="58595B"/>
          <w:spacing w:val="-11"/>
        </w:rPr>
        <w:t xml:space="preserve"> </w:t>
      </w:r>
      <w:r>
        <w:rPr>
          <w:color w:val="58595B"/>
        </w:rPr>
        <w:t>proportionate</w:t>
      </w:r>
      <w:r>
        <w:rPr>
          <w:color w:val="58595B"/>
          <w:spacing w:val="-11"/>
        </w:rPr>
        <w:t xml:space="preserve"> </w:t>
      </w:r>
      <w:r>
        <w:rPr>
          <w:color w:val="58595B"/>
        </w:rPr>
        <w:t>response.</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must</w:t>
      </w:r>
      <w:r>
        <w:rPr>
          <w:color w:val="58595B"/>
          <w:spacing w:val="-11"/>
        </w:rPr>
        <w:t xml:space="preserve"> </w:t>
      </w:r>
      <w:r>
        <w:rPr>
          <w:color w:val="58595B"/>
        </w:rPr>
        <w:t>accept</w:t>
      </w:r>
      <w:r>
        <w:rPr>
          <w:color w:val="58595B"/>
          <w:spacing w:val="-11"/>
        </w:rPr>
        <w:t xml:space="preserve"> </w:t>
      </w:r>
      <w:r>
        <w:rPr>
          <w:color w:val="58595B"/>
        </w:rPr>
        <w:t>that</w:t>
      </w:r>
      <w:r>
        <w:rPr>
          <w:color w:val="58595B"/>
          <w:spacing w:val="-11"/>
        </w:rPr>
        <w:t xml:space="preserve"> </w:t>
      </w:r>
      <w:r>
        <w:rPr>
          <w:color w:val="58595B"/>
        </w:rPr>
        <w:t>a</w:t>
      </w:r>
      <w:r>
        <w:rPr>
          <w:color w:val="58595B"/>
          <w:spacing w:val="-11"/>
        </w:rPr>
        <w:t xml:space="preserve"> </w:t>
      </w:r>
      <w:r>
        <w:rPr>
          <w:color w:val="58595B"/>
        </w:rPr>
        <w:t>range</w:t>
      </w:r>
      <w:r>
        <w:rPr>
          <w:color w:val="58595B"/>
          <w:spacing w:val="-11"/>
        </w:rPr>
        <w:t xml:space="preserve"> </w:t>
      </w:r>
      <w:r>
        <w:rPr>
          <w:color w:val="58595B"/>
        </w:rPr>
        <w:t>of</w:t>
      </w:r>
      <w:r>
        <w:rPr>
          <w:color w:val="58595B"/>
          <w:spacing w:val="-11"/>
        </w:rPr>
        <w:t xml:space="preserve"> </w:t>
      </w:r>
      <w:r>
        <w:rPr>
          <w:color w:val="58595B"/>
        </w:rPr>
        <w:t>responses</w:t>
      </w:r>
      <w:r>
        <w:rPr>
          <w:color w:val="58595B"/>
          <w:spacing w:val="-11"/>
        </w:rPr>
        <w:t xml:space="preserve"> </w:t>
      </w:r>
      <w:r>
        <w:rPr>
          <w:color w:val="58595B"/>
        </w:rPr>
        <w:t>need</w:t>
      </w:r>
      <w:r>
        <w:rPr>
          <w:color w:val="58595B"/>
          <w:spacing w:val="-11"/>
        </w:rPr>
        <w:t xml:space="preserve"> </w:t>
      </w:r>
      <w:r>
        <w:rPr>
          <w:color w:val="58595B"/>
        </w:rPr>
        <w:t>to be</w:t>
      </w:r>
      <w:r>
        <w:rPr>
          <w:color w:val="58595B"/>
          <w:spacing w:val="-9"/>
        </w:rPr>
        <w:t xml:space="preserve"> </w:t>
      </w:r>
      <w:r>
        <w:rPr>
          <w:color w:val="58595B"/>
          <w:spacing w:val="-3"/>
        </w:rPr>
        <w:t>available</w:t>
      </w:r>
      <w:r>
        <w:rPr>
          <w:color w:val="58595B"/>
          <w:spacing w:val="-9"/>
        </w:rPr>
        <w:t xml:space="preserve"> </w:t>
      </w:r>
      <w:r>
        <w:rPr>
          <w:color w:val="58595B"/>
        </w:rPr>
        <w:t>at</w:t>
      </w:r>
      <w:r>
        <w:rPr>
          <w:color w:val="58595B"/>
          <w:spacing w:val="-9"/>
        </w:rPr>
        <w:t xml:space="preserve"> </w:t>
      </w:r>
      <w:r>
        <w:rPr>
          <w:color w:val="58595B"/>
        </w:rPr>
        <w:t>all</w:t>
      </w:r>
      <w:r>
        <w:rPr>
          <w:color w:val="58595B"/>
          <w:spacing w:val="-9"/>
        </w:rPr>
        <w:t xml:space="preserve"> </w:t>
      </w:r>
      <w:r>
        <w:rPr>
          <w:color w:val="58595B"/>
        </w:rPr>
        <w:t>times,</w:t>
      </w:r>
      <w:r>
        <w:rPr>
          <w:color w:val="58595B"/>
          <w:spacing w:val="-9"/>
        </w:rPr>
        <w:t xml:space="preserve"> </w:t>
      </w:r>
      <w:r>
        <w:rPr>
          <w:color w:val="58595B"/>
        </w:rPr>
        <w:t>and</w:t>
      </w:r>
      <w:r>
        <w:rPr>
          <w:color w:val="58595B"/>
          <w:spacing w:val="-9"/>
        </w:rPr>
        <w:t xml:space="preserve"> </w:t>
      </w:r>
      <w:r>
        <w:rPr>
          <w:color w:val="58595B"/>
        </w:rPr>
        <w:t>that</w:t>
      </w:r>
      <w:r>
        <w:rPr>
          <w:color w:val="58595B"/>
          <w:spacing w:val="-9"/>
        </w:rPr>
        <w:t xml:space="preserve"> </w:t>
      </w:r>
      <w:r>
        <w:rPr>
          <w:color w:val="58595B"/>
        </w:rPr>
        <w:t>the</w:t>
      </w:r>
      <w:r>
        <w:rPr>
          <w:color w:val="58595B"/>
          <w:spacing w:val="-9"/>
        </w:rPr>
        <w:t xml:space="preserve"> </w:t>
      </w:r>
      <w:r>
        <w:rPr>
          <w:color w:val="58595B"/>
        </w:rPr>
        <w:t>task</w:t>
      </w:r>
      <w:r>
        <w:rPr>
          <w:color w:val="58595B"/>
          <w:spacing w:val="-9"/>
        </w:rPr>
        <w:t xml:space="preserve"> </w:t>
      </w:r>
      <w:r>
        <w:rPr>
          <w:color w:val="58595B"/>
        </w:rPr>
        <w:t>is</w:t>
      </w:r>
      <w:r>
        <w:rPr>
          <w:color w:val="58595B"/>
          <w:spacing w:val="-9"/>
        </w:rPr>
        <w:t xml:space="preserve"> </w:t>
      </w:r>
      <w:r>
        <w:rPr>
          <w:color w:val="58595B"/>
        </w:rPr>
        <w:t>to</w:t>
      </w:r>
      <w:r>
        <w:rPr>
          <w:color w:val="58595B"/>
          <w:spacing w:val="-9"/>
        </w:rPr>
        <w:t xml:space="preserve"> </w:t>
      </w:r>
      <w:r>
        <w:rPr>
          <w:color w:val="58595B"/>
        </w:rPr>
        <w:t>be</w:t>
      </w:r>
      <w:r>
        <w:rPr>
          <w:color w:val="58595B"/>
          <w:spacing w:val="-9"/>
        </w:rPr>
        <w:t xml:space="preserve"> </w:t>
      </w:r>
      <w:r>
        <w:rPr>
          <w:color w:val="58595B"/>
        </w:rPr>
        <w:t>more</w:t>
      </w:r>
      <w:r>
        <w:rPr>
          <w:color w:val="58595B"/>
          <w:spacing w:val="-9"/>
        </w:rPr>
        <w:t xml:space="preserve"> </w:t>
      </w:r>
      <w:r>
        <w:rPr>
          <w:color w:val="58595B"/>
        </w:rPr>
        <w:t>responsive</w:t>
      </w:r>
      <w:r>
        <w:rPr>
          <w:color w:val="58595B"/>
          <w:spacing w:val="-9"/>
        </w:rPr>
        <w:t xml:space="preserve"> </w:t>
      </w:r>
      <w:r>
        <w:rPr>
          <w:color w:val="58595B"/>
        </w:rPr>
        <w:t>to</w:t>
      </w:r>
      <w:r>
        <w:rPr>
          <w:color w:val="58595B"/>
          <w:spacing w:val="-9"/>
        </w:rPr>
        <w:t xml:space="preserve"> </w:t>
      </w:r>
      <w:r>
        <w:rPr>
          <w:color w:val="58595B"/>
        </w:rPr>
        <w:t>the</w:t>
      </w:r>
      <w:r>
        <w:rPr>
          <w:color w:val="58595B"/>
          <w:spacing w:val="-9"/>
        </w:rPr>
        <w:t xml:space="preserve"> </w:t>
      </w:r>
      <w:r>
        <w:rPr>
          <w:color w:val="58595B"/>
        </w:rPr>
        <w:t>risk.</w:t>
      </w:r>
      <w:r>
        <w:rPr>
          <w:color w:val="58595B"/>
          <w:spacing w:val="-9"/>
        </w:rPr>
        <w:t xml:space="preserve"> </w:t>
      </w:r>
      <w:r>
        <w:rPr>
          <w:color w:val="58595B"/>
        </w:rPr>
        <w:t>This</w:t>
      </w:r>
      <w:r>
        <w:rPr>
          <w:color w:val="58595B"/>
          <w:spacing w:val="-9"/>
        </w:rPr>
        <w:t xml:space="preserve"> </w:t>
      </w:r>
      <w:r>
        <w:rPr>
          <w:color w:val="58595B"/>
        </w:rPr>
        <w:t>approach</w:t>
      </w:r>
      <w:r>
        <w:rPr>
          <w:color w:val="58595B"/>
          <w:spacing w:val="-9"/>
        </w:rPr>
        <w:t xml:space="preserve"> </w:t>
      </w:r>
      <w:r>
        <w:rPr>
          <w:color w:val="58595B"/>
        </w:rPr>
        <w:t xml:space="preserve">frees the </w:t>
      </w:r>
      <w:r>
        <w:rPr>
          <w:color w:val="58595B"/>
          <w:spacing w:val="-5"/>
        </w:rPr>
        <w:t xml:space="preserve">EPA </w:t>
      </w:r>
      <w:r>
        <w:rPr>
          <w:color w:val="58595B"/>
        </w:rPr>
        <w:t xml:space="preserve">from the </w:t>
      </w:r>
      <w:r>
        <w:rPr>
          <w:color w:val="58595B"/>
          <w:spacing w:val="-3"/>
        </w:rPr>
        <w:t xml:space="preserve">pendulum </w:t>
      </w:r>
      <w:r>
        <w:rPr>
          <w:color w:val="58595B"/>
        </w:rPr>
        <w:t>swings between cooperative client-based and strong compliance and enforcement</w:t>
      </w:r>
      <w:r>
        <w:rPr>
          <w:color w:val="58595B"/>
          <w:spacing w:val="-14"/>
        </w:rPr>
        <w:t xml:space="preserve"> </w:t>
      </w:r>
      <w:r>
        <w:rPr>
          <w:color w:val="58595B"/>
        </w:rPr>
        <w:t>responses</w:t>
      </w:r>
      <w:r>
        <w:rPr>
          <w:color w:val="58595B"/>
          <w:spacing w:val="-14"/>
        </w:rPr>
        <w:t xml:space="preserve"> </w:t>
      </w:r>
      <w:r>
        <w:rPr>
          <w:color w:val="58595B"/>
        </w:rPr>
        <w:t>that</w:t>
      </w:r>
      <w:r>
        <w:rPr>
          <w:color w:val="58595B"/>
          <w:spacing w:val="-14"/>
        </w:rPr>
        <w:t xml:space="preserve"> </w:t>
      </w:r>
      <w:r>
        <w:rPr>
          <w:color w:val="58595B"/>
          <w:spacing w:val="-3"/>
        </w:rPr>
        <w:t>have</w:t>
      </w:r>
      <w:r>
        <w:rPr>
          <w:color w:val="58595B"/>
          <w:spacing w:val="-14"/>
        </w:rPr>
        <w:t xml:space="preserve"> </w:t>
      </w:r>
      <w:r>
        <w:rPr>
          <w:color w:val="58595B"/>
        </w:rPr>
        <w:t>characterised</w:t>
      </w:r>
      <w:r>
        <w:rPr>
          <w:color w:val="58595B"/>
          <w:spacing w:val="-14"/>
        </w:rPr>
        <w:t xml:space="preserve"> </w:t>
      </w:r>
      <w:r>
        <w:rPr>
          <w:color w:val="58595B"/>
        </w:rPr>
        <w:t>its</w:t>
      </w:r>
      <w:r>
        <w:rPr>
          <w:color w:val="58595B"/>
          <w:spacing w:val="-14"/>
        </w:rPr>
        <w:t xml:space="preserve"> </w:t>
      </w:r>
      <w:r>
        <w:rPr>
          <w:color w:val="58595B"/>
        </w:rPr>
        <w:t>regulatory</w:t>
      </w:r>
      <w:r>
        <w:rPr>
          <w:color w:val="58595B"/>
          <w:spacing w:val="-14"/>
        </w:rPr>
        <w:t xml:space="preserve"> </w:t>
      </w:r>
      <w:r>
        <w:rPr>
          <w:color w:val="58595B"/>
        </w:rPr>
        <w:t>approach</w:t>
      </w:r>
      <w:r>
        <w:rPr>
          <w:color w:val="58595B"/>
          <w:spacing w:val="-14"/>
        </w:rPr>
        <w:t xml:space="preserve"> </w:t>
      </w:r>
      <w:r>
        <w:rPr>
          <w:color w:val="58595B"/>
          <w:spacing w:val="-3"/>
        </w:rPr>
        <w:t>over</w:t>
      </w:r>
      <w:r>
        <w:rPr>
          <w:color w:val="58595B"/>
          <w:spacing w:val="-14"/>
        </w:rPr>
        <w:t xml:space="preserve"> </w:t>
      </w:r>
      <w:r>
        <w:rPr>
          <w:color w:val="58595B"/>
        </w:rPr>
        <w:t>the</w:t>
      </w:r>
      <w:r>
        <w:rPr>
          <w:color w:val="58595B"/>
          <w:spacing w:val="-14"/>
        </w:rPr>
        <w:t xml:space="preserve"> </w:t>
      </w:r>
      <w:r>
        <w:rPr>
          <w:color w:val="58595B"/>
        </w:rPr>
        <w:t>past</w:t>
      </w:r>
      <w:r>
        <w:rPr>
          <w:color w:val="58595B"/>
          <w:spacing w:val="-14"/>
        </w:rPr>
        <w:t xml:space="preserve"> </w:t>
      </w:r>
      <w:r>
        <w:rPr>
          <w:color w:val="58595B"/>
        </w:rPr>
        <w:t>decade.</w:t>
      </w:r>
    </w:p>
    <w:p w14:paraId="31DCDA99" w14:textId="77777777" w:rsidR="00160E7F" w:rsidRDefault="002B0299">
      <w:pPr>
        <w:spacing w:before="172" w:line="280" w:lineRule="auto"/>
        <w:ind w:left="701" w:right="2193"/>
        <w:rPr>
          <w:sz w:val="20"/>
        </w:rPr>
      </w:pPr>
      <w:r>
        <w:rPr>
          <w:i/>
          <w:color w:val="231F20"/>
          <w:sz w:val="20"/>
        </w:rPr>
        <w:t xml:space="preserve">Essential to good regulation is the judgement to know which regulatory tools to employ in which combination for which issues. It is also important that those tools are selected and deployed confidently and decisively, and with an understanding and appreciation of the context in which both the EPA and the people it seeks to influence operate. </w:t>
      </w:r>
      <w:r>
        <w:rPr>
          <w:color w:val="231F20"/>
          <w:sz w:val="20"/>
        </w:rPr>
        <w:t>(Eric Windholz, Monash University submission, p. 5)</w:t>
      </w:r>
    </w:p>
    <w:p w14:paraId="00BAE006" w14:textId="77777777" w:rsidR="00160E7F" w:rsidRDefault="002B0299">
      <w:pPr>
        <w:pStyle w:val="BodyText"/>
        <w:spacing w:before="172" w:line="280" w:lineRule="auto"/>
        <w:ind w:left="134" w:right="1420"/>
      </w:pPr>
      <w:r>
        <w:rPr>
          <w:color w:val="58595B"/>
          <w:spacing w:val="-3"/>
        </w:rPr>
        <w:t>We</w:t>
      </w:r>
      <w:r>
        <w:rPr>
          <w:color w:val="58595B"/>
          <w:spacing w:val="-9"/>
        </w:rPr>
        <w:t xml:space="preserve"> </w:t>
      </w:r>
      <w:r>
        <w:rPr>
          <w:color w:val="58595B"/>
        </w:rPr>
        <w:t>consider</w:t>
      </w:r>
      <w:r>
        <w:rPr>
          <w:color w:val="58595B"/>
          <w:spacing w:val="-9"/>
        </w:rPr>
        <w:t xml:space="preserve"> </w:t>
      </w:r>
      <w:r>
        <w:rPr>
          <w:color w:val="58595B"/>
        </w:rPr>
        <w:t>that</w:t>
      </w:r>
      <w:r>
        <w:rPr>
          <w:color w:val="58595B"/>
          <w:spacing w:val="-9"/>
        </w:rPr>
        <w:t xml:space="preserve"> </w:t>
      </w:r>
      <w:r>
        <w:rPr>
          <w:color w:val="58595B"/>
        </w:rPr>
        <w:t>the</w:t>
      </w:r>
      <w:r>
        <w:rPr>
          <w:color w:val="58595B"/>
          <w:spacing w:val="-9"/>
        </w:rPr>
        <w:t xml:space="preserve"> </w:t>
      </w:r>
      <w:r>
        <w:rPr>
          <w:color w:val="58595B"/>
          <w:spacing w:val="-5"/>
        </w:rPr>
        <w:t>EPA</w:t>
      </w:r>
      <w:r>
        <w:rPr>
          <w:color w:val="58595B"/>
          <w:spacing w:val="-9"/>
        </w:rPr>
        <w:t xml:space="preserve"> </w:t>
      </w:r>
      <w:r>
        <w:rPr>
          <w:color w:val="58595B"/>
        </w:rPr>
        <w:t>has</w:t>
      </w:r>
      <w:r>
        <w:rPr>
          <w:color w:val="58595B"/>
          <w:spacing w:val="-9"/>
        </w:rPr>
        <w:t xml:space="preserve"> </w:t>
      </w:r>
      <w:r>
        <w:rPr>
          <w:color w:val="58595B"/>
        </w:rPr>
        <w:t>not</w:t>
      </w:r>
      <w:r>
        <w:rPr>
          <w:color w:val="58595B"/>
          <w:spacing w:val="-9"/>
        </w:rPr>
        <w:t xml:space="preserve"> </w:t>
      </w:r>
      <w:r>
        <w:rPr>
          <w:color w:val="58595B"/>
        </w:rPr>
        <w:t>made</w:t>
      </w:r>
      <w:r>
        <w:rPr>
          <w:color w:val="58595B"/>
          <w:spacing w:val="-9"/>
        </w:rPr>
        <w:t xml:space="preserve"> </w:t>
      </w:r>
      <w:r>
        <w:rPr>
          <w:color w:val="58595B"/>
        </w:rPr>
        <w:t>best</w:t>
      </w:r>
      <w:r>
        <w:rPr>
          <w:color w:val="58595B"/>
          <w:spacing w:val="-9"/>
        </w:rPr>
        <w:t xml:space="preserve"> </w:t>
      </w:r>
      <w:r>
        <w:rPr>
          <w:color w:val="58595B"/>
        </w:rPr>
        <w:t>use</w:t>
      </w:r>
      <w:r>
        <w:rPr>
          <w:color w:val="58595B"/>
          <w:spacing w:val="-9"/>
        </w:rPr>
        <w:t xml:space="preserve"> </w:t>
      </w:r>
      <w:r>
        <w:rPr>
          <w:color w:val="58595B"/>
        </w:rPr>
        <w:t>of</w:t>
      </w:r>
      <w:r>
        <w:rPr>
          <w:color w:val="58595B"/>
          <w:spacing w:val="-9"/>
        </w:rPr>
        <w:t xml:space="preserve"> </w:t>
      </w:r>
      <w:r>
        <w:rPr>
          <w:color w:val="58595B"/>
        </w:rPr>
        <w:t>its</w:t>
      </w:r>
      <w:r>
        <w:rPr>
          <w:color w:val="58595B"/>
          <w:spacing w:val="-9"/>
        </w:rPr>
        <w:t xml:space="preserve"> </w:t>
      </w:r>
      <w:r>
        <w:rPr>
          <w:color w:val="58595B"/>
          <w:spacing w:val="-3"/>
        </w:rPr>
        <w:t>existing</w:t>
      </w:r>
      <w:r>
        <w:rPr>
          <w:color w:val="58595B"/>
          <w:spacing w:val="-9"/>
        </w:rPr>
        <w:t xml:space="preserve"> </w:t>
      </w:r>
      <w:r>
        <w:rPr>
          <w:color w:val="58595B"/>
        </w:rPr>
        <w:t>powers,</w:t>
      </w:r>
      <w:r>
        <w:rPr>
          <w:color w:val="58595B"/>
          <w:spacing w:val="-9"/>
        </w:rPr>
        <w:t xml:space="preserve"> </w:t>
      </w:r>
      <w:r>
        <w:rPr>
          <w:color w:val="58595B"/>
        </w:rPr>
        <w:t>and</w:t>
      </w:r>
      <w:r>
        <w:rPr>
          <w:color w:val="58595B"/>
          <w:spacing w:val="-9"/>
        </w:rPr>
        <w:t xml:space="preserve"> </w:t>
      </w:r>
      <w:r>
        <w:rPr>
          <w:color w:val="58595B"/>
        </w:rPr>
        <w:t>that</w:t>
      </w:r>
      <w:r>
        <w:rPr>
          <w:color w:val="58595B"/>
          <w:spacing w:val="-9"/>
        </w:rPr>
        <w:t xml:space="preserve"> </w:t>
      </w:r>
      <w:r>
        <w:rPr>
          <w:color w:val="58595B"/>
        </w:rPr>
        <w:t>it</w:t>
      </w:r>
      <w:r>
        <w:rPr>
          <w:color w:val="58595B"/>
          <w:spacing w:val="-9"/>
        </w:rPr>
        <w:t xml:space="preserve"> </w:t>
      </w:r>
      <w:r>
        <w:rPr>
          <w:color w:val="58595B"/>
        </w:rPr>
        <w:t>has</w:t>
      </w:r>
      <w:r>
        <w:rPr>
          <w:color w:val="58595B"/>
          <w:spacing w:val="-9"/>
        </w:rPr>
        <w:t xml:space="preserve"> </w:t>
      </w:r>
      <w:r>
        <w:rPr>
          <w:color w:val="58595B"/>
        </w:rPr>
        <w:t>been</w:t>
      </w:r>
      <w:r>
        <w:rPr>
          <w:color w:val="58595B"/>
          <w:spacing w:val="-9"/>
        </w:rPr>
        <w:t xml:space="preserve"> </w:t>
      </w:r>
      <w:r>
        <w:rPr>
          <w:color w:val="58595B"/>
        </w:rPr>
        <w:t>too</w:t>
      </w:r>
      <w:r>
        <w:rPr>
          <w:color w:val="58595B"/>
          <w:spacing w:val="-9"/>
        </w:rPr>
        <w:t xml:space="preserve"> </w:t>
      </w:r>
      <w:r>
        <w:rPr>
          <w:color w:val="58595B"/>
        </w:rPr>
        <w:t xml:space="preserve">risk </w:t>
      </w:r>
      <w:r>
        <w:rPr>
          <w:color w:val="58595B"/>
          <w:spacing w:val="-3"/>
        </w:rPr>
        <w:t xml:space="preserve">averse </w:t>
      </w:r>
      <w:r>
        <w:rPr>
          <w:color w:val="58595B"/>
        </w:rPr>
        <w:t xml:space="preserve">in applying the tools and powers at its disposal. This is the result, in part, of the </w:t>
      </w:r>
      <w:r>
        <w:rPr>
          <w:color w:val="58595B"/>
          <w:spacing w:val="-3"/>
        </w:rPr>
        <w:t xml:space="preserve">pendulum </w:t>
      </w:r>
      <w:r>
        <w:rPr>
          <w:color w:val="58595B"/>
        </w:rPr>
        <w:t xml:space="preserve">swing of its regulatory approach but also reflects a cultural </w:t>
      </w:r>
      <w:r>
        <w:rPr>
          <w:color w:val="58595B"/>
          <w:spacing w:val="-3"/>
        </w:rPr>
        <w:t xml:space="preserve">issue. </w:t>
      </w:r>
      <w:r>
        <w:rPr>
          <w:color w:val="58595B"/>
        </w:rPr>
        <w:t xml:space="preserve">The </w:t>
      </w:r>
      <w:r>
        <w:rPr>
          <w:color w:val="58595B"/>
          <w:spacing w:val="-5"/>
        </w:rPr>
        <w:t xml:space="preserve">EPA </w:t>
      </w:r>
      <w:r>
        <w:rPr>
          <w:color w:val="58595B"/>
        </w:rPr>
        <w:t xml:space="preserve">can and should use its </w:t>
      </w:r>
      <w:r>
        <w:rPr>
          <w:color w:val="58595B"/>
          <w:spacing w:val="-3"/>
        </w:rPr>
        <w:t>existing</w:t>
      </w:r>
      <w:r>
        <w:rPr>
          <w:color w:val="58595B"/>
          <w:spacing w:val="-10"/>
        </w:rPr>
        <w:t xml:space="preserve"> </w:t>
      </w:r>
      <w:r>
        <w:rPr>
          <w:color w:val="58595B"/>
        </w:rPr>
        <w:t>powers</w:t>
      </w:r>
      <w:r>
        <w:rPr>
          <w:color w:val="58595B"/>
          <w:spacing w:val="-10"/>
        </w:rPr>
        <w:t xml:space="preserve"> </w:t>
      </w:r>
      <w:r>
        <w:rPr>
          <w:color w:val="58595B"/>
        </w:rPr>
        <w:t>and</w:t>
      </w:r>
      <w:r>
        <w:rPr>
          <w:color w:val="58595B"/>
          <w:spacing w:val="-10"/>
        </w:rPr>
        <w:t xml:space="preserve"> </w:t>
      </w:r>
      <w:r>
        <w:rPr>
          <w:color w:val="58595B"/>
        </w:rPr>
        <w:t>tools</w:t>
      </w:r>
      <w:r>
        <w:rPr>
          <w:color w:val="58595B"/>
          <w:spacing w:val="-10"/>
        </w:rPr>
        <w:t xml:space="preserve"> </w:t>
      </w:r>
      <w:r>
        <w:rPr>
          <w:color w:val="58595B"/>
        </w:rPr>
        <w:t>decisively;</w:t>
      </w:r>
      <w:r>
        <w:rPr>
          <w:color w:val="58595B"/>
          <w:spacing w:val="-10"/>
        </w:rPr>
        <w:t xml:space="preserve"> </w:t>
      </w:r>
      <w:r>
        <w:rPr>
          <w:color w:val="58595B"/>
        </w:rPr>
        <w:t>it</w:t>
      </w:r>
      <w:r>
        <w:rPr>
          <w:color w:val="58595B"/>
          <w:spacing w:val="-10"/>
        </w:rPr>
        <w:t xml:space="preserve"> </w:t>
      </w:r>
      <w:r>
        <w:rPr>
          <w:color w:val="58595B"/>
        </w:rPr>
        <w:t>does</w:t>
      </w:r>
      <w:r>
        <w:rPr>
          <w:color w:val="58595B"/>
          <w:spacing w:val="-10"/>
        </w:rPr>
        <w:t xml:space="preserve"> </w:t>
      </w:r>
      <w:r>
        <w:rPr>
          <w:color w:val="58595B"/>
        </w:rPr>
        <w:t>not</w:t>
      </w:r>
      <w:r>
        <w:rPr>
          <w:color w:val="58595B"/>
          <w:spacing w:val="-10"/>
        </w:rPr>
        <w:t xml:space="preserve"> </w:t>
      </w:r>
      <w:r>
        <w:rPr>
          <w:color w:val="58595B"/>
          <w:spacing w:val="-3"/>
        </w:rPr>
        <w:t>have</w:t>
      </w:r>
      <w:r>
        <w:rPr>
          <w:color w:val="58595B"/>
          <w:spacing w:val="-10"/>
        </w:rPr>
        <w:t xml:space="preserve"> </w:t>
      </w:r>
      <w:r>
        <w:rPr>
          <w:color w:val="58595B"/>
        </w:rPr>
        <w:t>to</w:t>
      </w:r>
      <w:r>
        <w:rPr>
          <w:color w:val="58595B"/>
          <w:spacing w:val="-10"/>
        </w:rPr>
        <w:t xml:space="preserve"> </w:t>
      </w:r>
      <w:r>
        <w:rPr>
          <w:color w:val="58595B"/>
          <w:spacing w:val="-3"/>
        </w:rPr>
        <w:t>wait</w:t>
      </w:r>
      <w:r>
        <w:rPr>
          <w:color w:val="58595B"/>
          <w:spacing w:val="-10"/>
        </w:rPr>
        <w:t xml:space="preserve"> </w:t>
      </w:r>
      <w:r>
        <w:rPr>
          <w:color w:val="58595B"/>
        </w:rPr>
        <w:t>for</w:t>
      </w:r>
      <w:r>
        <w:rPr>
          <w:color w:val="58595B"/>
          <w:spacing w:val="-10"/>
        </w:rPr>
        <w:t xml:space="preserve"> </w:t>
      </w:r>
      <w:r>
        <w:rPr>
          <w:color w:val="58595B"/>
        </w:rPr>
        <w:t>legislative</w:t>
      </w:r>
      <w:r>
        <w:rPr>
          <w:color w:val="58595B"/>
          <w:spacing w:val="-10"/>
        </w:rPr>
        <w:t xml:space="preserve"> </w:t>
      </w:r>
      <w:r>
        <w:rPr>
          <w:color w:val="58595B"/>
        </w:rPr>
        <w:t>changes</w:t>
      </w:r>
      <w:r>
        <w:rPr>
          <w:color w:val="58595B"/>
          <w:spacing w:val="-10"/>
        </w:rPr>
        <w:t xml:space="preserve"> </w:t>
      </w:r>
      <w:r>
        <w:rPr>
          <w:color w:val="58595B"/>
        </w:rPr>
        <w:t>to</w:t>
      </w:r>
      <w:r>
        <w:rPr>
          <w:color w:val="58595B"/>
          <w:spacing w:val="-10"/>
        </w:rPr>
        <w:t xml:space="preserve"> </w:t>
      </w:r>
      <w:r>
        <w:rPr>
          <w:color w:val="58595B"/>
        </w:rPr>
        <w:t>be</w:t>
      </w:r>
      <w:r>
        <w:rPr>
          <w:color w:val="58595B"/>
          <w:spacing w:val="-10"/>
        </w:rPr>
        <w:t xml:space="preserve"> </w:t>
      </w:r>
      <w:r>
        <w:rPr>
          <w:color w:val="58595B"/>
          <w:spacing w:val="-3"/>
        </w:rPr>
        <w:t>made.</w:t>
      </w:r>
    </w:p>
    <w:p w14:paraId="1C3101C0" w14:textId="77777777" w:rsidR="00160E7F" w:rsidRDefault="00160E7F">
      <w:pPr>
        <w:pStyle w:val="BodyText"/>
        <w:spacing w:before="4"/>
        <w:rPr>
          <w:sz w:val="22"/>
        </w:rPr>
      </w:pPr>
    </w:p>
    <w:p w14:paraId="1F1CE5BD" w14:textId="77777777" w:rsidR="00160E7F" w:rsidRDefault="002B0299">
      <w:pPr>
        <w:pStyle w:val="BodyText"/>
        <w:ind w:left="134" w:right="789"/>
      </w:pPr>
      <w:r>
        <w:rPr>
          <w:color w:val="0095A7"/>
        </w:rPr>
        <w:t>11.2.1  A risk-based approach to problem solving</w:t>
      </w:r>
    </w:p>
    <w:p w14:paraId="32A65179" w14:textId="77777777" w:rsidR="00160E7F" w:rsidRDefault="002B0299">
      <w:pPr>
        <w:pStyle w:val="BodyText"/>
        <w:spacing w:before="153" w:line="280" w:lineRule="auto"/>
        <w:ind w:left="134" w:right="1541"/>
        <w:jc w:val="both"/>
        <w:rPr>
          <w:sz w:val="11"/>
        </w:rPr>
      </w:pPr>
      <w:r>
        <w:rPr>
          <w:color w:val="58595B"/>
        </w:rPr>
        <w:t>A risk-based regulator embeds risk-based decision making at all levels of the organisation, from agency wide strategic planning to frontline decision making. It prepares for the consequences of residual and emerging risks through contingency planning, which can help it respond effectively and proportionately, explain its response and manage public concerns. It cannot eliminate public concerns and demands for action, but it may avoid overreaction to adverse events.</w:t>
      </w:r>
      <w:r>
        <w:rPr>
          <w:color w:val="58595B"/>
          <w:position w:val="7"/>
          <w:sz w:val="11"/>
        </w:rPr>
        <w:t>3</w:t>
      </w:r>
    </w:p>
    <w:p w14:paraId="31906DEE" w14:textId="77777777" w:rsidR="00160E7F" w:rsidRDefault="002B0299">
      <w:pPr>
        <w:pStyle w:val="BodyText"/>
        <w:spacing w:before="172" w:line="280" w:lineRule="auto"/>
        <w:ind w:left="134" w:right="1716"/>
      </w:pPr>
      <w:r>
        <w:rPr>
          <w:color w:val="58595B"/>
        </w:rPr>
        <w:t>Risks</w:t>
      </w:r>
      <w:r>
        <w:rPr>
          <w:color w:val="58595B"/>
          <w:spacing w:val="-10"/>
        </w:rPr>
        <w:t xml:space="preserve"> </w:t>
      </w:r>
      <w:r>
        <w:rPr>
          <w:color w:val="58595B"/>
        </w:rPr>
        <w:t>change</w:t>
      </w:r>
      <w:r>
        <w:rPr>
          <w:color w:val="58595B"/>
          <w:spacing w:val="-10"/>
        </w:rPr>
        <w:t xml:space="preserve"> </w:t>
      </w:r>
      <w:r>
        <w:rPr>
          <w:color w:val="58595B"/>
          <w:spacing w:val="-3"/>
        </w:rPr>
        <w:t>over</w:t>
      </w:r>
      <w:r>
        <w:rPr>
          <w:color w:val="58595B"/>
          <w:spacing w:val="-10"/>
        </w:rPr>
        <w:t xml:space="preserve"> </w:t>
      </w:r>
      <w:r>
        <w:rPr>
          <w:color w:val="58595B"/>
        </w:rPr>
        <w:t>time,</w:t>
      </w:r>
      <w:r>
        <w:rPr>
          <w:color w:val="58595B"/>
          <w:spacing w:val="-10"/>
        </w:rPr>
        <w:t xml:space="preserve"> </w:t>
      </w:r>
      <w:r>
        <w:rPr>
          <w:color w:val="58595B"/>
        </w:rPr>
        <w:t>so</w:t>
      </w:r>
      <w:r>
        <w:rPr>
          <w:color w:val="58595B"/>
          <w:spacing w:val="-10"/>
        </w:rPr>
        <w:t xml:space="preserve"> </w:t>
      </w:r>
      <w:r>
        <w:rPr>
          <w:color w:val="58595B"/>
        </w:rPr>
        <w:t>the</w:t>
      </w:r>
      <w:r>
        <w:rPr>
          <w:color w:val="58595B"/>
          <w:spacing w:val="-10"/>
        </w:rPr>
        <w:t xml:space="preserve"> </w:t>
      </w:r>
      <w:r>
        <w:rPr>
          <w:color w:val="58595B"/>
        </w:rPr>
        <w:t>regulator</w:t>
      </w:r>
      <w:r>
        <w:rPr>
          <w:color w:val="58595B"/>
          <w:spacing w:val="-10"/>
        </w:rPr>
        <w:t xml:space="preserve"> </w:t>
      </w:r>
      <w:r>
        <w:rPr>
          <w:color w:val="58595B"/>
        </w:rPr>
        <w:t>needs</w:t>
      </w:r>
      <w:r>
        <w:rPr>
          <w:color w:val="58595B"/>
          <w:spacing w:val="-10"/>
        </w:rPr>
        <w:t xml:space="preserve"> </w:t>
      </w:r>
      <w:r>
        <w:rPr>
          <w:color w:val="58595B"/>
        </w:rPr>
        <w:t>data</w:t>
      </w:r>
      <w:r>
        <w:rPr>
          <w:color w:val="58595B"/>
          <w:spacing w:val="-10"/>
        </w:rPr>
        <w:t xml:space="preserve"> </w:t>
      </w:r>
      <w:r>
        <w:rPr>
          <w:color w:val="58595B"/>
        </w:rPr>
        <w:t>and</w:t>
      </w:r>
      <w:r>
        <w:rPr>
          <w:color w:val="58595B"/>
          <w:spacing w:val="-10"/>
        </w:rPr>
        <w:t xml:space="preserve"> </w:t>
      </w:r>
      <w:r>
        <w:rPr>
          <w:color w:val="58595B"/>
        </w:rPr>
        <w:t>information</w:t>
      </w:r>
      <w:r>
        <w:rPr>
          <w:color w:val="58595B"/>
          <w:spacing w:val="-10"/>
        </w:rPr>
        <w:t xml:space="preserve"> </w:t>
      </w:r>
      <w:r>
        <w:rPr>
          <w:color w:val="58595B"/>
        </w:rPr>
        <w:t>to</w:t>
      </w:r>
      <w:r>
        <w:rPr>
          <w:color w:val="58595B"/>
          <w:spacing w:val="-10"/>
        </w:rPr>
        <w:t xml:space="preserve"> </w:t>
      </w:r>
      <w:r>
        <w:rPr>
          <w:color w:val="58595B"/>
        </w:rPr>
        <w:t>monitor</w:t>
      </w:r>
      <w:r>
        <w:rPr>
          <w:color w:val="58595B"/>
          <w:spacing w:val="-10"/>
        </w:rPr>
        <w:t xml:space="preserve"> </w:t>
      </w:r>
      <w:r>
        <w:rPr>
          <w:color w:val="58595B"/>
        </w:rPr>
        <w:t>risks</w:t>
      </w:r>
      <w:r>
        <w:rPr>
          <w:color w:val="58595B"/>
          <w:spacing w:val="-10"/>
        </w:rPr>
        <w:t xml:space="preserve"> </w:t>
      </w:r>
      <w:r>
        <w:rPr>
          <w:color w:val="58595B"/>
        </w:rPr>
        <w:t>and</w:t>
      </w:r>
      <w:r>
        <w:rPr>
          <w:color w:val="58595B"/>
          <w:spacing w:val="-10"/>
        </w:rPr>
        <w:t xml:space="preserve"> </w:t>
      </w:r>
      <w:r>
        <w:rPr>
          <w:color w:val="58595B"/>
          <w:spacing w:val="-3"/>
        </w:rPr>
        <w:t xml:space="preserve">adapt </w:t>
      </w:r>
      <w:r>
        <w:rPr>
          <w:color w:val="58595B"/>
        </w:rPr>
        <w:t>its</w:t>
      </w:r>
      <w:r>
        <w:rPr>
          <w:color w:val="58595B"/>
          <w:spacing w:val="-12"/>
        </w:rPr>
        <w:t xml:space="preserve"> </w:t>
      </w:r>
      <w:r>
        <w:rPr>
          <w:color w:val="58595B"/>
        </w:rPr>
        <w:t>focus</w:t>
      </w:r>
      <w:r>
        <w:rPr>
          <w:color w:val="58595B"/>
          <w:spacing w:val="-12"/>
        </w:rPr>
        <w:t xml:space="preserve"> </w:t>
      </w:r>
      <w:r>
        <w:rPr>
          <w:color w:val="58595B"/>
        </w:rPr>
        <w:t>and</w:t>
      </w:r>
      <w:r>
        <w:rPr>
          <w:color w:val="58595B"/>
          <w:spacing w:val="-12"/>
        </w:rPr>
        <w:t xml:space="preserve"> </w:t>
      </w:r>
      <w:r>
        <w:rPr>
          <w:color w:val="58595B"/>
        </w:rPr>
        <w:t>strategies.</w:t>
      </w:r>
      <w:r>
        <w:rPr>
          <w:color w:val="58595B"/>
          <w:spacing w:val="-12"/>
        </w:rPr>
        <w:t xml:space="preserve"> </w:t>
      </w:r>
      <w:r>
        <w:rPr>
          <w:color w:val="58595B"/>
        </w:rPr>
        <w:t>It</w:t>
      </w:r>
      <w:r>
        <w:rPr>
          <w:color w:val="58595B"/>
          <w:spacing w:val="-12"/>
        </w:rPr>
        <w:t xml:space="preserve"> </w:t>
      </w:r>
      <w:r>
        <w:rPr>
          <w:color w:val="58595B"/>
        </w:rPr>
        <w:t>also</w:t>
      </w:r>
      <w:r>
        <w:rPr>
          <w:color w:val="58595B"/>
          <w:spacing w:val="-12"/>
        </w:rPr>
        <w:t xml:space="preserve"> </w:t>
      </w:r>
      <w:r>
        <w:rPr>
          <w:color w:val="58595B"/>
        </w:rPr>
        <w:t>needs</w:t>
      </w:r>
      <w:r>
        <w:rPr>
          <w:color w:val="58595B"/>
          <w:spacing w:val="-12"/>
        </w:rPr>
        <w:t xml:space="preserve"> </w:t>
      </w:r>
      <w:r>
        <w:rPr>
          <w:color w:val="58595B"/>
        </w:rPr>
        <w:t>information</w:t>
      </w:r>
      <w:r>
        <w:rPr>
          <w:color w:val="58595B"/>
          <w:spacing w:val="-12"/>
        </w:rPr>
        <w:t xml:space="preserve"> </w:t>
      </w:r>
      <w:r>
        <w:rPr>
          <w:color w:val="58595B"/>
        </w:rPr>
        <w:t>to</w:t>
      </w:r>
      <w:r>
        <w:rPr>
          <w:color w:val="58595B"/>
          <w:spacing w:val="-12"/>
        </w:rPr>
        <w:t xml:space="preserve"> </w:t>
      </w:r>
      <w:r>
        <w:rPr>
          <w:color w:val="58595B"/>
        </w:rPr>
        <w:t>understand</w:t>
      </w:r>
      <w:r>
        <w:rPr>
          <w:color w:val="58595B"/>
          <w:spacing w:val="-12"/>
        </w:rPr>
        <w:t xml:space="preserve"> </w:t>
      </w:r>
      <w:r>
        <w:rPr>
          <w:color w:val="58595B"/>
        </w:rPr>
        <w:t>the</w:t>
      </w:r>
      <w:r>
        <w:rPr>
          <w:color w:val="58595B"/>
          <w:spacing w:val="-12"/>
        </w:rPr>
        <w:t xml:space="preserve"> </w:t>
      </w:r>
      <w:r>
        <w:rPr>
          <w:color w:val="58595B"/>
        </w:rPr>
        <w:t>characteristics</w:t>
      </w:r>
      <w:r>
        <w:rPr>
          <w:color w:val="58595B"/>
          <w:spacing w:val="-12"/>
        </w:rPr>
        <w:t xml:space="preserve"> </w:t>
      </w:r>
      <w:r>
        <w:rPr>
          <w:color w:val="58595B"/>
        </w:rPr>
        <w:t>of</w:t>
      </w:r>
      <w:r>
        <w:rPr>
          <w:color w:val="58595B"/>
          <w:spacing w:val="-12"/>
        </w:rPr>
        <w:t xml:space="preserve"> </w:t>
      </w:r>
      <w:r>
        <w:rPr>
          <w:color w:val="58595B"/>
        </w:rPr>
        <w:t>the</w:t>
      </w:r>
      <w:r>
        <w:rPr>
          <w:color w:val="58595B"/>
          <w:spacing w:val="-12"/>
        </w:rPr>
        <w:t xml:space="preserve"> </w:t>
      </w:r>
      <w:r>
        <w:rPr>
          <w:color w:val="58595B"/>
        </w:rPr>
        <w:t>parties</w:t>
      </w:r>
    </w:p>
    <w:p w14:paraId="0CD612ED" w14:textId="77777777" w:rsidR="00160E7F" w:rsidRDefault="002B0299">
      <w:pPr>
        <w:pStyle w:val="BodyText"/>
        <w:spacing w:before="2" w:line="280" w:lineRule="auto"/>
        <w:ind w:left="134" w:right="789"/>
        <w:rPr>
          <w:sz w:val="11"/>
        </w:rPr>
      </w:pPr>
      <w:r>
        <w:rPr>
          <w:color w:val="58595B"/>
          <w:spacing w:val="-3"/>
        </w:rPr>
        <w:t>involved.</w:t>
      </w:r>
      <w:r>
        <w:rPr>
          <w:color w:val="58595B"/>
          <w:spacing w:val="-11"/>
        </w:rPr>
        <w:t xml:space="preserve"> </w:t>
      </w:r>
      <w:r>
        <w:rPr>
          <w:color w:val="58595B"/>
          <w:spacing w:val="-3"/>
        </w:rPr>
        <w:t>Regulated</w:t>
      </w:r>
      <w:r>
        <w:rPr>
          <w:color w:val="58595B"/>
          <w:spacing w:val="-11"/>
        </w:rPr>
        <w:t xml:space="preserve"> </w:t>
      </w:r>
      <w:r>
        <w:rPr>
          <w:color w:val="58595B"/>
        </w:rPr>
        <w:t>entities</w:t>
      </w:r>
      <w:r>
        <w:rPr>
          <w:color w:val="58595B"/>
          <w:spacing w:val="-11"/>
        </w:rPr>
        <w:t xml:space="preserve"> </w:t>
      </w:r>
      <w:r>
        <w:rPr>
          <w:color w:val="58595B"/>
          <w:spacing w:val="-3"/>
        </w:rPr>
        <w:t>have</w:t>
      </w:r>
      <w:r>
        <w:rPr>
          <w:color w:val="58595B"/>
          <w:spacing w:val="-11"/>
        </w:rPr>
        <w:t xml:space="preserve"> </w:t>
      </w:r>
      <w:r>
        <w:rPr>
          <w:color w:val="58595B"/>
        </w:rPr>
        <w:t>a</w:t>
      </w:r>
      <w:r>
        <w:rPr>
          <w:color w:val="58595B"/>
          <w:spacing w:val="-11"/>
        </w:rPr>
        <w:t xml:space="preserve"> </w:t>
      </w:r>
      <w:r>
        <w:rPr>
          <w:color w:val="58595B"/>
        </w:rPr>
        <w:t>variety</w:t>
      </w:r>
      <w:r>
        <w:rPr>
          <w:color w:val="58595B"/>
          <w:spacing w:val="-11"/>
        </w:rPr>
        <w:t xml:space="preserve"> </w:t>
      </w:r>
      <w:r>
        <w:rPr>
          <w:color w:val="58595B"/>
        </w:rPr>
        <w:t>of</w:t>
      </w:r>
      <w:r>
        <w:rPr>
          <w:color w:val="58595B"/>
          <w:spacing w:val="-11"/>
        </w:rPr>
        <w:t xml:space="preserve"> </w:t>
      </w:r>
      <w:r>
        <w:rPr>
          <w:color w:val="58595B"/>
        </w:rPr>
        <w:t>motivations</w:t>
      </w:r>
      <w:r>
        <w:rPr>
          <w:color w:val="58595B"/>
          <w:spacing w:val="-11"/>
        </w:rPr>
        <w:t xml:space="preserve"> </w:t>
      </w:r>
      <w:r>
        <w:rPr>
          <w:color w:val="58595B"/>
        </w:rPr>
        <w:t>and</w:t>
      </w:r>
      <w:r>
        <w:rPr>
          <w:color w:val="58595B"/>
          <w:spacing w:val="-11"/>
        </w:rPr>
        <w:t xml:space="preserve"> </w:t>
      </w:r>
      <w:r>
        <w:rPr>
          <w:color w:val="58595B"/>
        </w:rPr>
        <w:t>capabilities,</w:t>
      </w:r>
      <w:r>
        <w:rPr>
          <w:color w:val="58595B"/>
          <w:spacing w:val="-11"/>
        </w:rPr>
        <w:t xml:space="preserve"> </w:t>
      </w:r>
      <w:r>
        <w:rPr>
          <w:color w:val="58595B"/>
        </w:rPr>
        <w:t>so</w:t>
      </w:r>
      <w:r>
        <w:rPr>
          <w:color w:val="58595B"/>
          <w:spacing w:val="-11"/>
        </w:rPr>
        <w:t xml:space="preserve"> </w:t>
      </w:r>
      <w:r>
        <w:rPr>
          <w:color w:val="58595B"/>
        </w:rPr>
        <w:t>the</w:t>
      </w:r>
      <w:r>
        <w:rPr>
          <w:color w:val="58595B"/>
          <w:spacing w:val="-11"/>
        </w:rPr>
        <w:t xml:space="preserve"> </w:t>
      </w:r>
      <w:r>
        <w:rPr>
          <w:color w:val="58595B"/>
        </w:rPr>
        <w:t>regulator</w:t>
      </w:r>
      <w:r>
        <w:rPr>
          <w:color w:val="58595B"/>
          <w:spacing w:val="-11"/>
        </w:rPr>
        <w:t xml:space="preserve"> </w:t>
      </w:r>
      <w:r>
        <w:rPr>
          <w:color w:val="58595B"/>
        </w:rPr>
        <w:t>must</w:t>
      </w:r>
      <w:r>
        <w:rPr>
          <w:color w:val="58595B"/>
          <w:spacing w:val="-11"/>
        </w:rPr>
        <w:t xml:space="preserve"> </w:t>
      </w:r>
      <w:r>
        <w:rPr>
          <w:color w:val="58595B"/>
        </w:rPr>
        <w:t>use strategies</w:t>
      </w:r>
      <w:r>
        <w:rPr>
          <w:color w:val="58595B"/>
          <w:spacing w:val="-11"/>
        </w:rPr>
        <w:t xml:space="preserve"> </w:t>
      </w:r>
      <w:r>
        <w:rPr>
          <w:color w:val="58595B"/>
        </w:rPr>
        <w:t>that</w:t>
      </w:r>
      <w:r>
        <w:rPr>
          <w:color w:val="58595B"/>
          <w:spacing w:val="-11"/>
        </w:rPr>
        <w:t xml:space="preserve"> </w:t>
      </w:r>
      <w:r>
        <w:rPr>
          <w:color w:val="58595B"/>
          <w:spacing w:val="-3"/>
        </w:rPr>
        <w:t>deter</w:t>
      </w:r>
      <w:r>
        <w:rPr>
          <w:color w:val="58595B"/>
          <w:spacing w:val="-11"/>
        </w:rPr>
        <w:t xml:space="preserve"> </w:t>
      </w:r>
      <w:r>
        <w:rPr>
          <w:color w:val="58595B"/>
        </w:rPr>
        <w:t>egregious</w:t>
      </w:r>
      <w:r>
        <w:rPr>
          <w:color w:val="58595B"/>
          <w:spacing w:val="-11"/>
        </w:rPr>
        <w:t xml:space="preserve"> </w:t>
      </w:r>
      <w:r>
        <w:rPr>
          <w:color w:val="58595B"/>
        </w:rPr>
        <w:t>offenders,</w:t>
      </w:r>
      <w:r>
        <w:rPr>
          <w:color w:val="58595B"/>
          <w:spacing w:val="-11"/>
        </w:rPr>
        <w:t xml:space="preserve"> </w:t>
      </w:r>
      <w:r>
        <w:rPr>
          <w:color w:val="58595B"/>
        </w:rPr>
        <w:t>and</w:t>
      </w:r>
      <w:r>
        <w:rPr>
          <w:color w:val="58595B"/>
          <w:spacing w:val="-11"/>
        </w:rPr>
        <w:t xml:space="preserve"> </w:t>
      </w:r>
      <w:r>
        <w:rPr>
          <w:color w:val="58595B"/>
        </w:rPr>
        <w:t>encourage</w:t>
      </w:r>
      <w:r>
        <w:rPr>
          <w:color w:val="58595B"/>
          <w:spacing w:val="-11"/>
        </w:rPr>
        <w:t xml:space="preserve"> </w:t>
      </w:r>
      <w:r>
        <w:rPr>
          <w:color w:val="58595B"/>
        </w:rPr>
        <w:t>good</w:t>
      </w:r>
      <w:r>
        <w:rPr>
          <w:color w:val="58595B"/>
          <w:spacing w:val="-11"/>
        </w:rPr>
        <w:t xml:space="preserve"> </w:t>
      </w:r>
      <w:r>
        <w:rPr>
          <w:color w:val="58595B"/>
        </w:rPr>
        <w:t>performers</w:t>
      </w:r>
      <w:r>
        <w:rPr>
          <w:color w:val="58595B"/>
          <w:spacing w:val="-11"/>
        </w:rPr>
        <w:t xml:space="preserve"> </w:t>
      </w:r>
      <w:r>
        <w:rPr>
          <w:color w:val="58595B"/>
        </w:rPr>
        <w:t>to</w:t>
      </w:r>
      <w:r>
        <w:rPr>
          <w:color w:val="58595B"/>
          <w:spacing w:val="-11"/>
        </w:rPr>
        <w:t xml:space="preserve"> </w:t>
      </w:r>
      <w:r>
        <w:rPr>
          <w:color w:val="58595B"/>
        </w:rPr>
        <w:t>comply</w:t>
      </w:r>
      <w:r>
        <w:rPr>
          <w:color w:val="58595B"/>
          <w:spacing w:val="-11"/>
        </w:rPr>
        <w:t xml:space="preserve"> </w:t>
      </w:r>
      <w:r>
        <w:rPr>
          <w:color w:val="58595B"/>
          <w:spacing w:val="-3"/>
        </w:rPr>
        <w:t>voluntarily.</w:t>
      </w:r>
      <w:r>
        <w:rPr>
          <w:color w:val="58595B"/>
          <w:spacing w:val="-3"/>
          <w:position w:val="7"/>
          <w:sz w:val="11"/>
        </w:rPr>
        <w:t>4</w:t>
      </w:r>
    </w:p>
    <w:p w14:paraId="0BA0C68F" w14:textId="77777777" w:rsidR="00160E7F" w:rsidRDefault="00160E7F">
      <w:pPr>
        <w:spacing w:line="280" w:lineRule="auto"/>
        <w:rPr>
          <w:sz w:val="11"/>
        </w:rPr>
        <w:sectPr w:rsidR="00160E7F">
          <w:pgSz w:w="11910" w:h="16840"/>
          <w:pgMar w:top="980" w:right="0" w:bottom="280" w:left="1680" w:header="788" w:footer="0" w:gutter="0"/>
          <w:cols w:space="720"/>
        </w:sectPr>
      </w:pPr>
    </w:p>
    <w:p w14:paraId="31EE1D7A" w14:textId="77777777" w:rsidR="00160E7F" w:rsidRDefault="00160E7F">
      <w:pPr>
        <w:pStyle w:val="BodyText"/>
      </w:pPr>
    </w:p>
    <w:p w14:paraId="16ED9206" w14:textId="77777777" w:rsidR="00160E7F" w:rsidRDefault="00160E7F">
      <w:pPr>
        <w:pStyle w:val="BodyText"/>
      </w:pPr>
    </w:p>
    <w:p w14:paraId="3307B0F5" w14:textId="77777777" w:rsidR="00160E7F" w:rsidRDefault="00160E7F">
      <w:pPr>
        <w:pStyle w:val="BodyText"/>
      </w:pPr>
    </w:p>
    <w:p w14:paraId="491C6EBF" w14:textId="77777777" w:rsidR="00160E7F" w:rsidRDefault="00160E7F">
      <w:pPr>
        <w:pStyle w:val="BodyText"/>
      </w:pPr>
    </w:p>
    <w:p w14:paraId="62D17F5F" w14:textId="77777777" w:rsidR="00160E7F" w:rsidRDefault="00160E7F">
      <w:pPr>
        <w:pStyle w:val="BodyText"/>
        <w:spacing w:before="8"/>
        <w:rPr>
          <w:sz w:val="17"/>
        </w:rPr>
      </w:pPr>
    </w:p>
    <w:p w14:paraId="1A1049EA" w14:textId="77777777" w:rsidR="00160E7F" w:rsidRDefault="002B0299">
      <w:pPr>
        <w:pStyle w:val="BodyText"/>
        <w:spacing w:before="1" w:line="280" w:lineRule="auto"/>
        <w:ind w:left="1417" w:right="343"/>
      </w:pPr>
      <w:r>
        <w:rPr>
          <w:color w:val="58595B"/>
        </w:rPr>
        <w:t>Risk-based approaches are not new and the EPA has increasingly adopted a risk-based approach. The EPA needs to continually evolve as a mature regulator that appropriately applies this approach to its regulatory craft.</w:t>
      </w:r>
    </w:p>
    <w:p w14:paraId="7DF046C8" w14:textId="77777777" w:rsidR="00160E7F" w:rsidRDefault="00160E7F">
      <w:pPr>
        <w:pStyle w:val="BodyText"/>
        <w:spacing w:before="4"/>
        <w:rPr>
          <w:sz w:val="17"/>
        </w:rPr>
      </w:pPr>
    </w:p>
    <w:p w14:paraId="05D87061" w14:textId="77777777" w:rsidR="00160E7F" w:rsidRDefault="000638CB">
      <w:pPr>
        <w:pStyle w:val="BodyText"/>
        <w:spacing w:before="75"/>
        <w:ind w:left="1587" w:right="185"/>
      </w:pPr>
      <w:r>
        <w:pict w14:anchorId="080350BA">
          <v:rect id="_x0000_s1122" style="position:absolute;left:0;text-align:left;margin-left:70.85pt;margin-top:-2.65pt;width:432.7pt;height:522.15pt;z-index:-90952;mso-position-horizontal-relative:page" fillcolor="#eaf2f3" stroked="f">
            <w10:wrap anchorx="page"/>
          </v:rect>
        </w:pict>
      </w:r>
      <w:r w:rsidR="002B0299">
        <w:rPr>
          <w:b/>
          <w:color w:val="0095A7"/>
        </w:rPr>
        <w:t xml:space="preserve">BOX 11.1 </w:t>
      </w:r>
      <w:r w:rsidR="002B0299">
        <w:rPr>
          <w:color w:val="0095A7"/>
        </w:rPr>
        <w:t>APPLYING A RISK-BASED APPROACH TO LANDFILLS: LANDFILL GUIDELINES</w:t>
      </w:r>
    </w:p>
    <w:p w14:paraId="5B5BE751" w14:textId="77777777" w:rsidR="00160E7F" w:rsidRDefault="002B0299">
      <w:pPr>
        <w:pStyle w:val="BodyText"/>
        <w:spacing w:before="153" w:line="280" w:lineRule="auto"/>
        <w:ind w:left="1587" w:right="789"/>
      </w:pPr>
      <w:r>
        <w:rPr>
          <w:color w:val="58595B"/>
        </w:rPr>
        <w:t>A</w:t>
      </w:r>
      <w:r>
        <w:rPr>
          <w:color w:val="58595B"/>
          <w:spacing w:val="-10"/>
        </w:rPr>
        <w:t xml:space="preserve"> </w:t>
      </w:r>
      <w:r>
        <w:rPr>
          <w:color w:val="58595B"/>
          <w:spacing w:val="-2"/>
        </w:rPr>
        <w:t>number</w:t>
      </w:r>
      <w:r>
        <w:rPr>
          <w:color w:val="58595B"/>
          <w:spacing w:val="-10"/>
        </w:rPr>
        <w:t xml:space="preserve"> </w:t>
      </w:r>
      <w:r>
        <w:rPr>
          <w:color w:val="58595B"/>
        </w:rPr>
        <w:t>of</w:t>
      </w:r>
      <w:r>
        <w:rPr>
          <w:color w:val="58595B"/>
          <w:spacing w:val="-10"/>
        </w:rPr>
        <w:t xml:space="preserve"> </w:t>
      </w:r>
      <w:r>
        <w:rPr>
          <w:color w:val="58595B"/>
        </w:rPr>
        <w:t>councils</w:t>
      </w:r>
      <w:r>
        <w:rPr>
          <w:color w:val="58595B"/>
          <w:spacing w:val="-10"/>
        </w:rPr>
        <w:t xml:space="preserve"> </w:t>
      </w:r>
      <w:r>
        <w:rPr>
          <w:color w:val="58595B"/>
        </w:rPr>
        <w:t>raised</w:t>
      </w:r>
      <w:r>
        <w:rPr>
          <w:color w:val="58595B"/>
          <w:spacing w:val="-10"/>
        </w:rPr>
        <w:t xml:space="preserve"> </w:t>
      </w:r>
      <w:r>
        <w:rPr>
          <w:color w:val="58595B"/>
        </w:rPr>
        <w:t>concerns</w:t>
      </w:r>
      <w:r>
        <w:rPr>
          <w:color w:val="58595B"/>
          <w:spacing w:val="-10"/>
        </w:rPr>
        <w:t xml:space="preserve"> </w:t>
      </w:r>
      <w:r>
        <w:rPr>
          <w:color w:val="58595B"/>
        </w:rPr>
        <w:t>with</w:t>
      </w:r>
      <w:r>
        <w:rPr>
          <w:color w:val="58595B"/>
          <w:spacing w:val="-10"/>
        </w:rPr>
        <w:t xml:space="preserve"> </w:t>
      </w:r>
      <w:r>
        <w:rPr>
          <w:color w:val="58595B"/>
        </w:rPr>
        <w:t>us</w:t>
      </w:r>
      <w:r>
        <w:rPr>
          <w:color w:val="58595B"/>
          <w:spacing w:val="-10"/>
        </w:rPr>
        <w:t xml:space="preserve"> </w:t>
      </w:r>
      <w:r>
        <w:rPr>
          <w:color w:val="58595B"/>
        </w:rPr>
        <w:t>about</w:t>
      </w:r>
      <w:r>
        <w:rPr>
          <w:color w:val="58595B"/>
          <w:spacing w:val="-10"/>
        </w:rPr>
        <w:t xml:space="preserve"> </w:t>
      </w:r>
      <w:r>
        <w:rPr>
          <w:color w:val="58595B"/>
        </w:rPr>
        <w:t>the</w:t>
      </w:r>
      <w:r>
        <w:rPr>
          <w:color w:val="58595B"/>
          <w:spacing w:val="-10"/>
        </w:rPr>
        <w:t xml:space="preserve"> </w:t>
      </w:r>
      <w:r>
        <w:rPr>
          <w:color w:val="58595B"/>
          <w:spacing w:val="-8"/>
        </w:rPr>
        <w:t>EPA’s</w:t>
      </w:r>
      <w:r>
        <w:rPr>
          <w:color w:val="58595B"/>
          <w:spacing w:val="-10"/>
        </w:rPr>
        <w:t xml:space="preserve"> </w:t>
      </w:r>
      <w:r>
        <w:rPr>
          <w:color w:val="58595B"/>
        </w:rPr>
        <w:t>approach</w:t>
      </w:r>
      <w:r>
        <w:rPr>
          <w:color w:val="58595B"/>
          <w:spacing w:val="-10"/>
        </w:rPr>
        <w:t xml:space="preserve"> </w:t>
      </w:r>
      <w:r>
        <w:rPr>
          <w:color w:val="58595B"/>
        </w:rPr>
        <w:t>to</w:t>
      </w:r>
      <w:r>
        <w:rPr>
          <w:color w:val="58595B"/>
          <w:spacing w:val="-10"/>
        </w:rPr>
        <w:t xml:space="preserve"> </w:t>
      </w:r>
      <w:r>
        <w:rPr>
          <w:color w:val="58595B"/>
        </w:rPr>
        <w:t>managing</w:t>
      </w:r>
      <w:r>
        <w:rPr>
          <w:color w:val="58595B"/>
          <w:spacing w:val="-10"/>
        </w:rPr>
        <w:t xml:space="preserve"> </w:t>
      </w:r>
      <w:r>
        <w:rPr>
          <w:color w:val="58595B"/>
        </w:rPr>
        <w:t>risk from</w:t>
      </w:r>
      <w:r>
        <w:rPr>
          <w:color w:val="58595B"/>
          <w:spacing w:val="-11"/>
        </w:rPr>
        <w:t xml:space="preserve"> </w:t>
      </w:r>
      <w:r>
        <w:rPr>
          <w:color w:val="58595B"/>
        </w:rPr>
        <w:t>operating</w:t>
      </w:r>
      <w:r>
        <w:rPr>
          <w:color w:val="58595B"/>
          <w:spacing w:val="-11"/>
        </w:rPr>
        <w:t xml:space="preserve"> </w:t>
      </w:r>
      <w:r>
        <w:rPr>
          <w:color w:val="58595B"/>
        </w:rPr>
        <w:t>and</w:t>
      </w:r>
      <w:r>
        <w:rPr>
          <w:color w:val="58595B"/>
          <w:spacing w:val="-11"/>
        </w:rPr>
        <w:t xml:space="preserve"> </w:t>
      </w:r>
      <w:r>
        <w:rPr>
          <w:color w:val="58595B"/>
        </w:rPr>
        <w:t>closed</w:t>
      </w:r>
      <w:r>
        <w:rPr>
          <w:color w:val="58595B"/>
          <w:spacing w:val="-11"/>
        </w:rPr>
        <w:t xml:space="preserve"> </w:t>
      </w:r>
      <w:r>
        <w:rPr>
          <w:color w:val="58595B"/>
        </w:rPr>
        <w:t>landfills.</w:t>
      </w:r>
      <w:r>
        <w:rPr>
          <w:color w:val="58595B"/>
          <w:spacing w:val="-11"/>
        </w:rPr>
        <w:t xml:space="preserve"> </w:t>
      </w:r>
      <w:r>
        <w:rPr>
          <w:color w:val="58595B"/>
        </w:rPr>
        <w:t>In</w:t>
      </w:r>
      <w:r>
        <w:rPr>
          <w:color w:val="58595B"/>
          <w:spacing w:val="-11"/>
        </w:rPr>
        <w:t xml:space="preserve"> </w:t>
      </w:r>
      <w:r>
        <w:rPr>
          <w:color w:val="58595B"/>
          <w:spacing w:val="-3"/>
        </w:rPr>
        <w:t>particular,</w:t>
      </w:r>
      <w:r>
        <w:rPr>
          <w:color w:val="58595B"/>
          <w:spacing w:val="-11"/>
        </w:rPr>
        <w:t xml:space="preserve"> </w:t>
      </w:r>
      <w:r>
        <w:rPr>
          <w:color w:val="58595B"/>
        </w:rPr>
        <w:t>councils</w:t>
      </w:r>
      <w:r>
        <w:rPr>
          <w:color w:val="58595B"/>
          <w:spacing w:val="-11"/>
        </w:rPr>
        <w:t xml:space="preserve"> </w:t>
      </w:r>
      <w:r>
        <w:rPr>
          <w:color w:val="58595B"/>
        </w:rPr>
        <w:t>argued</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applied</w:t>
      </w:r>
      <w:r>
        <w:rPr>
          <w:color w:val="58595B"/>
          <w:spacing w:val="-11"/>
        </w:rPr>
        <w:t xml:space="preserve"> </w:t>
      </w:r>
      <w:r>
        <w:rPr>
          <w:color w:val="58595B"/>
        </w:rPr>
        <w:t>landfill</w:t>
      </w:r>
    </w:p>
    <w:p w14:paraId="6FC60376" w14:textId="77777777" w:rsidR="00160E7F" w:rsidRDefault="002B0299">
      <w:pPr>
        <w:pStyle w:val="BodyText"/>
        <w:spacing w:before="2"/>
        <w:ind w:left="1587" w:right="185"/>
      </w:pPr>
      <w:r>
        <w:rPr>
          <w:color w:val="58595B"/>
        </w:rPr>
        <w:t>requirements at the highest risk level, which often is not commensurate with a sites’ risk profile.</w:t>
      </w:r>
    </w:p>
    <w:p w14:paraId="1A7FBB6F" w14:textId="77777777" w:rsidR="00160E7F" w:rsidRDefault="00160E7F">
      <w:pPr>
        <w:pStyle w:val="BodyText"/>
        <w:spacing w:before="3"/>
        <w:rPr>
          <w:sz w:val="18"/>
        </w:rPr>
      </w:pPr>
    </w:p>
    <w:p w14:paraId="314644A7" w14:textId="77777777" w:rsidR="00160E7F" w:rsidRDefault="002B0299">
      <w:pPr>
        <w:pStyle w:val="BodyText"/>
        <w:spacing w:line="280" w:lineRule="auto"/>
        <w:ind w:left="1587" w:right="419"/>
        <w:jc w:val="both"/>
      </w:pPr>
      <w:r>
        <w:rPr>
          <w:color w:val="58595B"/>
        </w:rPr>
        <w:t xml:space="preserve">The EPA’s Best Practice for Environment Management guidelines, </w:t>
      </w:r>
      <w:r>
        <w:rPr>
          <w:i/>
          <w:color w:val="58595B"/>
        </w:rPr>
        <w:t>Siting, Design, Operation and Rehabilitation of Landfills</w:t>
      </w:r>
      <w:r>
        <w:rPr>
          <w:color w:val="58595B"/>
          <w:position w:val="7"/>
          <w:sz w:val="11"/>
        </w:rPr>
        <w:t xml:space="preserve">5 </w:t>
      </w:r>
      <w:r>
        <w:rPr>
          <w:color w:val="58595B"/>
        </w:rPr>
        <w:t>(the Landfill BPEM, revised guidelines issued in August 2015) apply to assessing and remediating closed landfill sites. It also sets the design requirements for new landfill cells within a landfill.</w:t>
      </w:r>
    </w:p>
    <w:p w14:paraId="6FC47E67" w14:textId="77777777" w:rsidR="00160E7F" w:rsidRDefault="002B0299">
      <w:pPr>
        <w:pStyle w:val="BodyText"/>
        <w:spacing w:before="172" w:line="280" w:lineRule="auto"/>
        <w:ind w:left="1587" w:right="349"/>
        <w:rPr>
          <w:sz w:val="11"/>
        </w:rPr>
      </w:pPr>
      <w:r>
        <w:rPr>
          <w:color w:val="58595B"/>
        </w:rPr>
        <w:t>In 2014, the Victorian Auditor-General’s Office noted that: ‘EPA … has implemented a better practice risk-based regulation model [and] … This has resulted in a significant improvement in its regulation and oversight of landfill performance.’ However, the report found that the EPA’s risk-based approach required further development, in particular, in relation to ‘risk- based conditions’ for individual sites, and the prioritising of ‘key noncompliance and emerging risks for targeted action.’</w:t>
      </w:r>
      <w:r>
        <w:rPr>
          <w:color w:val="58595B"/>
          <w:position w:val="7"/>
          <w:sz w:val="11"/>
        </w:rPr>
        <w:t>6</w:t>
      </w:r>
    </w:p>
    <w:p w14:paraId="6032170C" w14:textId="77777777" w:rsidR="00160E7F" w:rsidRDefault="002B0299">
      <w:pPr>
        <w:pStyle w:val="BodyText"/>
        <w:spacing w:before="172" w:line="280" w:lineRule="auto"/>
        <w:ind w:left="1587" w:right="405"/>
      </w:pPr>
      <w:r>
        <w:rPr>
          <w:color w:val="58595B"/>
        </w:rPr>
        <w:t>The Victorian Auditor-General’s Office concluded that the EPA had not effectively translated its risk-based approach to its licensing, auditing and compliance reporting requirements. It also concluded that councils must comprehensively identify closed sites and better assess, prioritise and manage legacy risks at both active and closed sites.</w:t>
      </w:r>
    </w:p>
    <w:p w14:paraId="7CAB1B45" w14:textId="77777777" w:rsidR="00160E7F" w:rsidRDefault="00160E7F">
      <w:pPr>
        <w:pStyle w:val="BodyText"/>
        <w:spacing w:before="10"/>
        <w:rPr>
          <w:sz w:val="19"/>
        </w:rPr>
      </w:pPr>
    </w:p>
    <w:p w14:paraId="4B422632" w14:textId="77777777" w:rsidR="00160E7F" w:rsidRDefault="002B0299">
      <w:pPr>
        <w:ind w:left="1587" w:right="789"/>
        <w:rPr>
          <w:i/>
          <w:sz w:val="20"/>
        </w:rPr>
      </w:pPr>
      <w:r>
        <w:rPr>
          <w:i/>
          <w:color w:val="6D6E71"/>
          <w:sz w:val="20"/>
        </w:rPr>
        <w:t>Operating landfills</w:t>
      </w:r>
    </w:p>
    <w:p w14:paraId="43C01704" w14:textId="77777777" w:rsidR="00160E7F" w:rsidRDefault="002B0299">
      <w:pPr>
        <w:pStyle w:val="BodyText"/>
        <w:spacing w:before="125" w:line="280" w:lineRule="auto"/>
        <w:ind w:left="1587" w:right="912"/>
      </w:pPr>
      <w:r>
        <w:rPr>
          <w:color w:val="58595B"/>
        </w:rPr>
        <w:t>The Victorian Auditor-General’s Office found councils did not comply consistently with all their EPA licence requirements or the relevant Landfill BPEM operational measures.</w:t>
      </w:r>
    </w:p>
    <w:p w14:paraId="3B3FDFE7" w14:textId="77777777" w:rsidR="00160E7F" w:rsidRDefault="002B0299">
      <w:pPr>
        <w:pStyle w:val="BodyText"/>
        <w:spacing w:before="2" w:line="280" w:lineRule="auto"/>
        <w:ind w:left="1587" w:right="405"/>
      </w:pPr>
      <w:r>
        <w:rPr>
          <w:color w:val="58595B"/>
        </w:rPr>
        <w:t>Further, councils do not effectively prioritise or manage lower to moderate risks to the local environment and the amenity of the neighbouring community.</w:t>
      </w:r>
    </w:p>
    <w:p w14:paraId="1C7D6687" w14:textId="77777777" w:rsidR="00160E7F" w:rsidRDefault="002B0299">
      <w:pPr>
        <w:pStyle w:val="BodyText"/>
        <w:spacing w:before="172" w:line="280" w:lineRule="auto"/>
        <w:ind w:left="1587" w:right="405"/>
      </w:pPr>
      <w:r>
        <w:rPr>
          <w:color w:val="58595B"/>
        </w:rPr>
        <w:t>The Victorian Auditor-General’s Office recommended councils build in-house knowledge and skills, consolidate risk reports and implement risk-based priorities.</w:t>
      </w:r>
    </w:p>
    <w:p w14:paraId="11D31912" w14:textId="77777777" w:rsidR="00160E7F" w:rsidRDefault="00160E7F">
      <w:pPr>
        <w:pStyle w:val="BodyText"/>
        <w:spacing w:before="10"/>
        <w:rPr>
          <w:sz w:val="19"/>
        </w:rPr>
      </w:pPr>
    </w:p>
    <w:p w14:paraId="6A757AB6" w14:textId="77777777" w:rsidR="00160E7F" w:rsidRDefault="002B0299">
      <w:pPr>
        <w:ind w:left="1587" w:right="789"/>
        <w:rPr>
          <w:i/>
          <w:sz w:val="20"/>
        </w:rPr>
      </w:pPr>
      <w:r>
        <w:rPr>
          <w:i/>
          <w:color w:val="6D6E71"/>
          <w:sz w:val="20"/>
        </w:rPr>
        <w:t>Closed landfills</w:t>
      </w:r>
    </w:p>
    <w:p w14:paraId="37F19AA5" w14:textId="77777777" w:rsidR="00160E7F" w:rsidRDefault="002B0299">
      <w:pPr>
        <w:pStyle w:val="BodyText"/>
        <w:spacing w:before="125" w:line="280" w:lineRule="auto"/>
        <w:ind w:left="1587" w:right="343"/>
        <w:jc w:val="both"/>
      </w:pPr>
      <w:r>
        <w:rPr>
          <w:color w:val="58595B"/>
        </w:rPr>
        <w:t>The report noted that there is still confusion about which agency is responsible for identifying, assessing and regulating closed landfills. It also noted the resource constraints for many rural and regional councils.</w:t>
      </w:r>
    </w:p>
    <w:p w14:paraId="4AC66F74" w14:textId="77777777" w:rsidR="00160E7F" w:rsidRDefault="002B0299">
      <w:pPr>
        <w:pStyle w:val="BodyText"/>
        <w:spacing w:before="172" w:line="280" w:lineRule="auto"/>
        <w:ind w:left="1587" w:right="405"/>
      </w:pPr>
      <w:r>
        <w:rPr>
          <w:color w:val="58595B"/>
        </w:rPr>
        <w:t>The Victorian Auditor-General’s Office recommended the EPA implement risk-based licence, compliance and environmental auditing reporting requirements. This approach might also include and develop additional risk-based conditions where required, site by site.</w:t>
      </w:r>
    </w:p>
    <w:p w14:paraId="39AE81DE" w14:textId="77777777" w:rsidR="00160E7F" w:rsidRDefault="00160E7F">
      <w:pPr>
        <w:spacing w:line="280" w:lineRule="auto"/>
        <w:sectPr w:rsidR="00160E7F">
          <w:pgSz w:w="11910" w:h="16840"/>
          <w:pgMar w:top="980" w:right="1680" w:bottom="280" w:left="0" w:header="788" w:footer="0" w:gutter="0"/>
          <w:cols w:space="720"/>
        </w:sectPr>
      </w:pPr>
    </w:p>
    <w:p w14:paraId="76B8FB7C" w14:textId="77777777" w:rsidR="00160E7F" w:rsidRDefault="00160E7F">
      <w:pPr>
        <w:pStyle w:val="BodyText"/>
      </w:pPr>
    </w:p>
    <w:p w14:paraId="3194BC15" w14:textId="77777777" w:rsidR="00160E7F" w:rsidRDefault="00160E7F">
      <w:pPr>
        <w:pStyle w:val="BodyText"/>
      </w:pPr>
    </w:p>
    <w:p w14:paraId="32004B2B" w14:textId="77777777" w:rsidR="00160E7F" w:rsidRDefault="00160E7F">
      <w:pPr>
        <w:pStyle w:val="BodyText"/>
      </w:pPr>
    </w:p>
    <w:p w14:paraId="50508CC8" w14:textId="77777777" w:rsidR="00160E7F" w:rsidRDefault="00160E7F">
      <w:pPr>
        <w:pStyle w:val="BodyText"/>
      </w:pPr>
    </w:p>
    <w:p w14:paraId="3D35BE88" w14:textId="77777777" w:rsidR="00160E7F" w:rsidRDefault="00160E7F">
      <w:pPr>
        <w:pStyle w:val="BodyText"/>
        <w:spacing w:before="8"/>
        <w:rPr>
          <w:sz w:val="17"/>
        </w:rPr>
      </w:pPr>
    </w:p>
    <w:p w14:paraId="51DB3422" w14:textId="77777777" w:rsidR="00160E7F" w:rsidRDefault="002B0299">
      <w:pPr>
        <w:pStyle w:val="BodyText"/>
        <w:spacing w:before="1" w:line="280" w:lineRule="auto"/>
        <w:ind w:left="134" w:right="1433"/>
      </w:pPr>
      <w:r>
        <w:rPr>
          <w:color w:val="58595B"/>
        </w:rPr>
        <w:t xml:space="preserve">In addition to ensuring its actions are proportionate to risk, a mature regulator will draw on the </w:t>
      </w:r>
      <w:r>
        <w:rPr>
          <w:color w:val="58595B"/>
          <w:spacing w:val="-3"/>
        </w:rPr>
        <w:t xml:space="preserve">full suite </w:t>
      </w:r>
      <w:r>
        <w:rPr>
          <w:color w:val="58595B"/>
        </w:rPr>
        <w:t xml:space="preserve">of tools </w:t>
      </w:r>
      <w:r>
        <w:rPr>
          <w:color w:val="58595B"/>
          <w:spacing w:val="-3"/>
        </w:rPr>
        <w:t xml:space="preserve">available </w:t>
      </w:r>
      <w:r>
        <w:rPr>
          <w:color w:val="58595B"/>
        </w:rPr>
        <w:t xml:space="preserve">to </w:t>
      </w:r>
      <w:r>
        <w:rPr>
          <w:color w:val="58595B"/>
          <w:spacing w:val="-3"/>
        </w:rPr>
        <w:t xml:space="preserve">achieve </w:t>
      </w:r>
      <w:r>
        <w:rPr>
          <w:color w:val="58595B"/>
        </w:rPr>
        <w:t xml:space="preserve">its regulatory objective in the least costly </w:t>
      </w:r>
      <w:r>
        <w:rPr>
          <w:color w:val="58595B"/>
          <w:spacing w:val="-6"/>
        </w:rPr>
        <w:t xml:space="preserve">way. </w:t>
      </w:r>
      <w:r>
        <w:rPr>
          <w:color w:val="58595B"/>
        </w:rPr>
        <w:t xml:space="preserve">When considering what tool to apply to </w:t>
      </w:r>
      <w:r>
        <w:rPr>
          <w:color w:val="58595B"/>
          <w:spacing w:val="-3"/>
        </w:rPr>
        <w:t xml:space="preserve">achieve </w:t>
      </w:r>
      <w:r>
        <w:rPr>
          <w:color w:val="58595B"/>
        </w:rPr>
        <w:t xml:space="preserve">its regulatory objective, the regulator will consider the regulatory burden that tools place on entities, together with the costs that it, the </w:t>
      </w:r>
      <w:r>
        <w:rPr>
          <w:color w:val="58595B"/>
          <w:spacing w:val="-4"/>
        </w:rPr>
        <w:t xml:space="preserve">regulator, </w:t>
      </w:r>
      <w:r>
        <w:rPr>
          <w:color w:val="58595B"/>
        </w:rPr>
        <w:t xml:space="preserve">will </w:t>
      </w:r>
      <w:r>
        <w:rPr>
          <w:color w:val="58595B"/>
          <w:spacing w:val="-4"/>
        </w:rPr>
        <w:t xml:space="preserve">incur. </w:t>
      </w:r>
      <w:r>
        <w:rPr>
          <w:color w:val="58595B"/>
        </w:rPr>
        <w:t>A mature regulator</w:t>
      </w:r>
      <w:r>
        <w:rPr>
          <w:color w:val="58595B"/>
          <w:spacing w:val="-10"/>
        </w:rPr>
        <w:t xml:space="preserve"> </w:t>
      </w:r>
      <w:r>
        <w:rPr>
          <w:color w:val="58595B"/>
        </w:rPr>
        <w:t>will</w:t>
      </w:r>
      <w:r>
        <w:rPr>
          <w:color w:val="58595B"/>
          <w:spacing w:val="-10"/>
        </w:rPr>
        <w:t xml:space="preserve"> </w:t>
      </w:r>
      <w:r>
        <w:rPr>
          <w:color w:val="58595B"/>
          <w:spacing w:val="-3"/>
        </w:rPr>
        <w:t>consider,</w:t>
      </w:r>
      <w:r>
        <w:rPr>
          <w:color w:val="58595B"/>
          <w:spacing w:val="-10"/>
        </w:rPr>
        <w:t xml:space="preserve"> </w:t>
      </w:r>
      <w:r>
        <w:rPr>
          <w:color w:val="58595B"/>
        </w:rPr>
        <w:t>for</w:t>
      </w:r>
      <w:r>
        <w:rPr>
          <w:color w:val="58595B"/>
          <w:spacing w:val="-10"/>
        </w:rPr>
        <w:t xml:space="preserve"> </w:t>
      </w:r>
      <w:r>
        <w:rPr>
          <w:color w:val="58595B"/>
        </w:rPr>
        <w:t>each</w:t>
      </w:r>
      <w:r>
        <w:rPr>
          <w:color w:val="58595B"/>
          <w:spacing w:val="-10"/>
        </w:rPr>
        <w:t xml:space="preserve"> </w:t>
      </w:r>
      <w:r>
        <w:rPr>
          <w:color w:val="58595B"/>
        </w:rPr>
        <w:t>particular</w:t>
      </w:r>
      <w:r>
        <w:rPr>
          <w:color w:val="58595B"/>
          <w:spacing w:val="-10"/>
        </w:rPr>
        <w:t xml:space="preserve"> </w:t>
      </w:r>
      <w:r>
        <w:rPr>
          <w:color w:val="58595B"/>
        </w:rPr>
        <w:t>tool,</w:t>
      </w:r>
      <w:r>
        <w:rPr>
          <w:color w:val="58595B"/>
          <w:spacing w:val="-10"/>
        </w:rPr>
        <w:t xml:space="preserve"> </w:t>
      </w:r>
      <w:r>
        <w:rPr>
          <w:color w:val="58595B"/>
        </w:rPr>
        <w:t>what</w:t>
      </w:r>
      <w:r>
        <w:rPr>
          <w:color w:val="58595B"/>
          <w:spacing w:val="-10"/>
        </w:rPr>
        <w:t xml:space="preserve"> </w:t>
      </w:r>
      <w:r>
        <w:rPr>
          <w:color w:val="58595B"/>
        </w:rPr>
        <w:t>can</w:t>
      </w:r>
      <w:r>
        <w:rPr>
          <w:color w:val="58595B"/>
          <w:spacing w:val="-10"/>
        </w:rPr>
        <w:t xml:space="preserve"> </w:t>
      </w:r>
      <w:r>
        <w:rPr>
          <w:color w:val="58595B"/>
        </w:rPr>
        <w:t>be</w:t>
      </w:r>
      <w:r>
        <w:rPr>
          <w:color w:val="58595B"/>
          <w:spacing w:val="-10"/>
        </w:rPr>
        <w:t xml:space="preserve"> </w:t>
      </w:r>
      <w:r>
        <w:rPr>
          <w:color w:val="58595B"/>
        </w:rPr>
        <w:t>done</w:t>
      </w:r>
      <w:r>
        <w:rPr>
          <w:color w:val="58595B"/>
          <w:spacing w:val="-10"/>
        </w:rPr>
        <w:t xml:space="preserve"> </w:t>
      </w:r>
      <w:r>
        <w:rPr>
          <w:color w:val="58595B"/>
        </w:rPr>
        <w:t>to</w:t>
      </w:r>
      <w:r>
        <w:rPr>
          <w:color w:val="58595B"/>
          <w:spacing w:val="-10"/>
        </w:rPr>
        <w:t xml:space="preserve"> </w:t>
      </w:r>
      <w:r>
        <w:rPr>
          <w:color w:val="58595B"/>
        </w:rPr>
        <w:t>minimise</w:t>
      </w:r>
      <w:r>
        <w:rPr>
          <w:color w:val="58595B"/>
          <w:spacing w:val="-10"/>
        </w:rPr>
        <w:t xml:space="preserve"> </w:t>
      </w:r>
      <w:r>
        <w:rPr>
          <w:color w:val="58595B"/>
        </w:rPr>
        <w:t>the</w:t>
      </w:r>
      <w:r>
        <w:rPr>
          <w:color w:val="58595B"/>
          <w:spacing w:val="-10"/>
        </w:rPr>
        <w:t xml:space="preserve"> </w:t>
      </w:r>
      <w:r>
        <w:rPr>
          <w:color w:val="58595B"/>
        </w:rPr>
        <w:t>regulatory</w:t>
      </w:r>
      <w:r>
        <w:rPr>
          <w:color w:val="58595B"/>
          <w:spacing w:val="-10"/>
        </w:rPr>
        <w:t xml:space="preserve"> </w:t>
      </w:r>
      <w:r>
        <w:rPr>
          <w:color w:val="58595B"/>
          <w:spacing w:val="-3"/>
        </w:rPr>
        <w:t xml:space="preserve">burden. For example, </w:t>
      </w:r>
      <w:r>
        <w:rPr>
          <w:color w:val="58595B"/>
        </w:rPr>
        <w:t xml:space="preserve">it will </w:t>
      </w:r>
      <w:r>
        <w:rPr>
          <w:color w:val="58595B"/>
          <w:spacing w:val="-3"/>
        </w:rPr>
        <w:t xml:space="preserve">avoid </w:t>
      </w:r>
      <w:r>
        <w:rPr>
          <w:color w:val="58595B"/>
        </w:rPr>
        <w:t xml:space="preserve">using regulation that is prescriptive, unless the nature and </w:t>
      </w:r>
      <w:r>
        <w:rPr>
          <w:color w:val="58595B"/>
          <w:spacing w:val="-3"/>
        </w:rPr>
        <w:t xml:space="preserve">extent </w:t>
      </w:r>
      <w:r>
        <w:rPr>
          <w:color w:val="58595B"/>
        </w:rPr>
        <w:t xml:space="preserve">of the risk requires it. Importantly, a mature regulator seeks to minimise the regulatory burden of the </w:t>
      </w:r>
      <w:r>
        <w:rPr>
          <w:i/>
          <w:color w:val="58595B"/>
        </w:rPr>
        <w:t>combination</w:t>
      </w:r>
      <w:r>
        <w:rPr>
          <w:i/>
          <w:color w:val="58595B"/>
          <w:spacing w:val="-15"/>
        </w:rPr>
        <w:t xml:space="preserve"> </w:t>
      </w:r>
      <w:r>
        <w:rPr>
          <w:color w:val="58595B"/>
        </w:rPr>
        <w:t>of</w:t>
      </w:r>
      <w:r>
        <w:rPr>
          <w:color w:val="58595B"/>
          <w:spacing w:val="-15"/>
        </w:rPr>
        <w:t xml:space="preserve"> </w:t>
      </w:r>
      <w:r>
        <w:rPr>
          <w:color w:val="58595B"/>
        </w:rPr>
        <w:t>tools</w:t>
      </w:r>
      <w:r>
        <w:rPr>
          <w:color w:val="58595B"/>
          <w:spacing w:val="-15"/>
        </w:rPr>
        <w:t xml:space="preserve"> </w:t>
      </w:r>
      <w:r>
        <w:rPr>
          <w:color w:val="58595B"/>
        </w:rPr>
        <w:t>that</w:t>
      </w:r>
      <w:r>
        <w:rPr>
          <w:color w:val="58595B"/>
          <w:spacing w:val="-15"/>
        </w:rPr>
        <w:t xml:space="preserve"> </w:t>
      </w:r>
      <w:r>
        <w:rPr>
          <w:color w:val="58595B"/>
        </w:rPr>
        <w:t>it</w:t>
      </w:r>
      <w:r>
        <w:rPr>
          <w:color w:val="58595B"/>
          <w:spacing w:val="-15"/>
        </w:rPr>
        <w:t xml:space="preserve"> </w:t>
      </w:r>
      <w:r>
        <w:rPr>
          <w:color w:val="58595B"/>
        </w:rPr>
        <w:t>applies.</w:t>
      </w:r>
    </w:p>
    <w:p w14:paraId="616BD630" w14:textId="77777777" w:rsidR="00160E7F" w:rsidRDefault="002B0299">
      <w:pPr>
        <w:pStyle w:val="BodyText"/>
        <w:spacing w:before="172" w:line="280" w:lineRule="auto"/>
        <w:ind w:left="134" w:right="1494"/>
      </w:pPr>
      <w:r>
        <w:rPr>
          <w:color w:val="58595B"/>
          <w:spacing w:val="-3"/>
        </w:rPr>
        <w:t xml:space="preserve">The </w:t>
      </w:r>
      <w:r>
        <w:rPr>
          <w:color w:val="58595B"/>
          <w:spacing w:val="-10"/>
        </w:rPr>
        <w:t xml:space="preserve">EPA’s </w:t>
      </w:r>
      <w:r>
        <w:rPr>
          <w:color w:val="58595B"/>
          <w:spacing w:val="-4"/>
        </w:rPr>
        <w:t xml:space="preserve">current </w:t>
      </w:r>
      <w:r>
        <w:rPr>
          <w:color w:val="58595B"/>
          <w:spacing w:val="-3"/>
        </w:rPr>
        <w:t xml:space="preserve">statutory </w:t>
      </w:r>
      <w:r>
        <w:rPr>
          <w:color w:val="58595B"/>
          <w:spacing w:val="-4"/>
        </w:rPr>
        <w:t xml:space="preserve">toolkit </w:t>
      </w:r>
      <w:r>
        <w:rPr>
          <w:color w:val="58595B"/>
          <w:spacing w:val="-3"/>
        </w:rPr>
        <w:t xml:space="preserve">comprises </w:t>
      </w:r>
      <w:r>
        <w:rPr>
          <w:color w:val="58595B"/>
        </w:rPr>
        <w:t xml:space="preserve">a </w:t>
      </w:r>
      <w:r>
        <w:rPr>
          <w:color w:val="58595B"/>
          <w:spacing w:val="-3"/>
        </w:rPr>
        <w:t xml:space="preserve">wide range of statutory and non-statutory regulatory and </w:t>
      </w:r>
      <w:r>
        <w:rPr>
          <w:color w:val="58595B"/>
          <w:spacing w:val="-4"/>
        </w:rPr>
        <w:t xml:space="preserve">enforcement </w:t>
      </w:r>
      <w:r>
        <w:rPr>
          <w:color w:val="58595B"/>
          <w:spacing w:val="-3"/>
        </w:rPr>
        <w:t xml:space="preserve">tools to </w:t>
      </w:r>
      <w:r>
        <w:rPr>
          <w:color w:val="58595B"/>
          <w:spacing w:val="-4"/>
        </w:rPr>
        <w:t xml:space="preserve">manage </w:t>
      </w:r>
      <w:r>
        <w:rPr>
          <w:color w:val="58595B"/>
          <w:spacing w:val="-3"/>
        </w:rPr>
        <w:t xml:space="preserve">the risk of </w:t>
      </w:r>
      <w:r>
        <w:rPr>
          <w:color w:val="58595B"/>
          <w:spacing w:val="-4"/>
        </w:rPr>
        <w:t xml:space="preserve">pollution </w:t>
      </w:r>
      <w:r>
        <w:rPr>
          <w:color w:val="58595B"/>
          <w:spacing w:val="-3"/>
        </w:rPr>
        <w:t xml:space="preserve">and </w:t>
      </w:r>
      <w:r>
        <w:rPr>
          <w:color w:val="58595B"/>
          <w:spacing w:val="-5"/>
        </w:rPr>
        <w:t xml:space="preserve">waste </w:t>
      </w:r>
      <w:r>
        <w:rPr>
          <w:color w:val="58595B"/>
          <w:spacing w:val="-4"/>
        </w:rPr>
        <w:t xml:space="preserve">impacts </w:t>
      </w:r>
      <w:r>
        <w:rPr>
          <w:color w:val="58595B"/>
          <w:spacing w:val="-3"/>
        </w:rPr>
        <w:t xml:space="preserve">from </w:t>
      </w:r>
      <w:r>
        <w:rPr>
          <w:color w:val="58595B"/>
          <w:spacing w:val="-4"/>
        </w:rPr>
        <w:t xml:space="preserve">industrial activities. We </w:t>
      </w:r>
      <w:r>
        <w:rPr>
          <w:color w:val="58595B"/>
          <w:spacing w:val="-3"/>
        </w:rPr>
        <w:t xml:space="preserve">identified </w:t>
      </w:r>
      <w:r>
        <w:rPr>
          <w:color w:val="58595B"/>
          <w:spacing w:val="-4"/>
        </w:rPr>
        <w:t xml:space="preserve">strategic </w:t>
      </w:r>
      <w:r>
        <w:rPr>
          <w:color w:val="58595B"/>
          <w:spacing w:val="-3"/>
        </w:rPr>
        <w:t xml:space="preserve">reform opportunities across all </w:t>
      </w:r>
      <w:r>
        <w:rPr>
          <w:color w:val="58595B"/>
          <w:spacing w:val="-4"/>
        </w:rPr>
        <w:t xml:space="preserve">elements </w:t>
      </w:r>
      <w:r>
        <w:rPr>
          <w:color w:val="58595B"/>
          <w:spacing w:val="-3"/>
        </w:rPr>
        <w:t xml:space="preserve">of this </w:t>
      </w:r>
      <w:r>
        <w:rPr>
          <w:color w:val="58595B"/>
          <w:spacing w:val="-4"/>
        </w:rPr>
        <w:t xml:space="preserve">toolkit. We </w:t>
      </w:r>
      <w:r>
        <w:rPr>
          <w:color w:val="58595B"/>
          <w:spacing w:val="-3"/>
        </w:rPr>
        <w:t xml:space="preserve">also identified </w:t>
      </w:r>
      <w:r>
        <w:rPr>
          <w:color w:val="58595B"/>
          <w:spacing w:val="-6"/>
        </w:rPr>
        <w:t xml:space="preserve">key </w:t>
      </w:r>
      <w:r>
        <w:rPr>
          <w:color w:val="58595B"/>
          <w:spacing w:val="-3"/>
        </w:rPr>
        <w:t xml:space="preserve">gaps </w:t>
      </w:r>
      <w:r>
        <w:rPr>
          <w:color w:val="58595B"/>
        </w:rPr>
        <w:t xml:space="preserve">in </w:t>
      </w:r>
      <w:r>
        <w:rPr>
          <w:color w:val="58595B"/>
          <w:spacing w:val="-3"/>
        </w:rPr>
        <w:t xml:space="preserve">the </w:t>
      </w:r>
      <w:r>
        <w:rPr>
          <w:color w:val="58595B"/>
          <w:spacing w:val="-4"/>
        </w:rPr>
        <w:t xml:space="preserve">current toolkit. </w:t>
      </w:r>
      <w:r>
        <w:rPr>
          <w:color w:val="58595B"/>
          <w:spacing w:val="-3"/>
        </w:rPr>
        <w:t xml:space="preserve">These are </w:t>
      </w:r>
      <w:r>
        <w:rPr>
          <w:color w:val="58595B"/>
          <w:spacing w:val="-4"/>
        </w:rPr>
        <w:t xml:space="preserve">outlined below (table </w:t>
      </w:r>
      <w:r>
        <w:rPr>
          <w:color w:val="58595B"/>
          <w:spacing w:val="-16"/>
        </w:rPr>
        <w:t xml:space="preserve">11.1) </w:t>
      </w:r>
      <w:r>
        <w:rPr>
          <w:color w:val="58595B"/>
          <w:spacing w:val="-3"/>
        </w:rPr>
        <w:t xml:space="preserve">and are </w:t>
      </w:r>
      <w:r>
        <w:rPr>
          <w:color w:val="58595B"/>
          <w:spacing w:val="-4"/>
        </w:rPr>
        <w:t xml:space="preserve">detailed </w:t>
      </w:r>
      <w:r>
        <w:rPr>
          <w:color w:val="58595B"/>
        </w:rPr>
        <w:t xml:space="preserve">further in </w:t>
      </w:r>
      <w:r>
        <w:rPr>
          <w:color w:val="58595B"/>
          <w:spacing w:val="-3"/>
        </w:rPr>
        <w:t xml:space="preserve">this </w:t>
      </w:r>
      <w:r>
        <w:rPr>
          <w:color w:val="58595B"/>
          <w:spacing w:val="-6"/>
        </w:rPr>
        <w:t>chapter.</w:t>
      </w:r>
    </w:p>
    <w:p w14:paraId="0104E77A" w14:textId="77777777" w:rsidR="00160E7F" w:rsidRDefault="00160E7F">
      <w:pPr>
        <w:pStyle w:val="BodyText"/>
        <w:spacing w:before="4"/>
        <w:rPr>
          <w:sz w:val="17"/>
        </w:rPr>
      </w:pPr>
    </w:p>
    <w:p w14:paraId="3430E659" w14:textId="77777777" w:rsidR="00160E7F" w:rsidRDefault="002B0299">
      <w:pPr>
        <w:pStyle w:val="BodyText"/>
        <w:spacing w:before="1"/>
        <w:ind w:left="134" w:right="789"/>
      </w:pPr>
      <w:r>
        <w:rPr>
          <w:b/>
          <w:color w:val="0095A7"/>
        </w:rPr>
        <w:t xml:space="preserve">TABLE 11.1:  </w:t>
      </w:r>
      <w:r>
        <w:rPr>
          <w:color w:val="0095A7"/>
        </w:rPr>
        <w:t>CURRENT REGULATORY TOOLS AND STRATEGIC REFORM OPPORTUNITIES</w:t>
      </w:r>
    </w:p>
    <w:p w14:paraId="5301B28F" w14:textId="77777777" w:rsidR="00160E7F" w:rsidRDefault="00160E7F">
      <w:pPr>
        <w:pStyle w:val="BodyText"/>
        <w:spacing w:before="10"/>
        <w:rPr>
          <w:sz w:val="25"/>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852"/>
        <w:gridCol w:w="3416"/>
        <w:gridCol w:w="3406"/>
      </w:tblGrid>
      <w:tr w:rsidR="00160E7F" w14:paraId="01C74181" w14:textId="77777777">
        <w:trPr>
          <w:trHeight w:hRule="exact" w:val="358"/>
        </w:trPr>
        <w:tc>
          <w:tcPr>
            <w:tcW w:w="1852" w:type="dxa"/>
            <w:shd w:val="clear" w:color="auto" w:fill="89BFCB"/>
          </w:tcPr>
          <w:p w14:paraId="032BEF35" w14:textId="77777777" w:rsidR="00160E7F" w:rsidRDefault="002B0299">
            <w:pPr>
              <w:pStyle w:val="TableParagraph"/>
              <w:spacing w:before="75"/>
              <w:ind w:left="56" w:right="56"/>
              <w:rPr>
                <w:sz w:val="18"/>
              </w:rPr>
            </w:pPr>
            <w:r>
              <w:rPr>
                <w:color w:val="FFFFFF"/>
                <w:sz w:val="18"/>
              </w:rPr>
              <w:t>Intervention type</w:t>
            </w:r>
          </w:p>
        </w:tc>
        <w:tc>
          <w:tcPr>
            <w:tcW w:w="3416" w:type="dxa"/>
            <w:shd w:val="clear" w:color="auto" w:fill="89BFCB"/>
          </w:tcPr>
          <w:p w14:paraId="4784788E" w14:textId="77777777" w:rsidR="00160E7F" w:rsidRDefault="002B0299">
            <w:pPr>
              <w:pStyle w:val="TableParagraph"/>
              <w:spacing w:before="75"/>
              <w:ind w:left="75" w:right="349"/>
              <w:rPr>
                <w:sz w:val="18"/>
              </w:rPr>
            </w:pPr>
            <w:r>
              <w:rPr>
                <w:color w:val="FFFFFF"/>
                <w:sz w:val="18"/>
              </w:rPr>
              <w:t>Current tools</w:t>
            </w:r>
          </w:p>
        </w:tc>
        <w:tc>
          <w:tcPr>
            <w:tcW w:w="3406" w:type="dxa"/>
            <w:shd w:val="clear" w:color="auto" w:fill="89BFCB"/>
          </w:tcPr>
          <w:p w14:paraId="4011B12F" w14:textId="77777777" w:rsidR="00160E7F" w:rsidRDefault="002B0299">
            <w:pPr>
              <w:pStyle w:val="TableParagraph"/>
              <w:spacing w:before="75"/>
              <w:ind w:left="61" w:right="162"/>
              <w:rPr>
                <w:sz w:val="18"/>
              </w:rPr>
            </w:pPr>
            <w:r>
              <w:rPr>
                <w:color w:val="FFFFFF"/>
                <w:sz w:val="18"/>
              </w:rPr>
              <w:t>Reform opportunities</w:t>
            </w:r>
          </w:p>
        </w:tc>
      </w:tr>
      <w:tr w:rsidR="00160E7F" w14:paraId="416AA9C9" w14:textId="77777777">
        <w:trPr>
          <w:trHeight w:hRule="exact" w:val="519"/>
        </w:trPr>
        <w:tc>
          <w:tcPr>
            <w:tcW w:w="1852" w:type="dxa"/>
            <w:tcBorders>
              <w:bottom w:val="single" w:sz="2" w:space="0" w:color="939598"/>
            </w:tcBorders>
          </w:tcPr>
          <w:p w14:paraId="542894C7" w14:textId="77777777" w:rsidR="00160E7F" w:rsidRDefault="002B0299">
            <w:pPr>
              <w:pStyle w:val="TableParagraph"/>
              <w:ind w:left="56" w:right="56"/>
              <w:rPr>
                <w:b/>
                <w:sz w:val="18"/>
              </w:rPr>
            </w:pPr>
            <w:r>
              <w:rPr>
                <w:b/>
                <w:color w:val="58595B"/>
                <w:sz w:val="18"/>
              </w:rPr>
              <w:t>General obligations</w:t>
            </w:r>
          </w:p>
        </w:tc>
        <w:tc>
          <w:tcPr>
            <w:tcW w:w="3416" w:type="dxa"/>
            <w:tcBorders>
              <w:bottom w:val="single" w:sz="2" w:space="0" w:color="939598"/>
            </w:tcBorders>
          </w:tcPr>
          <w:p w14:paraId="33E088DD" w14:textId="77777777" w:rsidR="00160E7F" w:rsidRDefault="002B0299">
            <w:pPr>
              <w:pStyle w:val="TableParagraph"/>
              <w:ind w:left="75" w:right="349"/>
              <w:rPr>
                <w:sz w:val="18"/>
              </w:rPr>
            </w:pPr>
            <w:r>
              <w:rPr>
                <w:color w:val="58595B"/>
                <w:sz w:val="18"/>
              </w:rPr>
              <w:t>General pollution offences</w:t>
            </w:r>
          </w:p>
        </w:tc>
        <w:tc>
          <w:tcPr>
            <w:tcW w:w="3406" w:type="dxa"/>
            <w:tcBorders>
              <w:bottom w:val="single" w:sz="2" w:space="0" w:color="939598"/>
            </w:tcBorders>
          </w:tcPr>
          <w:p w14:paraId="47EF4659" w14:textId="77777777" w:rsidR="00160E7F" w:rsidRDefault="002B0299">
            <w:pPr>
              <w:pStyle w:val="TableParagraph"/>
              <w:spacing w:line="254" w:lineRule="auto"/>
              <w:ind w:left="61" w:right="162"/>
              <w:rPr>
                <w:sz w:val="18"/>
              </w:rPr>
            </w:pPr>
            <w:r>
              <w:rPr>
                <w:color w:val="58595B"/>
                <w:sz w:val="18"/>
              </w:rPr>
              <w:t>Strengthen prevention based on an enforceable general duty</w:t>
            </w:r>
          </w:p>
        </w:tc>
      </w:tr>
      <w:tr w:rsidR="00160E7F" w14:paraId="32FF4DF8" w14:textId="77777777">
        <w:trPr>
          <w:trHeight w:hRule="exact" w:val="1791"/>
        </w:trPr>
        <w:tc>
          <w:tcPr>
            <w:tcW w:w="1852" w:type="dxa"/>
            <w:tcBorders>
              <w:top w:val="single" w:sz="2" w:space="0" w:color="939598"/>
              <w:bottom w:val="single" w:sz="2" w:space="0" w:color="939598"/>
            </w:tcBorders>
          </w:tcPr>
          <w:p w14:paraId="34005B9D" w14:textId="77777777" w:rsidR="00160E7F" w:rsidRDefault="002B0299">
            <w:pPr>
              <w:pStyle w:val="TableParagraph"/>
              <w:spacing w:line="254" w:lineRule="auto"/>
              <w:ind w:left="56" w:right="135"/>
              <w:rPr>
                <w:b/>
                <w:sz w:val="18"/>
              </w:rPr>
            </w:pPr>
            <w:r>
              <w:rPr>
                <w:b/>
                <w:color w:val="58595B"/>
                <w:sz w:val="18"/>
              </w:rPr>
              <w:t>Environment protection standard: ‘the goal posts’</w:t>
            </w:r>
          </w:p>
        </w:tc>
        <w:tc>
          <w:tcPr>
            <w:tcW w:w="3416" w:type="dxa"/>
            <w:tcBorders>
              <w:top w:val="single" w:sz="2" w:space="0" w:color="939598"/>
              <w:bottom w:val="single" w:sz="2" w:space="0" w:color="939598"/>
            </w:tcBorders>
          </w:tcPr>
          <w:p w14:paraId="0CC7567A" w14:textId="77777777" w:rsidR="00160E7F" w:rsidRDefault="002B0299">
            <w:pPr>
              <w:pStyle w:val="TableParagraph"/>
              <w:spacing w:line="338" w:lineRule="auto"/>
              <w:ind w:left="75" w:right="349"/>
              <w:rPr>
                <w:sz w:val="18"/>
              </w:rPr>
            </w:pPr>
            <w:r>
              <w:rPr>
                <w:color w:val="58595B"/>
                <w:sz w:val="18"/>
              </w:rPr>
              <w:t>State environment protection policies Waste management policies</w:t>
            </w:r>
          </w:p>
          <w:p w14:paraId="564D41E3" w14:textId="77777777" w:rsidR="00160E7F" w:rsidRDefault="002B0299">
            <w:pPr>
              <w:pStyle w:val="TableParagraph"/>
              <w:spacing w:before="1" w:line="254" w:lineRule="auto"/>
              <w:ind w:left="75" w:right="349"/>
              <w:rPr>
                <w:sz w:val="18"/>
              </w:rPr>
            </w:pPr>
            <w:r>
              <w:rPr>
                <w:color w:val="58595B"/>
                <w:sz w:val="18"/>
              </w:rPr>
              <w:t>Working through national standard- setting processes</w:t>
            </w:r>
          </w:p>
        </w:tc>
        <w:tc>
          <w:tcPr>
            <w:tcW w:w="3406" w:type="dxa"/>
            <w:tcBorders>
              <w:top w:val="single" w:sz="2" w:space="0" w:color="939598"/>
              <w:bottom w:val="single" w:sz="2" w:space="0" w:color="939598"/>
            </w:tcBorders>
          </w:tcPr>
          <w:p w14:paraId="6CE58AD0" w14:textId="77777777" w:rsidR="00160E7F" w:rsidRDefault="002B0299">
            <w:pPr>
              <w:pStyle w:val="TableParagraph"/>
              <w:spacing w:line="254" w:lineRule="auto"/>
              <w:ind w:left="61" w:right="713"/>
              <w:rPr>
                <w:sz w:val="18"/>
              </w:rPr>
            </w:pPr>
            <w:r>
              <w:rPr>
                <w:color w:val="58595B"/>
                <w:sz w:val="18"/>
              </w:rPr>
              <w:t>Simplify and make these easier to update</w:t>
            </w:r>
          </w:p>
          <w:p w14:paraId="3D0B363D" w14:textId="77777777" w:rsidR="00160E7F" w:rsidRDefault="00160E7F">
            <w:pPr>
              <w:pStyle w:val="TableParagraph"/>
              <w:spacing w:before="10"/>
              <w:rPr>
                <w:sz w:val="14"/>
              </w:rPr>
            </w:pPr>
          </w:p>
          <w:p w14:paraId="722C928E" w14:textId="77777777" w:rsidR="00160E7F" w:rsidRDefault="002B0299">
            <w:pPr>
              <w:pStyle w:val="TableParagraph"/>
              <w:spacing w:before="0" w:line="254" w:lineRule="auto"/>
              <w:ind w:left="61" w:right="162"/>
              <w:rPr>
                <w:sz w:val="18"/>
              </w:rPr>
            </w:pPr>
            <w:r>
              <w:rPr>
                <w:color w:val="58595B"/>
                <w:sz w:val="18"/>
              </w:rPr>
              <w:t>Provide leadership, expert advice and surveillance information on critical risk issues to drive action through national processes, in particular on air quality measures and chemical regulation</w:t>
            </w:r>
          </w:p>
        </w:tc>
      </w:tr>
      <w:tr w:rsidR="00160E7F" w14:paraId="08B7B0CA" w14:textId="77777777">
        <w:trPr>
          <w:trHeight w:hRule="exact" w:val="1174"/>
        </w:trPr>
        <w:tc>
          <w:tcPr>
            <w:tcW w:w="1852" w:type="dxa"/>
            <w:tcBorders>
              <w:top w:val="single" w:sz="2" w:space="0" w:color="939598"/>
              <w:bottom w:val="single" w:sz="2" w:space="0" w:color="939598"/>
            </w:tcBorders>
          </w:tcPr>
          <w:p w14:paraId="075EEAA7" w14:textId="77777777" w:rsidR="00160E7F" w:rsidRDefault="002B0299">
            <w:pPr>
              <w:pStyle w:val="TableParagraph"/>
              <w:spacing w:line="254" w:lineRule="auto"/>
              <w:ind w:left="56" w:right="56"/>
              <w:rPr>
                <w:b/>
                <w:sz w:val="18"/>
              </w:rPr>
            </w:pPr>
            <w:r>
              <w:rPr>
                <w:b/>
                <w:color w:val="58595B"/>
                <w:sz w:val="18"/>
              </w:rPr>
              <w:t>Compliance obligations</w:t>
            </w:r>
          </w:p>
        </w:tc>
        <w:tc>
          <w:tcPr>
            <w:tcW w:w="3416" w:type="dxa"/>
            <w:tcBorders>
              <w:top w:val="single" w:sz="2" w:space="0" w:color="939598"/>
              <w:bottom w:val="single" w:sz="2" w:space="0" w:color="939598"/>
            </w:tcBorders>
          </w:tcPr>
          <w:p w14:paraId="5F5CCE0D" w14:textId="77777777" w:rsidR="00160E7F" w:rsidRDefault="002B0299">
            <w:pPr>
              <w:pStyle w:val="TableParagraph"/>
              <w:ind w:left="75" w:right="349"/>
              <w:rPr>
                <w:sz w:val="18"/>
              </w:rPr>
            </w:pPr>
            <w:r>
              <w:rPr>
                <w:color w:val="58595B"/>
                <w:sz w:val="18"/>
              </w:rPr>
              <w:t>Regulations</w:t>
            </w:r>
          </w:p>
          <w:p w14:paraId="0659AA35" w14:textId="77777777" w:rsidR="00160E7F" w:rsidRDefault="002B0299">
            <w:pPr>
              <w:pStyle w:val="TableParagraph"/>
              <w:spacing w:before="84" w:line="338" w:lineRule="auto"/>
              <w:ind w:left="75" w:right="349"/>
              <w:rPr>
                <w:sz w:val="18"/>
              </w:rPr>
            </w:pPr>
            <w:r>
              <w:rPr>
                <w:color w:val="58595B"/>
                <w:sz w:val="18"/>
              </w:rPr>
              <w:t>State environment protection policies Waste management policies Notifiable chemical orders</w:t>
            </w:r>
          </w:p>
        </w:tc>
        <w:tc>
          <w:tcPr>
            <w:tcW w:w="3406" w:type="dxa"/>
            <w:tcBorders>
              <w:top w:val="single" w:sz="2" w:space="0" w:color="939598"/>
              <w:bottom w:val="single" w:sz="2" w:space="0" w:color="939598"/>
            </w:tcBorders>
          </w:tcPr>
          <w:p w14:paraId="38E372CB" w14:textId="77777777" w:rsidR="00160E7F" w:rsidRDefault="002B0299">
            <w:pPr>
              <w:pStyle w:val="TableParagraph"/>
              <w:spacing w:line="254" w:lineRule="auto"/>
              <w:ind w:left="61" w:right="593"/>
              <w:rPr>
                <w:sz w:val="18"/>
              </w:rPr>
            </w:pPr>
            <w:r>
              <w:rPr>
                <w:color w:val="58595B"/>
                <w:sz w:val="18"/>
              </w:rPr>
              <w:t>Make these easier to update and to enforce</w:t>
            </w:r>
          </w:p>
        </w:tc>
      </w:tr>
      <w:tr w:rsidR="00160E7F" w14:paraId="36A9F03D" w14:textId="77777777">
        <w:trPr>
          <w:trHeight w:hRule="exact" w:val="1614"/>
        </w:trPr>
        <w:tc>
          <w:tcPr>
            <w:tcW w:w="1852" w:type="dxa"/>
            <w:tcBorders>
              <w:top w:val="single" w:sz="2" w:space="0" w:color="939598"/>
              <w:bottom w:val="single" w:sz="2" w:space="0" w:color="939598"/>
            </w:tcBorders>
          </w:tcPr>
          <w:p w14:paraId="0A05DD19" w14:textId="77777777" w:rsidR="00160E7F" w:rsidRDefault="002B0299">
            <w:pPr>
              <w:pStyle w:val="TableParagraph"/>
              <w:ind w:left="56" w:right="56"/>
              <w:rPr>
                <w:b/>
                <w:sz w:val="18"/>
              </w:rPr>
            </w:pPr>
            <w:r>
              <w:rPr>
                <w:b/>
                <w:color w:val="58595B"/>
                <w:sz w:val="18"/>
              </w:rPr>
              <w:t>Approvals</w:t>
            </w:r>
          </w:p>
        </w:tc>
        <w:tc>
          <w:tcPr>
            <w:tcW w:w="3416" w:type="dxa"/>
            <w:tcBorders>
              <w:top w:val="single" w:sz="2" w:space="0" w:color="939598"/>
              <w:bottom w:val="single" w:sz="2" w:space="0" w:color="939598"/>
            </w:tcBorders>
          </w:tcPr>
          <w:p w14:paraId="1DFFC5E6" w14:textId="77777777" w:rsidR="00160E7F" w:rsidRDefault="002B0299">
            <w:pPr>
              <w:pStyle w:val="TableParagraph"/>
              <w:spacing w:line="338" w:lineRule="auto"/>
              <w:ind w:left="75" w:right="1980"/>
              <w:rPr>
                <w:sz w:val="18"/>
              </w:rPr>
            </w:pPr>
            <w:r>
              <w:rPr>
                <w:color w:val="58595B"/>
                <w:sz w:val="18"/>
              </w:rPr>
              <w:t>Works approvals Licences</w:t>
            </w:r>
          </w:p>
          <w:p w14:paraId="7857DCC5" w14:textId="77777777" w:rsidR="00160E7F" w:rsidRDefault="002B0299">
            <w:pPr>
              <w:pStyle w:val="TableParagraph"/>
              <w:spacing w:before="1" w:line="254" w:lineRule="auto"/>
              <w:ind w:left="75" w:right="1069"/>
              <w:rPr>
                <w:sz w:val="18"/>
              </w:rPr>
            </w:pPr>
            <w:r>
              <w:rPr>
                <w:color w:val="58595B"/>
                <w:sz w:val="18"/>
              </w:rPr>
              <w:t>Research, development and demonstration approvals</w:t>
            </w:r>
          </w:p>
          <w:p w14:paraId="5DBD7810" w14:textId="77777777" w:rsidR="00160E7F" w:rsidRDefault="002B0299">
            <w:pPr>
              <w:pStyle w:val="TableParagraph"/>
              <w:spacing w:before="72" w:line="254" w:lineRule="auto"/>
              <w:ind w:left="75"/>
              <w:rPr>
                <w:sz w:val="18"/>
              </w:rPr>
            </w:pPr>
            <w:r>
              <w:rPr>
                <w:color w:val="58595B"/>
                <w:sz w:val="18"/>
              </w:rPr>
              <w:t>Section 30A approvals (commissioning and emergencies)</w:t>
            </w:r>
          </w:p>
        </w:tc>
        <w:tc>
          <w:tcPr>
            <w:tcW w:w="3406" w:type="dxa"/>
            <w:tcBorders>
              <w:top w:val="single" w:sz="2" w:space="0" w:color="939598"/>
              <w:bottom w:val="single" w:sz="2" w:space="0" w:color="939598"/>
            </w:tcBorders>
          </w:tcPr>
          <w:p w14:paraId="48B3D973" w14:textId="77777777" w:rsidR="00160E7F" w:rsidRDefault="002B0299">
            <w:pPr>
              <w:pStyle w:val="TableParagraph"/>
              <w:ind w:left="61" w:right="162"/>
              <w:rPr>
                <w:sz w:val="18"/>
              </w:rPr>
            </w:pPr>
            <w:r>
              <w:rPr>
                <w:color w:val="58595B"/>
                <w:sz w:val="18"/>
              </w:rPr>
              <w:t>Better match instruments to risks</w:t>
            </w:r>
          </w:p>
        </w:tc>
      </w:tr>
      <w:tr w:rsidR="00160E7F" w14:paraId="6C359D42" w14:textId="77777777">
        <w:trPr>
          <w:trHeight w:hRule="exact" w:val="1685"/>
        </w:trPr>
        <w:tc>
          <w:tcPr>
            <w:tcW w:w="1852" w:type="dxa"/>
            <w:tcBorders>
              <w:top w:val="single" w:sz="2" w:space="0" w:color="939598"/>
              <w:bottom w:val="single" w:sz="2" w:space="0" w:color="939598"/>
            </w:tcBorders>
          </w:tcPr>
          <w:p w14:paraId="3072175F" w14:textId="77777777" w:rsidR="00160E7F" w:rsidRDefault="002B0299">
            <w:pPr>
              <w:pStyle w:val="TableParagraph"/>
              <w:spacing w:line="254" w:lineRule="auto"/>
              <w:ind w:left="56" w:right="56"/>
              <w:rPr>
                <w:b/>
                <w:sz w:val="18"/>
              </w:rPr>
            </w:pPr>
            <w:r>
              <w:rPr>
                <w:b/>
                <w:color w:val="58595B"/>
                <w:sz w:val="18"/>
              </w:rPr>
              <w:t>Operating conditions</w:t>
            </w:r>
          </w:p>
        </w:tc>
        <w:tc>
          <w:tcPr>
            <w:tcW w:w="3416" w:type="dxa"/>
            <w:tcBorders>
              <w:top w:val="single" w:sz="2" w:space="0" w:color="939598"/>
              <w:bottom w:val="single" w:sz="2" w:space="0" w:color="939598"/>
            </w:tcBorders>
          </w:tcPr>
          <w:p w14:paraId="23F76EBB" w14:textId="77777777" w:rsidR="00160E7F" w:rsidRDefault="002B0299">
            <w:pPr>
              <w:pStyle w:val="TableParagraph"/>
              <w:spacing w:line="338" w:lineRule="auto"/>
              <w:ind w:left="75" w:right="1069"/>
              <w:rPr>
                <w:sz w:val="18"/>
              </w:rPr>
            </w:pPr>
            <w:r>
              <w:rPr>
                <w:color w:val="58595B"/>
                <w:sz w:val="18"/>
              </w:rPr>
              <w:t>Works approval conditions Licence conditions</w:t>
            </w:r>
          </w:p>
          <w:p w14:paraId="665FBFE4" w14:textId="77777777" w:rsidR="00160E7F" w:rsidRDefault="002B0299">
            <w:pPr>
              <w:pStyle w:val="TableParagraph"/>
              <w:spacing w:before="1" w:line="254" w:lineRule="auto"/>
              <w:ind w:left="75" w:right="1069"/>
              <w:rPr>
                <w:sz w:val="18"/>
              </w:rPr>
            </w:pPr>
            <w:r>
              <w:rPr>
                <w:color w:val="58595B"/>
                <w:sz w:val="18"/>
              </w:rPr>
              <w:t>Research, development and demonstration conditions</w:t>
            </w:r>
          </w:p>
          <w:p w14:paraId="0251845E" w14:textId="77777777" w:rsidR="00160E7F" w:rsidRDefault="002B0299">
            <w:pPr>
              <w:pStyle w:val="TableParagraph"/>
              <w:spacing w:before="72" w:line="338" w:lineRule="auto"/>
              <w:ind w:left="75" w:right="1069"/>
              <w:rPr>
                <w:sz w:val="18"/>
              </w:rPr>
            </w:pPr>
            <w:r>
              <w:rPr>
                <w:color w:val="58595B"/>
                <w:sz w:val="18"/>
              </w:rPr>
              <w:t>Section 30A conditions Sustainability Covenants</w:t>
            </w:r>
          </w:p>
        </w:tc>
        <w:tc>
          <w:tcPr>
            <w:tcW w:w="3406" w:type="dxa"/>
            <w:tcBorders>
              <w:top w:val="single" w:sz="2" w:space="0" w:color="939598"/>
              <w:bottom w:val="single" w:sz="2" w:space="0" w:color="939598"/>
            </w:tcBorders>
          </w:tcPr>
          <w:p w14:paraId="0C4FCB44" w14:textId="77777777" w:rsidR="00160E7F" w:rsidRDefault="002B0299">
            <w:pPr>
              <w:pStyle w:val="TableParagraph"/>
              <w:spacing w:line="254" w:lineRule="auto"/>
              <w:ind w:left="61" w:right="162"/>
              <w:rPr>
                <w:sz w:val="18"/>
              </w:rPr>
            </w:pPr>
            <w:r>
              <w:rPr>
                <w:color w:val="58595B"/>
                <w:sz w:val="18"/>
              </w:rPr>
              <w:t>Continuous improvement and strengthen enforceability</w:t>
            </w:r>
          </w:p>
        </w:tc>
      </w:tr>
      <w:tr w:rsidR="00160E7F" w14:paraId="597EDD6C" w14:textId="77777777">
        <w:trPr>
          <w:trHeight w:hRule="exact" w:val="1394"/>
        </w:trPr>
        <w:tc>
          <w:tcPr>
            <w:tcW w:w="1852" w:type="dxa"/>
            <w:tcBorders>
              <w:top w:val="single" w:sz="2" w:space="0" w:color="939598"/>
              <w:bottom w:val="single" w:sz="2" w:space="0" w:color="939598"/>
            </w:tcBorders>
          </w:tcPr>
          <w:p w14:paraId="5FDEEE97" w14:textId="77777777" w:rsidR="00160E7F" w:rsidRDefault="002B0299">
            <w:pPr>
              <w:pStyle w:val="TableParagraph"/>
              <w:spacing w:line="254" w:lineRule="auto"/>
              <w:ind w:left="56" w:right="56"/>
              <w:rPr>
                <w:b/>
                <w:sz w:val="18"/>
              </w:rPr>
            </w:pPr>
            <w:r>
              <w:rPr>
                <w:b/>
                <w:color w:val="58595B"/>
                <w:sz w:val="18"/>
              </w:rPr>
              <w:t>Economic instruments</w:t>
            </w:r>
          </w:p>
        </w:tc>
        <w:tc>
          <w:tcPr>
            <w:tcW w:w="3416" w:type="dxa"/>
            <w:tcBorders>
              <w:top w:val="single" w:sz="2" w:space="0" w:color="939598"/>
              <w:bottom w:val="single" w:sz="2" w:space="0" w:color="939598"/>
            </w:tcBorders>
          </w:tcPr>
          <w:p w14:paraId="06741111" w14:textId="77777777" w:rsidR="00160E7F" w:rsidRDefault="002B0299">
            <w:pPr>
              <w:pStyle w:val="TableParagraph"/>
              <w:spacing w:line="338" w:lineRule="auto"/>
              <w:ind w:left="75" w:right="1559"/>
              <w:rPr>
                <w:sz w:val="18"/>
              </w:rPr>
            </w:pPr>
            <w:r>
              <w:rPr>
                <w:color w:val="58595B"/>
                <w:sz w:val="18"/>
              </w:rPr>
              <w:t>Landfill levies Financial assurances</w:t>
            </w:r>
          </w:p>
          <w:p w14:paraId="2DBF7678" w14:textId="77777777" w:rsidR="00160E7F" w:rsidRDefault="002B0299">
            <w:pPr>
              <w:pStyle w:val="TableParagraph"/>
              <w:spacing w:before="1"/>
              <w:ind w:left="75"/>
              <w:rPr>
                <w:sz w:val="18"/>
              </w:rPr>
            </w:pPr>
            <w:r>
              <w:rPr>
                <w:color w:val="58595B"/>
                <w:sz w:val="18"/>
              </w:rPr>
              <w:t>Tradeable permits (head of power exists)</w:t>
            </w:r>
          </w:p>
          <w:p w14:paraId="2530A366" w14:textId="77777777" w:rsidR="00160E7F" w:rsidRDefault="002B0299">
            <w:pPr>
              <w:pStyle w:val="TableParagraph"/>
              <w:spacing w:before="84" w:line="254" w:lineRule="auto"/>
              <w:ind w:left="75" w:right="529"/>
              <w:rPr>
                <w:sz w:val="18"/>
              </w:rPr>
            </w:pPr>
            <w:r>
              <w:rPr>
                <w:color w:val="58595B"/>
                <w:spacing w:val="-6"/>
                <w:sz w:val="18"/>
              </w:rPr>
              <w:t xml:space="preserve">Environmental </w:t>
            </w:r>
            <w:r>
              <w:rPr>
                <w:color w:val="58595B"/>
                <w:spacing w:val="-5"/>
                <w:sz w:val="18"/>
              </w:rPr>
              <w:t xml:space="preserve">offsets (head </w:t>
            </w:r>
            <w:r>
              <w:rPr>
                <w:color w:val="58595B"/>
                <w:spacing w:val="-4"/>
                <w:sz w:val="18"/>
              </w:rPr>
              <w:t xml:space="preserve">of </w:t>
            </w:r>
            <w:r>
              <w:rPr>
                <w:color w:val="58595B"/>
                <w:spacing w:val="-5"/>
                <w:sz w:val="18"/>
              </w:rPr>
              <w:t xml:space="preserve">power </w:t>
            </w:r>
            <w:r>
              <w:rPr>
                <w:color w:val="58595B"/>
                <w:spacing w:val="-9"/>
                <w:sz w:val="18"/>
              </w:rPr>
              <w:t>exists)</w:t>
            </w:r>
          </w:p>
        </w:tc>
        <w:tc>
          <w:tcPr>
            <w:tcW w:w="3406" w:type="dxa"/>
            <w:tcBorders>
              <w:top w:val="single" w:sz="2" w:space="0" w:color="939598"/>
              <w:bottom w:val="single" w:sz="2" w:space="0" w:color="939598"/>
            </w:tcBorders>
          </w:tcPr>
          <w:p w14:paraId="55F956AC" w14:textId="77777777" w:rsidR="00160E7F" w:rsidRDefault="002B0299">
            <w:pPr>
              <w:pStyle w:val="TableParagraph"/>
              <w:spacing w:line="254" w:lineRule="auto"/>
              <w:ind w:left="61" w:right="713"/>
              <w:rPr>
                <w:sz w:val="18"/>
              </w:rPr>
            </w:pPr>
            <w:r>
              <w:rPr>
                <w:color w:val="58595B"/>
                <w:sz w:val="18"/>
              </w:rPr>
              <w:t>Expand application of better designed incentives</w:t>
            </w:r>
          </w:p>
        </w:tc>
      </w:tr>
      <w:tr w:rsidR="00160E7F" w14:paraId="28B3FCE7" w14:textId="77777777">
        <w:trPr>
          <w:trHeight w:hRule="exact" w:val="741"/>
        </w:trPr>
        <w:tc>
          <w:tcPr>
            <w:tcW w:w="1852" w:type="dxa"/>
            <w:tcBorders>
              <w:top w:val="single" w:sz="2" w:space="0" w:color="939598"/>
              <w:bottom w:val="single" w:sz="2" w:space="0" w:color="939598"/>
            </w:tcBorders>
          </w:tcPr>
          <w:p w14:paraId="73016960" w14:textId="77777777" w:rsidR="00160E7F" w:rsidRDefault="002B0299">
            <w:pPr>
              <w:pStyle w:val="TableParagraph"/>
              <w:ind w:left="56" w:right="56"/>
              <w:rPr>
                <w:b/>
                <w:sz w:val="18"/>
              </w:rPr>
            </w:pPr>
            <w:r>
              <w:rPr>
                <w:b/>
                <w:color w:val="58595B"/>
                <w:sz w:val="18"/>
              </w:rPr>
              <w:t>Risk assessment</w:t>
            </w:r>
          </w:p>
        </w:tc>
        <w:tc>
          <w:tcPr>
            <w:tcW w:w="3416" w:type="dxa"/>
            <w:tcBorders>
              <w:top w:val="single" w:sz="2" w:space="0" w:color="939598"/>
              <w:bottom w:val="single" w:sz="2" w:space="0" w:color="939598"/>
            </w:tcBorders>
          </w:tcPr>
          <w:p w14:paraId="18346C5B" w14:textId="77777777" w:rsidR="00160E7F" w:rsidRDefault="002B0299">
            <w:pPr>
              <w:pStyle w:val="TableParagraph"/>
              <w:ind w:left="75"/>
              <w:rPr>
                <w:sz w:val="18"/>
              </w:rPr>
            </w:pPr>
            <w:r>
              <w:rPr>
                <w:color w:val="58595B"/>
                <w:sz w:val="18"/>
              </w:rPr>
              <w:t>Statutory environmental audit system</w:t>
            </w:r>
          </w:p>
        </w:tc>
        <w:tc>
          <w:tcPr>
            <w:tcW w:w="3406" w:type="dxa"/>
            <w:tcBorders>
              <w:top w:val="single" w:sz="2" w:space="0" w:color="939598"/>
              <w:bottom w:val="single" w:sz="2" w:space="0" w:color="939598"/>
            </w:tcBorders>
          </w:tcPr>
          <w:p w14:paraId="2E2DA8DD" w14:textId="77777777" w:rsidR="00160E7F" w:rsidRDefault="002B0299">
            <w:pPr>
              <w:pStyle w:val="TableParagraph"/>
              <w:spacing w:line="254" w:lineRule="auto"/>
              <w:ind w:left="61"/>
              <w:rPr>
                <w:sz w:val="18"/>
              </w:rPr>
            </w:pPr>
            <w:r>
              <w:rPr>
                <w:color w:val="58595B"/>
                <w:sz w:val="18"/>
              </w:rPr>
              <w:t>Strengthen triggers for using statutory audits to assess potential contamination risk, and other risks</w:t>
            </w:r>
          </w:p>
        </w:tc>
      </w:tr>
      <w:tr w:rsidR="00160E7F" w14:paraId="48AA55A7" w14:textId="77777777">
        <w:trPr>
          <w:trHeight w:hRule="exact" w:val="741"/>
        </w:trPr>
        <w:tc>
          <w:tcPr>
            <w:tcW w:w="1852" w:type="dxa"/>
            <w:tcBorders>
              <w:top w:val="single" w:sz="2" w:space="0" w:color="939598"/>
              <w:bottom w:val="single" w:sz="2" w:space="0" w:color="939598"/>
            </w:tcBorders>
          </w:tcPr>
          <w:p w14:paraId="1BFA02DC" w14:textId="77777777" w:rsidR="00160E7F" w:rsidRDefault="002B0299">
            <w:pPr>
              <w:pStyle w:val="TableParagraph"/>
              <w:spacing w:line="254" w:lineRule="auto"/>
              <w:ind w:left="56" w:right="135"/>
              <w:rPr>
                <w:b/>
                <w:sz w:val="18"/>
              </w:rPr>
            </w:pPr>
            <w:r>
              <w:rPr>
                <w:b/>
                <w:color w:val="58595B"/>
                <w:sz w:val="18"/>
              </w:rPr>
              <w:t>Support for compliance and risk management</w:t>
            </w:r>
          </w:p>
        </w:tc>
        <w:tc>
          <w:tcPr>
            <w:tcW w:w="3416" w:type="dxa"/>
            <w:tcBorders>
              <w:top w:val="single" w:sz="2" w:space="0" w:color="939598"/>
              <w:bottom w:val="single" w:sz="2" w:space="0" w:color="939598"/>
            </w:tcBorders>
          </w:tcPr>
          <w:p w14:paraId="614C7CB3" w14:textId="77777777" w:rsidR="00160E7F" w:rsidRDefault="00160E7F"/>
        </w:tc>
        <w:tc>
          <w:tcPr>
            <w:tcW w:w="3406" w:type="dxa"/>
            <w:tcBorders>
              <w:top w:val="single" w:sz="2" w:space="0" w:color="939598"/>
              <w:bottom w:val="single" w:sz="2" w:space="0" w:color="939598"/>
            </w:tcBorders>
          </w:tcPr>
          <w:p w14:paraId="4E58C381" w14:textId="77777777" w:rsidR="00160E7F" w:rsidRDefault="002B0299">
            <w:pPr>
              <w:pStyle w:val="TableParagraph"/>
              <w:spacing w:line="254" w:lineRule="auto"/>
              <w:ind w:left="61" w:right="162"/>
              <w:rPr>
                <w:sz w:val="18"/>
              </w:rPr>
            </w:pPr>
            <w:r>
              <w:rPr>
                <w:color w:val="58595B"/>
                <w:sz w:val="18"/>
              </w:rPr>
              <w:t>Increased education and updated guidance, and accessible</w:t>
            </w:r>
          </w:p>
          <w:p w14:paraId="3E511BF5" w14:textId="77777777" w:rsidR="00160E7F" w:rsidRDefault="002B0299">
            <w:pPr>
              <w:pStyle w:val="TableParagraph"/>
              <w:spacing w:before="1"/>
              <w:ind w:left="61" w:right="162"/>
              <w:rPr>
                <w:sz w:val="18"/>
              </w:rPr>
            </w:pPr>
            <w:r>
              <w:rPr>
                <w:color w:val="58595B"/>
                <w:sz w:val="18"/>
              </w:rPr>
              <w:t>risk information</w:t>
            </w:r>
          </w:p>
        </w:tc>
      </w:tr>
    </w:tbl>
    <w:p w14:paraId="49A4C4BB" w14:textId="77777777" w:rsidR="00160E7F" w:rsidRDefault="00160E7F">
      <w:pPr>
        <w:rPr>
          <w:sz w:val="18"/>
        </w:rPr>
        <w:sectPr w:rsidR="00160E7F">
          <w:pgSz w:w="11910" w:h="16840"/>
          <w:pgMar w:top="980" w:right="0" w:bottom="280" w:left="1680" w:header="788" w:footer="0" w:gutter="0"/>
          <w:cols w:space="720"/>
        </w:sectPr>
      </w:pPr>
    </w:p>
    <w:p w14:paraId="511C0456" w14:textId="77777777" w:rsidR="00160E7F" w:rsidRDefault="00160E7F">
      <w:pPr>
        <w:pStyle w:val="BodyText"/>
      </w:pPr>
    </w:p>
    <w:p w14:paraId="3ADF3F3E" w14:textId="77777777" w:rsidR="00160E7F" w:rsidRDefault="00160E7F">
      <w:pPr>
        <w:pStyle w:val="BodyText"/>
      </w:pPr>
    </w:p>
    <w:p w14:paraId="218A0BDC" w14:textId="77777777" w:rsidR="00160E7F" w:rsidRDefault="00160E7F">
      <w:pPr>
        <w:pStyle w:val="BodyText"/>
      </w:pPr>
    </w:p>
    <w:p w14:paraId="47F5C4B3" w14:textId="77777777" w:rsidR="00160E7F" w:rsidRDefault="00160E7F">
      <w:pPr>
        <w:pStyle w:val="BodyText"/>
      </w:pPr>
    </w:p>
    <w:p w14:paraId="3A87CF55" w14:textId="77777777" w:rsidR="00160E7F" w:rsidRDefault="00160E7F">
      <w:pPr>
        <w:pStyle w:val="BodyText"/>
        <w:spacing w:before="4" w:after="1"/>
        <w:rPr>
          <w:sz w:val="21"/>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853"/>
        <w:gridCol w:w="3323"/>
        <w:gridCol w:w="3498"/>
      </w:tblGrid>
      <w:tr w:rsidR="00160E7F" w14:paraId="607759BE" w14:textId="77777777">
        <w:trPr>
          <w:trHeight w:hRule="exact" w:val="358"/>
        </w:trPr>
        <w:tc>
          <w:tcPr>
            <w:tcW w:w="1853" w:type="dxa"/>
            <w:shd w:val="clear" w:color="auto" w:fill="89BFCB"/>
          </w:tcPr>
          <w:p w14:paraId="0729D496" w14:textId="77777777" w:rsidR="00160E7F" w:rsidRDefault="002B0299">
            <w:pPr>
              <w:pStyle w:val="TableParagraph"/>
              <w:spacing w:before="75"/>
              <w:ind w:left="56"/>
              <w:rPr>
                <w:sz w:val="18"/>
              </w:rPr>
            </w:pPr>
            <w:r>
              <w:rPr>
                <w:color w:val="FFFFFF"/>
                <w:sz w:val="18"/>
              </w:rPr>
              <w:t>Intervention type</w:t>
            </w:r>
          </w:p>
        </w:tc>
        <w:tc>
          <w:tcPr>
            <w:tcW w:w="3323" w:type="dxa"/>
            <w:shd w:val="clear" w:color="auto" w:fill="89BFCB"/>
          </w:tcPr>
          <w:p w14:paraId="6ACD36C3" w14:textId="77777777" w:rsidR="00160E7F" w:rsidRDefault="002B0299">
            <w:pPr>
              <w:pStyle w:val="TableParagraph"/>
              <w:spacing w:before="75"/>
              <w:ind w:left="74"/>
              <w:rPr>
                <w:sz w:val="18"/>
              </w:rPr>
            </w:pPr>
            <w:r>
              <w:rPr>
                <w:color w:val="FFFFFF"/>
                <w:sz w:val="18"/>
              </w:rPr>
              <w:t>Current tools</w:t>
            </w:r>
          </w:p>
        </w:tc>
        <w:tc>
          <w:tcPr>
            <w:tcW w:w="3498" w:type="dxa"/>
            <w:shd w:val="clear" w:color="auto" w:fill="89BFCB"/>
          </w:tcPr>
          <w:p w14:paraId="5DBAC07D" w14:textId="77777777" w:rsidR="00160E7F" w:rsidRDefault="002B0299">
            <w:pPr>
              <w:pStyle w:val="TableParagraph"/>
              <w:spacing w:before="75"/>
              <w:ind w:left="153"/>
              <w:rPr>
                <w:sz w:val="18"/>
              </w:rPr>
            </w:pPr>
            <w:r>
              <w:rPr>
                <w:color w:val="FFFFFF"/>
                <w:sz w:val="18"/>
              </w:rPr>
              <w:t>Reform opportunities</w:t>
            </w:r>
          </w:p>
        </w:tc>
      </w:tr>
      <w:tr w:rsidR="00160E7F" w14:paraId="77E88FB7" w14:textId="77777777">
        <w:trPr>
          <w:trHeight w:hRule="exact" w:val="809"/>
        </w:trPr>
        <w:tc>
          <w:tcPr>
            <w:tcW w:w="1853" w:type="dxa"/>
            <w:tcBorders>
              <w:bottom w:val="single" w:sz="2" w:space="0" w:color="939598"/>
            </w:tcBorders>
          </w:tcPr>
          <w:p w14:paraId="5DBAC229" w14:textId="77777777" w:rsidR="00160E7F" w:rsidRDefault="002B0299">
            <w:pPr>
              <w:pStyle w:val="TableParagraph"/>
              <w:ind w:left="56"/>
              <w:rPr>
                <w:b/>
                <w:sz w:val="18"/>
              </w:rPr>
            </w:pPr>
            <w:r>
              <w:rPr>
                <w:b/>
                <w:color w:val="58595B"/>
                <w:sz w:val="18"/>
              </w:rPr>
              <w:t>Remedial measures</w:t>
            </w:r>
          </w:p>
        </w:tc>
        <w:tc>
          <w:tcPr>
            <w:tcW w:w="3323" w:type="dxa"/>
            <w:tcBorders>
              <w:bottom w:val="single" w:sz="2" w:space="0" w:color="939598"/>
            </w:tcBorders>
          </w:tcPr>
          <w:p w14:paraId="60B78D90" w14:textId="77777777" w:rsidR="00160E7F" w:rsidRDefault="002B0299">
            <w:pPr>
              <w:pStyle w:val="TableParagraph"/>
              <w:ind w:left="74"/>
              <w:rPr>
                <w:sz w:val="18"/>
              </w:rPr>
            </w:pPr>
            <w:r>
              <w:rPr>
                <w:color w:val="58595B"/>
                <w:sz w:val="18"/>
              </w:rPr>
              <w:t>Directions</w:t>
            </w:r>
          </w:p>
          <w:p w14:paraId="7CBEB203" w14:textId="77777777" w:rsidR="00160E7F" w:rsidRDefault="002B0299">
            <w:pPr>
              <w:pStyle w:val="TableParagraph"/>
              <w:spacing w:before="84" w:line="254" w:lineRule="auto"/>
              <w:ind w:left="74"/>
              <w:rPr>
                <w:sz w:val="18"/>
              </w:rPr>
            </w:pPr>
            <w:r>
              <w:rPr>
                <w:color w:val="58595B"/>
                <w:sz w:val="18"/>
              </w:rPr>
              <w:t>Remedial notices (pollution abatement notice or clean up notice)</w:t>
            </w:r>
          </w:p>
        </w:tc>
        <w:tc>
          <w:tcPr>
            <w:tcW w:w="3498" w:type="dxa"/>
            <w:tcBorders>
              <w:bottom w:val="single" w:sz="2" w:space="0" w:color="939598"/>
            </w:tcBorders>
          </w:tcPr>
          <w:p w14:paraId="3AC02217" w14:textId="77777777" w:rsidR="00160E7F" w:rsidRDefault="002B0299">
            <w:pPr>
              <w:pStyle w:val="TableParagraph"/>
              <w:ind w:left="153"/>
              <w:rPr>
                <w:sz w:val="18"/>
              </w:rPr>
            </w:pPr>
            <w:r>
              <w:rPr>
                <w:color w:val="58595B"/>
                <w:sz w:val="18"/>
              </w:rPr>
              <w:t>Simplify and facilitate timely use</w:t>
            </w:r>
          </w:p>
        </w:tc>
      </w:tr>
      <w:tr w:rsidR="00160E7F" w14:paraId="3755BECC" w14:textId="77777777">
        <w:trPr>
          <w:trHeight w:hRule="exact" w:val="2046"/>
        </w:trPr>
        <w:tc>
          <w:tcPr>
            <w:tcW w:w="1853" w:type="dxa"/>
            <w:tcBorders>
              <w:top w:val="single" w:sz="2" w:space="0" w:color="939598"/>
              <w:bottom w:val="single" w:sz="2" w:space="0" w:color="939598"/>
            </w:tcBorders>
          </w:tcPr>
          <w:p w14:paraId="2FDE44A3" w14:textId="77777777" w:rsidR="00160E7F" w:rsidRDefault="002B0299">
            <w:pPr>
              <w:pStyle w:val="TableParagraph"/>
              <w:ind w:left="56"/>
              <w:rPr>
                <w:b/>
                <w:sz w:val="18"/>
              </w:rPr>
            </w:pPr>
            <w:r>
              <w:rPr>
                <w:b/>
                <w:color w:val="58595B"/>
                <w:sz w:val="18"/>
              </w:rPr>
              <w:t>Sanctions</w:t>
            </w:r>
          </w:p>
        </w:tc>
        <w:tc>
          <w:tcPr>
            <w:tcW w:w="3323" w:type="dxa"/>
            <w:tcBorders>
              <w:top w:val="single" w:sz="2" w:space="0" w:color="939598"/>
              <w:bottom w:val="single" w:sz="2" w:space="0" w:color="939598"/>
            </w:tcBorders>
          </w:tcPr>
          <w:p w14:paraId="7CFBDD14" w14:textId="77777777" w:rsidR="00160E7F" w:rsidRDefault="002B0299">
            <w:pPr>
              <w:pStyle w:val="TableParagraph"/>
              <w:spacing w:line="338" w:lineRule="auto"/>
              <w:ind w:left="74" w:right="1507"/>
              <w:rPr>
                <w:sz w:val="18"/>
              </w:rPr>
            </w:pPr>
            <w:r>
              <w:rPr>
                <w:color w:val="58595B"/>
                <w:sz w:val="18"/>
              </w:rPr>
              <w:t>Warnings Infringement notices</w:t>
            </w:r>
          </w:p>
          <w:p w14:paraId="655D4D7C" w14:textId="77777777" w:rsidR="00160E7F" w:rsidRDefault="002B0299">
            <w:pPr>
              <w:pStyle w:val="TableParagraph"/>
              <w:spacing w:before="1" w:line="338" w:lineRule="auto"/>
              <w:ind w:left="74" w:right="377"/>
              <w:rPr>
                <w:sz w:val="18"/>
              </w:rPr>
            </w:pPr>
            <w:r>
              <w:rPr>
                <w:color w:val="58595B"/>
                <w:sz w:val="18"/>
              </w:rPr>
              <w:t>Notices of contravention Enforceable undertakings Injunctions</w:t>
            </w:r>
          </w:p>
          <w:p w14:paraId="47728CC0" w14:textId="77777777" w:rsidR="00160E7F" w:rsidRDefault="002B0299">
            <w:pPr>
              <w:pStyle w:val="TableParagraph"/>
              <w:spacing w:before="1"/>
              <w:ind w:left="74"/>
              <w:rPr>
                <w:sz w:val="18"/>
              </w:rPr>
            </w:pPr>
            <w:r>
              <w:rPr>
                <w:color w:val="58595B"/>
                <w:sz w:val="18"/>
              </w:rPr>
              <w:t>Prosecutions</w:t>
            </w:r>
          </w:p>
          <w:p w14:paraId="108E8183" w14:textId="77777777" w:rsidR="00160E7F" w:rsidRDefault="002B0299">
            <w:pPr>
              <w:pStyle w:val="TableParagraph"/>
              <w:spacing w:before="84"/>
              <w:ind w:left="74"/>
              <w:rPr>
                <w:sz w:val="18"/>
              </w:rPr>
            </w:pPr>
            <w:r>
              <w:rPr>
                <w:color w:val="58595B"/>
                <w:sz w:val="18"/>
              </w:rPr>
              <w:t>Suspension / cancellation of licences</w:t>
            </w:r>
          </w:p>
        </w:tc>
        <w:tc>
          <w:tcPr>
            <w:tcW w:w="3498" w:type="dxa"/>
            <w:tcBorders>
              <w:top w:val="single" w:sz="2" w:space="0" w:color="939598"/>
              <w:bottom w:val="single" w:sz="2" w:space="0" w:color="939598"/>
            </w:tcBorders>
          </w:tcPr>
          <w:p w14:paraId="460B374F" w14:textId="77777777" w:rsidR="00160E7F" w:rsidRDefault="002B0299">
            <w:pPr>
              <w:pStyle w:val="TableParagraph"/>
              <w:spacing w:line="254" w:lineRule="auto"/>
              <w:ind w:left="153" w:right="555"/>
              <w:rPr>
                <w:sz w:val="18"/>
              </w:rPr>
            </w:pPr>
            <w:r>
              <w:rPr>
                <w:color w:val="58595B"/>
                <w:sz w:val="18"/>
              </w:rPr>
              <w:t xml:space="preserve">Stronger and more flexible range of sanctions such as civil penalties and higher </w:t>
            </w:r>
            <w:r>
              <w:rPr>
                <w:color w:val="58595B"/>
                <w:spacing w:val="2"/>
                <w:sz w:val="18"/>
              </w:rPr>
              <w:t>court</w:t>
            </w:r>
            <w:r>
              <w:rPr>
                <w:color w:val="58595B"/>
                <w:spacing w:val="12"/>
                <w:sz w:val="18"/>
              </w:rPr>
              <w:t xml:space="preserve"> </w:t>
            </w:r>
            <w:r>
              <w:rPr>
                <w:color w:val="58595B"/>
                <w:sz w:val="18"/>
              </w:rPr>
              <w:t>penalties</w:t>
            </w:r>
          </w:p>
        </w:tc>
      </w:tr>
    </w:tbl>
    <w:p w14:paraId="6F855D91" w14:textId="77777777" w:rsidR="00160E7F" w:rsidRDefault="00160E7F">
      <w:pPr>
        <w:pStyle w:val="BodyText"/>
      </w:pPr>
    </w:p>
    <w:p w14:paraId="6A636C20" w14:textId="77777777" w:rsidR="00160E7F" w:rsidRDefault="002B0299">
      <w:pPr>
        <w:pStyle w:val="Heading3"/>
        <w:numPr>
          <w:ilvl w:val="1"/>
          <w:numId w:val="46"/>
        </w:numPr>
        <w:tabs>
          <w:tab w:val="left" w:pos="1980"/>
        </w:tabs>
        <w:spacing w:before="70"/>
        <w:ind w:hanging="562"/>
        <w:jc w:val="left"/>
      </w:pPr>
      <w:r>
        <w:rPr>
          <w:color w:val="0095A7"/>
        </w:rPr>
        <w:t xml:space="preserve">Enhancing the </w:t>
      </w:r>
      <w:r>
        <w:rPr>
          <w:color w:val="0095A7"/>
          <w:spacing w:val="-8"/>
        </w:rPr>
        <w:t xml:space="preserve">EPA’s </w:t>
      </w:r>
      <w:r>
        <w:rPr>
          <w:color w:val="0095A7"/>
        </w:rPr>
        <w:t>regulatory</w:t>
      </w:r>
      <w:r>
        <w:rPr>
          <w:color w:val="0095A7"/>
          <w:spacing w:val="44"/>
        </w:rPr>
        <w:t xml:space="preserve"> </w:t>
      </w:r>
      <w:r>
        <w:rPr>
          <w:color w:val="0095A7"/>
        </w:rPr>
        <w:t>toolkit</w:t>
      </w:r>
    </w:p>
    <w:p w14:paraId="0337E98F" w14:textId="77777777" w:rsidR="00160E7F" w:rsidRDefault="002B0299">
      <w:pPr>
        <w:pStyle w:val="BodyText"/>
        <w:spacing w:before="145" w:line="280" w:lineRule="auto"/>
        <w:ind w:left="1417" w:right="185"/>
      </w:pPr>
      <w:r>
        <w:rPr>
          <w:color w:val="58595B"/>
        </w:rPr>
        <w:t>There are critical gaps in the EPA’s toolkit and some instruments will need strengthening to more effectively prevent pollution and waste impacts and to manage existing risks.</w:t>
      </w:r>
    </w:p>
    <w:p w14:paraId="1307D5F0" w14:textId="1C93AF53" w:rsidR="00160E7F" w:rsidRDefault="002B0299">
      <w:pPr>
        <w:pStyle w:val="BodyText"/>
        <w:spacing w:before="172" w:line="280" w:lineRule="auto"/>
        <w:ind w:left="1417" w:right="185"/>
      </w:pPr>
      <w:r>
        <w:rPr>
          <w:color w:val="58595B"/>
        </w:rPr>
        <w:t xml:space="preserve">For example, for its forward looking pollution control activities, the </w:t>
      </w:r>
      <w:r>
        <w:rPr>
          <w:color w:val="58595B"/>
          <w:spacing w:val="-4"/>
        </w:rPr>
        <w:t xml:space="preserve">EPA </w:t>
      </w:r>
      <w:r>
        <w:rPr>
          <w:color w:val="58595B"/>
        </w:rPr>
        <w:t xml:space="preserve">relies strongly on permissible emissions limits under its works approvals and licensing regime. These instruments are targeted at around 670 large scale, high risk polluters. </w:t>
      </w:r>
      <w:r>
        <w:rPr>
          <w:color w:val="58595B"/>
          <w:spacing w:val="-3"/>
        </w:rPr>
        <w:t xml:space="preserve">However, </w:t>
      </w:r>
      <w:r>
        <w:rPr>
          <w:color w:val="58595B"/>
        </w:rPr>
        <w:t>there are no direct controls to manage the many thousands of smaller businesses that als</w:t>
      </w:r>
      <w:r w:rsidR="00BC536D">
        <w:rPr>
          <w:color w:val="58595B"/>
        </w:rPr>
        <w:t>o generate hazardous emissions</w:t>
      </w:r>
      <w:r w:rsidR="00BC536D">
        <w:rPr>
          <w:color w:val="58595B"/>
        </w:rPr>
        <w:br/>
      </w:r>
      <w:r>
        <w:rPr>
          <w:color w:val="58595B"/>
        </w:rPr>
        <w:t xml:space="preserve">to land, air or </w:t>
      </w:r>
      <w:r>
        <w:rPr>
          <w:color w:val="58595B"/>
          <w:spacing w:val="-3"/>
        </w:rPr>
        <w:t xml:space="preserve">water. </w:t>
      </w:r>
      <w:r>
        <w:rPr>
          <w:color w:val="58595B"/>
          <w:spacing w:val="-6"/>
        </w:rPr>
        <w:t xml:space="preserve">Yet </w:t>
      </w:r>
      <w:r>
        <w:rPr>
          <w:color w:val="58595B"/>
        </w:rPr>
        <w:t xml:space="preserve">these smaller and more diffuse activities represent a growing source of pollutants. These many polluters across Victoria have a very significant cumulative impact on human health and the environment, and where land is contaminated they create ongoing risks for future generations. The </w:t>
      </w:r>
      <w:r>
        <w:rPr>
          <w:color w:val="58595B"/>
          <w:spacing w:val="-4"/>
        </w:rPr>
        <w:t xml:space="preserve">EPA </w:t>
      </w:r>
      <w:r>
        <w:rPr>
          <w:color w:val="58595B"/>
        </w:rPr>
        <w:t>needs new tools that strengthen and apply preventative</w:t>
      </w:r>
      <w:r>
        <w:rPr>
          <w:color w:val="58595B"/>
          <w:spacing w:val="-1"/>
        </w:rPr>
        <w:t xml:space="preserve"> </w:t>
      </w:r>
      <w:r>
        <w:rPr>
          <w:color w:val="58595B"/>
        </w:rPr>
        <w:t>approaches</w:t>
      </w:r>
    </w:p>
    <w:p w14:paraId="2EA71A81" w14:textId="77777777" w:rsidR="00160E7F" w:rsidRDefault="002B0299">
      <w:pPr>
        <w:pStyle w:val="BodyText"/>
        <w:spacing w:before="2"/>
        <w:ind w:left="1417" w:right="142"/>
      </w:pPr>
      <w:r>
        <w:rPr>
          <w:color w:val="58595B"/>
        </w:rPr>
        <w:t>more broadly and these need to be supported by proactive education and support for compliance.</w:t>
      </w:r>
    </w:p>
    <w:p w14:paraId="5BB087D3" w14:textId="77777777" w:rsidR="00160E7F" w:rsidRDefault="00160E7F">
      <w:pPr>
        <w:pStyle w:val="BodyText"/>
        <w:spacing w:before="3"/>
        <w:rPr>
          <w:sz w:val="18"/>
        </w:rPr>
      </w:pPr>
    </w:p>
    <w:p w14:paraId="1E579600" w14:textId="77777777" w:rsidR="00160E7F" w:rsidRDefault="002B0299">
      <w:pPr>
        <w:pStyle w:val="BodyText"/>
        <w:spacing w:line="280" w:lineRule="auto"/>
        <w:ind w:left="1417" w:right="185"/>
      </w:pPr>
      <w:r>
        <w:rPr>
          <w:color w:val="58595B"/>
        </w:rPr>
        <w:t>Dealing with the legacy contamination inherited from past poor practices is another major challenge. It needs a different set of tools that focus on risk management rather than prevention. There are also practical shortcomings with current legislative provisions for setting environmental standards that weaken confidence in the system.</w:t>
      </w:r>
    </w:p>
    <w:p w14:paraId="21224A81" w14:textId="77777777" w:rsidR="00160E7F" w:rsidRDefault="00160E7F">
      <w:pPr>
        <w:spacing w:line="280" w:lineRule="auto"/>
        <w:sectPr w:rsidR="00160E7F">
          <w:pgSz w:w="11910" w:h="16840"/>
          <w:pgMar w:top="980" w:right="1680" w:bottom="280" w:left="0" w:header="788" w:footer="0" w:gutter="0"/>
          <w:cols w:space="720"/>
        </w:sectPr>
      </w:pPr>
    </w:p>
    <w:p w14:paraId="3B90FBCC" w14:textId="77777777" w:rsidR="00160E7F" w:rsidRDefault="00160E7F">
      <w:pPr>
        <w:pStyle w:val="BodyText"/>
      </w:pPr>
    </w:p>
    <w:p w14:paraId="44189F25" w14:textId="77777777" w:rsidR="00160E7F" w:rsidRDefault="00160E7F">
      <w:pPr>
        <w:pStyle w:val="BodyText"/>
      </w:pPr>
    </w:p>
    <w:p w14:paraId="7F9E26B4" w14:textId="77777777" w:rsidR="00160E7F" w:rsidRDefault="00160E7F">
      <w:pPr>
        <w:pStyle w:val="BodyText"/>
      </w:pPr>
    </w:p>
    <w:p w14:paraId="713FC68B" w14:textId="77777777" w:rsidR="00160E7F" w:rsidRDefault="00160E7F">
      <w:pPr>
        <w:pStyle w:val="BodyText"/>
      </w:pPr>
    </w:p>
    <w:p w14:paraId="36B0A5C7" w14:textId="77777777" w:rsidR="00160E7F" w:rsidRDefault="00160E7F">
      <w:pPr>
        <w:pStyle w:val="BodyText"/>
        <w:spacing w:before="8"/>
        <w:rPr>
          <w:sz w:val="17"/>
        </w:rPr>
      </w:pPr>
    </w:p>
    <w:p w14:paraId="31D490B2" w14:textId="77777777" w:rsidR="00160E7F" w:rsidRDefault="002B0299">
      <w:pPr>
        <w:pStyle w:val="BodyText"/>
        <w:spacing w:before="1" w:line="280" w:lineRule="auto"/>
        <w:ind w:left="134" w:right="1716"/>
      </w:pPr>
      <w:r>
        <w:rPr>
          <w:color w:val="58595B"/>
        </w:rPr>
        <w:t>To address these issues, we propose a range of enhancements to the EPA’s regulatory toolkit to address five reform themes, as follows:</w:t>
      </w:r>
    </w:p>
    <w:p w14:paraId="42BFC87E" w14:textId="77777777" w:rsidR="00160E7F" w:rsidRDefault="002B0299">
      <w:pPr>
        <w:pStyle w:val="Heading4"/>
        <w:spacing w:before="172"/>
        <w:ind w:left="134" w:right="789"/>
      </w:pPr>
      <w:r>
        <w:rPr>
          <w:color w:val="58595B"/>
        </w:rPr>
        <w:t>Strengthening prevention</w:t>
      </w:r>
    </w:p>
    <w:p w14:paraId="527B5CB8" w14:textId="77777777" w:rsidR="00160E7F" w:rsidRDefault="002B0299">
      <w:pPr>
        <w:pStyle w:val="ListParagraph"/>
        <w:numPr>
          <w:ilvl w:val="0"/>
          <w:numId w:val="47"/>
        </w:numPr>
        <w:tabs>
          <w:tab w:val="left" w:pos="305"/>
        </w:tabs>
        <w:spacing w:before="153"/>
        <w:ind w:hanging="170"/>
        <w:rPr>
          <w:sz w:val="20"/>
        </w:rPr>
      </w:pPr>
      <w:r>
        <w:rPr>
          <w:color w:val="58595B"/>
          <w:sz w:val="20"/>
        </w:rPr>
        <w:t>A general duty, with increased support for</w:t>
      </w:r>
      <w:r>
        <w:rPr>
          <w:color w:val="58595B"/>
          <w:spacing w:val="9"/>
          <w:sz w:val="20"/>
        </w:rPr>
        <w:t xml:space="preserve"> </w:t>
      </w:r>
      <w:r>
        <w:rPr>
          <w:color w:val="58595B"/>
          <w:sz w:val="20"/>
        </w:rPr>
        <w:t>compliance</w:t>
      </w:r>
    </w:p>
    <w:p w14:paraId="61A0DB9A" w14:textId="77777777" w:rsidR="00160E7F" w:rsidRDefault="002B0299">
      <w:pPr>
        <w:pStyle w:val="ListParagraph"/>
        <w:numPr>
          <w:ilvl w:val="0"/>
          <w:numId w:val="47"/>
        </w:numPr>
        <w:tabs>
          <w:tab w:val="left" w:pos="305"/>
        </w:tabs>
        <w:spacing w:before="153"/>
        <w:ind w:hanging="170"/>
        <w:rPr>
          <w:sz w:val="20"/>
        </w:rPr>
      </w:pPr>
      <w:r>
        <w:rPr>
          <w:color w:val="58595B"/>
          <w:sz w:val="20"/>
        </w:rPr>
        <w:t>A strengthened licensing</w:t>
      </w:r>
      <w:r>
        <w:rPr>
          <w:color w:val="58595B"/>
          <w:spacing w:val="4"/>
          <w:sz w:val="20"/>
        </w:rPr>
        <w:t xml:space="preserve"> </w:t>
      </w:r>
      <w:r>
        <w:rPr>
          <w:color w:val="58595B"/>
          <w:sz w:val="20"/>
        </w:rPr>
        <w:t>regime</w:t>
      </w:r>
    </w:p>
    <w:p w14:paraId="73159E33" w14:textId="77777777" w:rsidR="00160E7F" w:rsidRDefault="002B0299">
      <w:pPr>
        <w:pStyle w:val="ListParagraph"/>
        <w:numPr>
          <w:ilvl w:val="0"/>
          <w:numId w:val="47"/>
        </w:numPr>
        <w:tabs>
          <w:tab w:val="left" w:pos="305"/>
        </w:tabs>
        <w:spacing w:before="153"/>
        <w:ind w:hanging="170"/>
        <w:rPr>
          <w:sz w:val="20"/>
        </w:rPr>
      </w:pPr>
      <w:r>
        <w:rPr>
          <w:color w:val="58595B"/>
          <w:sz w:val="20"/>
        </w:rPr>
        <w:t>Improved preparedness and response to pollution</w:t>
      </w:r>
      <w:r>
        <w:rPr>
          <w:color w:val="58595B"/>
          <w:spacing w:val="2"/>
          <w:sz w:val="20"/>
        </w:rPr>
        <w:t xml:space="preserve"> </w:t>
      </w:r>
      <w:r>
        <w:rPr>
          <w:color w:val="58595B"/>
          <w:sz w:val="20"/>
        </w:rPr>
        <w:t>incidents</w:t>
      </w:r>
    </w:p>
    <w:p w14:paraId="1F630304" w14:textId="77777777" w:rsidR="00160E7F" w:rsidRDefault="00160E7F">
      <w:pPr>
        <w:pStyle w:val="BodyText"/>
        <w:spacing w:before="3"/>
        <w:rPr>
          <w:sz w:val="18"/>
        </w:rPr>
      </w:pPr>
    </w:p>
    <w:p w14:paraId="347766ED" w14:textId="77777777" w:rsidR="00160E7F" w:rsidRDefault="002B0299">
      <w:pPr>
        <w:pStyle w:val="Heading4"/>
        <w:spacing w:before="0"/>
        <w:ind w:left="134" w:right="789"/>
      </w:pPr>
      <w:r>
        <w:rPr>
          <w:color w:val="58595B"/>
        </w:rPr>
        <w:t>Holding polluters to account</w:t>
      </w:r>
    </w:p>
    <w:p w14:paraId="63B46DF5" w14:textId="77777777" w:rsidR="00160E7F" w:rsidRDefault="002B0299">
      <w:pPr>
        <w:pStyle w:val="ListParagraph"/>
        <w:numPr>
          <w:ilvl w:val="0"/>
          <w:numId w:val="47"/>
        </w:numPr>
        <w:tabs>
          <w:tab w:val="left" w:pos="305"/>
        </w:tabs>
        <w:spacing w:before="153"/>
        <w:ind w:hanging="170"/>
        <w:rPr>
          <w:sz w:val="20"/>
        </w:rPr>
      </w:pPr>
      <w:r>
        <w:rPr>
          <w:color w:val="58595B"/>
          <w:sz w:val="20"/>
        </w:rPr>
        <w:t>Enhanced sanctioning of</w:t>
      </w:r>
      <w:r>
        <w:rPr>
          <w:color w:val="58595B"/>
          <w:spacing w:val="10"/>
          <w:sz w:val="20"/>
        </w:rPr>
        <w:t xml:space="preserve"> </w:t>
      </w:r>
      <w:r>
        <w:rPr>
          <w:color w:val="58595B"/>
          <w:sz w:val="20"/>
        </w:rPr>
        <w:t>offenders</w:t>
      </w:r>
    </w:p>
    <w:p w14:paraId="1BEB445F" w14:textId="77777777" w:rsidR="00160E7F" w:rsidRDefault="002B0299">
      <w:pPr>
        <w:pStyle w:val="ListParagraph"/>
        <w:numPr>
          <w:ilvl w:val="0"/>
          <w:numId w:val="47"/>
        </w:numPr>
        <w:tabs>
          <w:tab w:val="left" w:pos="305"/>
        </w:tabs>
        <w:spacing w:before="153"/>
        <w:ind w:hanging="170"/>
        <w:rPr>
          <w:sz w:val="20"/>
        </w:rPr>
      </w:pPr>
      <w:r>
        <w:rPr>
          <w:color w:val="58595B"/>
          <w:sz w:val="20"/>
        </w:rPr>
        <w:t>Improved inspection and enquiry</w:t>
      </w:r>
      <w:r>
        <w:rPr>
          <w:color w:val="58595B"/>
          <w:spacing w:val="5"/>
          <w:sz w:val="20"/>
        </w:rPr>
        <w:t xml:space="preserve"> </w:t>
      </w:r>
      <w:r>
        <w:rPr>
          <w:color w:val="58595B"/>
          <w:sz w:val="20"/>
        </w:rPr>
        <w:t>powers</w:t>
      </w:r>
    </w:p>
    <w:p w14:paraId="2BAAA75C" w14:textId="77777777" w:rsidR="00160E7F" w:rsidRDefault="00160E7F">
      <w:pPr>
        <w:pStyle w:val="BodyText"/>
        <w:spacing w:before="3"/>
        <w:rPr>
          <w:sz w:val="18"/>
        </w:rPr>
      </w:pPr>
    </w:p>
    <w:p w14:paraId="4CE34CC3" w14:textId="77777777" w:rsidR="00160E7F" w:rsidRDefault="002B0299">
      <w:pPr>
        <w:pStyle w:val="Heading4"/>
        <w:spacing w:before="0"/>
        <w:ind w:left="134" w:right="789"/>
      </w:pPr>
      <w:r>
        <w:rPr>
          <w:color w:val="58595B"/>
        </w:rPr>
        <w:t>Strengthening management of legacy risks</w:t>
      </w:r>
    </w:p>
    <w:p w14:paraId="4704B499" w14:textId="77777777" w:rsidR="00160E7F" w:rsidRDefault="002B0299">
      <w:pPr>
        <w:pStyle w:val="ListParagraph"/>
        <w:numPr>
          <w:ilvl w:val="0"/>
          <w:numId w:val="47"/>
        </w:numPr>
        <w:tabs>
          <w:tab w:val="left" w:pos="305"/>
        </w:tabs>
        <w:spacing w:before="153" w:line="280" w:lineRule="auto"/>
        <w:ind w:right="1414" w:hanging="170"/>
        <w:rPr>
          <w:sz w:val="20"/>
        </w:rPr>
      </w:pPr>
      <w:r>
        <w:rPr>
          <w:color w:val="58595B"/>
          <w:sz w:val="20"/>
        </w:rPr>
        <w:t>Strengthened risk management tools for legacy contamination and better integration of planning and environmental</w:t>
      </w:r>
      <w:r>
        <w:rPr>
          <w:color w:val="58595B"/>
          <w:spacing w:val="-4"/>
          <w:sz w:val="20"/>
        </w:rPr>
        <w:t xml:space="preserve"> </w:t>
      </w:r>
      <w:r>
        <w:rPr>
          <w:color w:val="58595B"/>
          <w:sz w:val="20"/>
        </w:rPr>
        <w:t>instruments</w:t>
      </w:r>
    </w:p>
    <w:p w14:paraId="1A9130AB" w14:textId="77777777" w:rsidR="00160E7F" w:rsidRDefault="002B0299">
      <w:pPr>
        <w:pStyle w:val="ListParagraph"/>
        <w:numPr>
          <w:ilvl w:val="0"/>
          <w:numId w:val="47"/>
        </w:numPr>
        <w:tabs>
          <w:tab w:val="left" w:pos="305"/>
        </w:tabs>
        <w:spacing w:before="115"/>
        <w:ind w:hanging="170"/>
        <w:rPr>
          <w:sz w:val="20"/>
        </w:rPr>
      </w:pPr>
      <w:r>
        <w:rPr>
          <w:color w:val="58595B"/>
          <w:sz w:val="20"/>
        </w:rPr>
        <w:t>Addressing illegal dumping of asbestos</w:t>
      </w:r>
      <w:r>
        <w:rPr>
          <w:color w:val="58595B"/>
          <w:spacing w:val="-8"/>
          <w:sz w:val="20"/>
        </w:rPr>
        <w:t xml:space="preserve"> </w:t>
      </w:r>
      <w:r>
        <w:rPr>
          <w:color w:val="58595B"/>
          <w:sz w:val="20"/>
        </w:rPr>
        <w:t>waste</w:t>
      </w:r>
    </w:p>
    <w:p w14:paraId="4F04D6DA" w14:textId="77777777" w:rsidR="00160E7F" w:rsidRDefault="00160E7F">
      <w:pPr>
        <w:pStyle w:val="BodyText"/>
        <w:spacing w:before="3"/>
        <w:rPr>
          <w:sz w:val="18"/>
        </w:rPr>
      </w:pPr>
    </w:p>
    <w:p w14:paraId="07B35505" w14:textId="77777777" w:rsidR="00160E7F" w:rsidRDefault="002B0299">
      <w:pPr>
        <w:pStyle w:val="Heading4"/>
        <w:spacing w:before="0"/>
        <w:ind w:left="134" w:right="789"/>
      </w:pPr>
      <w:r>
        <w:rPr>
          <w:color w:val="58595B"/>
        </w:rPr>
        <w:t>Improved standard setting</w:t>
      </w:r>
    </w:p>
    <w:p w14:paraId="05D162E8" w14:textId="77777777" w:rsidR="00160E7F" w:rsidRDefault="002B0299">
      <w:pPr>
        <w:pStyle w:val="ListParagraph"/>
        <w:numPr>
          <w:ilvl w:val="0"/>
          <w:numId w:val="47"/>
        </w:numPr>
        <w:tabs>
          <w:tab w:val="left" w:pos="305"/>
        </w:tabs>
        <w:spacing w:before="153"/>
        <w:ind w:hanging="170"/>
        <w:rPr>
          <w:sz w:val="20"/>
        </w:rPr>
      </w:pPr>
      <w:r>
        <w:rPr>
          <w:color w:val="58595B"/>
          <w:sz w:val="20"/>
        </w:rPr>
        <w:t>A new approach to setting standards to ensure timely, expert</w:t>
      </w:r>
      <w:r>
        <w:rPr>
          <w:color w:val="58595B"/>
          <w:spacing w:val="-11"/>
          <w:sz w:val="20"/>
        </w:rPr>
        <w:t xml:space="preserve"> </w:t>
      </w:r>
      <w:r>
        <w:rPr>
          <w:color w:val="58595B"/>
          <w:sz w:val="20"/>
        </w:rPr>
        <w:t>updating</w:t>
      </w:r>
    </w:p>
    <w:p w14:paraId="4CCC19B3" w14:textId="77777777" w:rsidR="00160E7F" w:rsidRDefault="00160E7F">
      <w:pPr>
        <w:pStyle w:val="BodyText"/>
        <w:spacing w:before="3"/>
        <w:rPr>
          <w:sz w:val="18"/>
        </w:rPr>
      </w:pPr>
    </w:p>
    <w:p w14:paraId="4D02C370" w14:textId="77777777" w:rsidR="00160E7F" w:rsidRDefault="002B0299">
      <w:pPr>
        <w:pStyle w:val="Heading4"/>
        <w:spacing w:before="0"/>
        <w:ind w:left="134" w:right="789"/>
      </w:pPr>
      <w:r>
        <w:rPr>
          <w:color w:val="58595B"/>
        </w:rPr>
        <w:t>Deploying a wider range of instruments</w:t>
      </w:r>
    </w:p>
    <w:p w14:paraId="7E10909A" w14:textId="77777777" w:rsidR="00160E7F" w:rsidRDefault="002B0299">
      <w:pPr>
        <w:pStyle w:val="ListParagraph"/>
        <w:numPr>
          <w:ilvl w:val="0"/>
          <w:numId w:val="47"/>
        </w:numPr>
        <w:tabs>
          <w:tab w:val="left" w:pos="305"/>
        </w:tabs>
        <w:spacing w:before="153"/>
        <w:ind w:hanging="170"/>
        <w:rPr>
          <w:sz w:val="20"/>
        </w:rPr>
      </w:pPr>
      <w:r>
        <w:rPr>
          <w:color w:val="58595B"/>
          <w:sz w:val="20"/>
        </w:rPr>
        <w:t>Greater use of economic</w:t>
      </w:r>
      <w:r>
        <w:rPr>
          <w:color w:val="58595B"/>
          <w:spacing w:val="3"/>
          <w:sz w:val="20"/>
        </w:rPr>
        <w:t xml:space="preserve"> </w:t>
      </w:r>
      <w:r>
        <w:rPr>
          <w:color w:val="58595B"/>
          <w:sz w:val="20"/>
        </w:rPr>
        <w:t>instruments</w:t>
      </w:r>
    </w:p>
    <w:p w14:paraId="5C8859E2" w14:textId="77777777" w:rsidR="00160E7F" w:rsidRDefault="002B0299">
      <w:pPr>
        <w:pStyle w:val="ListParagraph"/>
        <w:numPr>
          <w:ilvl w:val="0"/>
          <w:numId w:val="47"/>
        </w:numPr>
        <w:tabs>
          <w:tab w:val="left" w:pos="305"/>
        </w:tabs>
        <w:spacing w:before="153"/>
        <w:ind w:hanging="170"/>
        <w:rPr>
          <w:sz w:val="20"/>
        </w:rPr>
      </w:pPr>
      <w:r>
        <w:rPr>
          <w:color w:val="58595B"/>
          <w:sz w:val="20"/>
        </w:rPr>
        <w:t>Using data, information and</w:t>
      </w:r>
      <w:r>
        <w:rPr>
          <w:color w:val="58595B"/>
          <w:spacing w:val="-5"/>
          <w:sz w:val="20"/>
        </w:rPr>
        <w:t xml:space="preserve"> </w:t>
      </w:r>
      <w:r>
        <w:rPr>
          <w:color w:val="58595B"/>
          <w:sz w:val="20"/>
        </w:rPr>
        <w:t>technology.</w:t>
      </w:r>
    </w:p>
    <w:p w14:paraId="75ED0957" w14:textId="77777777" w:rsidR="00160E7F" w:rsidRDefault="00160E7F">
      <w:pPr>
        <w:pStyle w:val="BodyText"/>
        <w:spacing w:before="3"/>
        <w:rPr>
          <w:sz w:val="18"/>
        </w:rPr>
      </w:pPr>
    </w:p>
    <w:p w14:paraId="218C516F" w14:textId="77777777" w:rsidR="00160E7F" w:rsidRDefault="002B0299" w:rsidP="002B0299">
      <w:pPr>
        <w:pStyle w:val="BodyText"/>
        <w:spacing w:line="280" w:lineRule="auto"/>
        <w:ind w:left="134" w:right="1455"/>
      </w:pPr>
      <w:r>
        <w:rPr>
          <w:color w:val="58595B"/>
        </w:rPr>
        <w:t xml:space="preserve">The </w:t>
      </w:r>
      <w:r>
        <w:rPr>
          <w:color w:val="58595B"/>
          <w:spacing w:val="-3"/>
        </w:rPr>
        <w:t xml:space="preserve">key </w:t>
      </w:r>
      <w:r>
        <w:rPr>
          <w:color w:val="58595B"/>
        </w:rPr>
        <w:t>new tool is an enforceable general duty to take reasonably practicable measures to prevent</w:t>
      </w:r>
      <w:r>
        <w:rPr>
          <w:color w:val="58595B"/>
          <w:spacing w:val="-4"/>
        </w:rPr>
        <w:t xml:space="preserve"> </w:t>
      </w:r>
      <w:r>
        <w:rPr>
          <w:color w:val="58595B"/>
        </w:rPr>
        <w:t>or</w:t>
      </w:r>
      <w:r>
        <w:rPr>
          <w:color w:val="58595B"/>
          <w:spacing w:val="-6"/>
        </w:rPr>
        <w:t xml:space="preserve"> </w:t>
      </w:r>
      <w:r>
        <w:rPr>
          <w:color w:val="58595B"/>
        </w:rPr>
        <w:t>minimise</w:t>
      </w:r>
      <w:r>
        <w:rPr>
          <w:color w:val="58595B"/>
          <w:spacing w:val="-6"/>
        </w:rPr>
        <w:t xml:space="preserve"> </w:t>
      </w:r>
      <w:r>
        <w:rPr>
          <w:color w:val="58595B"/>
        </w:rPr>
        <w:t>risks</w:t>
      </w:r>
      <w:r>
        <w:rPr>
          <w:color w:val="58595B"/>
          <w:spacing w:val="-6"/>
        </w:rPr>
        <w:t xml:space="preserve"> </w:t>
      </w:r>
      <w:r>
        <w:rPr>
          <w:color w:val="58595B"/>
        </w:rPr>
        <w:t>of</w:t>
      </w:r>
      <w:r>
        <w:rPr>
          <w:color w:val="58595B"/>
          <w:spacing w:val="-6"/>
        </w:rPr>
        <w:t xml:space="preserve"> </w:t>
      </w:r>
      <w:r>
        <w:rPr>
          <w:color w:val="58595B"/>
        </w:rPr>
        <w:t>harm</w:t>
      </w:r>
      <w:r>
        <w:rPr>
          <w:color w:val="58595B"/>
          <w:spacing w:val="-6"/>
        </w:rPr>
        <w:t xml:space="preserve"> </w:t>
      </w:r>
      <w:r>
        <w:rPr>
          <w:color w:val="58595B"/>
        </w:rPr>
        <w:t>from</w:t>
      </w:r>
      <w:r>
        <w:rPr>
          <w:color w:val="58595B"/>
          <w:spacing w:val="-6"/>
        </w:rPr>
        <w:t xml:space="preserve"> </w:t>
      </w:r>
      <w:r>
        <w:rPr>
          <w:color w:val="58595B"/>
        </w:rPr>
        <w:t>pollution</w:t>
      </w:r>
      <w:r>
        <w:rPr>
          <w:color w:val="58595B"/>
          <w:spacing w:val="-6"/>
        </w:rPr>
        <w:t xml:space="preserve"> </w:t>
      </w:r>
      <w:r>
        <w:rPr>
          <w:color w:val="58595B"/>
        </w:rPr>
        <w:t>and</w:t>
      </w:r>
      <w:r>
        <w:rPr>
          <w:color w:val="58595B"/>
          <w:spacing w:val="-6"/>
        </w:rPr>
        <w:t xml:space="preserve"> </w:t>
      </w:r>
      <w:r>
        <w:rPr>
          <w:color w:val="58595B"/>
          <w:spacing w:val="-3"/>
        </w:rPr>
        <w:t>waste,</w:t>
      </w:r>
      <w:r>
        <w:rPr>
          <w:color w:val="58595B"/>
          <w:spacing w:val="-6"/>
        </w:rPr>
        <w:t xml:space="preserve"> </w:t>
      </w:r>
      <w:r>
        <w:rPr>
          <w:color w:val="58595B"/>
        </w:rPr>
        <w:t>which</w:t>
      </w:r>
      <w:r>
        <w:rPr>
          <w:color w:val="58595B"/>
          <w:spacing w:val="-6"/>
        </w:rPr>
        <w:t xml:space="preserve"> </w:t>
      </w:r>
      <w:r>
        <w:rPr>
          <w:color w:val="58595B"/>
        </w:rPr>
        <w:t>will</w:t>
      </w:r>
      <w:r>
        <w:rPr>
          <w:color w:val="58595B"/>
          <w:spacing w:val="-6"/>
        </w:rPr>
        <w:t xml:space="preserve"> </w:t>
      </w:r>
      <w:r>
        <w:rPr>
          <w:color w:val="58595B"/>
        </w:rPr>
        <w:t>allow</w:t>
      </w:r>
      <w:r>
        <w:rPr>
          <w:color w:val="58595B"/>
          <w:spacing w:val="-6"/>
        </w:rPr>
        <w:t xml:space="preserve"> </w:t>
      </w:r>
      <w:r>
        <w:rPr>
          <w:color w:val="58595B"/>
        </w:rPr>
        <w:t>the</w:t>
      </w:r>
      <w:r>
        <w:rPr>
          <w:color w:val="58595B"/>
          <w:spacing w:val="-6"/>
        </w:rPr>
        <w:t xml:space="preserve"> </w:t>
      </w:r>
      <w:r>
        <w:rPr>
          <w:color w:val="58595B"/>
          <w:spacing w:val="-5"/>
        </w:rPr>
        <w:t>EPA</w:t>
      </w:r>
      <w:r>
        <w:rPr>
          <w:color w:val="58595B"/>
          <w:spacing w:val="-6"/>
        </w:rPr>
        <w:t xml:space="preserve"> </w:t>
      </w:r>
      <w:r>
        <w:rPr>
          <w:color w:val="58595B"/>
        </w:rPr>
        <w:t>to</w:t>
      </w:r>
      <w:r>
        <w:rPr>
          <w:color w:val="58595B"/>
          <w:spacing w:val="-6"/>
        </w:rPr>
        <w:t xml:space="preserve"> </w:t>
      </w:r>
      <w:r>
        <w:rPr>
          <w:color w:val="58595B"/>
        </w:rPr>
        <w:t>take</w:t>
      </w:r>
      <w:r>
        <w:rPr>
          <w:color w:val="58595B"/>
          <w:spacing w:val="-6"/>
        </w:rPr>
        <w:t xml:space="preserve"> </w:t>
      </w:r>
      <w:r>
        <w:rPr>
          <w:color w:val="58595B"/>
        </w:rPr>
        <w:t>a</w:t>
      </w:r>
      <w:r>
        <w:rPr>
          <w:color w:val="58595B"/>
          <w:spacing w:val="-6"/>
        </w:rPr>
        <w:t xml:space="preserve"> </w:t>
      </w:r>
      <w:r>
        <w:rPr>
          <w:color w:val="58595B"/>
        </w:rPr>
        <w:t xml:space="preserve">more preventative approach. It sets a broad-based standard, rather than detailed rules. In combination, the proposed enhancements strengthen the </w:t>
      </w:r>
      <w:r>
        <w:rPr>
          <w:color w:val="58595B"/>
          <w:spacing w:val="-7"/>
        </w:rPr>
        <w:t xml:space="preserve">EPA’s </w:t>
      </w:r>
      <w:r>
        <w:rPr>
          <w:color w:val="58595B"/>
        </w:rPr>
        <w:t>capacity to act authoritatively and proactively to address the range of activities that cause pollution and waste impacts and create risks to human health and the environment. They also increase the accountability of both the</w:t>
      </w:r>
      <w:r>
        <w:rPr>
          <w:color w:val="58595B"/>
          <w:spacing w:val="2"/>
        </w:rPr>
        <w:t xml:space="preserve"> </w:t>
      </w:r>
      <w:r>
        <w:rPr>
          <w:color w:val="58595B"/>
          <w:spacing w:val="-4"/>
        </w:rPr>
        <w:t>EPA</w:t>
      </w:r>
      <w:r>
        <w:br/>
      </w:r>
      <w:r>
        <w:rPr>
          <w:color w:val="58595B"/>
        </w:rPr>
        <w:t>and businesses.</w:t>
      </w:r>
    </w:p>
    <w:p w14:paraId="1F1CC87F" w14:textId="77777777" w:rsidR="00160E7F" w:rsidRDefault="00160E7F">
      <w:pPr>
        <w:pStyle w:val="BodyText"/>
        <w:spacing w:before="3"/>
        <w:rPr>
          <w:sz w:val="18"/>
        </w:rPr>
      </w:pPr>
    </w:p>
    <w:p w14:paraId="2E447A51" w14:textId="77777777" w:rsidR="00160E7F" w:rsidRDefault="002B0299">
      <w:pPr>
        <w:pStyle w:val="BodyText"/>
        <w:ind w:left="134" w:right="789"/>
      </w:pPr>
      <w:r>
        <w:rPr>
          <w:color w:val="58595B"/>
        </w:rPr>
        <w:t>The proposed enhancements to the toolkit are further detailed in the following chapters.</w:t>
      </w:r>
    </w:p>
    <w:p w14:paraId="14154886" w14:textId="77777777" w:rsidR="00160E7F" w:rsidRDefault="00160E7F">
      <w:pPr>
        <w:pStyle w:val="BodyText"/>
        <w:spacing w:before="3"/>
        <w:rPr>
          <w:sz w:val="18"/>
        </w:rPr>
      </w:pPr>
    </w:p>
    <w:p w14:paraId="0F8C0104" w14:textId="77777777" w:rsidR="00160E7F" w:rsidRDefault="002B0299">
      <w:pPr>
        <w:pStyle w:val="BodyText"/>
        <w:spacing w:line="280" w:lineRule="auto"/>
        <w:ind w:left="134" w:right="1433"/>
      </w:pPr>
      <w:r>
        <w:rPr>
          <w:color w:val="58595B"/>
        </w:rPr>
        <w:t>The broad regulatory focus of an effective EPA of the future with an enhanced toolkit is illustrated in figure 11.1.</w:t>
      </w:r>
    </w:p>
    <w:p w14:paraId="090FC31C" w14:textId="77777777" w:rsidR="00160E7F" w:rsidRDefault="00160E7F">
      <w:pPr>
        <w:spacing w:line="280" w:lineRule="auto"/>
        <w:sectPr w:rsidR="00160E7F">
          <w:pgSz w:w="11910" w:h="16840"/>
          <w:pgMar w:top="980" w:right="0" w:bottom="280" w:left="1680" w:header="788" w:footer="0" w:gutter="0"/>
          <w:cols w:space="720"/>
        </w:sectPr>
      </w:pPr>
    </w:p>
    <w:p w14:paraId="3CBCB5AE" w14:textId="77777777" w:rsidR="00160E7F" w:rsidRDefault="00160E7F">
      <w:pPr>
        <w:pStyle w:val="BodyText"/>
      </w:pPr>
    </w:p>
    <w:p w14:paraId="2E92AA01" w14:textId="77777777" w:rsidR="00160E7F" w:rsidRDefault="00160E7F">
      <w:pPr>
        <w:pStyle w:val="BodyText"/>
      </w:pPr>
    </w:p>
    <w:p w14:paraId="4B90C161" w14:textId="77777777" w:rsidR="00160E7F" w:rsidRDefault="00160E7F">
      <w:pPr>
        <w:pStyle w:val="BodyText"/>
      </w:pPr>
    </w:p>
    <w:p w14:paraId="0B5777FD" w14:textId="77777777" w:rsidR="00160E7F" w:rsidRDefault="00160E7F">
      <w:pPr>
        <w:pStyle w:val="BodyText"/>
      </w:pPr>
    </w:p>
    <w:p w14:paraId="35A2DEE8" w14:textId="77777777" w:rsidR="00160E7F" w:rsidRDefault="00160E7F">
      <w:pPr>
        <w:pStyle w:val="BodyText"/>
        <w:spacing w:before="8"/>
        <w:rPr>
          <w:sz w:val="17"/>
        </w:rPr>
      </w:pPr>
    </w:p>
    <w:p w14:paraId="444E3463" w14:textId="77777777" w:rsidR="00160E7F" w:rsidRDefault="002B0299">
      <w:pPr>
        <w:spacing w:before="1"/>
        <w:ind w:left="1417" w:right="789"/>
        <w:rPr>
          <w:sz w:val="20"/>
        </w:rPr>
      </w:pPr>
      <w:r>
        <w:rPr>
          <w:b/>
          <w:color w:val="0095A7"/>
          <w:sz w:val="20"/>
        </w:rPr>
        <w:t xml:space="preserve">FIGURE 11.1  </w:t>
      </w:r>
      <w:r>
        <w:rPr>
          <w:color w:val="0095A7"/>
          <w:sz w:val="20"/>
        </w:rPr>
        <w:t>REGULATORY FOCUS OF AN EFFECTIVE EPA</w:t>
      </w:r>
    </w:p>
    <w:p w14:paraId="073C8619" w14:textId="77777777" w:rsidR="00160E7F" w:rsidRDefault="002B0299">
      <w:pPr>
        <w:pStyle w:val="BodyText"/>
        <w:rPr>
          <w:sz w:val="21"/>
        </w:rPr>
      </w:pPr>
      <w:r>
        <w:rPr>
          <w:noProof/>
        </w:rPr>
        <w:drawing>
          <wp:anchor distT="0" distB="0" distL="0" distR="0" simplePos="0" relativeHeight="1168" behindDoc="0" locked="0" layoutInCell="1" allowOverlap="1" wp14:anchorId="023CB5DB" wp14:editId="6E195491">
            <wp:simplePos x="0" y="0"/>
            <wp:positionH relativeFrom="page">
              <wp:posOffset>899998</wp:posOffset>
            </wp:positionH>
            <wp:positionV relativeFrom="paragraph">
              <wp:posOffset>178469</wp:posOffset>
            </wp:positionV>
            <wp:extent cx="5422549" cy="5892736"/>
            <wp:effectExtent l="0" t="0" r="0" b="0"/>
            <wp:wrapTopAndBottom/>
            <wp:docPr id="5"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5" cstate="print"/>
                    <a:stretch>
                      <a:fillRect/>
                    </a:stretch>
                  </pic:blipFill>
                  <pic:spPr>
                    <a:xfrm>
                      <a:off x="0" y="0"/>
                      <a:ext cx="5422549" cy="5892736"/>
                    </a:xfrm>
                    <a:prstGeom prst="rect">
                      <a:avLst/>
                    </a:prstGeom>
                  </pic:spPr>
                </pic:pic>
              </a:graphicData>
            </a:graphic>
          </wp:anchor>
        </w:drawing>
      </w:r>
    </w:p>
    <w:p w14:paraId="37F10F2D" w14:textId="77777777" w:rsidR="00160E7F" w:rsidRDefault="00160E7F">
      <w:pPr>
        <w:rPr>
          <w:sz w:val="21"/>
        </w:rPr>
        <w:sectPr w:rsidR="00160E7F">
          <w:headerReference w:type="even" r:id="rId16"/>
          <w:headerReference w:type="default" r:id="rId17"/>
          <w:pgSz w:w="11910" w:h="16840"/>
          <w:pgMar w:top="980" w:right="1680" w:bottom="280" w:left="0" w:header="788" w:footer="0" w:gutter="0"/>
          <w:cols w:space="720"/>
        </w:sectPr>
      </w:pPr>
    </w:p>
    <w:p w14:paraId="35DFFDA0" w14:textId="77777777" w:rsidR="00160E7F" w:rsidRDefault="00160E7F">
      <w:pPr>
        <w:pStyle w:val="BodyText"/>
      </w:pPr>
    </w:p>
    <w:p w14:paraId="6D11B984" w14:textId="77777777" w:rsidR="00160E7F" w:rsidRDefault="00160E7F">
      <w:pPr>
        <w:pStyle w:val="BodyText"/>
      </w:pPr>
    </w:p>
    <w:p w14:paraId="5C06E75A" w14:textId="77777777" w:rsidR="00160E7F" w:rsidRDefault="00160E7F">
      <w:pPr>
        <w:pStyle w:val="BodyText"/>
      </w:pPr>
    </w:p>
    <w:p w14:paraId="0FE63ED7" w14:textId="77777777" w:rsidR="00160E7F" w:rsidRDefault="00160E7F">
      <w:pPr>
        <w:pStyle w:val="BodyText"/>
      </w:pPr>
    </w:p>
    <w:p w14:paraId="0F057B1A" w14:textId="77777777" w:rsidR="00160E7F" w:rsidRDefault="002B0299">
      <w:pPr>
        <w:pStyle w:val="Heading3"/>
        <w:numPr>
          <w:ilvl w:val="1"/>
          <w:numId w:val="46"/>
        </w:numPr>
        <w:tabs>
          <w:tab w:val="left" w:pos="696"/>
        </w:tabs>
        <w:ind w:left="695" w:hanging="561"/>
        <w:jc w:val="left"/>
      </w:pPr>
      <w:r>
        <w:rPr>
          <w:color w:val="0095A7"/>
        </w:rPr>
        <w:t>Addressing risks to public</w:t>
      </w:r>
      <w:r>
        <w:rPr>
          <w:color w:val="0095A7"/>
          <w:spacing w:val="28"/>
        </w:rPr>
        <w:t xml:space="preserve"> </w:t>
      </w:r>
      <w:r>
        <w:rPr>
          <w:color w:val="0095A7"/>
        </w:rPr>
        <w:t>health</w:t>
      </w:r>
    </w:p>
    <w:p w14:paraId="60504260" w14:textId="77777777" w:rsidR="00160E7F" w:rsidRDefault="002B0299">
      <w:pPr>
        <w:pStyle w:val="BodyText"/>
        <w:spacing w:before="145" w:line="280" w:lineRule="auto"/>
        <w:ind w:left="134" w:right="1433"/>
      </w:pPr>
      <w:r>
        <w:rPr>
          <w:color w:val="58595B"/>
        </w:rPr>
        <w:t>Government concerns about the potential impacts of pollution and waste on public health are reflected in the first term of reference to the inquiry, which asked us to consider:</w:t>
      </w:r>
    </w:p>
    <w:p w14:paraId="020F43FB" w14:textId="77777777" w:rsidR="00160E7F" w:rsidRDefault="002B0299">
      <w:pPr>
        <w:spacing w:before="172" w:line="280" w:lineRule="auto"/>
        <w:ind w:left="701" w:right="2071"/>
        <w:rPr>
          <w:sz w:val="11"/>
        </w:rPr>
      </w:pPr>
      <w:r>
        <w:rPr>
          <w:i/>
          <w:color w:val="231F20"/>
          <w:sz w:val="20"/>
        </w:rPr>
        <w:t>... the EPA’s appropriate role in relation to public health issues, including at least: community concerns such as exposure to asbestos, chemicals and other pollutants; the prevention and management of site contamination, air quality, and water quality in rivers and other waterways.</w:t>
      </w:r>
      <w:r>
        <w:rPr>
          <w:color w:val="231F20"/>
          <w:position w:val="7"/>
          <w:sz w:val="11"/>
        </w:rPr>
        <w:t>7</w:t>
      </w:r>
    </w:p>
    <w:p w14:paraId="1EAFA544" w14:textId="06AD63B1" w:rsidR="00160E7F" w:rsidRDefault="002B0299">
      <w:pPr>
        <w:pStyle w:val="BodyText"/>
        <w:spacing w:before="172" w:line="280" w:lineRule="auto"/>
        <w:ind w:left="134" w:right="1420"/>
      </w:pPr>
      <w:r>
        <w:rPr>
          <w:color w:val="58595B"/>
        </w:rPr>
        <w:t xml:space="preserve">On some of these issues, the </w:t>
      </w:r>
      <w:r>
        <w:rPr>
          <w:color w:val="58595B"/>
          <w:spacing w:val="-4"/>
        </w:rPr>
        <w:t xml:space="preserve">EPA </w:t>
      </w:r>
      <w:r>
        <w:rPr>
          <w:color w:val="58595B"/>
        </w:rPr>
        <w:t>works alongside other agenci</w:t>
      </w:r>
      <w:r w:rsidR="001124F0">
        <w:rPr>
          <w:color w:val="58595B"/>
        </w:rPr>
        <w:t>es, at the national, state and</w:t>
      </w:r>
      <w:r w:rsidR="001124F0">
        <w:rPr>
          <w:color w:val="58595B"/>
        </w:rPr>
        <w:br/>
      </w:r>
      <w:r>
        <w:rPr>
          <w:color w:val="58595B"/>
        </w:rPr>
        <w:t xml:space="preserve">local level. </w:t>
      </w:r>
      <w:r>
        <w:rPr>
          <w:color w:val="58595B"/>
          <w:spacing w:val="-3"/>
        </w:rPr>
        <w:t xml:space="preserve">Key </w:t>
      </w:r>
      <w:r>
        <w:rPr>
          <w:color w:val="58595B"/>
        </w:rPr>
        <w:t>partners and joint regulators on health issues include WorkSafe, local government and DHHS. These partnerships will continue in the</w:t>
      </w:r>
      <w:r>
        <w:rPr>
          <w:color w:val="58595B"/>
          <w:spacing w:val="15"/>
        </w:rPr>
        <w:t xml:space="preserve"> </w:t>
      </w:r>
      <w:r>
        <w:rPr>
          <w:color w:val="58595B"/>
        </w:rPr>
        <w:t>future.</w:t>
      </w:r>
    </w:p>
    <w:p w14:paraId="5363D435" w14:textId="2A217D60" w:rsidR="00160E7F" w:rsidRDefault="002B0299">
      <w:pPr>
        <w:pStyle w:val="BodyText"/>
        <w:spacing w:before="172" w:line="280" w:lineRule="auto"/>
        <w:ind w:left="134" w:right="1378"/>
      </w:pPr>
      <w:r>
        <w:rPr>
          <w:color w:val="58595B"/>
        </w:rPr>
        <w:t xml:space="preserve">The </w:t>
      </w:r>
      <w:r>
        <w:rPr>
          <w:color w:val="58595B"/>
          <w:spacing w:val="-9"/>
        </w:rPr>
        <w:t xml:space="preserve">EPA’s </w:t>
      </w:r>
      <w:r>
        <w:rPr>
          <w:color w:val="58595B"/>
        </w:rPr>
        <w:t xml:space="preserve">work to </w:t>
      </w:r>
      <w:r>
        <w:rPr>
          <w:color w:val="58595B"/>
          <w:spacing w:val="-3"/>
        </w:rPr>
        <w:t xml:space="preserve">protect public health will rely </w:t>
      </w:r>
      <w:r>
        <w:rPr>
          <w:color w:val="58595B"/>
        </w:rPr>
        <w:t xml:space="preserve">on a mix of </w:t>
      </w:r>
      <w:r>
        <w:rPr>
          <w:color w:val="58595B"/>
          <w:spacing w:val="-3"/>
        </w:rPr>
        <w:t xml:space="preserve">tools </w:t>
      </w:r>
      <w:r>
        <w:rPr>
          <w:color w:val="58595B"/>
        </w:rPr>
        <w:t xml:space="preserve">and </w:t>
      </w:r>
      <w:r>
        <w:rPr>
          <w:color w:val="58595B"/>
          <w:spacing w:val="-3"/>
        </w:rPr>
        <w:t xml:space="preserve">instruments </w:t>
      </w:r>
      <w:r>
        <w:rPr>
          <w:color w:val="58595B"/>
        </w:rPr>
        <w:t xml:space="preserve">– </w:t>
      </w:r>
      <w:r>
        <w:rPr>
          <w:color w:val="58595B"/>
          <w:spacing w:val="-3"/>
        </w:rPr>
        <w:t xml:space="preserve">including new </w:t>
      </w:r>
      <w:r>
        <w:rPr>
          <w:color w:val="58595B"/>
        </w:rPr>
        <w:t xml:space="preserve">and </w:t>
      </w:r>
      <w:r>
        <w:rPr>
          <w:color w:val="58595B"/>
          <w:spacing w:val="-3"/>
        </w:rPr>
        <w:t xml:space="preserve">enhanced instruments </w:t>
      </w:r>
      <w:r>
        <w:rPr>
          <w:color w:val="58595B"/>
        </w:rPr>
        <w:t xml:space="preserve">– supported </w:t>
      </w:r>
      <w:r>
        <w:rPr>
          <w:color w:val="58595B"/>
          <w:spacing w:val="-4"/>
        </w:rPr>
        <w:t xml:space="preserve">by </w:t>
      </w:r>
      <w:r>
        <w:rPr>
          <w:color w:val="58595B"/>
          <w:spacing w:val="-3"/>
        </w:rPr>
        <w:t xml:space="preserve">strengthened capabilities, </w:t>
      </w:r>
      <w:r>
        <w:rPr>
          <w:color w:val="58595B"/>
        </w:rPr>
        <w:t xml:space="preserve">such as an </w:t>
      </w:r>
      <w:r w:rsidR="00B546EF">
        <w:rPr>
          <w:color w:val="58595B"/>
          <w:spacing w:val="-3"/>
        </w:rPr>
        <w:t>expanded air quality</w:t>
      </w:r>
      <w:r w:rsidR="00B546EF">
        <w:rPr>
          <w:color w:val="58595B"/>
          <w:spacing w:val="-3"/>
        </w:rPr>
        <w:br/>
      </w:r>
      <w:r>
        <w:rPr>
          <w:color w:val="58595B"/>
          <w:spacing w:val="-3"/>
        </w:rPr>
        <w:t xml:space="preserve">monitoring </w:t>
      </w:r>
      <w:r>
        <w:rPr>
          <w:color w:val="58595B"/>
        </w:rPr>
        <w:t xml:space="preserve">network. </w:t>
      </w:r>
      <w:r>
        <w:rPr>
          <w:color w:val="58595B"/>
          <w:spacing w:val="-6"/>
        </w:rPr>
        <w:t xml:space="preserve">Table </w:t>
      </w:r>
      <w:r>
        <w:rPr>
          <w:color w:val="58595B"/>
          <w:spacing w:val="-8"/>
        </w:rPr>
        <w:t xml:space="preserve">11.2 </w:t>
      </w:r>
      <w:r>
        <w:rPr>
          <w:color w:val="58595B"/>
          <w:spacing w:val="-3"/>
        </w:rPr>
        <w:t xml:space="preserve">summarises </w:t>
      </w:r>
      <w:r>
        <w:rPr>
          <w:color w:val="58595B"/>
        </w:rPr>
        <w:t xml:space="preserve">the </w:t>
      </w:r>
      <w:r>
        <w:rPr>
          <w:color w:val="58595B"/>
          <w:spacing w:val="-5"/>
        </w:rPr>
        <w:t xml:space="preserve">key </w:t>
      </w:r>
      <w:r>
        <w:rPr>
          <w:color w:val="58595B"/>
          <w:spacing w:val="-3"/>
        </w:rPr>
        <w:t xml:space="preserve">enhancements that </w:t>
      </w:r>
      <w:r>
        <w:rPr>
          <w:color w:val="58595B"/>
        </w:rPr>
        <w:t xml:space="preserve">will </w:t>
      </w:r>
      <w:r>
        <w:rPr>
          <w:color w:val="58595B"/>
          <w:spacing w:val="-3"/>
        </w:rPr>
        <w:t xml:space="preserve">allow </w:t>
      </w:r>
      <w:r>
        <w:rPr>
          <w:color w:val="58595B"/>
        </w:rPr>
        <w:t xml:space="preserve">for more </w:t>
      </w:r>
      <w:r>
        <w:rPr>
          <w:color w:val="58595B"/>
          <w:spacing w:val="-3"/>
        </w:rPr>
        <w:t xml:space="preserve">effective interventions </w:t>
      </w:r>
      <w:r>
        <w:rPr>
          <w:color w:val="58595B"/>
        </w:rPr>
        <w:t xml:space="preserve">to </w:t>
      </w:r>
      <w:r>
        <w:rPr>
          <w:color w:val="58595B"/>
          <w:spacing w:val="-3"/>
        </w:rPr>
        <w:t xml:space="preserve">address public health </w:t>
      </w:r>
      <w:r>
        <w:rPr>
          <w:color w:val="58595B"/>
        </w:rPr>
        <w:t xml:space="preserve">concerns. The specified </w:t>
      </w:r>
      <w:r>
        <w:rPr>
          <w:color w:val="58595B"/>
          <w:spacing w:val="-3"/>
        </w:rPr>
        <w:t xml:space="preserve">chapters contain </w:t>
      </w:r>
      <w:r>
        <w:rPr>
          <w:color w:val="58595B"/>
        </w:rPr>
        <w:t xml:space="preserve">further </w:t>
      </w:r>
      <w:r>
        <w:rPr>
          <w:color w:val="58595B"/>
          <w:spacing w:val="-3"/>
        </w:rPr>
        <w:t>information.</w:t>
      </w:r>
    </w:p>
    <w:p w14:paraId="37D0D011" w14:textId="77777777" w:rsidR="00160E7F" w:rsidRDefault="00160E7F">
      <w:pPr>
        <w:pStyle w:val="BodyText"/>
        <w:spacing w:before="4"/>
        <w:rPr>
          <w:sz w:val="17"/>
        </w:rPr>
      </w:pPr>
    </w:p>
    <w:p w14:paraId="60CAFBB5" w14:textId="77777777" w:rsidR="00160E7F" w:rsidRDefault="002B0299">
      <w:pPr>
        <w:pStyle w:val="BodyText"/>
        <w:spacing w:before="1"/>
        <w:ind w:left="134" w:right="789"/>
      </w:pPr>
      <w:r>
        <w:rPr>
          <w:b/>
          <w:color w:val="0095A7"/>
        </w:rPr>
        <w:t xml:space="preserve">TABLE 11.2 </w:t>
      </w:r>
      <w:r>
        <w:rPr>
          <w:color w:val="0095A7"/>
        </w:rPr>
        <w:t>ENHANCING EPA RESPONSES TO ADDRESS PUBLIC HEALTH CONCERNS</w:t>
      </w:r>
    </w:p>
    <w:p w14:paraId="66273F4B" w14:textId="77777777" w:rsidR="00160E7F" w:rsidRDefault="00160E7F">
      <w:pPr>
        <w:pStyle w:val="BodyText"/>
        <w:spacing w:before="10"/>
        <w:rPr>
          <w:sz w:val="25"/>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750"/>
        <w:gridCol w:w="3509"/>
        <w:gridCol w:w="3415"/>
      </w:tblGrid>
      <w:tr w:rsidR="00160E7F" w14:paraId="3F008399" w14:textId="77777777">
        <w:trPr>
          <w:trHeight w:hRule="exact" w:val="358"/>
        </w:trPr>
        <w:tc>
          <w:tcPr>
            <w:tcW w:w="1750" w:type="dxa"/>
            <w:shd w:val="clear" w:color="auto" w:fill="89BFCB"/>
          </w:tcPr>
          <w:p w14:paraId="0AB419B5" w14:textId="77777777" w:rsidR="00160E7F" w:rsidRDefault="002B0299">
            <w:pPr>
              <w:pStyle w:val="TableParagraph"/>
              <w:spacing w:before="75"/>
              <w:ind w:left="56" w:right="23"/>
              <w:rPr>
                <w:sz w:val="18"/>
              </w:rPr>
            </w:pPr>
            <w:r>
              <w:rPr>
                <w:color w:val="FFFFFF"/>
                <w:sz w:val="18"/>
              </w:rPr>
              <w:t>Public health issue</w:t>
            </w:r>
          </w:p>
        </w:tc>
        <w:tc>
          <w:tcPr>
            <w:tcW w:w="3509" w:type="dxa"/>
            <w:shd w:val="clear" w:color="auto" w:fill="89BFCB"/>
          </w:tcPr>
          <w:p w14:paraId="3A4AF917" w14:textId="77777777" w:rsidR="00160E7F" w:rsidRDefault="002B0299">
            <w:pPr>
              <w:pStyle w:val="TableParagraph"/>
              <w:spacing w:before="75"/>
              <w:ind w:left="177" w:right="70"/>
              <w:rPr>
                <w:sz w:val="18"/>
              </w:rPr>
            </w:pPr>
            <w:r>
              <w:rPr>
                <w:color w:val="FFFFFF"/>
                <w:sz w:val="18"/>
              </w:rPr>
              <w:t>Problem</w:t>
            </w:r>
          </w:p>
        </w:tc>
        <w:tc>
          <w:tcPr>
            <w:tcW w:w="3415" w:type="dxa"/>
            <w:shd w:val="clear" w:color="auto" w:fill="89BFCB"/>
          </w:tcPr>
          <w:p w14:paraId="6942B401" w14:textId="77777777" w:rsidR="00160E7F" w:rsidRDefault="002B0299">
            <w:pPr>
              <w:pStyle w:val="TableParagraph"/>
              <w:spacing w:before="75"/>
              <w:ind w:left="70" w:right="513"/>
              <w:rPr>
                <w:sz w:val="18"/>
              </w:rPr>
            </w:pPr>
            <w:r>
              <w:rPr>
                <w:color w:val="FFFFFF"/>
                <w:sz w:val="18"/>
              </w:rPr>
              <w:t>Enhancing EPA’s response</w:t>
            </w:r>
          </w:p>
        </w:tc>
      </w:tr>
      <w:tr w:rsidR="00160E7F" w14:paraId="6766ED45" w14:textId="77777777">
        <w:trPr>
          <w:trHeight w:hRule="exact" w:val="4769"/>
        </w:trPr>
        <w:tc>
          <w:tcPr>
            <w:tcW w:w="1750" w:type="dxa"/>
            <w:tcBorders>
              <w:bottom w:val="single" w:sz="2" w:space="0" w:color="939598"/>
            </w:tcBorders>
          </w:tcPr>
          <w:p w14:paraId="11C55A61" w14:textId="77777777" w:rsidR="00160E7F" w:rsidRDefault="002B0299">
            <w:pPr>
              <w:pStyle w:val="TableParagraph"/>
              <w:spacing w:line="254" w:lineRule="auto"/>
              <w:ind w:left="56" w:right="23"/>
              <w:rPr>
                <w:b/>
                <w:sz w:val="18"/>
              </w:rPr>
            </w:pPr>
            <w:r>
              <w:rPr>
                <w:b/>
                <w:color w:val="58595B"/>
                <w:sz w:val="18"/>
              </w:rPr>
              <w:t>Exposure to asbestos</w:t>
            </w:r>
          </w:p>
        </w:tc>
        <w:tc>
          <w:tcPr>
            <w:tcW w:w="3509" w:type="dxa"/>
            <w:tcBorders>
              <w:bottom w:val="single" w:sz="2" w:space="0" w:color="939598"/>
            </w:tcBorders>
          </w:tcPr>
          <w:p w14:paraId="5B28EDE3" w14:textId="77777777" w:rsidR="00160E7F" w:rsidRDefault="002B0299">
            <w:pPr>
              <w:pStyle w:val="TableParagraph"/>
              <w:spacing w:line="254" w:lineRule="auto"/>
              <w:ind w:left="177" w:right="70"/>
              <w:rPr>
                <w:sz w:val="18"/>
              </w:rPr>
            </w:pPr>
            <w:r>
              <w:rPr>
                <w:color w:val="58595B"/>
                <w:sz w:val="18"/>
              </w:rPr>
              <w:t xml:space="preserve">The widespread prevalence of asbestos in old building materials means </w:t>
            </w:r>
            <w:r>
              <w:rPr>
                <w:color w:val="58595B"/>
                <w:spacing w:val="-3"/>
                <w:sz w:val="18"/>
              </w:rPr>
              <w:t xml:space="preserve">that </w:t>
            </w:r>
            <w:r>
              <w:rPr>
                <w:color w:val="58595B"/>
                <w:sz w:val="18"/>
              </w:rPr>
              <w:t>advice on making it safe in situ is very important; support for responsible disposal</w:t>
            </w:r>
            <w:r>
              <w:rPr>
                <w:color w:val="58595B"/>
                <w:spacing w:val="-13"/>
                <w:sz w:val="18"/>
              </w:rPr>
              <w:t xml:space="preserve"> </w:t>
            </w:r>
            <w:r>
              <w:rPr>
                <w:color w:val="58595B"/>
                <w:sz w:val="18"/>
              </w:rPr>
              <w:t>will</w:t>
            </w:r>
            <w:r>
              <w:rPr>
                <w:color w:val="58595B"/>
                <w:spacing w:val="-13"/>
                <w:sz w:val="18"/>
              </w:rPr>
              <w:t xml:space="preserve"> </w:t>
            </w:r>
            <w:r>
              <w:rPr>
                <w:color w:val="58595B"/>
                <w:sz w:val="18"/>
              </w:rPr>
              <w:t>be</w:t>
            </w:r>
            <w:r>
              <w:rPr>
                <w:color w:val="58595B"/>
                <w:spacing w:val="-13"/>
                <w:sz w:val="18"/>
              </w:rPr>
              <w:t xml:space="preserve"> </w:t>
            </w:r>
            <w:r>
              <w:rPr>
                <w:color w:val="58595B"/>
                <w:sz w:val="18"/>
              </w:rPr>
              <w:t>an</w:t>
            </w:r>
            <w:r>
              <w:rPr>
                <w:color w:val="58595B"/>
                <w:spacing w:val="-13"/>
                <w:sz w:val="18"/>
              </w:rPr>
              <w:t xml:space="preserve"> </w:t>
            </w:r>
            <w:r>
              <w:rPr>
                <w:color w:val="58595B"/>
                <w:sz w:val="18"/>
              </w:rPr>
              <w:t>issue</w:t>
            </w:r>
            <w:r>
              <w:rPr>
                <w:color w:val="58595B"/>
                <w:spacing w:val="-13"/>
                <w:sz w:val="18"/>
              </w:rPr>
              <w:t xml:space="preserve"> </w:t>
            </w:r>
            <w:r>
              <w:rPr>
                <w:color w:val="58595B"/>
                <w:sz w:val="18"/>
              </w:rPr>
              <w:t>for</w:t>
            </w:r>
            <w:r>
              <w:rPr>
                <w:color w:val="58595B"/>
                <w:spacing w:val="-13"/>
                <w:sz w:val="18"/>
              </w:rPr>
              <w:t xml:space="preserve"> </w:t>
            </w:r>
            <w:r>
              <w:rPr>
                <w:color w:val="58595B"/>
                <w:sz w:val="18"/>
              </w:rPr>
              <w:t>the</w:t>
            </w:r>
            <w:r>
              <w:rPr>
                <w:color w:val="58595B"/>
                <w:spacing w:val="-13"/>
                <w:sz w:val="18"/>
              </w:rPr>
              <w:t xml:space="preserve"> </w:t>
            </w:r>
            <w:r>
              <w:rPr>
                <w:color w:val="58595B"/>
                <w:sz w:val="18"/>
              </w:rPr>
              <w:t>long</w:t>
            </w:r>
            <w:r>
              <w:rPr>
                <w:color w:val="58595B"/>
                <w:spacing w:val="-13"/>
                <w:sz w:val="18"/>
              </w:rPr>
              <w:t xml:space="preserve"> </w:t>
            </w:r>
            <w:r>
              <w:rPr>
                <w:color w:val="58595B"/>
                <w:sz w:val="18"/>
              </w:rPr>
              <w:t>term.</w:t>
            </w:r>
          </w:p>
          <w:p w14:paraId="4C3B1593" w14:textId="77777777" w:rsidR="00160E7F" w:rsidRDefault="00160E7F">
            <w:pPr>
              <w:pStyle w:val="TableParagraph"/>
              <w:spacing w:before="10"/>
              <w:rPr>
                <w:sz w:val="14"/>
              </w:rPr>
            </w:pPr>
          </w:p>
          <w:p w14:paraId="11B788C3" w14:textId="77777777" w:rsidR="00160E7F" w:rsidRDefault="002B0299">
            <w:pPr>
              <w:pStyle w:val="TableParagraph"/>
              <w:spacing w:before="0" w:line="254" w:lineRule="auto"/>
              <w:ind w:left="177" w:right="70"/>
              <w:rPr>
                <w:sz w:val="18"/>
              </w:rPr>
            </w:pPr>
            <w:r>
              <w:rPr>
                <w:color w:val="58595B"/>
                <w:sz w:val="18"/>
              </w:rPr>
              <w:t>The cost of disposal – using accredited removalists and transport services and disposing waste in a licensed facility – creates a barrier to responsible disposal.</w:t>
            </w:r>
          </w:p>
          <w:p w14:paraId="49066AF2" w14:textId="77777777" w:rsidR="00160E7F" w:rsidRDefault="00160E7F">
            <w:pPr>
              <w:pStyle w:val="TableParagraph"/>
              <w:spacing w:before="10"/>
              <w:rPr>
                <w:sz w:val="14"/>
              </w:rPr>
            </w:pPr>
          </w:p>
          <w:p w14:paraId="1641920B" w14:textId="77777777" w:rsidR="00160E7F" w:rsidRDefault="002B0299">
            <w:pPr>
              <w:pStyle w:val="TableParagraph"/>
              <w:spacing w:before="0" w:line="254" w:lineRule="auto"/>
              <w:ind w:left="177" w:right="70"/>
              <w:rPr>
                <w:sz w:val="18"/>
              </w:rPr>
            </w:pPr>
            <w:r>
              <w:rPr>
                <w:color w:val="58595B"/>
                <w:sz w:val="18"/>
              </w:rPr>
              <w:t>Strict requirements for disposal to landfill are intended to reduce the hazards</w:t>
            </w:r>
          </w:p>
          <w:p w14:paraId="6C8C7873" w14:textId="77777777" w:rsidR="00160E7F" w:rsidRDefault="002B0299">
            <w:pPr>
              <w:pStyle w:val="TableParagraph"/>
              <w:spacing w:before="1" w:line="254" w:lineRule="auto"/>
              <w:ind w:left="177" w:right="9"/>
              <w:rPr>
                <w:sz w:val="18"/>
              </w:rPr>
            </w:pPr>
            <w:r>
              <w:rPr>
                <w:color w:val="58595B"/>
                <w:sz w:val="18"/>
              </w:rPr>
              <w:t>of asbestos disposal but is likely to contribute to illegal dumping and disposal by households and businesses.</w:t>
            </w:r>
          </w:p>
          <w:p w14:paraId="63F5C66A" w14:textId="77777777" w:rsidR="00160E7F" w:rsidRDefault="00160E7F">
            <w:pPr>
              <w:pStyle w:val="TableParagraph"/>
              <w:spacing w:before="10"/>
              <w:rPr>
                <w:sz w:val="14"/>
              </w:rPr>
            </w:pPr>
          </w:p>
          <w:p w14:paraId="66C9CD69" w14:textId="77777777" w:rsidR="00160E7F" w:rsidRDefault="002B0299">
            <w:pPr>
              <w:pStyle w:val="TableParagraph"/>
              <w:spacing w:before="0" w:line="254" w:lineRule="auto"/>
              <w:ind w:left="177" w:right="29"/>
              <w:rPr>
                <w:sz w:val="18"/>
              </w:rPr>
            </w:pPr>
            <w:r>
              <w:rPr>
                <w:color w:val="58595B"/>
                <w:sz w:val="18"/>
              </w:rPr>
              <w:t>Landfills are the only practical disposal option for asbestos, but current levy settings impose costs that contribute to illegal dumping and disposal of asbestos.</w:t>
            </w:r>
          </w:p>
        </w:tc>
        <w:tc>
          <w:tcPr>
            <w:tcW w:w="3415" w:type="dxa"/>
            <w:tcBorders>
              <w:bottom w:val="single" w:sz="2" w:space="0" w:color="939598"/>
            </w:tcBorders>
          </w:tcPr>
          <w:p w14:paraId="66DA2D7A" w14:textId="77777777" w:rsidR="00160E7F" w:rsidRDefault="002B0299">
            <w:pPr>
              <w:pStyle w:val="TableParagraph"/>
              <w:spacing w:line="254" w:lineRule="auto"/>
              <w:ind w:left="70" w:right="513"/>
              <w:rPr>
                <w:sz w:val="18"/>
              </w:rPr>
            </w:pPr>
            <w:r>
              <w:rPr>
                <w:color w:val="58595B"/>
                <w:sz w:val="18"/>
              </w:rPr>
              <w:t>Changes to levy settings to support responsible disposal of asbestos (chapter 21).</w:t>
            </w:r>
          </w:p>
          <w:p w14:paraId="5B0F9695" w14:textId="77777777" w:rsidR="00160E7F" w:rsidRDefault="00160E7F">
            <w:pPr>
              <w:pStyle w:val="TableParagraph"/>
              <w:spacing w:before="10"/>
              <w:rPr>
                <w:sz w:val="14"/>
              </w:rPr>
            </w:pPr>
          </w:p>
          <w:p w14:paraId="0010B63D" w14:textId="77777777" w:rsidR="00160E7F" w:rsidRDefault="002B0299">
            <w:pPr>
              <w:pStyle w:val="TableParagraph"/>
              <w:spacing w:before="0" w:line="254" w:lineRule="auto"/>
              <w:ind w:left="70" w:right="498"/>
              <w:rPr>
                <w:sz w:val="18"/>
              </w:rPr>
            </w:pPr>
            <w:r>
              <w:rPr>
                <w:color w:val="58595B"/>
                <w:sz w:val="18"/>
              </w:rPr>
              <w:t xml:space="preserve">Enhanced environmental health capabilities will strengthen the </w:t>
            </w:r>
            <w:r>
              <w:rPr>
                <w:color w:val="58595B"/>
                <w:spacing w:val="-7"/>
                <w:sz w:val="18"/>
              </w:rPr>
              <w:t xml:space="preserve">EPA’s </w:t>
            </w:r>
            <w:r>
              <w:rPr>
                <w:color w:val="58595B"/>
                <w:sz w:val="18"/>
              </w:rPr>
              <w:t>contribution to identifying and</w:t>
            </w:r>
          </w:p>
          <w:p w14:paraId="1C2BE90D" w14:textId="77777777" w:rsidR="00160E7F" w:rsidRDefault="002B0299">
            <w:pPr>
              <w:pStyle w:val="TableParagraph"/>
              <w:spacing w:before="1" w:line="254" w:lineRule="auto"/>
              <w:ind w:left="70" w:right="13"/>
              <w:rPr>
                <w:sz w:val="18"/>
              </w:rPr>
            </w:pPr>
            <w:r>
              <w:rPr>
                <w:color w:val="58595B"/>
                <w:sz w:val="18"/>
              </w:rPr>
              <w:t>communicating risks to government and the public (chapter 6). Other agencies helping to address asbestos risks include DHHS, WorkSafe and local governments.</w:t>
            </w:r>
          </w:p>
          <w:p w14:paraId="5B98559D" w14:textId="77777777" w:rsidR="00160E7F" w:rsidRDefault="00160E7F">
            <w:pPr>
              <w:pStyle w:val="TableParagraph"/>
              <w:spacing w:before="10"/>
              <w:rPr>
                <w:sz w:val="14"/>
              </w:rPr>
            </w:pPr>
          </w:p>
          <w:p w14:paraId="7E1950DB" w14:textId="77777777" w:rsidR="00160E7F" w:rsidRDefault="002B0299">
            <w:pPr>
              <w:pStyle w:val="TableParagraph"/>
              <w:spacing w:before="0" w:line="254" w:lineRule="auto"/>
              <w:ind w:left="70" w:right="173"/>
              <w:rPr>
                <w:sz w:val="18"/>
              </w:rPr>
            </w:pPr>
            <w:r>
              <w:rPr>
                <w:color w:val="58595B"/>
                <w:sz w:val="18"/>
              </w:rPr>
              <w:t>Support for compliance will be strengthened through enhanced environment protection capacity in local government environment protection officers (chapter 18)</w:t>
            </w:r>
          </w:p>
          <w:p w14:paraId="2C3FE62F" w14:textId="77777777" w:rsidR="00160E7F" w:rsidRDefault="00160E7F">
            <w:pPr>
              <w:pStyle w:val="TableParagraph"/>
              <w:spacing w:before="10"/>
              <w:rPr>
                <w:sz w:val="14"/>
              </w:rPr>
            </w:pPr>
          </w:p>
          <w:p w14:paraId="2A6E6008" w14:textId="77777777" w:rsidR="00160E7F" w:rsidRDefault="002B0299">
            <w:pPr>
              <w:pStyle w:val="TableParagraph"/>
              <w:spacing w:before="0" w:line="254" w:lineRule="auto"/>
              <w:ind w:left="70" w:right="103"/>
              <w:rPr>
                <w:sz w:val="18"/>
              </w:rPr>
            </w:pPr>
            <w:r>
              <w:rPr>
                <w:color w:val="58595B"/>
                <w:sz w:val="18"/>
              </w:rPr>
              <w:t>Advice on safe management and maintenance will continue to be a very important element of a risk management strategy for the community (chapter 14).</w:t>
            </w:r>
          </w:p>
        </w:tc>
      </w:tr>
      <w:tr w:rsidR="00160E7F" w14:paraId="15823E5C" w14:textId="77777777">
        <w:trPr>
          <w:trHeight w:hRule="exact" w:val="3501"/>
        </w:trPr>
        <w:tc>
          <w:tcPr>
            <w:tcW w:w="1750" w:type="dxa"/>
            <w:tcBorders>
              <w:top w:val="single" w:sz="2" w:space="0" w:color="939598"/>
              <w:bottom w:val="single" w:sz="2" w:space="0" w:color="939598"/>
            </w:tcBorders>
          </w:tcPr>
          <w:p w14:paraId="72A94C27" w14:textId="77777777" w:rsidR="00160E7F" w:rsidRDefault="002B0299">
            <w:pPr>
              <w:pStyle w:val="TableParagraph"/>
              <w:spacing w:line="254" w:lineRule="auto"/>
              <w:ind w:left="56" w:right="23"/>
              <w:rPr>
                <w:b/>
                <w:sz w:val="18"/>
              </w:rPr>
            </w:pPr>
            <w:r>
              <w:rPr>
                <w:b/>
                <w:color w:val="58595B"/>
                <w:sz w:val="18"/>
              </w:rPr>
              <w:t>Exposure to chemicals and other pollutants</w:t>
            </w:r>
          </w:p>
        </w:tc>
        <w:tc>
          <w:tcPr>
            <w:tcW w:w="3509" w:type="dxa"/>
            <w:tcBorders>
              <w:top w:val="single" w:sz="2" w:space="0" w:color="939598"/>
              <w:bottom w:val="single" w:sz="2" w:space="0" w:color="939598"/>
            </w:tcBorders>
          </w:tcPr>
          <w:p w14:paraId="63DB5712" w14:textId="77777777" w:rsidR="00160E7F" w:rsidRDefault="002B0299">
            <w:pPr>
              <w:pStyle w:val="TableParagraph"/>
              <w:spacing w:line="254" w:lineRule="auto"/>
              <w:ind w:left="177" w:right="110"/>
              <w:rPr>
                <w:sz w:val="18"/>
              </w:rPr>
            </w:pPr>
            <w:r>
              <w:rPr>
                <w:color w:val="58595B"/>
                <w:sz w:val="18"/>
              </w:rPr>
              <w:t>Regulators register chemicals in use but struggle to provide risk assessment for</w:t>
            </w:r>
          </w:p>
          <w:p w14:paraId="70A844BF" w14:textId="77777777" w:rsidR="00160E7F" w:rsidRDefault="002B0299">
            <w:pPr>
              <w:pStyle w:val="TableParagraph"/>
              <w:spacing w:before="1" w:line="254" w:lineRule="auto"/>
              <w:ind w:left="177" w:right="-3"/>
              <w:rPr>
                <w:sz w:val="18"/>
              </w:rPr>
            </w:pPr>
            <w:r>
              <w:rPr>
                <w:color w:val="58595B"/>
                <w:sz w:val="18"/>
              </w:rPr>
              <w:t xml:space="preserve">a growing backlog of chemicals, </w:t>
            </w:r>
            <w:r>
              <w:rPr>
                <w:color w:val="58595B"/>
                <w:spacing w:val="-3"/>
                <w:sz w:val="18"/>
              </w:rPr>
              <w:t xml:space="preserve">given </w:t>
            </w:r>
            <w:r>
              <w:rPr>
                <w:color w:val="58595B"/>
                <w:sz w:val="18"/>
              </w:rPr>
              <w:t xml:space="preserve">the pace of </w:t>
            </w:r>
            <w:r>
              <w:rPr>
                <w:color w:val="58595B"/>
                <w:spacing w:val="-3"/>
                <w:sz w:val="18"/>
              </w:rPr>
              <w:t xml:space="preserve">development </w:t>
            </w:r>
            <w:r>
              <w:rPr>
                <w:color w:val="58595B"/>
                <w:sz w:val="18"/>
              </w:rPr>
              <w:t>and release of new chemicals used in industrial, commercial and domestic settings.</w:t>
            </w:r>
          </w:p>
          <w:p w14:paraId="02625338" w14:textId="77777777" w:rsidR="00160E7F" w:rsidRDefault="00160E7F">
            <w:pPr>
              <w:pStyle w:val="TableParagraph"/>
              <w:spacing w:before="10"/>
              <w:rPr>
                <w:sz w:val="14"/>
              </w:rPr>
            </w:pPr>
          </w:p>
          <w:p w14:paraId="111F3A54" w14:textId="77777777" w:rsidR="00160E7F" w:rsidRDefault="002B0299">
            <w:pPr>
              <w:pStyle w:val="TableParagraph"/>
              <w:spacing w:before="0" w:line="254" w:lineRule="auto"/>
              <w:ind w:left="177" w:right="99"/>
              <w:rPr>
                <w:sz w:val="18"/>
              </w:rPr>
            </w:pPr>
            <w:r>
              <w:rPr>
                <w:color w:val="58595B"/>
                <w:sz w:val="18"/>
              </w:rPr>
              <w:t>Improving knowledge means that we continue to identify new risks associated with the historical and current use</w:t>
            </w:r>
          </w:p>
          <w:p w14:paraId="760D57B8" w14:textId="77777777" w:rsidR="00160E7F" w:rsidRDefault="002B0299">
            <w:pPr>
              <w:pStyle w:val="TableParagraph"/>
              <w:spacing w:before="1" w:line="254" w:lineRule="auto"/>
              <w:ind w:left="177" w:right="289"/>
              <w:rPr>
                <w:sz w:val="18"/>
              </w:rPr>
            </w:pPr>
            <w:r>
              <w:rPr>
                <w:color w:val="58595B"/>
                <w:sz w:val="18"/>
              </w:rPr>
              <w:t>of chemicals – many of which are widespread and some of which have already left a legacy of contamination.</w:t>
            </w:r>
          </w:p>
        </w:tc>
        <w:tc>
          <w:tcPr>
            <w:tcW w:w="3415" w:type="dxa"/>
            <w:tcBorders>
              <w:top w:val="single" w:sz="2" w:space="0" w:color="939598"/>
              <w:bottom w:val="single" w:sz="2" w:space="0" w:color="939598"/>
            </w:tcBorders>
          </w:tcPr>
          <w:p w14:paraId="78EB2F51" w14:textId="77777777" w:rsidR="00160E7F" w:rsidRDefault="002B0299">
            <w:pPr>
              <w:pStyle w:val="TableParagraph"/>
              <w:spacing w:line="254" w:lineRule="auto"/>
              <w:ind w:left="70" w:right="529"/>
              <w:jc w:val="both"/>
              <w:rPr>
                <w:sz w:val="18"/>
              </w:rPr>
            </w:pPr>
            <w:r>
              <w:rPr>
                <w:color w:val="58595B"/>
                <w:sz w:val="18"/>
              </w:rPr>
              <w:t>The</w:t>
            </w:r>
            <w:r>
              <w:rPr>
                <w:color w:val="58595B"/>
                <w:spacing w:val="-18"/>
                <w:sz w:val="18"/>
              </w:rPr>
              <w:t xml:space="preserve"> </w:t>
            </w:r>
            <w:r>
              <w:rPr>
                <w:color w:val="58595B"/>
                <w:spacing w:val="-7"/>
                <w:sz w:val="18"/>
              </w:rPr>
              <w:t>EPA’s</w:t>
            </w:r>
            <w:r>
              <w:rPr>
                <w:color w:val="58595B"/>
                <w:spacing w:val="-18"/>
                <w:sz w:val="18"/>
              </w:rPr>
              <w:t xml:space="preserve"> </w:t>
            </w:r>
            <w:r>
              <w:rPr>
                <w:color w:val="58595B"/>
                <w:sz w:val="18"/>
              </w:rPr>
              <w:t>strengthened</w:t>
            </w:r>
            <w:r>
              <w:rPr>
                <w:color w:val="58595B"/>
                <w:spacing w:val="-18"/>
                <w:sz w:val="18"/>
              </w:rPr>
              <w:t xml:space="preserve"> </w:t>
            </w:r>
            <w:r>
              <w:rPr>
                <w:color w:val="58595B"/>
                <w:sz w:val="18"/>
              </w:rPr>
              <w:t>capabilities in</w:t>
            </w:r>
            <w:r>
              <w:rPr>
                <w:color w:val="58595B"/>
                <w:spacing w:val="-18"/>
                <w:sz w:val="18"/>
              </w:rPr>
              <w:t xml:space="preserve"> </w:t>
            </w:r>
            <w:r>
              <w:rPr>
                <w:color w:val="58595B"/>
                <w:sz w:val="18"/>
              </w:rPr>
              <w:t>science</w:t>
            </w:r>
            <w:r>
              <w:rPr>
                <w:color w:val="58595B"/>
                <w:spacing w:val="-18"/>
                <w:sz w:val="18"/>
              </w:rPr>
              <w:t xml:space="preserve"> </w:t>
            </w:r>
            <w:r>
              <w:rPr>
                <w:color w:val="58595B"/>
                <w:sz w:val="18"/>
              </w:rPr>
              <w:t>and</w:t>
            </w:r>
            <w:r>
              <w:rPr>
                <w:color w:val="58595B"/>
                <w:spacing w:val="-18"/>
                <w:sz w:val="18"/>
              </w:rPr>
              <w:t xml:space="preserve"> </w:t>
            </w:r>
            <w:r>
              <w:rPr>
                <w:color w:val="58595B"/>
                <w:sz w:val="18"/>
              </w:rPr>
              <w:t>environmental</w:t>
            </w:r>
            <w:r>
              <w:rPr>
                <w:color w:val="58595B"/>
                <w:spacing w:val="-18"/>
                <w:sz w:val="18"/>
              </w:rPr>
              <w:t xml:space="preserve"> </w:t>
            </w:r>
            <w:r>
              <w:rPr>
                <w:color w:val="58595B"/>
                <w:sz w:val="18"/>
              </w:rPr>
              <w:t>health will</w:t>
            </w:r>
            <w:r>
              <w:rPr>
                <w:color w:val="58595B"/>
                <w:spacing w:val="-11"/>
                <w:sz w:val="18"/>
              </w:rPr>
              <w:t xml:space="preserve"> </w:t>
            </w:r>
            <w:r>
              <w:rPr>
                <w:color w:val="58595B"/>
                <w:sz w:val="18"/>
              </w:rPr>
              <w:t>enhance</w:t>
            </w:r>
            <w:r>
              <w:rPr>
                <w:color w:val="58595B"/>
                <w:spacing w:val="-11"/>
                <w:sz w:val="18"/>
              </w:rPr>
              <w:t xml:space="preserve"> </w:t>
            </w:r>
            <w:r>
              <w:rPr>
                <w:color w:val="58595B"/>
                <w:sz w:val="18"/>
              </w:rPr>
              <w:t>its</w:t>
            </w:r>
            <w:r>
              <w:rPr>
                <w:color w:val="58595B"/>
                <w:spacing w:val="-11"/>
                <w:sz w:val="18"/>
              </w:rPr>
              <w:t xml:space="preserve"> </w:t>
            </w:r>
            <w:r>
              <w:rPr>
                <w:color w:val="58595B"/>
                <w:sz w:val="18"/>
              </w:rPr>
              <w:t>capacity</w:t>
            </w:r>
            <w:r>
              <w:rPr>
                <w:color w:val="58595B"/>
                <w:spacing w:val="-11"/>
                <w:sz w:val="18"/>
              </w:rPr>
              <w:t xml:space="preserve"> </w:t>
            </w:r>
            <w:r>
              <w:rPr>
                <w:color w:val="58595B"/>
                <w:sz w:val="18"/>
              </w:rPr>
              <w:t>to</w:t>
            </w:r>
            <w:r>
              <w:rPr>
                <w:color w:val="58595B"/>
                <w:spacing w:val="-11"/>
                <w:sz w:val="18"/>
              </w:rPr>
              <w:t xml:space="preserve"> </w:t>
            </w:r>
            <w:r>
              <w:rPr>
                <w:color w:val="58595B"/>
                <w:sz w:val="18"/>
              </w:rPr>
              <w:t>scan</w:t>
            </w:r>
            <w:r>
              <w:rPr>
                <w:color w:val="58595B"/>
                <w:spacing w:val="-11"/>
                <w:sz w:val="18"/>
              </w:rPr>
              <w:t xml:space="preserve"> </w:t>
            </w:r>
            <w:r>
              <w:rPr>
                <w:color w:val="58595B"/>
                <w:spacing w:val="-4"/>
                <w:sz w:val="18"/>
              </w:rPr>
              <w:t>for,</w:t>
            </w:r>
          </w:p>
          <w:p w14:paraId="718331D4" w14:textId="77777777" w:rsidR="00160E7F" w:rsidRDefault="002B0299">
            <w:pPr>
              <w:pStyle w:val="TableParagraph"/>
              <w:spacing w:before="1" w:line="254" w:lineRule="auto"/>
              <w:ind w:left="70" w:right="222"/>
              <w:rPr>
                <w:sz w:val="18"/>
              </w:rPr>
            </w:pPr>
            <w:r>
              <w:rPr>
                <w:color w:val="58595B"/>
                <w:sz w:val="18"/>
              </w:rPr>
              <w:t>and advise government about new and emerging risks, and adjust its toolkit accordingly (chapter 6).</w:t>
            </w:r>
          </w:p>
          <w:p w14:paraId="511B9883" w14:textId="77777777" w:rsidR="00160E7F" w:rsidRDefault="00160E7F">
            <w:pPr>
              <w:pStyle w:val="TableParagraph"/>
              <w:spacing w:before="10"/>
              <w:rPr>
                <w:sz w:val="14"/>
              </w:rPr>
            </w:pPr>
          </w:p>
          <w:p w14:paraId="2AB6B53B" w14:textId="77777777" w:rsidR="00160E7F" w:rsidRDefault="002B0299">
            <w:pPr>
              <w:pStyle w:val="TableParagraph"/>
              <w:spacing w:before="0" w:line="254" w:lineRule="auto"/>
              <w:ind w:left="70" w:right="564"/>
              <w:jc w:val="both"/>
              <w:rPr>
                <w:sz w:val="18"/>
              </w:rPr>
            </w:pPr>
            <w:r>
              <w:rPr>
                <w:color w:val="58595B"/>
                <w:sz w:val="18"/>
              </w:rPr>
              <w:t>Work</w:t>
            </w:r>
            <w:r>
              <w:rPr>
                <w:color w:val="58595B"/>
                <w:spacing w:val="-16"/>
                <w:sz w:val="18"/>
              </w:rPr>
              <w:t xml:space="preserve"> </w:t>
            </w:r>
            <w:r>
              <w:rPr>
                <w:color w:val="58595B"/>
                <w:sz w:val="18"/>
              </w:rPr>
              <w:t>through</w:t>
            </w:r>
            <w:r>
              <w:rPr>
                <w:color w:val="58595B"/>
                <w:spacing w:val="-16"/>
                <w:sz w:val="18"/>
              </w:rPr>
              <w:t xml:space="preserve"> </w:t>
            </w:r>
            <w:r>
              <w:rPr>
                <w:color w:val="58595B"/>
                <w:sz w:val="18"/>
              </w:rPr>
              <w:t>national</w:t>
            </w:r>
            <w:r>
              <w:rPr>
                <w:color w:val="58595B"/>
                <w:spacing w:val="-16"/>
                <w:sz w:val="18"/>
              </w:rPr>
              <w:t xml:space="preserve"> </w:t>
            </w:r>
            <w:r>
              <w:rPr>
                <w:color w:val="58595B"/>
                <w:sz w:val="18"/>
              </w:rPr>
              <w:t>processes</w:t>
            </w:r>
            <w:r>
              <w:rPr>
                <w:color w:val="58595B"/>
                <w:spacing w:val="-16"/>
                <w:sz w:val="18"/>
              </w:rPr>
              <w:t xml:space="preserve"> </w:t>
            </w:r>
            <w:r>
              <w:rPr>
                <w:color w:val="58595B"/>
                <w:sz w:val="18"/>
              </w:rPr>
              <w:t>to strengthen</w:t>
            </w:r>
            <w:r>
              <w:rPr>
                <w:color w:val="58595B"/>
                <w:spacing w:val="-20"/>
                <w:sz w:val="18"/>
              </w:rPr>
              <w:t xml:space="preserve"> </w:t>
            </w:r>
            <w:r>
              <w:rPr>
                <w:color w:val="58595B"/>
                <w:sz w:val="18"/>
              </w:rPr>
              <w:t>standards</w:t>
            </w:r>
            <w:r>
              <w:rPr>
                <w:color w:val="58595B"/>
                <w:spacing w:val="-20"/>
                <w:sz w:val="18"/>
              </w:rPr>
              <w:t xml:space="preserve"> </w:t>
            </w:r>
            <w:r>
              <w:rPr>
                <w:color w:val="58595B"/>
                <w:sz w:val="18"/>
              </w:rPr>
              <w:t>and</w:t>
            </w:r>
            <w:r>
              <w:rPr>
                <w:color w:val="58595B"/>
                <w:spacing w:val="-20"/>
                <w:sz w:val="18"/>
              </w:rPr>
              <w:t xml:space="preserve"> </w:t>
            </w:r>
            <w:r>
              <w:rPr>
                <w:color w:val="58595B"/>
                <w:sz w:val="18"/>
              </w:rPr>
              <w:t>protocols for</w:t>
            </w:r>
            <w:r>
              <w:rPr>
                <w:color w:val="58595B"/>
                <w:spacing w:val="-11"/>
                <w:sz w:val="18"/>
              </w:rPr>
              <w:t xml:space="preserve"> </w:t>
            </w:r>
            <w:r>
              <w:rPr>
                <w:color w:val="58595B"/>
                <w:sz w:val="18"/>
              </w:rPr>
              <w:t>new</w:t>
            </w:r>
            <w:r>
              <w:rPr>
                <w:color w:val="58595B"/>
                <w:spacing w:val="-11"/>
                <w:sz w:val="18"/>
              </w:rPr>
              <w:t xml:space="preserve"> </w:t>
            </w:r>
            <w:r>
              <w:rPr>
                <w:color w:val="58595B"/>
                <w:sz w:val="18"/>
              </w:rPr>
              <w:t>chemicals</w:t>
            </w:r>
            <w:r>
              <w:rPr>
                <w:color w:val="58595B"/>
                <w:spacing w:val="-11"/>
                <w:sz w:val="18"/>
              </w:rPr>
              <w:t xml:space="preserve"> </w:t>
            </w:r>
            <w:r>
              <w:rPr>
                <w:color w:val="58595B"/>
                <w:spacing w:val="-3"/>
                <w:sz w:val="18"/>
              </w:rPr>
              <w:t>(chapter</w:t>
            </w:r>
            <w:r>
              <w:rPr>
                <w:color w:val="58595B"/>
                <w:spacing w:val="-11"/>
                <w:sz w:val="18"/>
              </w:rPr>
              <w:t xml:space="preserve"> </w:t>
            </w:r>
            <w:r>
              <w:rPr>
                <w:color w:val="58595B"/>
                <w:spacing w:val="-4"/>
                <w:sz w:val="18"/>
              </w:rPr>
              <w:t>6).</w:t>
            </w:r>
          </w:p>
          <w:p w14:paraId="3E535188" w14:textId="77777777" w:rsidR="00160E7F" w:rsidRDefault="00160E7F">
            <w:pPr>
              <w:pStyle w:val="TableParagraph"/>
              <w:spacing w:before="10"/>
              <w:rPr>
                <w:sz w:val="14"/>
              </w:rPr>
            </w:pPr>
          </w:p>
          <w:p w14:paraId="1D6B919F" w14:textId="77777777" w:rsidR="00160E7F" w:rsidRDefault="002B0299">
            <w:pPr>
              <w:pStyle w:val="TableParagraph"/>
              <w:spacing w:before="0" w:line="254" w:lineRule="auto"/>
              <w:ind w:left="70" w:right="493"/>
              <w:jc w:val="both"/>
              <w:rPr>
                <w:sz w:val="18"/>
              </w:rPr>
            </w:pPr>
            <w:r>
              <w:rPr>
                <w:color w:val="58595B"/>
                <w:sz w:val="18"/>
              </w:rPr>
              <w:t>A</w:t>
            </w:r>
            <w:r>
              <w:rPr>
                <w:color w:val="58595B"/>
                <w:spacing w:val="-11"/>
                <w:sz w:val="18"/>
              </w:rPr>
              <w:t xml:space="preserve"> </w:t>
            </w:r>
            <w:r>
              <w:rPr>
                <w:color w:val="58595B"/>
                <w:sz w:val="18"/>
              </w:rPr>
              <w:t>general</w:t>
            </w:r>
            <w:r>
              <w:rPr>
                <w:color w:val="58595B"/>
                <w:spacing w:val="-11"/>
                <w:sz w:val="18"/>
              </w:rPr>
              <w:t xml:space="preserve"> </w:t>
            </w:r>
            <w:r>
              <w:rPr>
                <w:color w:val="58595B"/>
                <w:sz w:val="18"/>
              </w:rPr>
              <w:t>duty</w:t>
            </w:r>
            <w:r>
              <w:rPr>
                <w:color w:val="58595B"/>
                <w:spacing w:val="-11"/>
                <w:sz w:val="18"/>
              </w:rPr>
              <w:t xml:space="preserve"> </w:t>
            </w:r>
            <w:r>
              <w:rPr>
                <w:color w:val="58595B"/>
                <w:sz w:val="18"/>
              </w:rPr>
              <w:t>will</w:t>
            </w:r>
            <w:r>
              <w:rPr>
                <w:color w:val="58595B"/>
                <w:spacing w:val="-11"/>
                <w:sz w:val="18"/>
              </w:rPr>
              <w:t xml:space="preserve"> </w:t>
            </w:r>
            <w:r>
              <w:rPr>
                <w:color w:val="58595B"/>
                <w:spacing w:val="-3"/>
                <w:sz w:val="18"/>
              </w:rPr>
              <w:t>deliver</w:t>
            </w:r>
            <w:r>
              <w:rPr>
                <w:color w:val="58595B"/>
                <w:spacing w:val="-11"/>
                <w:sz w:val="18"/>
              </w:rPr>
              <w:t xml:space="preserve"> </w:t>
            </w:r>
            <w:r>
              <w:rPr>
                <w:color w:val="58595B"/>
                <w:sz w:val="18"/>
              </w:rPr>
              <w:t>a</w:t>
            </w:r>
            <w:r>
              <w:rPr>
                <w:color w:val="58595B"/>
                <w:spacing w:val="-11"/>
                <w:sz w:val="18"/>
              </w:rPr>
              <w:t xml:space="preserve"> </w:t>
            </w:r>
            <w:r>
              <w:rPr>
                <w:color w:val="58595B"/>
                <w:sz w:val="18"/>
              </w:rPr>
              <w:t>stronger message</w:t>
            </w:r>
            <w:r>
              <w:rPr>
                <w:color w:val="58595B"/>
                <w:spacing w:val="-15"/>
                <w:sz w:val="18"/>
              </w:rPr>
              <w:t xml:space="preserve"> </w:t>
            </w:r>
            <w:r>
              <w:rPr>
                <w:color w:val="58595B"/>
                <w:sz w:val="18"/>
              </w:rPr>
              <w:t>to</w:t>
            </w:r>
            <w:r>
              <w:rPr>
                <w:color w:val="58595B"/>
                <w:spacing w:val="-15"/>
                <w:sz w:val="18"/>
              </w:rPr>
              <w:t xml:space="preserve"> </w:t>
            </w:r>
            <w:r>
              <w:rPr>
                <w:color w:val="58595B"/>
                <w:sz w:val="18"/>
              </w:rPr>
              <w:t>small</w:t>
            </w:r>
            <w:r>
              <w:rPr>
                <w:color w:val="58595B"/>
                <w:spacing w:val="-15"/>
                <w:sz w:val="18"/>
              </w:rPr>
              <w:t xml:space="preserve"> </w:t>
            </w:r>
            <w:r>
              <w:rPr>
                <w:color w:val="58595B"/>
                <w:sz w:val="18"/>
              </w:rPr>
              <w:t>and</w:t>
            </w:r>
            <w:r>
              <w:rPr>
                <w:color w:val="58595B"/>
                <w:spacing w:val="-15"/>
                <w:sz w:val="18"/>
              </w:rPr>
              <w:t xml:space="preserve"> </w:t>
            </w:r>
            <w:r>
              <w:rPr>
                <w:color w:val="58595B"/>
                <w:sz w:val="18"/>
              </w:rPr>
              <w:t>medium</w:t>
            </w:r>
            <w:r>
              <w:rPr>
                <w:color w:val="58595B"/>
                <w:spacing w:val="-15"/>
                <w:sz w:val="18"/>
              </w:rPr>
              <w:t xml:space="preserve"> </w:t>
            </w:r>
            <w:r>
              <w:rPr>
                <w:color w:val="58595B"/>
                <w:sz w:val="18"/>
              </w:rPr>
              <w:t>sized businesses</w:t>
            </w:r>
            <w:r>
              <w:rPr>
                <w:color w:val="58595B"/>
                <w:spacing w:val="-22"/>
                <w:sz w:val="18"/>
              </w:rPr>
              <w:t xml:space="preserve"> </w:t>
            </w:r>
            <w:r>
              <w:rPr>
                <w:color w:val="58595B"/>
                <w:sz w:val="18"/>
              </w:rPr>
              <w:t>about</w:t>
            </w:r>
            <w:r>
              <w:rPr>
                <w:color w:val="58595B"/>
                <w:spacing w:val="-22"/>
                <w:sz w:val="18"/>
              </w:rPr>
              <w:t xml:space="preserve"> </w:t>
            </w:r>
            <w:r>
              <w:rPr>
                <w:color w:val="58595B"/>
                <w:sz w:val="18"/>
              </w:rPr>
              <w:t>their</w:t>
            </w:r>
            <w:r>
              <w:rPr>
                <w:color w:val="58595B"/>
                <w:spacing w:val="-22"/>
                <w:sz w:val="18"/>
              </w:rPr>
              <w:t xml:space="preserve"> </w:t>
            </w:r>
            <w:r>
              <w:rPr>
                <w:color w:val="58595B"/>
                <w:sz w:val="18"/>
              </w:rPr>
              <w:t>obligations</w:t>
            </w:r>
          </w:p>
          <w:p w14:paraId="42BE319D" w14:textId="77777777" w:rsidR="00160E7F" w:rsidRDefault="002B0299">
            <w:pPr>
              <w:pStyle w:val="TableParagraph"/>
              <w:spacing w:before="1" w:line="254" w:lineRule="auto"/>
              <w:ind w:left="70" w:right="62"/>
              <w:rPr>
                <w:sz w:val="18"/>
              </w:rPr>
            </w:pPr>
            <w:r>
              <w:rPr>
                <w:color w:val="58595B"/>
                <w:sz w:val="18"/>
              </w:rPr>
              <w:t>for safely handling, storing and disposing all chemicals (chapter 12).</w:t>
            </w:r>
          </w:p>
        </w:tc>
      </w:tr>
    </w:tbl>
    <w:p w14:paraId="409F1F98" w14:textId="77777777" w:rsidR="00160E7F" w:rsidRDefault="00160E7F">
      <w:pPr>
        <w:spacing w:line="254" w:lineRule="auto"/>
        <w:rPr>
          <w:sz w:val="18"/>
        </w:rPr>
        <w:sectPr w:rsidR="00160E7F">
          <w:pgSz w:w="11910" w:h="16840"/>
          <w:pgMar w:top="980" w:right="0" w:bottom="280" w:left="1680" w:header="788" w:footer="0" w:gutter="0"/>
          <w:cols w:space="720"/>
        </w:sectPr>
      </w:pPr>
    </w:p>
    <w:p w14:paraId="338BF1B2" w14:textId="77777777" w:rsidR="00160E7F" w:rsidRDefault="00160E7F">
      <w:pPr>
        <w:pStyle w:val="BodyText"/>
        <w:rPr>
          <w:rFonts w:ascii="Times New Roman"/>
        </w:rPr>
      </w:pPr>
    </w:p>
    <w:p w14:paraId="1AC40D96" w14:textId="77777777" w:rsidR="00160E7F" w:rsidRDefault="00160E7F">
      <w:pPr>
        <w:pStyle w:val="BodyText"/>
        <w:rPr>
          <w:rFonts w:ascii="Times New Roman"/>
        </w:rPr>
      </w:pPr>
    </w:p>
    <w:p w14:paraId="6E49F7C0" w14:textId="77777777" w:rsidR="00160E7F" w:rsidRDefault="00160E7F">
      <w:pPr>
        <w:pStyle w:val="BodyText"/>
        <w:rPr>
          <w:rFonts w:ascii="Times New Roman"/>
        </w:rPr>
      </w:pPr>
    </w:p>
    <w:p w14:paraId="26B26CCC" w14:textId="77777777" w:rsidR="00160E7F" w:rsidRDefault="00160E7F">
      <w:pPr>
        <w:pStyle w:val="BodyText"/>
        <w:rPr>
          <w:rFonts w:ascii="Times New Roman"/>
        </w:rPr>
      </w:pPr>
    </w:p>
    <w:p w14:paraId="2604A541" w14:textId="77777777" w:rsidR="00160E7F" w:rsidRDefault="00160E7F">
      <w:pPr>
        <w:pStyle w:val="BodyText"/>
        <w:spacing w:before="4" w:after="1"/>
        <w:rPr>
          <w:rFonts w:ascii="Times New Roman"/>
          <w:sz w:val="21"/>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848"/>
        <w:gridCol w:w="3413"/>
        <w:gridCol w:w="3413"/>
      </w:tblGrid>
      <w:tr w:rsidR="00160E7F" w14:paraId="5AF5E7CD" w14:textId="77777777">
        <w:trPr>
          <w:trHeight w:hRule="exact" w:val="358"/>
        </w:trPr>
        <w:tc>
          <w:tcPr>
            <w:tcW w:w="1848" w:type="dxa"/>
            <w:shd w:val="clear" w:color="auto" w:fill="89BFCB"/>
          </w:tcPr>
          <w:p w14:paraId="1B446B9C" w14:textId="77777777" w:rsidR="00160E7F" w:rsidRDefault="002B0299">
            <w:pPr>
              <w:pStyle w:val="TableParagraph"/>
              <w:spacing w:before="75"/>
              <w:ind w:left="56"/>
              <w:rPr>
                <w:sz w:val="18"/>
              </w:rPr>
            </w:pPr>
            <w:r>
              <w:rPr>
                <w:color w:val="FFFFFF"/>
                <w:sz w:val="18"/>
              </w:rPr>
              <w:t>Public health issue</w:t>
            </w:r>
          </w:p>
        </w:tc>
        <w:tc>
          <w:tcPr>
            <w:tcW w:w="3413" w:type="dxa"/>
            <w:shd w:val="clear" w:color="auto" w:fill="89BFCB"/>
          </w:tcPr>
          <w:p w14:paraId="2AE0ED9B" w14:textId="77777777" w:rsidR="00160E7F" w:rsidRDefault="002B0299">
            <w:pPr>
              <w:pStyle w:val="TableParagraph"/>
              <w:spacing w:before="75"/>
              <w:ind w:left="79" w:right="141"/>
              <w:rPr>
                <w:sz w:val="18"/>
              </w:rPr>
            </w:pPr>
            <w:r>
              <w:rPr>
                <w:color w:val="FFFFFF"/>
                <w:sz w:val="18"/>
              </w:rPr>
              <w:t>Problem</w:t>
            </w:r>
          </w:p>
        </w:tc>
        <w:tc>
          <w:tcPr>
            <w:tcW w:w="3413" w:type="dxa"/>
            <w:shd w:val="clear" w:color="auto" w:fill="89BFCB"/>
          </w:tcPr>
          <w:p w14:paraId="1208140D" w14:textId="77777777" w:rsidR="00160E7F" w:rsidRDefault="002B0299">
            <w:pPr>
              <w:pStyle w:val="TableParagraph"/>
              <w:spacing w:before="75"/>
              <w:ind w:left="68" w:right="583"/>
              <w:rPr>
                <w:sz w:val="18"/>
              </w:rPr>
            </w:pPr>
            <w:r>
              <w:rPr>
                <w:color w:val="FFFFFF"/>
                <w:sz w:val="18"/>
              </w:rPr>
              <w:t>Enhancing EPA’s response</w:t>
            </w:r>
          </w:p>
        </w:tc>
      </w:tr>
      <w:tr w:rsidR="00160E7F" w14:paraId="2057E3C8" w14:textId="77777777">
        <w:trPr>
          <w:trHeight w:hRule="exact" w:val="3279"/>
        </w:trPr>
        <w:tc>
          <w:tcPr>
            <w:tcW w:w="1848" w:type="dxa"/>
            <w:tcBorders>
              <w:bottom w:val="single" w:sz="2" w:space="0" w:color="939598"/>
            </w:tcBorders>
          </w:tcPr>
          <w:p w14:paraId="26CA7C57" w14:textId="77777777" w:rsidR="00160E7F" w:rsidRDefault="002B0299">
            <w:pPr>
              <w:pStyle w:val="TableParagraph"/>
              <w:spacing w:line="254" w:lineRule="auto"/>
              <w:ind w:left="56"/>
              <w:rPr>
                <w:b/>
                <w:sz w:val="18"/>
              </w:rPr>
            </w:pPr>
            <w:r>
              <w:rPr>
                <w:b/>
                <w:color w:val="58595B"/>
                <w:sz w:val="18"/>
              </w:rPr>
              <w:t>Prevention of site contamination</w:t>
            </w:r>
          </w:p>
        </w:tc>
        <w:tc>
          <w:tcPr>
            <w:tcW w:w="3413" w:type="dxa"/>
            <w:tcBorders>
              <w:bottom w:val="single" w:sz="2" w:space="0" w:color="939598"/>
            </w:tcBorders>
          </w:tcPr>
          <w:p w14:paraId="4110D96A" w14:textId="77777777" w:rsidR="00160E7F" w:rsidRDefault="002B0299">
            <w:pPr>
              <w:pStyle w:val="TableParagraph"/>
              <w:spacing w:line="254" w:lineRule="auto"/>
              <w:ind w:left="79" w:right="141"/>
              <w:rPr>
                <w:sz w:val="18"/>
              </w:rPr>
            </w:pPr>
            <w:r>
              <w:rPr>
                <w:color w:val="58595B"/>
                <w:sz w:val="18"/>
              </w:rPr>
              <w:t>Smaller, unlicensed businesses are not currently required to report pollution incidents. They often go unmanaged and leave enduring impacts on soil</w:t>
            </w:r>
          </w:p>
          <w:p w14:paraId="3E71A01C" w14:textId="77777777" w:rsidR="00160E7F" w:rsidRDefault="002B0299">
            <w:pPr>
              <w:pStyle w:val="TableParagraph"/>
              <w:spacing w:before="1"/>
              <w:ind w:left="79" w:right="141"/>
              <w:rPr>
                <w:sz w:val="18"/>
              </w:rPr>
            </w:pPr>
            <w:r>
              <w:rPr>
                <w:color w:val="58595B"/>
                <w:sz w:val="18"/>
              </w:rPr>
              <w:t>and groundwater.</w:t>
            </w:r>
          </w:p>
          <w:p w14:paraId="28181B87" w14:textId="77777777" w:rsidR="00160E7F" w:rsidRDefault="00160E7F">
            <w:pPr>
              <w:pStyle w:val="TableParagraph"/>
              <w:spacing w:before="10"/>
              <w:rPr>
                <w:rFonts w:ascii="Times New Roman"/>
                <w:sz w:val="15"/>
              </w:rPr>
            </w:pPr>
          </w:p>
          <w:p w14:paraId="3FE4DD37" w14:textId="77777777" w:rsidR="00160E7F" w:rsidRDefault="002B0299">
            <w:pPr>
              <w:pStyle w:val="TableParagraph"/>
              <w:spacing w:before="0" w:line="254" w:lineRule="auto"/>
              <w:ind w:left="79" w:right="141"/>
              <w:rPr>
                <w:sz w:val="18"/>
              </w:rPr>
            </w:pPr>
            <w:r>
              <w:rPr>
                <w:color w:val="58595B"/>
                <w:sz w:val="18"/>
              </w:rPr>
              <w:t>Smaller polluters have a significant cumulative impact on the environment and create ‘new’ legacy problems.</w:t>
            </w:r>
          </w:p>
          <w:p w14:paraId="4A075248" w14:textId="77777777" w:rsidR="00160E7F" w:rsidRDefault="00160E7F">
            <w:pPr>
              <w:pStyle w:val="TableParagraph"/>
              <w:spacing w:before="10"/>
              <w:rPr>
                <w:rFonts w:ascii="Times New Roman"/>
                <w:sz w:val="14"/>
              </w:rPr>
            </w:pPr>
          </w:p>
          <w:p w14:paraId="15EC830E" w14:textId="77777777" w:rsidR="00160E7F" w:rsidRDefault="002B0299">
            <w:pPr>
              <w:pStyle w:val="TableParagraph"/>
              <w:spacing w:before="0" w:line="254" w:lineRule="auto"/>
              <w:ind w:left="79" w:right="141"/>
              <w:rPr>
                <w:sz w:val="18"/>
              </w:rPr>
            </w:pPr>
            <w:r>
              <w:rPr>
                <w:color w:val="58595B"/>
                <w:sz w:val="18"/>
              </w:rPr>
              <w:t>Awareness of the legacy impacts of current poor practices is low in the general community and the EPA lacks tools for driving compliance by smaller polluters.</w:t>
            </w:r>
          </w:p>
        </w:tc>
        <w:tc>
          <w:tcPr>
            <w:tcW w:w="3413" w:type="dxa"/>
            <w:tcBorders>
              <w:bottom w:val="single" w:sz="2" w:space="0" w:color="939598"/>
            </w:tcBorders>
          </w:tcPr>
          <w:p w14:paraId="2D6C5CF8" w14:textId="77777777" w:rsidR="00160E7F" w:rsidRDefault="002B0299">
            <w:pPr>
              <w:pStyle w:val="TableParagraph"/>
              <w:spacing w:line="254" w:lineRule="auto"/>
              <w:ind w:left="68" w:right="583"/>
              <w:rPr>
                <w:sz w:val="18"/>
              </w:rPr>
            </w:pPr>
            <w:r>
              <w:rPr>
                <w:color w:val="58595B"/>
                <w:sz w:val="18"/>
              </w:rPr>
              <w:t>Introduction of a general duty – and accompanying education and</w:t>
            </w:r>
          </w:p>
          <w:p w14:paraId="3137685E" w14:textId="77777777" w:rsidR="00160E7F" w:rsidRDefault="002B0299">
            <w:pPr>
              <w:pStyle w:val="TableParagraph"/>
              <w:spacing w:before="1" w:line="254" w:lineRule="auto"/>
              <w:ind w:left="68" w:right="203"/>
              <w:rPr>
                <w:sz w:val="18"/>
              </w:rPr>
            </w:pPr>
            <w:r>
              <w:rPr>
                <w:color w:val="58595B"/>
                <w:sz w:val="18"/>
              </w:rPr>
              <w:t>compliance activity – will strengthen prevention from diffuse sources and risks of pollution incidents (chapter 12).</w:t>
            </w:r>
          </w:p>
          <w:p w14:paraId="35ABA28F" w14:textId="77777777" w:rsidR="00160E7F" w:rsidRDefault="00160E7F">
            <w:pPr>
              <w:pStyle w:val="TableParagraph"/>
              <w:spacing w:before="10"/>
              <w:rPr>
                <w:rFonts w:ascii="Times New Roman"/>
                <w:sz w:val="14"/>
              </w:rPr>
            </w:pPr>
          </w:p>
          <w:p w14:paraId="14881B92" w14:textId="77777777" w:rsidR="00160E7F" w:rsidRDefault="002B0299">
            <w:pPr>
              <w:pStyle w:val="TableParagraph"/>
              <w:spacing w:before="0" w:line="254" w:lineRule="auto"/>
              <w:ind w:left="68" w:right="583"/>
              <w:rPr>
                <w:sz w:val="18"/>
              </w:rPr>
            </w:pPr>
            <w:r>
              <w:rPr>
                <w:color w:val="58595B"/>
                <w:sz w:val="18"/>
              </w:rPr>
              <w:t>Review and strengthen licence conditions (chapter 12).</w:t>
            </w:r>
          </w:p>
          <w:p w14:paraId="44967ECA" w14:textId="77777777" w:rsidR="00160E7F" w:rsidRDefault="00160E7F">
            <w:pPr>
              <w:pStyle w:val="TableParagraph"/>
              <w:spacing w:before="10"/>
              <w:rPr>
                <w:rFonts w:ascii="Times New Roman"/>
                <w:sz w:val="14"/>
              </w:rPr>
            </w:pPr>
          </w:p>
          <w:p w14:paraId="5C8AE18D" w14:textId="77777777" w:rsidR="00160E7F" w:rsidRDefault="002B0299">
            <w:pPr>
              <w:pStyle w:val="TableParagraph"/>
              <w:spacing w:before="0" w:line="254" w:lineRule="auto"/>
              <w:ind w:left="68" w:right="583"/>
              <w:rPr>
                <w:sz w:val="18"/>
              </w:rPr>
            </w:pPr>
            <w:r>
              <w:rPr>
                <w:color w:val="58595B"/>
                <w:sz w:val="18"/>
              </w:rPr>
              <w:t>Notification of pollution incidents (chapter 12).</w:t>
            </w:r>
          </w:p>
          <w:p w14:paraId="56FBB3B7" w14:textId="77777777" w:rsidR="00160E7F" w:rsidRDefault="00160E7F">
            <w:pPr>
              <w:pStyle w:val="TableParagraph"/>
              <w:spacing w:before="10"/>
              <w:rPr>
                <w:rFonts w:ascii="Times New Roman"/>
                <w:sz w:val="14"/>
              </w:rPr>
            </w:pPr>
          </w:p>
          <w:p w14:paraId="112A56FD" w14:textId="77777777" w:rsidR="00160E7F" w:rsidRDefault="002B0299">
            <w:pPr>
              <w:pStyle w:val="TableParagraph"/>
              <w:spacing w:before="0" w:line="254" w:lineRule="auto"/>
              <w:ind w:left="68" w:right="103"/>
              <w:rPr>
                <w:sz w:val="18"/>
              </w:rPr>
            </w:pPr>
            <w:r>
              <w:rPr>
                <w:color w:val="58595B"/>
                <w:sz w:val="18"/>
              </w:rPr>
              <w:t>Pollution incident planning to ameliorate the impacts of pollution incidents (chapter 12).</w:t>
            </w:r>
          </w:p>
        </w:tc>
      </w:tr>
      <w:tr w:rsidR="00160E7F" w14:paraId="390AD595" w14:textId="77777777">
        <w:trPr>
          <w:trHeight w:hRule="exact" w:val="7361"/>
        </w:trPr>
        <w:tc>
          <w:tcPr>
            <w:tcW w:w="1848" w:type="dxa"/>
            <w:tcBorders>
              <w:top w:val="single" w:sz="2" w:space="0" w:color="939598"/>
              <w:bottom w:val="single" w:sz="2" w:space="0" w:color="939598"/>
            </w:tcBorders>
          </w:tcPr>
          <w:p w14:paraId="66CA2826" w14:textId="77777777" w:rsidR="00160E7F" w:rsidRDefault="002B0299">
            <w:pPr>
              <w:pStyle w:val="TableParagraph"/>
              <w:spacing w:line="254" w:lineRule="auto"/>
              <w:ind w:left="56"/>
              <w:rPr>
                <w:b/>
                <w:sz w:val="18"/>
              </w:rPr>
            </w:pPr>
            <w:r>
              <w:rPr>
                <w:b/>
                <w:color w:val="58595B"/>
                <w:sz w:val="18"/>
              </w:rPr>
              <w:t>Management of site contamination</w:t>
            </w:r>
          </w:p>
        </w:tc>
        <w:tc>
          <w:tcPr>
            <w:tcW w:w="3413" w:type="dxa"/>
            <w:tcBorders>
              <w:top w:val="single" w:sz="2" w:space="0" w:color="939598"/>
              <w:bottom w:val="single" w:sz="2" w:space="0" w:color="939598"/>
            </w:tcBorders>
          </w:tcPr>
          <w:p w14:paraId="7473385B" w14:textId="77777777" w:rsidR="00160E7F" w:rsidRDefault="002B0299">
            <w:pPr>
              <w:pStyle w:val="TableParagraph"/>
              <w:spacing w:line="254" w:lineRule="auto"/>
              <w:ind w:left="79" w:right="109"/>
              <w:rPr>
                <w:sz w:val="18"/>
              </w:rPr>
            </w:pPr>
            <w:r>
              <w:rPr>
                <w:color w:val="58595B"/>
                <w:sz w:val="18"/>
              </w:rPr>
              <w:t>Planning and environmental regulation needs to be better integrated to address gaps and provide for more consistent, risk-based screening, assessment</w:t>
            </w:r>
          </w:p>
          <w:p w14:paraId="0345F33F" w14:textId="77777777" w:rsidR="00160E7F" w:rsidRDefault="002B0299">
            <w:pPr>
              <w:pStyle w:val="TableParagraph"/>
              <w:spacing w:before="1"/>
              <w:ind w:left="79" w:right="141"/>
              <w:rPr>
                <w:sz w:val="18"/>
              </w:rPr>
            </w:pPr>
            <w:r>
              <w:rPr>
                <w:color w:val="58595B"/>
                <w:sz w:val="18"/>
              </w:rPr>
              <w:t>and remediation.</w:t>
            </w:r>
          </w:p>
          <w:p w14:paraId="2D9178DA" w14:textId="77777777" w:rsidR="00160E7F" w:rsidRDefault="00160E7F">
            <w:pPr>
              <w:pStyle w:val="TableParagraph"/>
              <w:spacing w:before="10"/>
              <w:rPr>
                <w:rFonts w:ascii="Times New Roman"/>
                <w:sz w:val="15"/>
              </w:rPr>
            </w:pPr>
          </w:p>
          <w:p w14:paraId="40D6092E" w14:textId="77777777" w:rsidR="00160E7F" w:rsidRDefault="002B0299">
            <w:pPr>
              <w:pStyle w:val="TableParagraph"/>
              <w:spacing w:before="0" w:line="254" w:lineRule="auto"/>
              <w:ind w:left="79" w:right="1"/>
              <w:rPr>
                <w:sz w:val="18"/>
              </w:rPr>
            </w:pPr>
            <w:r>
              <w:rPr>
                <w:color w:val="58595B"/>
                <w:sz w:val="18"/>
              </w:rPr>
              <w:t>Victoria has no comprehensive information of where contamination risks are located to inform land use planning management systems.</w:t>
            </w:r>
          </w:p>
          <w:p w14:paraId="6E2B0D37" w14:textId="77777777" w:rsidR="00160E7F" w:rsidRDefault="00160E7F">
            <w:pPr>
              <w:pStyle w:val="TableParagraph"/>
              <w:spacing w:before="10"/>
              <w:rPr>
                <w:rFonts w:ascii="Times New Roman"/>
                <w:sz w:val="14"/>
              </w:rPr>
            </w:pPr>
          </w:p>
          <w:p w14:paraId="04A6D937" w14:textId="77777777" w:rsidR="00160E7F" w:rsidRDefault="002B0299">
            <w:pPr>
              <w:pStyle w:val="TableParagraph"/>
              <w:spacing w:before="0" w:line="254" w:lineRule="auto"/>
              <w:ind w:left="79" w:right="532"/>
              <w:rPr>
                <w:sz w:val="18"/>
              </w:rPr>
            </w:pPr>
            <w:r>
              <w:rPr>
                <w:color w:val="58595B"/>
                <w:sz w:val="18"/>
              </w:rPr>
              <w:t>Businesses and the community also seek information on potential contamination risk, to inform their</w:t>
            </w:r>
          </w:p>
          <w:p w14:paraId="0FE7CB8E" w14:textId="77777777" w:rsidR="00160E7F" w:rsidRDefault="002B0299">
            <w:pPr>
              <w:pStyle w:val="TableParagraph"/>
              <w:spacing w:before="1"/>
              <w:ind w:left="79" w:right="141"/>
              <w:rPr>
                <w:sz w:val="18"/>
              </w:rPr>
            </w:pPr>
            <w:r>
              <w:rPr>
                <w:color w:val="58595B"/>
                <w:sz w:val="18"/>
              </w:rPr>
              <w:t>decision making and risk management.</w:t>
            </w:r>
          </w:p>
          <w:p w14:paraId="4A78BF62" w14:textId="77777777" w:rsidR="00160E7F" w:rsidRDefault="00160E7F">
            <w:pPr>
              <w:pStyle w:val="TableParagraph"/>
              <w:spacing w:before="10"/>
              <w:rPr>
                <w:rFonts w:ascii="Times New Roman"/>
                <w:sz w:val="15"/>
              </w:rPr>
            </w:pPr>
          </w:p>
          <w:p w14:paraId="1552E04E" w14:textId="77777777" w:rsidR="00160E7F" w:rsidRDefault="002B0299">
            <w:pPr>
              <w:pStyle w:val="TableParagraph"/>
              <w:spacing w:before="0" w:line="254" w:lineRule="auto"/>
              <w:ind w:left="79" w:right="141"/>
              <w:rPr>
                <w:sz w:val="18"/>
              </w:rPr>
            </w:pPr>
            <w:r>
              <w:rPr>
                <w:color w:val="58595B"/>
                <w:sz w:val="18"/>
              </w:rPr>
              <w:t>Groundwater clean up is costly and unclear expectations for clean up (requiring clean up to the extent practicable) create uncertainty for landowners/investors and potential barriers to brownfield redevelopment.</w:t>
            </w:r>
          </w:p>
        </w:tc>
        <w:tc>
          <w:tcPr>
            <w:tcW w:w="3413" w:type="dxa"/>
            <w:tcBorders>
              <w:top w:val="single" w:sz="2" w:space="0" w:color="939598"/>
              <w:bottom w:val="single" w:sz="2" w:space="0" w:color="939598"/>
            </w:tcBorders>
          </w:tcPr>
          <w:p w14:paraId="2773D1AD" w14:textId="77777777" w:rsidR="00160E7F" w:rsidRDefault="002B0299">
            <w:pPr>
              <w:pStyle w:val="TableParagraph"/>
              <w:spacing w:line="254" w:lineRule="auto"/>
              <w:ind w:left="68" w:right="103"/>
              <w:rPr>
                <w:sz w:val="18"/>
              </w:rPr>
            </w:pPr>
            <w:r>
              <w:rPr>
                <w:color w:val="58595B"/>
                <w:sz w:val="18"/>
              </w:rPr>
              <w:t>Develop a statewide database of potentially contaminated sites to ensure that risk management mechanisms</w:t>
            </w:r>
          </w:p>
          <w:p w14:paraId="213F9C50" w14:textId="77777777" w:rsidR="00160E7F" w:rsidRDefault="002B0299">
            <w:pPr>
              <w:pStyle w:val="TableParagraph"/>
              <w:spacing w:before="1" w:line="254" w:lineRule="auto"/>
              <w:ind w:left="68" w:right="203"/>
              <w:rPr>
                <w:sz w:val="18"/>
              </w:rPr>
            </w:pPr>
            <w:r>
              <w:rPr>
                <w:color w:val="58595B"/>
                <w:sz w:val="18"/>
              </w:rPr>
              <w:t>in planning and environment systems can be effectively targeted. The database will also provide businesses, the community and local government with access to comprehensive risk information (chapter 14).</w:t>
            </w:r>
          </w:p>
          <w:p w14:paraId="205C60F6" w14:textId="77777777" w:rsidR="00160E7F" w:rsidRDefault="00160E7F">
            <w:pPr>
              <w:pStyle w:val="TableParagraph"/>
              <w:spacing w:before="10"/>
              <w:rPr>
                <w:rFonts w:ascii="Times New Roman"/>
                <w:sz w:val="14"/>
              </w:rPr>
            </w:pPr>
          </w:p>
          <w:p w14:paraId="1300842D" w14:textId="77777777" w:rsidR="00160E7F" w:rsidRDefault="002B0299">
            <w:pPr>
              <w:pStyle w:val="TableParagraph"/>
              <w:spacing w:before="0" w:line="254" w:lineRule="auto"/>
              <w:ind w:left="68" w:right="183"/>
              <w:rPr>
                <w:sz w:val="18"/>
              </w:rPr>
            </w:pPr>
            <w:r>
              <w:rPr>
                <w:color w:val="58595B"/>
                <w:sz w:val="18"/>
              </w:rPr>
              <w:t>Simplified policy settings based on the primacy of health protection with risk- based requirements for remediation will provide greater certainty for business and statutory decision makers. They will also provide the community with clear expectations on risk management (chapter</w:t>
            </w:r>
            <w:r>
              <w:rPr>
                <w:color w:val="58595B"/>
                <w:spacing w:val="-5"/>
                <w:sz w:val="18"/>
              </w:rPr>
              <w:t xml:space="preserve"> </w:t>
            </w:r>
            <w:r>
              <w:rPr>
                <w:color w:val="58595B"/>
                <w:spacing w:val="-4"/>
                <w:sz w:val="18"/>
              </w:rPr>
              <w:t>14).</w:t>
            </w:r>
          </w:p>
          <w:p w14:paraId="15DB7EC7" w14:textId="77777777" w:rsidR="00160E7F" w:rsidRDefault="00160E7F">
            <w:pPr>
              <w:pStyle w:val="TableParagraph"/>
              <w:spacing w:before="10"/>
              <w:rPr>
                <w:rFonts w:ascii="Times New Roman"/>
                <w:sz w:val="14"/>
              </w:rPr>
            </w:pPr>
          </w:p>
          <w:p w14:paraId="209B5643" w14:textId="77777777" w:rsidR="00160E7F" w:rsidRDefault="002B0299">
            <w:pPr>
              <w:pStyle w:val="TableParagraph"/>
              <w:spacing w:before="0" w:line="254" w:lineRule="auto"/>
              <w:ind w:left="68" w:right="203"/>
              <w:rPr>
                <w:sz w:val="18"/>
              </w:rPr>
            </w:pPr>
            <w:r>
              <w:rPr>
                <w:color w:val="58595B"/>
                <w:sz w:val="18"/>
              </w:rPr>
              <w:t>Proceed with an integrated reform process to deliver improved risk management and efficiencies in both the environment and planning systems (chapter 14).</w:t>
            </w:r>
          </w:p>
          <w:p w14:paraId="02490423" w14:textId="77777777" w:rsidR="00160E7F" w:rsidRDefault="00160E7F">
            <w:pPr>
              <w:pStyle w:val="TableParagraph"/>
              <w:spacing w:before="10"/>
              <w:rPr>
                <w:rFonts w:ascii="Times New Roman"/>
                <w:sz w:val="14"/>
              </w:rPr>
            </w:pPr>
          </w:p>
          <w:p w14:paraId="4630643E" w14:textId="77777777" w:rsidR="00160E7F" w:rsidRDefault="002B0299">
            <w:pPr>
              <w:pStyle w:val="TableParagraph"/>
              <w:spacing w:before="0" w:line="254" w:lineRule="auto"/>
              <w:ind w:left="68" w:right="303"/>
              <w:rPr>
                <w:sz w:val="18"/>
              </w:rPr>
            </w:pPr>
            <w:r>
              <w:rPr>
                <w:color w:val="58595B"/>
                <w:sz w:val="18"/>
              </w:rPr>
              <w:t>Introduce a fit-for-purpose instrument to manage post-closure risks, including assessing and remediating contaminated land (chapter 12).</w:t>
            </w:r>
          </w:p>
          <w:p w14:paraId="49827AD6" w14:textId="77777777" w:rsidR="00160E7F" w:rsidRDefault="00160E7F">
            <w:pPr>
              <w:pStyle w:val="TableParagraph"/>
              <w:spacing w:before="10"/>
              <w:rPr>
                <w:rFonts w:ascii="Times New Roman"/>
                <w:sz w:val="14"/>
              </w:rPr>
            </w:pPr>
          </w:p>
          <w:p w14:paraId="2DAF4C32" w14:textId="77777777" w:rsidR="00160E7F" w:rsidRDefault="002B0299">
            <w:pPr>
              <w:pStyle w:val="TableParagraph"/>
              <w:spacing w:before="0" w:line="254" w:lineRule="auto"/>
              <w:ind w:left="68" w:right="243"/>
              <w:rPr>
                <w:sz w:val="18"/>
              </w:rPr>
            </w:pPr>
            <w:r>
              <w:rPr>
                <w:color w:val="58595B"/>
                <w:sz w:val="18"/>
              </w:rPr>
              <w:t>The EPA’s strengthened capabilities in science and environmental health will enhance its capacity to scan for new and emerging risks (chapter 6).</w:t>
            </w:r>
          </w:p>
        </w:tc>
      </w:tr>
    </w:tbl>
    <w:p w14:paraId="6FB0908A" w14:textId="77777777" w:rsidR="00160E7F" w:rsidRDefault="00160E7F">
      <w:pPr>
        <w:spacing w:line="254" w:lineRule="auto"/>
        <w:rPr>
          <w:sz w:val="18"/>
        </w:rPr>
        <w:sectPr w:rsidR="00160E7F">
          <w:headerReference w:type="even" r:id="rId18"/>
          <w:headerReference w:type="default" r:id="rId19"/>
          <w:pgSz w:w="11910" w:h="16840"/>
          <w:pgMar w:top="980" w:right="1680" w:bottom="280" w:left="0" w:header="788" w:footer="0" w:gutter="0"/>
          <w:pgNumType w:start="212"/>
          <w:cols w:space="720"/>
        </w:sectPr>
      </w:pPr>
    </w:p>
    <w:p w14:paraId="63A5EF0C" w14:textId="77777777" w:rsidR="00160E7F" w:rsidRDefault="00160E7F">
      <w:pPr>
        <w:pStyle w:val="BodyText"/>
        <w:rPr>
          <w:rFonts w:ascii="Times New Roman"/>
        </w:rPr>
      </w:pPr>
    </w:p>
    <w:p w14:paraId="6FD0955E" w14:textId="77777777" w:rsidR="00160E7F" w:rsidRDefault="00160E7F">
      <w:pPr>
        <w:pStyle w:val="BodyText"/>
        <w:rPr>
          <w:rFonts w:ascii="Times New Roman"/>
        </w:rPr>
      </w:pPr>
    </w:p>
    <w:p w14:paraId="2FFF3A93" w14:textId="77777777" w:rsidR="00160E7F" w:rsidRDefault="00160E7F">
      <w:pPr>
        <w:pStyle w:val="BodyText"/>
        <w:rPr>
          <w:rFonts w:ascii="Times New Roman"/>
        </w:rPr>
      </w:pPr>
    </w:p>
    <w:p w14:paraId="6D76E3F4" w14:textId="77777777" w:rsidR="00160E7F" w:rsidRDefault="00160E7F">
      <w:pPr>
        <w:pStyle w:val="BodyText"/>
        <w:rPr>
          <w:rFonts w:ascii="Times New Roman"/>
        </w:rPr>
      </w:pPr>
    </w:p>
    <w:p w14:paraId="0513FD95" w14:textId="77777777" w:rsidR="00160E7F" w:rsidRDefault="00160E7F">
      <w:pPr>
        <w:pStyle w:val="BodyText"/>
        <w:spacing w:before="4" w:after="1"/>
        <w:rPr>
          <w:rFonts w:ascii="Times New Roman"/>
          <w:sz w:val="21"/>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750"/>
        <w:gridCol w:w="3457"/>
        <w:gridCol w:w="3467"/>
      </w:tblGrid>
      <w:tr w:rsidR="00160E7F" w14:paraId="7661BCA2" w14:textId="77777777">
        <w:trPr>
          <w:trHeight w:hRule="exact" w:val="358"/>
        </w:trPr>
        <w:tc>
          <w:tcPr>
            <w:tcW w:w="1750" w:type="dxa"/>
            <w:shd w:val="clear" w:color="auto" w:fill="89BFCB"/>
          </w:tcPr>
          <w:p w14:paraId="6AF3ED01" w14:textId="77777777" w:rsidR="00160E7F" w:rsidRDefault="002B0299">
            <w:pPr>
              <w:pStyle w:val="TableParagraph"/>
              <w:spacing w:before="75"/>
              <w:ind w:left="56" w:right="23"/>
              <w:rPr>
                <w:sz w:val="18"/>
              </w:rPr>
            </w:pPr>
            <w:r>
              <w:rPr>
                <w:color w:val="FFFFFF"/>
                <w:sz w:val="18"/>
              </w:rPr>
              <w:t>Public health issue</w:t>
            </w:r>
          </w:p>
        </w:tc>
        <w:tc>
          <w:tcPr>
            <w:tcW w:w="3457" w:type="dxa"/>
            <w:shd w:val="clear" w:color="auto" w:fill="89BFCB"/>
          </w:tcPr>
          <w:p w14:paraId="2AD84231" w14:textId="77777777" w:rsidR="00160E7F" w:rsidRDefault="002B0299">
            <w:pPr>
              <w:pStyle w:val="TableParagraph"/>
              <w:spacing w:before="75"/>
              <w:ind w:left="177" w:right="119"/>
              <w:rPr>
                <w:sz w:val="18"/>
              </w:rPr>
            </w:pPr>
            <w:r>
              <w:rPr>
                <w:color w:val="FFFFFF"/>
                <w:sz w:val="18"/>
              </w:rPr>
              <w:t>Problem</w:t>
            </w:r>
          </w:p>
        </w:tc>
        <w:tc>
          <w:tcPr>
            <w:tcW w:w="3467" w:type="dxa"/>
            <w:shd w:val="clear" w:color="auto" w:fill="89BFCB"/>
          </w:tcPr>
          <w:p w14:paraId="45700AF9" w14:textId="77777777" w:rsidR="00160E7F" w:rsidRDefault="002B0299">
            <w:pPr>
              <w:pStyle w:val="TableParagraph"/>
              <w:spacing w:before="75"/>
              <w:ind w:left="121" w:right="245"/>
              <w:rPr>
                <w:sz w:val="18"/>
              </w:rPr>
            </w:pPr>
            <w:r>
              <w:rPr>
                <w:color w:val="FFFFFF"/>
                <w:sz w:val="18"/>
              </w:rPr>
              <w:t>Enhancing EPA’s response</w:t>
            </w:r>
          </w:p>
        </w:tc>
      </w:tr>
      <w:tr w:rsidR="00160E7F" w14:paraId="74AAD0C2" w14:textId="77777777">
        <w:trPr>
          <w:trHeight w:hRule="exact" w:val="5379"/>
        </w:trPr>
        <w:tc>
          <w:tcPr>
            <w:tcW w:w="1750" w:type="dxa"/>
            <w:tcBorders>
              <w:bottom w:val="single" w:sz="2" w:space="0" w:color="939598"/>
            </w:tcBorders>
          </w:tcPr>
          <w:p w14:paraId="1E8E8C50" w14:textId="77777777" w:rsidR="00160E7F" w:rsidRDefault="002B0299">
            <w:pPr>
              <w:pStyle w:val="TableParagraph"/>
              <w:ind w:left="56" w:right="23"/>
              <w:rPr>
                <w:b/>
                <w:sz w:val="18"/>
              </w:rPr>
            </w:pPr>
            <w:r>
              <w:rPr>
                <w:b/>
                <w:color w:val="58595B"/>
                <w:sz w:val="18"/>
              </w:rPr>
              <w:t>Air quality</w:t>
            </w:r>
          </w:p>
        </w:tc>
        <w:tc>
          <w:tcPr>
            <w:tcW w:w="3457" w:type="dxa"/>
            <w:tcBorders>
              <w:bottom w:val="single" w:sz="2" w:space="0" w:color="939598"/>
            </w:tcBorders>
          </w:tcPr>
          <w:p w14:paraId="5DA99D78" w14:textId="77777777" w:rsidR="00160E7F" w:rsidRDefault="002B0299">
            <w:pPr>
              <w:pStyle w:val="TableParagraph"/>
              <w:spacing w:line="254" w:lineRule="auto"/>
              <w:ind w:left="177" w:right="119"/>
              <w:rPr>
                <w:sz w:val="18"/>
              </w:rPr>
            </w:pPr>
            <w:r>
              <w:rPr>
                <w:color w:val="58595B"/>
                <w:sz w:val="18"/>
              </w:rPr>
              <w:t>Population growth, transport and urban development pressures increase risks to air quality, which requires enhanced monitoring and regulatory vigilance.</w:t>
            </w:r>
          </w:p>
          <w:p w14:paraId="4F0AFE94" w14:textId="77777777" w:rsidR="00160E7F" w:rsidRDefault="00160E7F">
            <w:pPr>
              <w:pStyle w:val="TableParagraph"/>
              <w:spacing w:before="10"/>
              <w:rPr>
                <w:rFonts w:ascii="Times New Roman"/>
                <w:sz w:val="14"/>
              </w:rPr>
            </w:pPr>
          </w:p>
          <w:p w14:paraId="73D54283" w14:textId="77777777" w:rsidR="00160E7F" w:rsidRDefault="002B0299">
            <w:pPr>
              <w:pStyle w:val="TableParagraph"/>
              <w:spacing w:before="0" w:line="254" w:lineRule="auto"/>
              <w:ind w:left="177" w:right="119"/>
              <w:rPr>
                <w:sz w:val="18"/>
              </w:rPr>
            </w:pPr>
            <w:r>
              <w:rPr>
                <w:color w:val="58595B"/>
                <w:sz w:val="18"/>
              </w:rPr>
              <w:t>Air quality is influenced by a complex range of activities and the EPA has limited influence on many factors.</w:t>
            </w:r>
          </w:p>
          <w:p w14:paraId="5765981F" w14:textId="77777777" w:rsidR="00160E7F" w:rsidRDefault="00160E7F">
            <w:pPr>
              <w:pStyle w:val="TableParagraph"/>
              <w:spacing w:before="10"/>
              <w:rPr>
                <w:rFonts w:ascii="Times New Roman"/>
                <w:sz w:val="14"/>
              </w:rPr>
            </w:pPr>
          </w:p>
          <w:p w14:paraId="6F89B2E7" w14:textId="77777777" w:rsidR="00160E7F" w:rsidRDefault="002B0299">
            <w:pPr>
              <w:pStyle w:val="TableParagraph"/>
              <w:spacing w:before="0" w:line="254" w:lineRule="auto"/>
              <w:ind w:left="177" w:right="488"/>
              <w:rPr>
                <w:sz w:val="18"/>
              </w:rPr>
            </w:pPr>
            <w:r>
              <w:rPr>
                <w:color w:val="58595B"/>
                <w:sz w:val="18"/>
              </w:rPr>
              <w:t>Emergency events can have major impacts on air quality.</w:t>
            </w:r>
          </w:p>
        </w:tc>
        <w:tc>
          <w:tcPr>
            <w:tcW w:w="3467" w:type="dxa"/>
            <w:tcBorders>
              <w:bottom w:val="single" w:sz="2" w:space="0" w:color="939598"/>
            </w:tcBorders>
          </w:tcPr>
          <w:p w14:paraId="10A1395D" w14:textId="77777777" w:rsidR="00160E7F" w:rsidRDefault="002B0299">
            <w:pPr>
              <w:pStyle w:val="TableParagraph"/>
              <w:spacing w:line="254" w:lineRule="auto"/>
              <w:ind w:left="121" w:right="73"/>
              <w:rPr>
                <w:sz w:val="18"/>
              </w:rPr>
            </w:pPr>
            <w:r>
              <w:rPr>
                <w:color w:val="58595B"/>
                <w:sz w:val="18"/>
              </w:rPr>
              <w:t xml:space="preserve">Deploying the </w:t>
            </w:r>
            <w:r>
              <w:rPr>
                <w:color w:val="58595B"/>
                <w:spacing w:val="-5"/>
                <w:sz w:val="18"/>
              </w:rPr>
              <w:t xml:space="preserve">EPA’s </w:t>
            </w:r>
            <w:r>
              <w:rPr>
                <w:color w:val="58595B"/>
                <w:sz w:val="18"/>
              </w:rPr>
              <w:t>expertise to provide influential advice to government on risk trends and emerging issues that have the potential to adversely affect public health (chapter</w:t>
            </w:r>
            <w:r>
              <w:rPr>
                <w:color w:val="58595B"/>
                <w:spacing w:val="-6"/>
                <w:sz w:val="18"/>
              </w:rPr>
              <w:t xml:space="preserve"> </w:t>
            </w:r>
            <w:r>
              <w:rPr>
                <w:color w:val="58595B"/>
                <w:sz w:val="18"/>
              </w:rPr>
              <w:t>6).</w:t>
            </w:r>
          </w:p>
          <w:p w14:paraId="14225890" w14:textId="77777777" w:rsidR="00160E7F" w:rsidRDefault="00160E7F">
            <w:pPr>
              <w:pStyle w:val="TableParagraph"/>
              <w:spacing w:before="10"/>
              <w:rPr>
                <w:rFonts w:ascii="Times New Roman"/>
                <w:sz w:val="14"/>
              </w:rPr>
            </w:pPr>
          </w:p>
          <w:p w14:paraId="04AC5380" w14:textId="77777777" w:rsidR="00160E7F" w:rsidRDefault="002B0299">
            <w:pPr>
              <w:pStyle w:val="TableParagraph"/>
              <w:spacing w:before="0" w:line="254" w:lineRule="auto"/>
              <w:ind w:left="121" w:right="245"/>
              <w:rPr>
                <w:sz w:val="18"/>
              </w:rPr>
            </w:pPr>
            <w:r>
              <w:rPr>
                <w:color w:val="58595B"/>
                <w:sz w:val="18"/>
              </w:rPr>
              <w:t>Active engagement with national standard-setting processes to improve standards (chapter 6).</w:t>
            </w:r>
          </w:p>
          <w:p w14:paraId="620BF80A" w14:textId="77777777" w:rsidR="00160E7F" w:rsidRDefault="00160E7F">
            <w:pPr>
              <w:pStyle w:val="TableParagraph"/>
              <w:spacing w:before="10"/>
              <w:rPr>
                <w:rFonts w:ascii="Times New Roman"/>
                <w:sz w:val="14"/>
              </w:rPr>
            </w:pPr>
          </w:p>
          <w:p w14:paraId="00378DB9" w14:textId="77777777" w:rsidR="00160E7F" w:rsidRDefault="002B0299">
            <w:pPr>
              <w:pStyle w:val="TableParagraph"/>
              <w:spacing w:before="0" w:line="254" w:lineRule="auto"/>
              <w:ind w:left="121" w:right="43"/>
              <w:rPr>
                <w:sz w:val="18"/>
              </w:rPr>
            </w:pPr>
            <w:r>
              <w:rPr>
                <w:color w:val="58595B"/>
                <w:sz w:val="18"/>
              </w:rPr>
              <w:t>Assess the adequacy of the EPA’s air monitoring network and consider options to improve data sharing and accessibility and community communications</w:t>
            </w:r>
            <w:r>
              <w:rPr>
                <w:color w:val="58595B"/>
                <w:sz w:val="18"/>
              </w:rPr>
              <w:br/>
              <w:t>(chapter 6).</w:t>
            </w:r>
          </w:p>
          <w:p w14:paraId="6E44AFDF" w14:textId="77777777" w:rsidR="00160E7F" w:rsidRDefault="00160E7F">
            <w:pPr>
              <w:pStyle w:val="TableParagraph"/>
              <w:spacing w:before="10"/>
              <w:rPr>
                <w:rFonts w:ascii="Times New Roman"/>
                <w:sz w:val="14"/>
              </w:rPr>
            </w:pPr>
          </w:p>
          <w:p w14:paraId="5C1BEAA8" w14:textId="77777777" w:rsidR="00160E7F" w:rsidRDefault="002B0299">
            <w:pPr>
              <w:pStyle w:val="TableParagraph"/>
              <w:spacing w:before="0" w:line="254" w:lineRule="auto"/>
              <w:ind w:left="121" w:right="43"/>
              <w:rPr>
                <w:sz w:val="18"/>
              </w:rPr>
            </w:pPr>
            <w:r>
              <w:rPr>
                <w:color w:val="58595B"/>
                <w:sz w:val="18"/>
              </w:rPr>
              <w:t>General duty to strengthen prevention from diffuse sources, including through information and education influencing better practices across the community (chapter 12).</w:t>
            </w:r>
          </w:p>
          <w:p w14:paraId="360625CB" w14:textId="77777777" w:rsidR="00160E7F" w:rsidRDefault="00160E7F">
            <w:pPr>
              <w:pStyle w:val="TableParagraph"/>
              <w:spacing w:before="10"/>
              <w:rPr>
                <w:rFonts w:ascii="Times New Roman"/>
                <w:sz w:val="14"/>
              </w:rPr>
            </w:pPr>
          </w:p>
          <w:p w14:paraId="24E4B2C4" w14:textId="77777777" w:rsidR="00160E7F" w:rsidRDefault="002B0299">
            <w:pPr>
              <w:pStyle w:val="TableParagraph"/>
              <w:spacing w:before="0" w:line="254" w:lineRule="auto"/>
              <w:ind w:left="121" w:right="354"/>
              <w:rPr>
                <w:sz w:val="18"/>
              </w:rPr>
            </w:pPr>
            <w:r>
              <w:rPr>
                <w:color w:val="58595B"/>
                <w:sz w:val="18"/>
              </w:rPr>
              <w:t>Potential application of load-based licensing or tradeable permits (chapter 16).</w:t>
            </w:r>
          </w:p>
        </w:tc>
      </w:tr>
      <w:tr w:rsidR="00160E7F" w14:paraId="006E100D" w14:textId="77777777">
        <w:trPr>
          <w:trHeight w:hRule="exact" w:val="5601"/>
        </w:trPr>
        <w:tc>
          <w:tcPr>
            <w:tcW w:w="1750" w:type="dxa"/>
            <w:tcBorders>
              <w:top w:val="single" w:sz="2" w:space="0" w:color="939598"/>
              <w:bottom w:val="single" w:sz="2" w:space="0" w:color="939598"/>
            </w:tcBorders>
          </w:tcPr>
          <w:p w14:paraId="58178E39" w14:textId="77777777" w:rsidR="00160E7F" w:rsidRDefault="002B0299">
            <w:pPr>
              <w:pStyle w:val="TableParagraph"/>
              <w:ind w:left="56" w:right="23"/>
              <w:rPr>
                <w:b/>
                <w:sz w:val="18"/>
              </w:rPr>
            </w:pPr>
            <w:r>
              <w:rPr>
                <w:b/>
                <w:color w:val="58595B"/>
                <w:sz w:val="18"/>
              </w:rPr>
              <w:t>Water quality</w:t>
            </w:r>
          </w:p>
        </w:tc>
        <w:tc>
          <w:tcPr>
            <w:tcW w:w="3457" w:type="dxa"/>
            <w:tcBorders>
              <w:top w:val="single" w:sz="2" w:space="0" w:color="939598"/>
              <w:bottom w:val="single" w:sz="2" w:space="0" w:color="939598"/>
            </w:tcBorders>
          </w:tcPr>
          <w:p w14:paraId="1AB80257" w14:textId="77777777" w:rsidR="00160E7F" w:rsidRDefault="002B0299">
            <w:pPr>
              <w:pStyle w:val="TableParagraph"/>
              <w:spacing w:line="254" w:lineRule="auto"/>
              <w:ind w:left="177" w:right="119"/>
              <w:rPr>
                <w:sz w:val="18"/>
              </w:rPr>
            </w:pPr>
            <w:r>
              <w:rPr>
                <w:color w:val="58595B"/>
                <w:sz w:val="18"/>
              </w:rPr>
              <w:t>Water quality in waterways and bays is predominantly impacted by many small and diffuse sources that the EPA’s licensing regime does not cover.</w:t>
            </w:r>
          </w:p>
          <w:p w14:paraId="203E9115" w14:textId="77777777" w:rsidR="00160E7F" w:rsidRDefault="00160E7F">
            <w:pPr>
              <w:pStyle w:val="TableParagraph"/>
              <w:spacing w:before="10"/>
              <w:rPr>
                <w:rFonts w:ascii="Times New Roman"/>
                <w:sz w:val="14"/>
              </w:rPr>
            </w:pPr>
          </w:p>
          <w:p w14:paraId="1B50A56D" w14:textId="77777777" w:rsidR="00160E7F" w:rsidRDefault="002B0299">
            <w:pPr>
              <w:pStyle w:val="TableParagraph"/>
              <w:spacing w:before="0" w:line="254" w:lineRule="auto"/>
              <w:ind w:left="177" w:right="276"/>
              <w:rPr>
                <w:sz w:val="18"/>
              </w:rPr>
            </w:pPr>
            <w:r>
              <w:rPr>
                <w:color w:val="58595B"/>
                <w:sz w:val="18"/>
              </w:rPr>
              <w:t>Population growth and climate change are likely to exacerbate water quality</w:t>
            </w:r>
            <w:r>
              <w:rPr>
                <w:color w:val="58595B"/>
                <w:spacing w:val="10"/>
                <w:sz w:val="18"/>
              </w:rPr>
              <w:t xml:space="preserve"> </w:t>
            </w:r>
            <w:r>
              <w:rPr>
                <w:color w:val="58595B"/>
                <w:sz w:val="18"/>
              </w:rPr>
              <w:t>issues.</w:t>
            </w:r>
          </w:p>
          <w:p w14:paraId="7FE7156B" w14:textId="77777777" w:rsidR="00160E7F" w:rsidRDefault="00160E7F">
            <w:pPr>
              <w:pStyle w:val="TableParagraph"/>
              <w:spacing w:before="10"/>
              <w:rPr>
                <w:rFonts w:ascii="Times New Roman"/>
                <w:sz w:val="14"/>
              </w:rPr>
            </w:pPr>
          </w:p>
          <w:p w14:paraId="5F2DAD5E" w14:textId="77777777" w:rsidR="00160E7F" w:rsidRDefault="002B0299">
            <w:pPr>
              <w:pStyle w:val="TableParagraph"/>
              <w:spacing w:before="0" w:line="254" w:lineRule="auto"/>
              <w:ind w:left="177" w:right="348"/>
              <w:rPr>
                <w:sz w:val="18"/>
              </w:rPr>
            </w:pPr>
            <w:r>
              <w:rPr>
                <w:color w:val="58595B"/>
                <w:sz w:val="18"/>
              </w:rPr>
              <w:t>These sources of pollution need to be addressed through a wider range of tools, involving the EPA and other agencies.</w:t>
            </w:r>
          </w:p>
        </w:tc>
        <w:tc>
          <w:tcPr>
            <w:tcW w:w="3467" w:type="dxa"/>
            <w:tcBorders>
              <w:top w:val="single" w:sz="2" w:space="0" w:color="939598"/>
              <w:bottom w:val="single" w:sz="2" w:space="0" w:color="939598"/>
            </w:tcBorders>
          </w:tcPr>
          <w:p w14:paraId="7660E6F5" w14:textId="77777777" w:rsidR="00160E7F" w:rsidRDefault="002B0299">
            <w:pPr>
              <w:pStyle w:val="TableParagraph"/>
              <w:spacing w:line="254" w:lineRule="auto"/>
              <w:ind w:left="121" w:right="61"/>
              <w:jc w:val="both"/>
              <w:rPr>
                <w:sz w:val="18"/>
              </w:rPr>
            </w:pPr>
            <w:r>
              <w:rPr>
                <w:color w:val="58595B"/>
                <w:sz w:val="18"/>
              </w:rPr>
              <w:t>Assess the adequacy of the EPA’s water monitoring network and consider options to improve data sharing and accessibility and community communications.</w:t>
            </w:r>
          </w:p>
          <w:p w14:paraId="7E892FD9" w14:textId="77777777" w:rsidR="00160E7F" w:rsidRDefault="002B0299">
            <w:pPr>
              <w:pStyle w:val="TableParagraph"/>
              <w:spacing w:before="1"/>
              <w:ind w:left="121" w:right="245"/>
              <w:rPr>
                <w:sz w:val="18"/>
              </w:rPr>
            </w:pPr>
            <w:r>
              <w:rPr>
                <w:color w:val="58595B"/>
                <w:sz w:val="18"/>
              </w:rPr>
              <w:t>(chapter 6).</w:t>
            </w:r>
          </w:p>
          <w:p w14:paraId="6FFD98EE" w14:textId="77777777" w:rsidR="00160E7F" w:rsidRDefault="00160E7F">
            <w:pPr>
              <w:pStyle w:val="TableParagraph"/>
              <w:spacing w:before="10"/>
              <w:rPr>
                <w:rFonts w:ascii="Times New Roman"/>
                <w:sz w:val="15"/>
              </w:rPr>
            </w:pPr>
          </w:p>
          <w:p w14:paraId="6EE0E176" w14:textId="77777777" w:rsidR="00160E7F" w:rsidRDefault="002B0299">
            <w:pPr>
              <w:pStyle w:val="TableParagraph"/>
              <w:spacing w:before="0" w:line="254" w:lineRule="auto"/>
              <w:ind w:left="121" w:right="245"/>
              <w:rPr>
                <w:sz w:val="18"/>
              </w:rPr>
            </w:pPr>
            <w:r>
              <w:rPr>
                <w:color w:val="58595B"/>
                <w:sz w:val="18"/>
              </w:rPr>
              <w:t>Improved coordination across the environment portfolio to coordinate using tools to tackle diffuse water pollution (chapter 7).</w:t>
            </w:r>
          </w:p>
          <w:p w14:paraId="44366793" w14:textId="77777777" w:rsidR="00160E7F" w:rsidRDefault="00160E7F">
            <w:pPr>
              <w:pStyle w:val="TableParagraph"/>
              <w:spacing w:before="10"/>
              <w:rPr>
                <w:rFonts w:ascii="Times New Roman"/>
                <w:sz w:val="14"/>
              </w:rPr>
            </w:pPr>
          </w:p>
          <w:p w14:paraId="7630480B" w14:textId="77777777" w:rsidR="00160E7F" w:rsidRDefault="002B0299">
            <w:pPr>
              <w:pStyle w:val="TableParagraph"/>
              <w:spacing w:before="0" w:line="254" w:lineRule="auto"/>
              <w:ind w:left="121" w:right="245"/>
              <w:rPr>
                <w:sz w:val="18"/>
              </w:rPr>
            </w:pPr>
            <w:r>
              <w:rPr>
                <w:color w:val="58595B"/>
                <w:sz w:val="18"/>
              </w:rPr>
              <w:t>General duty to strengthen prevention from smaller and diffuse sources, including through information and education influencing better practices across the community (chapter 12).</w:t>
            </w:r>
          </w:p>
          <w:p w14:paraId="3548BF70" w14:textId="77777777" w:rsidR="00160E7F" w:rsidRDefault="00160E7F">
            <w:pPr>
              <w:pStyle w:val="TableParagraph"/>
              <w:spacing w:before="10"/>
              <w:rPr>
                <w:rFonts w:ascii="Times New Roman"/>
                <w:sz w:val="14"/>
              </w:rPr>
            </w:pPr>
          </w:p>
          <w:p w14:paraId="42E505D4" w14:textId="77777777" w:rsidR="00160E7F" w:rsidRDefault="002B0299">
            <w:pPr>
              <w:pStyle w:val="TableParagraph"/>
              <w:spacing w:before="0" w:line="254" w:lineRule="auto"/>
              <w:ind w:left="121" w:right="354"/>
              <w:rPr>
                <w:sz w:val="18"/>
              </w:rPr>
            </w:pPr>
            <w:r>
              <w:rPr>
                <w:color w:val="58595B"/>
                <w:sz w:val="18"/>
              </w:rPr>
              <w:t>Potential application of load-based licensing or tradeable permits (chapter 16).</w:t>
            </w:r>
          </w:p>
          <w:p w14:paraId="671D5D32" w14:textId="77777777" w:rsidR="00160E7F" w:rsidRDefault="00160E7F">
            <w:pPr>
              <w:pStyle w:val="TableParagraph"/>
              <w:spacing w:before="10"/>
              <w:rPr>
                <w:rFonts w:ascii="Times New Roman"/>
                <w:sz w:val="14"/>
              </w:rPr>
            </w:pPr>
          </w:p>
          <w:p w14:paraId="6C8D366E" w14:textId="77777777" w:rsidR="00160E7F" w:rsidRDefault="002B0299">
            <w:pPr>
              <w:pStyle w:val="TableParagraph"/>
              <w:spacing w:before="0" w:line="254" w:lineRule="auto"/>
              <w:ind w:left="121" w:right="43"/>
              <w:rPr>
                <w:sz w:val="18"/>
              </w:rPr>
            </w:pPr>
            <w:r>
              <w:rPr>
                <w:color w:val="58595B"/>
                <w:sz w:val="18"/>
              </w:rPr>
              <w:t>Dedicated local government environment protection officers in local governments will allow for more effective responses to pollution issues such as septic tanks (chapter 18).</w:t>
            </w:r>
          </w:p>
        </w:tc>
      </w:tr>
    </w:tbl>
    <w:p w14:paraId="196A8064" w14:textId="77777777" w:rsidR="00160E7F" w:rsidRDefault="00160E7F">
      <w:pPr>
        <w:spacing w:line="254" w:lineRule="auto"/>
        <w:rPr>
          <w:sz w:val="18"/>
        </w:rPr>
        <w:sectPr w:rsidR="00160E7F">
          <w:pgSz w:w="11910" w:h="16840"/>
          <w:pgMar w:top="980" w:right="0" w:bottom="280" w:left="1680" w:header="788" w:footer="0" w:gutter="0"/>
          <w:cols w:space="720"/>
        </w:sectPr>
      </w:pPr>
    </w:p>
    <w:p w14:paraId="25CC429D" w14:textId="77777777" w:rsidR="00160E7F" w:rsidRDefault="00160E7F">
      <w:pPr>
        <w:pStyle w:val="BodyText"/>
        <w:rPr>
          <w:rFonts w:ascii="Times New Roman"/>
        </w:rPr>
      </w:pPr>
    </w:p>
    <w:p w14:paraId="28244E8D" w14:textId="77777777" w:rsidR="00160E7F" w:rsidRDefault="00160E7F">
      <w:pPr>
        <w:pStyle w:val="BodyText"/>
        <w:rPr>
          <w:rFonts w:ascii="Times New Roman"/>
        </w:rPr>
      </w:pPr>
    </w:p>
    <w:p w14:paraId="13E63A53" w14:textId="77777777" w:rsidR="00160E7F" w:rsidRDefault="00160E7F">
      <w:pPr>
        <w:pStyle w:val="BodyText"/>
        <w:rPr>
          <w:rFonts w:ascii="Times New Roman"/>
        </w:rPr>
      </w:pPr>
    </w:p>
    <w:p w14:paraId="02583BBD" w14:textId="77777777" w:rsidR="00160E7F" w:rsidRDefault="00160E7F">
      <w:pPr>
        <w:pStyle w:val="BodyText"/>
        <w:rPr>
          <w:rFonts w:ascii="Times New Roman"/>
        </w:rPr>
      </w:pPr>
    </w:p>
    <w:p w14:paraId="0DF878A0" w14:textId="77777777" w:rsidR="00160E7F" w:rsidRDefault="00160E7F">
      <w:pPr>
        <w:pStyle w:val="BodyText"/>
        <w:spacing w:before="4"/>
        <w:rPr>
          <w:rFonts w:ascii="Times New Roman"/>
          <w:sz w:val="13"/>
        </w:rPr>
      </w:pPr>
    </w:p>
    <w:p w14:paraId="10383B61" w14:textId="77777777" w:rsidR="00160E7F" w:rsidRDefault="000638CB">
      <w:pPr>
        <w:pStyle w:val="BodyText"/>
        <w:spacing w:line="20" w:lineRule="exact"/>
        <w:ind w:left="1412"/>
        <w:rPr>
          <w:rFonts w:ascii="Times New Roman"/>
          <w:sz w:val="2"/>
        </w:rPr>
      </w:pPr>
      <w:r>
        <w:rPr>
          <w:rFonts w:ascii="Times New Roman"/>
          <w:sz w:val="2"/>
        </w:rPr>
      </w:r>
      <w:r>
        <w:rPr>
          <w:rFonts w:ascii="Times New Roman"/>
          <w:sz w:val="2"/>
        </w:rPr>
        <w:pict w14:anchorId="6F7484CE">
          <v:group id="_x0000_s1120" style="width:211.35pt;height:.5pt;mso-position-horizontal-relative:char;mso-position-vertical-relative:line" coordsize="4227,10">
            <v:line id="_x0000_s1121" style="position:absolute" from="5,5" to="4222,5" strokecolor="#58595b" strokeweight=".5pt"/>
            <w10:wrap type="none"/>
            <w10:anchorlock/>
          </v:group>
        </w:pict>
      </w:r>
    </w:p>
    <w:p w14:paraId="584AAF46" w14:textId="57F73DE9" w:rsidR="00160E7F" w:rsidRDefault="002B0299">
      <w:pPr>
        <w:pStyle w:val="ListParagraph"/>
        <w:numPr>
          <w:ilvl w:val="0"/>
          <w:numId w:val="45"/>
        </w:numPr>
        <w:tabs>
          <w:tab w:val="left" w:pos="1701"/>
        </w:tabs>
        <w:spacing w:before="47" w:line="242" w:lineRule="auto"/>
        <w:ind w:right="4805" w:hanging="283"/>
        <w:rPr>
          <w:sz w:val="12"/>
        </w:rPr>
      </w:pPr>
      <w:r>
        <w:rPr>
          <w:color w:val="58595B"/>
          <w:sz w:val="12"/>
        </w:rPr>
        <w:t xml:space="preserve">International </w:t>
      </w:r>
      <w:r>
        <w:rPr>
          <w:color w:val="58595B"/>
          <w:spacing w:val="2"/>
          <w:sz w:val="12"/>
        </w:rPr>
        <w:t xml:space="preserve">Monetary </w:t>
      </w:r>
      <w:r>
        <w:rPr>
          <w:color w:val="58595B"/>
          <w:sz w:val="12"/>
        </w:rPr>
        <w:t>Fund 2010,</w:t>
      </w:r>
      <w:r w:rsidR="00275C3A">
        <w:rPr>
          <w:color w:val="58595B"/>
          <w:sz w:val="12"/>
        </w:rPr>
        <w:t xml:space="preserve"> </w:t>
      </w:r>
      <w:r>
        <w:rPr>
          <w:i/>
          <w:color w:val="58595B"/>
          <w:sz w:val="12"/>
        </w:rPr>
        <w:t>The making of good supervision: learning to say ‘no’</w:t>
      </w:r>
      <w:r>
        <w:rPr>
          <w:color w:val="58595B"/>
          <w:sz w:val="12"/>
        </w:rPr>
        <w:t>, May, p.</w:t>
      </w:r>
      <w:r>
        <w:rPr>
          <w:color w:val="58595B"/>
          <w:spacing w:val="18"/>
          <w:sz w:val="12"/>
        </w:rPr>
        <w:t xml:space="preserve"> </w:t>
      </w:r>
      <w:r>
        <w:rPr>
          <w:color w:val="58595B"/>
          <w:sz w:val="12"/>
        </w:rPr>
        <w:t>15.</w:t>
      </w:r>
    </w:p>
    <w:p w14:paraId="4432E702" w14:textId="77777777" w:rsidR="00160E7F" w:rsidRDefault="002B0299">
      <w:pPr>
        <w:pStyle w:val="ListParagraph"/>
        <w:numPr>
          <w:ilvl w:val="0"/>
          <w:numId w:val="45"/>
        </w:numPr>
        <w:tabs>
          <w:tab w:val="left" w:pos="1701"/>
        </w:tabs>
        <w:spacing w:line="242" w:lineRule="auto"/>
        <w:ind w:right="4692" w:hanging="283"/>
        <w:rPr>
          <w:sz w:val="12"/>
        </w:rPr>
      </w:pPr>
      <w:r>
        <w:rPr>
          <w:color w:val="58595B"/>
          <w:sz w:val="12"/>
        </w:rPr>
        <w:t xml:space="preserve">Braithwaite J 2011, </w:t>
      </w:r>
      <w:r>
        <w:rPr>
          <w:i/>
          <w:color w:val="58595B"/>
          <w:sz w:val="12"/>
        </w:rPr>
        <w:t>The essence of responsive regulation</w:t>
      </w:r>
      <w:r>
        <w:rPr>
          <w:color w:val="58595B"/>
          <w:sz w:val="12"/>
        </w:rPr>
        <w:t xml:space="preserve">, Fasken Lecture delivered at the University of British Columbia, September, </w:t>
      </w:r>
      <w:r>
        <w:rPr>
          <w:color w:val="58595B"/>
          <w:spacing w:val="2"/>
          <w:sz w:val="12"/>
        </w:rPr>
        <w:t xml:space="preserve">44 </w:t>
      </w:r>
      <w:r>
        <w:rPr>
          <w:color w:val="58595B"/>
          <w:sz w:val="12"/>
        </w:rPr>
        <w:t>UBCL Review,</w:t>
      </w:r>
      <w:r>
        <w:rPr>
          <w:color w:val="58595B"/>
          <w:spacing w:val="10"/>
          <w:sz w:val="12"/>
        </w:rPr>
        <w:t xml:space="preserve"> </w:t>
      </w:r>
      <w:r>
        <w:rPr>
          <w:color w:val="58595B"/>
          <w:sz w:val="12"/>
        </w:rPr>
        <w:t>475.</w:t>
      </w:r>
    </w:p>
    <w:p w14:paraId="6FD52053" w14:textId="77777777" w:rsidR="00160E7F" w:rsidRDefault="002B0299">
      <w:pPr>
        <w:pStyle w:val="ListParagraph"/>
        <w:numPr>
          <w:ilvl w:val="0"/>
          <w:numId w:val="45"/>
        </w:numPr>
        <w:tabs>
          <w:tab w:val="left" w:pos="1701"/>
        </w:tabs>
        <w:spacing w:line="242" w:lineRule="auto"/>
        <w:ind w:right="4756" w:hanging="283"/>
        <w:rPr>
          <w:sz w:val="12"/>
        </w:rPr>
      </w:pPr>
      <w:r>
        <w:rPr>
          <w:color w:val="58595B"/>
          <w:spacing w:val="2"/>
          <w:sz w:val="12"/>
        </w:rPr>
        <w:t xml:space="preserve">Victorian </w:t>
      </w:r>
      <w:r>
        <w:rPr>
          <w:color w:val="58595B"/>
          <w:sz w:val="12"/>
        </w:rPr>
        <w:t xml:space="preserve">Competition and </w:t>
      </w:r>
      <w:r>
        <w:rPr>
          <w:color w:val="58595B"/>
          <w:spacing w:val="2"/>
          <w:sz w:val="12"/>
        </w:rPr>
        <w:t xml:space="preserve">Efficiency </w:t>
      </w:r>
      <w:r>
        <w:rPr>
          <w:color w:val="58595B"/>
          <w:sz w:val="12"/>
        </w:rPr>
        <w:t xml:space="preserve">Commission 2015, </w:t>
      </w:r>
      <w:r>
        <w:rPr>
          <w:i/>
          <w:color w:val="58595B"/>
          <w:spacing w:val="2"/>
          <w:sz w:val="12"/>
        </w:rPr>
        <w:t xml:space="preserve">Smart </w:t>
      </w:r>
      <w:r>
        <w:rPr>
          <w:i/>
          <w:color w:val="58595B"/>
          <w:sz w:val="12"/>
        </w:rPr>
        <w:t>regulation: grappling with risk</w:t>
      </w:r>
      <w:r>
        <w:rPr>
          <w:color w:val="58595B"/>
          <w:sz w:val="12"/>
        </w:rPr>
        <w:t xml:space="preserve">, </w:t>
      </w:r>
      <w:r>
        <w:rPr>
          <w:color w:val="58595B"/>
          <w:spacing w:val="2"/>
          <w:sz w:val="12"/>
        </w:rPr>
        <w:t xml:space="preserve">Supporting </w:t>
      </w:r>
      <w:r>
        <w:rPr>
          <w:color w:val="58595B"/>
          <w:sz w:val="12"/>
        </w:rPr>
        <w:t xml:space="preserve">paper, </w:t>
      </w:r>
      <w:r>
        <w:rPr>
          <w:color w:val="58595B"/>
          <w:spacing w:val="2"/>
          <w:sz w:val="12"/>
        </w:rPr>
        <w:t xml:space="preserve">April, </w:t>
      </w:r>
      <w:r>
        <w:rPr>
          <w:color w:val="58595B"/>
          <w:sz w:val="12"/>
        </w:rPr>
        <w:t xml:space="preserve">p. 33. Agencies need to be able to address the ‘political, practical and legal </w:t>
      </w:r>
      <w:r>
        <w:rPr>
          <w:color w:val="58595B"/>
          <w:spacing w:val="2"/>
          <w:sz w:val="12"/>
        </w:rPr>
        <w:t xml:space="preserve">consequences </w:t>
      </w:r>
      <w:r>
        <w:rPr>
          <w:color w:val="58595B"/>
          <w:spacing w:val="-4"/>
          <w:sz w:val="12"/>
        </w:rPr>
        <w:t xml:space="preserve">’… </w:t>
      </w:r>
      <w:r>
        <w:rPr>
          <w:color w:val="58595B"/>
          <w:sz w:val="12"/>
        </w:rPr>
        <w:t xml:space="preserve">when some risks are </w:t>
      </w:r>
      <w:r>
        <w:rPr>
          <w:color w:val="58595B"/>
          <w:spacing w:val="2"/>
          <w:sz w:val="12"/>
        </w:rPr>
        <w:t xml:space="preserve">prioritised </w:t>
      </w:r>
      <w:r>
        <w:rPr>
          <w:color w:val="58595B"/>
          <w:sz w:val="12"/>
        </w:rPr>
        <w:t xml:space="preserve">over others </w:t>
      </w:r>
      <w:r>
        <w:rPr>
          <w:color w:val="58595B"/>
          <w:spacing w:val="2"/>
          <w:sz w:val="12"/>
        </w:rPr>
        <w:t xml:space="preserve">and </w:t>
      </w:r>
      <w:r>
        <w:rPr>
          <w:color w:val="58595B"/>
          <w:sz w:val="12"/>
        </w:rPr>
        <w:t xml:space="preserve">something goes wrong: see Baldwin R and Black J </w:t>
      </w:r>
      <w:r>
        <w:rPr>
          <w:color w:val="58595B"/>
          <w:spacing w:val="2"/>
          <w:sz w:val="12"/>
        </w:rPr>
        <w:t xml:space="preserve">2008, </w:t>
      </w:r>
      <w:r>
        <w:rPr>
          <w:color w:val="58595B"/>
          <w:sz w:val="12"/>
        </w:rPr>
        <w:t xml:space="preserve">‘Really responsive regulation’, </w:t>
      </w:r>
      <w:r>
        <w:rPr>
          <w:i/>
          <w:color w:val="58595B"/>
          <w:spacing w:val="2"/>
          <w:sz w:val="12"/>
        </w:rPr>
        <w:t xml:space="preserve">Modern </w:t>
      </w:r>
      <w:r>
        <w:rPr>
          <w:i/>
          <w:color w:val="58595B"/>
          <w:sz w:val="12"/>
        </w:rPr>
        <w:t>Law Review</w:t>
      </w:r>
      <w:r>
        <w:rPr>
          <w:color w:val="58595B"/>
          <w:sz w:val="12"/>
        </w:rPr>
        <w:t>, vol. 71 no. 1, p.</w:t>
      </w:r>
      <w:r>
        <w:rPr>
          <w:color w:val="58595B"/>
          <w:spacing w:val="29"/>
          <w:sz w:val="12"/>
        </w:rPr>
        <w:t xml:space="preserve"> </w:t>
      </w:r>
      <w:r>
        <w:rPr>
          <w:color w:val="58595B"/>
          <w:spacing w:val="2"/>
          <w:sz w:val="12"/>
        </w:rPr>
        <w:t>66.</w:t>
      </w:r>
    </w:p>
    <w:p w14:paraId="5E45FFDE" w14:textId="77777777" w:rsidR="00160E7F" w:rsidRDefault="002B0299">
      <w:pPr>
        <w:pStyle w:val="ListParagraph"/>
        <w:numPr>
          <w:ilvl w:val="0"/>
          <w:numId w:val="45"/>
        </w:numPr>
        <w:tabs>
          <w:tab w:val="left" w:pos="1701"/>
        </w:tabs>
        <w:spacing w:line="242" w:lineRule="auto"/>
        <w:ind w:right="4790"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4"/>
          <w:sz w:val="12"/>
        </w:rPr>
        <w:t xml:space="preserve"> </w:t>
      </w:r>
      <w:r>
        <w:rPr>
          <w:color w:val="58595B"/>
          <w:sz w:val="12"/>
        </w:rPr>
        <w:t>43.</w:t>
      </w:r>
    </w:p>
    <w:p w14:paraId="3E75E142" w14:textId="77777777" w:rsidR="00160E7F" w:rsidRDefault="002B0299">
      <w:pPr>
        <w:pStyle w:val="ListParagraph"/>
        <w:numPr>
          <w:ilvl w:val="0"/>
          <w:numId w:val="45"/>
        </w:numPr>
        <w:tabs>
          <w:tab w:val="left" w:pos="1701"/>
        </w:tabs>
        <w:spacing w:line="242" w:lineRule="auto"/>
        <w:ind w:right="4998" w:hanging="283"/>
        <w:rPr>
          <w:sz w:val="12"/>
        </w:rPr>
      </w:pPr>
      <w:r>
        <w:rPr>
          <w:color w:val="58595B"/>
          <w:sz w:val="12"/>
        </w:rPr>
        <w:t xml:space="preserve">EPA </w:t>
      </w:r>
      <w:r>
        <w:rPr>
          <w:color w:val="58595B"/>
          <w:spacing w:val="2"/>
          <w:sz w:val="12"/>
        </w:rPr>
        <w:t xml:space="preserve">Victoria </w:t>
      </w:r>
      <w:r>
        <w:rPr>
          <w:color w:val="58595B"/>
          <w:sz w:val="12"/>
        </w:rPr>
        <w:t xml:space="preserve">2105, </w:t>
      </w:r>
      <w:r>
        <w:rPr>
          <w:i/>
          <w:color w:val="58595B"/>
          <w:sz w:val="12"/>
        </w:rPr>
        <w:t>Siting, design, operation and rehabilitation of landfills</w:t>
      </w:r>
      <w:r>
        <w:rPr>
          <w:color w:val="58595B"/>
          <w:sz w:val="12"/>
        </w:rPr>
        <w:t xml:space="preserve">, Publication </w:t>
      </w:r>
      <w:r>
        <w:rPr>
          <w:color w:val="58595B"/>
          <w:spacing w:val="2"/>
          <w:sz w:val="12"/>
        </w:rPr>
        <w:t xml:space="preserve">788.3, </w:t>
      </w:r>
      <w:r>
        <w:rPr>
          <w:color w:val="58595B"/>
          <w:sz w:val="12"/>
        </w:rPr>
        <w:t>Melbourne,</w:t>
      </w:r>
      <w:r>
        <w:rPr>
          <w:color w:val="58595B"/>
          <w:spacing w:val="1"/>
          <w:sz w:val="12"/>
        </w:rPr>
        <w:t xml:space="preserve"> </w:t>
      </w:r>
      <w:r>
        <w:rPr>
          <w:color w:val="58595B"/>
          <w:sz w:val="12"/>
        </w:rPr>
        <w:t>August.</w:t>
      </w:r>
    </w:p>
    <w:p w14:paraId="4B4F733F" w14:textId="77777777" w:rsidR="00160E7F" w:rsidRDefault="002B0299">
      <w:pPr>
        <w:pStyle w:val="ListParagraph"/>
        <w:numPr>
          <w:ilvl w:val="0"/>
          <w:numId w:val="45"/>
        </w:numPr>
        <w:tabs>
          <w:tab w:val="left" w:pos="1701"/>
        </w:tabs>
        <w:spacing w:line="242" w:lineRule="auto"/>
        <w:ind w:right="4601" w:hanging="283"/>
        <w:rPr>
          <w:sz w:val="12"/>
        </w:rPr>
      </w:pP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2014, </w:t>
      </w:r>
      <w:r>
        <w:rPr>
          <w:i/>
          <w:color w:val="58595B"/>
          <w:sz w:val="12"/>
        </w:rPr>
        <w:t>Managing landfills</w:t>
      </w:r>
      <w:r>
        <w:rPr>
          <w:color w:val="58595B"/>
          <w:sz w:val="12"/>
        </w:rPr>
        <w:t>, Melbourne, September, p.</w:t>
      </w:r>
      <w:r>
        <w:rPr>
          <w:color w:val="58595B"/>
          <w:spacing w:val="14"/>
          <w:sz w:val="12"/>
        </w:rPr>
        <w:t xml:space="preserve"> </w:t>
      </w:r>
      <w:r>
        <w:rPr>
          <w:color w:val="58595B"/>
          <w:sz w:val="12"/>
        </w:rPr>
        <w:t>44.</w:t>
      </w:r>
    </w:p>
    <w:p w14:paraId="420522A9" w14:textId="00F60EF8" w:rsidR="00160E7F" w:rsidRDefault="002B0299">
      <w:pPr>
        <w:pStyle w:val="ListParagraph"/>
        <w:numPr>
          <w:ilvl w:val="0"/>
          <w:numId w:val="45"/>
        </w:numPr>
        <w:tabs>
          <w:tab w:val="left" w:pos="1701"/>
        </w:tabs>
        <w:spacing w:line="242" w:lineRule="auto"/>
        <w:ind w:right="4642" w:hanging="283"/>
        <w:rPr>
          <w:sz w:val="12"/>
        </w:rPr>
      </w:pPr>
      <w:r>
        <w:rPr>
          <w:color w:val="58595B"/>
          <w:sz w:val="12"/>
        </w:rPr>
        <w:t xml:space="preserve">This growing </w:t>
      </w:r>
      <w:r>
        <w:rPr>
          <w:color w:val="58595B"/>
          <w:spacing w:val="2"/>
          <w:sz w:val="12"/>
        </w:rPr>
        <w:t xml:space="preserve">concern </w:t>
      </w:r>
      <w:r>
        <w:rPr>
          <w:color w:val="58595B"/>
          <w:sz w:val="12"/>
        </w:rPr>
        <w:t xml:space="preserve">is also acknowledged in the </w:t>
      </w:r>
      <w:r w:rsidR="008C43B8">
        <w:rPr>
          <w:i/>
          <w:color w:val="58595B"/>
          <w:sz w:val="12"/>
        </w:rPr>
        <w:t xml:space="preserve">Victorian Public </w:t>
      </w:r>
      <w:r>
        <w:rPr>
          <w:i/>
          <w:color w:val="58595B"/>
          <w:sz w:val="12"/>
        </w:rPr>
        <w:t>Health and Wellbeing Plan 2015 –19</w:t>
      </w:r>
      <w:r>
        <w:rPr>
          <w:color w:val="58595B"/>
          <w:sz w:val="12"/>
        </w:rPr>
        <w:t xml:space="preserve">, which </w:t>
      </w:r>
      <w:r>
        <w:rPr>
          <w:color w:val="58595B"/>
          <w:spacing w:val="2"/>
          <w:sz w:val="12"/>
        </w:rPr>
        <w:t xml:space="preserve">recognises </w:t>
      </w:r>
      <w:r>
        <w:rPr>
          <w:color w:val="58595B"/>
          <w:sz w:val="12"/>
        </w:rPr>
        <w:t>that:</w:t>
      </w:r>
      <w:r w:rsidR="008C43B8">
        <w:rPr>
          <w:color w:val="58595B"/>
          <w:sz w:val="12"/>
        </w:rPr>
        <w:t xml:space="preserve"> ‘ [p] rotecting health through </w:t>
      </w:r>
      <w:r>
        <w:rPr>
          <w:color w:val="58595B"/>
          <w:sz w:val="12"/>
        </w:rPr>
        <w:t xml:space="preserve">robust, </w:t>
      </w:r>
      <w:r>
        <w:rPr>
          <w:color w:val="58595B"/>
          <w:spacing w:val="2"/>
          <w:sz w:val="12"/>
        </w:rPr>
        <w:t xml:space="preserve">evidence-based </w:t>
      </w:r>
      <w:r>
        <w:rPr>
          <w:color w:val="58595B"/>
          <w:sz w:val="12"/>
        </w:rPr>
        <w:t xml:space="preserve">standards that </w:t>
      </w:r>
      <w:r>
        <w:rPr>
          <w:color w:val="58595B"/>
          <w:spacing w:val="2"/>
          <w:sz w:val="12"/>
        </w:rPr>
        <w:t xml:space="preserve">support </w:t>
      </w:r>
      <w:r>
        <w:rPr>
          <w:color w:val="58595B"/>
          <w:sz w:val="12"/>
        </w:rPr>
        <w:t xml:space="preserve">clean air, soil quality, clean water, a safe food supply and management  of physical, chemical, </w:t>
      </w:r>
      <w:r>
        <w:rPr>
          <w:color w:val="58595B"/>
          <w:spacing w:val="2"/>
          <w:sz w:val="12"/>
        </w:rPr>
        <w:t xml:space="preserve">biological </w:t>
      </w:r>
      <w:r>
        <w:rPr>
          <w:color w:val="58595B"/>
          <w:sz w:val="12"/>
        </w:rPr>
        <w:t xml:space="preserve">and radiological hazards are fundamental for a safe and healthy society.’ </w:t>
      </w:r>
      <w:r>
        <w:rPr>
          <w:color w:val="58595B"/>
          <w:spacing w:val="2"/>
          <w:sz w:val="12"/>
        </w:rPr>
        <w:t xml:space="preserve">Department </w:t>
      </w:r>
      <w:r>
        <w:rPr>
          <w:color w:val="58595B"/>
          <w:sz w:val="12"/>
        </w:rPr>
        <w:t xml:space="preserve">of Health and Human </w:t>
      </w:r>
      <w:r>
        <w:rPr>
          <w:color w:val="58595B"/>
          <w:spacing w:val="2"/>
          <w:sz w:val="12"/>
        </w:rPr>
        <w:t xml:space="preserve">Services </w:t>
      </w:r>
      <w:r>
        <w:rPr>
          <w:color w:val="58595B"/>
          <w:sz w:val="12"/>
        </w:rPr>
        <w:t xml:space="preserve">2015, </w:t>
      </w:r>
      <w:r>
        <w:rPr>
          <w:i/>
          <w:color w:val="58595B"/>
          <w:sz w:val="12"/>
        </w:rPr>
        <w:t>Victorian Public Health and Wellbeing Plan   2015 –19</w:t>
      </w:r>
      <w:r>
        <w:rPr>
          <w:color w:val="58595B"/>
          <w:sz w:val="12"/>
        </w:rPr>
        <w:t>, Melbourne, p.</w:t>
      </w:r>
      <w:r>
        <w:rPr>
          <w:color w:val="58595B"/>
          <w:spacing w:val="-1"/>
          <w:sz w:val="12"/>
        </w:rPr>
        <w:t xml:space="preserve"> </w:t>
      </w:r>
      <w:r>
        <w:rPr>
          <w:color w:val="58595B"/>
          <w:sz w:val="12"/>
        </w:rPr>
        <w:t>43.</w:t>
      </w:r>
    </w:p>
    <w:p w14:paraId="5A0F8103" w14:textId="77777777" w:rsidR="00160E7F" w:rsidRDefault="00160E7F">
      <w:pPr>
        <w:spacing w:line="242" w:lineRule="auto"/>
        <w:rPr>
          <w:sz w:val="12"/>
        </w:rPr>
        <w:sectPr w:rsidR="00160E7F">
          <w:pgSz w:w="11910" w:h="16840"/>
          <w:pgMar w:top="980" w:right="1680" w:bottom="280" w:left="0" w:header="788" w:footer="0" w:gutter="0"/>
          <w:cols w:space="720"/>
        </w:sectPr>
      </w:pPr>
    </w:p>
    <w:p w14:paraId="1FD54534" w14:textId="77777777" w:rsidR="00160E7F" w:rsidRDefault="000638CB">
      <w:pPr>
        <w:spacing w:before="61"/>
        <w:jc w:val="right"/>
        <w:rPr>
          <w:sz w:val="15"/>
        </w:rPr>
      </w:pPr>
      <w:r>
        <w:lastRenderedPageBreak/>
        <w:pict w14:anchorId="6417C147">
          <v:group id="_x0000_s1117" style="position:absolute;left:0;text-align:left;margin-left:0;margin-top:0;width:598.8pt;height:841.9pt;z-index:-90880;mso-position-horizontal-relative:page;mso-position-vertical-relative:page" coordsize="11976,16838">
            <v:shape id="_x0000_s1119" type="#_x0000_t75" style="position:absolute;width:11904;height:16838">
              <v:imagedata r:id="rId20" o:title=""/>
            </v:shape>
            <v:line id="_x0000_s1118" style="position:absolute" from="10700,917" to="11906,917" strokecolor="#0095a7" strokeweight="7pt"/>
            <w10:wrap anchorx="page" anchory="page"/>
          </v:group>
        </w:pict>
      </w:r>
      <w:r w:rsidR="002B0299">
        <w:rPr>
          <w:color w:val="FFFFFF"/>
          <w:sz w:val="15"/>
        </w:rPr>
        <w:t>CHAPTER 11</w:t>
      </w:r>
    </w:p>
    <w:p w14:paraId="53CCB20F" w14:textId="77777777" w:rsidR="00160E7F" w:rsidRDefault="002B0299">
      <w:pPr>
        <w:spacing w:before="61"/>
        <w:ind w:left="111"/>
        <w:rPr>
          <w:sz w:val="15"/>
        </w:rPr>
      </w:pPr>
      <w:r>
        <w:br w:type="column"/>
      </w:r>
      <w:r>
        <w:rPr>
          <w:color w:val="FFFFFF"/>
          <w:sz w:val="15"/>
        </w:rPr>
        <w:lastRenderedPageBreak/>
        <w:t>THE REGULATORY TOOLKIT</w:t>
      </w:r>
    </w:p>
    <w:p w14:paraId="6ED7BEF1" w14:textId="77777777" w:rsidR="00160E7F" w:rsidRDefault="002B0299">
      <w:pPr>
        <w:spacing w:before="61"/>
        <w:ind w:left="225"/>
        <w:rPr>
          <w:sz w:val="15"/>
        </w:rPr>
      </w:pPr>
      <w:r>
        <w:br w:type="column"/>
      </w:r>
      <w:r>
        <w:rPr>
          <w:color w:val="FFFFFF"/>
          <w:sz w:val="15"/>
        </w:rPr>
        <w:lastRenderedPageBreak/>
        <w:t>215</w:t>
      </w:r>
    </w:p>
    <w:p w14:paraId="65C5070E" w14:textId="77777777" w:rsidR="00160E7F" w:rsidRDefault="00160E7F">
      <w:pPr>
        <w:rPr>
          <w:sz w:val="15"/>
        </w:rPr>
        <w:sectPr w:rsidR="00160E7F">
          <w:headerReference w:type="even" r:id="rId21"/>
          <w:pgSz w:w="11910" w:h="16840"/>
          <w:pgMar w:top="740" w:right="1320" w:bottom="280" w:left="1680" w:header="0" w:footer="0" w:gutter="0"/>
          <w:cols w:num="3" w:space="720" w:equalWidth="0">
            <w:col w:w="6060" w:space="40"/>
            <w:col w:w="2199" w:space="40"/>
            <w:col w:w="571"/>
          </w:cols>
        </w:sectPr>
      </w:pPr>
    </w:p>
    <w:p w14:paraId="52AC8651" w14:textId="77777777" w:rsidR="00160E7F" w:rsidRDefault="002B0299">
      <w:pPr>
        <w:pStyle w:val="BodyText"/>
        <w:ind w:right="-39"/>
      </w:pPr>
      <w:r>
        <w:rPr>
          <w:noProof/>
        </w:rPr>
        <w:lastRenderedPageBreak/>
        <w:drawing>
          <wp:inline distT="0" distB="0" distL="0" distR="0" wp14:anchorId="7E5EB71A" wp14:editId="1E99E537">
            <wp:extent cx="7559310" cy="10692384"/>
            <wp:effectExtent l="0" t="0" r="0" b="0"/>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22"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3FA9B049" w14:textId="77777777" w:rsidR="00160E7F" w:rsidRDefault="00160E7F">
      <w:pPr>
        <w:sectPr w:rsidR="00160E7F">
          <w:headerReference w:type="default" r:id="rId23"/>
          <w:pgSz w:w="11910" w:h="16840"/>
          <w:pgMar w:top="0" w:right="0" w:bottom="0" w:left="0" w:header="0" w:footer="0" w:gutter="0"/>
          <w:cols w:space="720"/>
        </w:sectPr>
      </w:pPr>
    </w:p>
    <w:p w14:paraId="6BDCB8B5" w14:textId="77777777" w:rsidR="00160E7F" w:rsidRDefault="002B0299">
      <w:pPr>
        <w:spacing w:before="61"/>
        <w:jc w:val="right"/>
        <w:rPr>
          <w:sz w:val="15"/>
        </w:rPr>
      </w:pPr>
      <w:r>
        <w:rPr>
          <w:color w:val="58595B"/>
          <w:sz w:val="15"/>
        </w:rPr>
        <w:lastRenderedPageBreak/>
        <w:t>CHAPTER 12</w:t>
      </w:r>
    </w:p>
    <w:p w14:paraId="0DA6EFF1" w14:textId="77777777" w:rsidR="00160E7F" w:rsidRDefault="002B0299">
      <w:pPr>
        <w:spacing w:before="61"/>
        <w:ind w:left="109"/>
        <w:rPr>
          <w:sz w:val="15"/>
        </w:rPr>
      </w:pPr>
      <w:r>
        <w:br w:type="column"/>
      </w:r>
      <w:r>
        <w:rPr>
          <w:color w:val="58595B"/>
          <w:sz w:val="15"/>
        </w:rPr>
        <w:lastRenderedPageBreak/>
        <w:t>STRENGTHENING PREVENTION</w:t>
      </w:r>
    </w:p>
    <w:p w14:paraId="584FB183" w14:textId="77777777" w:rsidR="00160E7F" w:rsidRDefault="002B0299">
      <w:pPr>
        <w:spacing w:before="61"/>
        <w:ind w:left="228"/>
        <w:rPr>
          <w:sz w:val="15"/>
        </w:rPr>
      </w:pPr>
      <w:r>
        <w:br w:type="column"/>
      </w:r>
      <w:r>
        <w:rPr>
          <w:color w:val="58595B"/>
          <w:sz w:val="15"/>
        </w:rPr>
        <w:lastRenderedPageBreak/>
        <w:t>217</w:t>
      </w:r>
    </w:p>
    <w:p w14:paraId="0459DAF1" w14:textId="77777777" w:rsidR="00160E7F" w:rsidRDefault="00160E7F">
      <w:pPr>
        <w:rPr>
          <w:sz w:val="15"/>
        </w:rPr>
        <w:sectPr w:rsidR="00160E7F">
          <w:headerReference w:type="even" r:id="rId24"/>
          <w:pgSz w:w="11910" w:h="16840"/>
          <w:pgMar w:top="740" w:right="1320" w:bottom="280" w:left="1680" w:header="0" w:footer="0" w:gutter="0"/>
          <w:cols w:num="3" w:space="720" w:equalWidth="0">
            <w:col w:w="5782" w:space="40"/>
            <w:col w:w="2477" w:space="40"/>
            <w:col w:w="571"/>
          </w:cols>
        </w:sectPr>
      </w:pPr>
    </w:p>
    <w:p w14:paraId="0630F5B1" w14:textId="77777777" w:rsidR="00160E7F" w:rsidRDefault="000638CB">
      <w:pPr>
        <w:pStyle w:val="BodyText"/>
      </w:pPr>
      <w:r>
        <w:lastRenderedPageBreak/>
        <w:pict w14:anchorId="1FA8BEAC">
          <v:group id="_x0000_s1114" style="position:absolute;margin-left:.05pt;margin-top:0;width:598.7pt;height:841.9pt;z-index:-90856;mso-position-horizontal-relative:page;mso-position-vertical-relative:page" coordorigin="2" coordsize="11974,16838">
            <v:shape id="_x0000_s1116" type="#_x0000_t75" style="position:absolute;left:2;width:11904;height:16838">
              <v:imagedata r:id="rId25" o:title=""/>
            </v:shape>
            <v:line id="_x0000_s1115" style="position:absolute" from="10700,917" to="11906,917" strokecolor="#0095a7" strokeweight="7pt"/>
            <w10:wrap anchorx="page" anchory="page"/>
          </v:group>
        </w:pict>
      </w:r>
    </w:p>
    <w:p w14:paraId="1F4E4C3D" w14:textId="77777777" w:rsidR="00160E7F" w:rsidRDefault="00160E7F">
      <w:pPr>
        <w:pStyle w:val="BodyText"/>
      </w:pPr>
    </w:p>
    <w:p w14:paraId="19CF77D6" w14:textId="77777777" w:rsidR="00160E7F" w:rsidRDefault="00160E7F">
      <w:pPr>
        <w:pStyle w:val="BodyText"/>
      </w:pPr>
    </w:p>
    <w:p w14:paraId="4734FEA5" w14:textId="77777777" w:rsidR="00160E7F" w:rsidRDefault="00160E7F">
      <w:pPr>
        <w:pStyle w:val="BodyText"/>
      </w:pPr>
    </w:p>
    <w:p w14:paraId="5719D8BB" w14:textId="77777777" w:rsidR="00160E7F" w:rsidRDefault="00160E7F">
      <w:pPr>
        <w:pStyle w:val="BodyText"/>
        <w:spacing w:before="5"/>
        <w:rPr>
          <w:sz w:val="17"/>
        </w:rPr>
      </w:pPr>
    </w:p>
    <w:p w14:paraId="159C6124" w14:textId="77777777" w:rsidR="00160E7F" w:rsidRDefault="002B0299">
      <w:pPr>
        <w:pStyle w:val="Heading4"/>
        <w:spacing w:before="0"/>
        <w:ind w:left="134" w:right="0"/>
      </w:pPr>
      <w:r>
        <w:rPr>
          <w:color w:val="0095A7"/>
        </w:rPr>
        <w:t>CHAPTER 12</w:t>
      </w:r>
    </w:p>
    <w:p w14:paraId="2B476870" w14:textId="77777777" w:rsidR="00160E7F" w:rsidRDefault="002B0299">
      <w:pPr>
        <w:spacing w:before="79"/>
        <w:ind w:left="134"/>
        <w:rPr>
          <w:sz w:val="40"/>
        </w:rPr>
      </w:pPr>
      <w:r>
        <w:rPr>
          <w:color w:val="58595B"/>
          <w:sz w:val="40"/>
        </w:rPr>
        <w:t>STRENGTHENING PREVENTION</w:t>
      </w:r>
    </w:p>
    <w:p w14:paraId="6D7E59AA" w14:textId="77777777" w:rsidR="00160E7F" w:rsidRDefault="00160E7F">
      <w:pPr>
        <w:rPr>
          <w:sz w:val="40"/>
        </w:rPr>
        <w:sectPr w:rsidR="00160E7F">
          <w:type w:val="continuous"/>
          <w:pgSz w:w="11910" w:h="16840"/>
          <w:pgMar w:top="0" w:right="1320" w:bottom="0" w:left="1680" w:header="720" w:footer="720" w:gutter="0"/>
          <w:cols w:space="720"/>
        </w:sectPr>
      </w:pPr>
    </w:p>
    <w:p w14:paraId="2342CBD1" w14:textId="77777777" w:rsidR="00160E7F" w:rsidRDefault="00160E7F">
      <w:pPr>
        <w:pStyle w:val="BodyText"/>
      </w:pPr>
    </w:p>
    <w:p w14:paraId="5491CA8B" w14:textId="77777777" w:rsidR="00160E7F" w:rsidRDefault="00160E7F">
      <w:pPr>
        <w:pStyle w:val="BodyText"/>
      </w:pPr>
    </w:p>
    <w:p w14:paraId="78142A7B" w14:textId="77777777" w:rsidR="00160E7F" w:rsidRDefault="00160E7F">
      <w:pPr>
        <w:pStyle w:val="BodyText"/>
      </w:pPr>
    </w:p>
    <w:p w14:paraId="38AEB7C8" w14:textId="77777777" w:rsidR="00160E7F" w:rsidRDefault="00160E7F">
      <w:pPr>
        <w:pStyle w:val="BodyText"/>
      </w:pPr>
    </w:p>
    <w:p w14:paraId="21CD3A51" w14:textId="77777777" w:rsidR="00160E7F" w:rsidRDefault="002B0299">
      <w:pPr>
        <w:pStyle w:val="Heading2"/>
      </w:pPr>
      <w:r>
        <w:rPr>
          <w:color w:val="0095A7"/>
        </w:rPr>
        <w:t>STRENGTHENING PREVENTION</w:t>
      </w:r>
    </w:p>
    <w:p w14:paraId="5942F3EA" w14:textId="77777777" w:rsidR="00160E7F" w:rsidRDefault="000638CB">
      <w:pPr>
        <w:pStyle w:val="BodyText"/>
        <w:spacing w:before="4"/>
        <w:rPr>
          <w:sz w:val="17"/>
        </w:rPr>
      </w:pPr>
      <w:r>
        <w:pict w14:anchorId="27A79D8F">
          <v:shape id="_x0000_s1113" type="#_x0000_t202" style="position:absolute;margin-left:70.85pt;margin-top:11.2pt;width:432.7pt;height:141.5pt;z-index:1264;mso-wrap-distance-left:0;mso-wrap-distance-right:0;mso-position-horizontal-relative:page" fillcolor="#eff6f0" stroked="f">
            <v:textbox inset="0,0,0,0">
              <w:txbxContent>
                <w:p w14:paraId="69B8850A" w14:textId="77777777" w:rsidR="00804E46" w:rsidRDefault="00804E46">
                  <w:pPr>
                    <w:spacing w:before="128"/>
                    <w:ind w:left="170"/>
                    <w:jc w:val="both"/>
                    <w:rPr>
                      <w:b/>
                      <w:sz w:val="20"/>
                    </w:rPr>
                  </w:pPr>
                  <w:r>
                    <w:rPr>
                      <w:b/>
                      <w:color w:val="0095A7"/>
                      <w:sz w:val="20"/>
                    </w:rPr>
                    <w:t>KEY MESSAGES</w:t>
                  </w:r>
                </w:p>
                <w:p w14:paraId="66D4CBE3" w14:textId="77777777" w:rsidR="00804E46" w:rsidRDefault="00804E46">
                  <w:pPr>
                    <w:pStyle w:val="BodyText"/>
                    <w:spacing w:before="153" w:line="280" w:lineRule="auto"/>
                    <w:ind w:left="170" w:right="197"/>
                    <w:jc w:val="both"/>
                  </w:pPr>
                  <w:r>
                    <w:rPr>
                      <w:color w:val="58595B"/>
                    </w:rPr>
                    <w:t>A general duty to take reasonably practicable measures is the most effective way for the EPA to focus on prevention. It is consistent with the notion of shared responsibility. It complements other tools, but it does not replace them.</w:t>
                  </w:r>
                </w:p>
                <w:p w14:paraId="0C9EBBF4" w14:textId="77777777" w:rsidR="00804E46" w:rsidRDefault="00804E46">
                  <w:pPr>
                    <w:pStyle w:val="BodyText"/>
                    <w:spacing w:before="172" w:line="280" w:lineRule="auto"/>
                    <w:ind w:left="170" w:right="567"/>
                  </w:pPr>
                  <w:r>
                    <w:rPr>
                      <w:color w:val="58595B"/>
                    </w:rPr>
                    <w:t>The licensing regime plays a vital role in managing high order risks. It needs to be strengthened and the licensed cohort expanded.</w:t>
                  </w:r>
                </w:p>
                <w:p w14:paraId="409D361D" w14:textId="77777777" w:rsidR="00804E46" w:rsidRDefault="00804E46">
                  <w:pPr>
                    <w:pStyle w:val="BodyText"/>
                    <w:spacing w:before="172" w:line="280" w:lineRule="auto"/>
                    <w:ind w:left="170" w:right="567"/>
                  </w:pPr>
                  <w:r>
                    <w:rPr>
                      <w:color w:val="58595B"/>
                    </w:rPr>
                    <w:t>Transitioning to the general duty will require a phased approach and consultations with affected stakeholders.</w:t>
                  </w:r>
                </w:p>
              </w:txbxContent>
            </v:textbox>
            <w10:wrap type="topAndBottom" anchorx="page"/>
          </v:shape>
        </w:pict>
      </w:r>
    </w:p>
    <w:p w14:paraId="78944493" w14:textId="77777777" w:rsidR="00160E7F" w:rsidRDefault="00160E7F">
      <w:pPr>
        <w:pStyle w:val="BodyText"/>
        <w:spacing w:before="7"/>
        <w:rPr>
          <w:sz w:val="28"/>
        </w:rPr>
      </w:pPr>
    </w:p>
    <w:p w14:paraId="6B17C32C" w14:textId="77777777" w:rsidR="00160E7F" w:rsidRDefault="002B0299">
      <w:pPr>
        <w:pStyle w:val="ListParagraph"/>
        <w:numPr>
          <w:ilvl w:val="1"/>
          <w:numId w:val="44"/>
        </w:numPr>
        <w:tabs>
          <w:tab w:val="left" w:pos="1978"/>
        </w:tabs>
        <w:spacing w:before="69"/>
        <w:jc w:val="left"/>
        <w:rPr>
          <w:sz w:val="24"/>
        </w:rPr>
      </w:pPr>
      <w:r>
        <w:rPr>
          <w:color w:val="0095A7"/>
          <w:sz w:val="24"/>
        </w:rPr>
        <w:t>Introduction</w:t>
      </w:r>
    </w:p>
    <w:p w14:paraId="09A74DEC" w14:textId="77777777" w:rsidR="00160E7F" w:rsidRDefault="002B0299">
      <w:pPr>
        <w:pStyle w:val="BodyText"/>
        <w:spacing w:before="145" w:line="280" w:lineRule="auto"/>
        <w:ind w:left="1417" w:right="185"/>
      </w:pPr>
      <w:r>
        <w:rPr>
          <w:color w:val="58595B"/>
        </w:rPr>
        <w:t>To meet the challenges of the future, we consider the EPA needs a system that seeks to prevent harm from pollution and waste and makes this the shared responsibility of all Victorians. This approach offers benefits over other approaches:</w:t>
      </w:r>
    </w:p>
    <w:p w14:paraId="72650F9A" w14:textId="77777777" w:rsidR="00160E7F" w:rsidRDefault="002B0299">
      <w:pPr>
        <w:pStyle w:val="ListParagraph"/>
        <w:numPr>
          <w:ilvl w:val="1"/>
          <w:numId w:val="47"/>
        </w:numPr>
        <w:tabs>
          <w:tab w:val="left" w:pos="1588"/>
        </w:tabs>
        <w:spacing w:before="115" w:line="280" w:lineRule="auto"/>
        <w:ind w:right="257" w:hanging="170"/>
        <w:rPr>
          <w:sz w:val="20"/>
        </w:rPr>
      </w:pPr>
      <w:r>
        <w:rPr>
          <w:color w:val="58595B"/>
          <w:sz w:val="20"/>
        </w:rPr>
        <w:t xml:space="preserve">Long term social and efficiency benefits will be driven </w:t>
      </w:r>
      <w:r>
        <w:rPr>
          <w:color w:val="58595B"/>
          <w:spacing w:val="-3"/>
          <w:sz w:val="20"/>
        </w:rPr>
        <w:t xml:space="preserve">by </w:t>
      </w:r>
      <w:r>
        <w:rPr>
          <w:color w:val="58595B"/>
          <w:sz w:val="20"/>
        </w:rPr>
        <w:t xml:space="preserve">all Victorians doing their part – to the extent reasonably practicable – to </w:t>
      </w:r>
      <w:r>
        <w:rPr>
          <w:color w:val="58595B"/>
          <w:spacing w:val="-3"/>
          <w:sz w:val="20"/>
        </w:rPr>
        <w:t xml:space="preserve">prevent </w:t>
      </w:r>
      <w:r>
        <w:rPr>
          <w:color w:val="58595B"/>
          <w:sz w:val="20"/>
        </w:rPr>
        <w:t xml:space="preserve">risks of harm from pollution and </w:t>
      </w:r>
      <w:r>
        <w:rPr>
          <w:color w:val="58595B"/>
          <w:spacing w:val="-3"/>
          <w:sz w:val="20"/>
        </w:rPr>
        <w:t xml:space="preserve">waste. </w:t>
      </w:r>
      <w:r>
        <w:rPr>
          <w:color w:val="58595B"/>
          <w:sz w:val="20"/>
        </w:rPr>
        <w:t>Many of the future risks of harm will accumulate from diffuse sources, particularly given population growth. Small</w:t>
      </w:r>
      <w:r>
        <w:rPr>
          <w:color w:val="58595B"/>
          <w:spacing w:val="-11"/>
          <w:sz w:val="20"/>
        </w:rPr>
        <w:t xml:space="preserve"> </w:t>
      </w:r>
      <w:r>
        <w:rPr>
          <w:color w:val="58595B"/>
          <w:sz w:val="20"/>
        </w:rPr>
        <w:t>changes</w:t>
      </w:r>
      <w:r>
        <w:rPr>
          <w:color w:val="58595B"/>
          <w:spacing w:val="-11"/>
          <w:sz w:val="20"/>
        </w:rPr>
        <w:t xml:space="preserve"> </w:t>
      </w:r>
      <w:r>
        <w:rPr>
          <w:color w:val="58595B"/>
          <w:sz w:val="20"/>
        </w:rPr>
        <w:t>effected</w:t>
      </w:r>
      <w:r>
        <w:rPr>
          <w:color w:val="58595B"/>
          <w:spacing w:val="-11"/>
          <w:sz w:val="20"/>
        </w:rPr>
        <w:t xml:space="preserve"> </w:t>
      </w:r>
      <w:r>
        <w:rPr>
          <w:color w:val="58595B"/>
          <w:spacing w:val="-3"/>
          <w:sz w:val="20"/>
        </w:rPr>
        <w:t>by</w:t>
      </w:r>
      <w:r>
        <w:rPr>
          <w:color w:val="58595B"/>
          <w:spacing w:val="-11"/>
          <w:sz w:val="20"/>
        </w:rPr>
        <w:t xml:space="preserve"> </w:t>
      </w:r>
      <w:r>
        <w:rPr>
          <w:color w:val="58595B"/>
          <w:sz w:val="20"/>
        </w:rPr>
        <w:t>households</w:t>
      </w:r>
      <w:r>
        <w:rPr>
          <w:color w:val="58595B"/>
          <w:spacing w:val="-11"/>
          <w:sz w:val="20"/>
        </w:rPr>
        <w:t xml:space="preserve"> </w:t>
      </w:r>
      <w:r>
        <w:rPr>
          <w:color w:val="58595B"/>
          <w:sz w:val="20"/>
        </w:rPr>
        <w:t>and</w:t>
      </w:r>
      <w:r>
        <w:rPr>
          <w:color w:val="58595B"/>
          <w:spacing w:val="-11"/>
          <w:sz w:val="20"/>
        </w:rPr>
        <w:t xml:space="preserve"> </w:t>
      </w:r>
      <w:r>
        <w:rPr>
          <w:color w:val="58595B"/>
          <w:sz w:val="20"/>
        </w:rPr>
        <w:t>businesses</w:t>
      </w:r>
      <w:r>
        <w:rPr>
          <w:color w:val="58595B"/>
          <w:spacing w:val="-11"/>
          <w:sz w:val="20"/>
        </w:rPr>
        <w:t xml:space="preserve"> </w:t>
      </w:r>
      <w:r>
        <w:rPr>
          <w:color w:val="58595B"/>
          <w:sz w:val="20"/>
        </w:rPr>
        <w:t>of</w:t>
      </w:r>
      <w:r>
        <w:rPr>
          <w:color w:val="58595B"/>
          <w:spacing w:val="-11"/>
          <w:sz w:val="20"/>
        </w:rPr>
        <w:t xml:space="preserve"> </w:t>
      </w:r>
      <w:r>
        <w:rPr>
          <w:color w:val="58595B"/>
          <w:sz w:val="20"/>
        </w:rPr>
        <w:t>all</w:t>
      </w:r>
      <w:r>
        <w:rPr>
          <w:color w:val="58595B"/>
          <w:spacing w:val="-11"/>
          <w:sz w:val="20"/>
        </w:rPr>
        <w:t xml:space="preserve"> </w:t>
      </w:r>
      <w:r>
        <w:rPr>
          <w:color w:val="58595B"/>
          <w:sz w:val="20"/>
        </w:rPr>
        <w:t>sizes</w:t>
      </w:r>
      <w:r>
        <w:rPr>
          <w:color w:val="58595B"/>
          <w:spacing w:val="-11"/>
          <w:sz w:val="20"/>
        </w:rPr>
        <w:t xml:space="preserve"> </w:t>
      </w:r>
      <w:r>
        <w:rPr>
          <w:color w:val="58595B"/>
          <w:sz w:val="20"/>
        </w:rPr>
        <w:t>can</w:t>
      </w:r>
      <w:r>
        <w:rPr>
          <w:color w:val="58595B"/>
          <w:spacing w:val="-11"/>
          <w:sz w:val="20"/>
        </w:rPr>
        <w:t xml:space="preserve"> </w:t>
      </w:r>
      <w:r>
        <w:rPr>
          <w:color w:val="58595B"/>
          <w:sz w:val="20"/>
        </w:rPr>
        <w:t>contribute</w:t>
      </w:r>
      <w:r>
        <w:rPr>
          <w:color w:val="58595B"/>
          <w:spacing w:val="-11"/>
          <w:sz w:val="20"/>
        </w:rPr>
        <w:t xml:space="preserve"> </w:t>
      </w:r>
      <w:r>
        <w:rPr>
          <w:color w:val="58595B"/>
          <w:sz w:val="20"/>
        </w:rPr>
        <w:t>significantly</w:t>
      </w:r>
      <w:r>
        <w:rPr>
          <w:color w:val="58595B"/>
          <w:spacing w:val="-11"/>
          <w:sz w:val="20"/>
        </w:rPr>
        <w:t xml:space="preserve"> </w:t>
      </w:r>
      <w:r>
        <w:rPr>
          <w:color w:val="58595B"/>
          <w:sz w:val="20"/>
        </w:rPr>
        <w:t xml:space="preserve">to </w:t>
      </w:r>
      <w:r>
        <w:rPr>
          <w:color w:val="58595B"/>
          <w:spacing w:val="-3"/>
          <w:sz w:val="20"/>
        </w:rPr>
        <w:t xml:space="preserve">preventing </w:t>
      </w:r>
      <w:r>
        <w:rPr>
          <w:color w:val="58595B"/>
          <w:sz w:val="20"/>
        </w:rPr>
        <w:t>future</w:t>
      </w:r>
      <w:r>
        <w:rPr>
          <w:color w:val="58595B"/>
          <w:spacing w:val="-14"/>
          <w:sz w:val="20"/>
        </w:rPr>
        <w:t xml:space="preserve"> </w:t>
      </w:r>
      <w:r>
        <w:rPr>
          <w:color w:val="58595B"/>
          <w:sz w:val="20"/>
        </w:rPr>
        <w:t>harms.</w:t>
      </w:r>
    </w:p>
    <w:p w14:paraId="2A1481FB" w14:textId="77777777" w:rsidR="00160E7F" w:rsidRDefault="002B0299">
      <w:pPr>
        <w:pStyle w:val="ListParagraph"/>
        <w:numPr>
          <w:ilvl w:val="1"/>
          <w:numId w:val="47"/>
        </w:numPr>
        <w:tabs>
          <w:tab w:val="left" w:pos="1588"/>
        </w:tabs>
        <w:spacing w:before="115" w:line="280" w:lineRule="auto"/>
        <w:ind w:right="174" w:hanging="170"/>
        <w:rPr>
          <w:sz w:val="20"/>
        </w:rPr>
      </w:pPr>
      <w:r>
        <w:rPr>
          <w:color w:val="58595B"/>
          <w:sz w:val="20"/>
        </w:rPr>
        <w:t xml:space="preserve">Prevention measures are likely to be more cost effective than post-harm intervention. The harm caused by pollution and waste is costly to remediate, as we know from the legacy issues we face </w:t>
      </w:r>
      <w:r>
        <w:rPr>
          <w:color w:val="58595B"/>
          <w:spacing w:val="-3"/>
          <w:sz w:val="20"/>
        </w:rPr>
        <w:t xml:space="preserve">today. </w:t>
      </w:r>
      <w:r>
        <w:rPr>
          <w:color w:val="58595B"/>
          <w:sz w:val="20"/>
        </w:rPr>
        <w:t>In some cases, it can be</w:t>
      </w:r>
      <w:r>
        <w:rPr>
          <w:color w:val="58595B"/>
          <w:spacing w:val="9"/>
          <w:sz w:val="20"/>
        </w:rPr>
        <w:t xml:space="preserve"> </w:t>
      </w:r>
      <w:r>
        <w:rPr>
          <w:color w:val="58595B"/>
          <w:sz w:val="20"/>
        </w:rPr>
        <w:t>irreversible.</w:t>
      </w:r>
    </w:p>
    <w:p w14:paraId="6FCB378C" w14:textId="77777777" w:rsidR="00160E7F" w:rsidRDefault="002B0299">
      <w:pPr>
        <w:pStyle w:val="BodyText"/>
        <w:spacing w:before="172" w:line="280" w:lineRule="auto"/>
        <w:ind w:left="1417" w:right="185"/>
      </w:pPr>
      <w:r>
        <w:rPr>
          <w:color w:val="58595B"/>
        </w:rPr>
        <w:t>Because pollution and waste are inevitable byproducts of human activity, preventing harm necessarily entails some regulatory burden. However, the EPA’s tools, and how the EPA applies them, should not add to the regulatory burden unnecessarily. The EPA’s suite of tools must manage risks efficiently and effectively.</w:t>
      </w:r>
    </w:p>
    <w:p w14:paraId="621EECFE" w14:textId="77777777" w:rsidR="00160E7F" w:rsidRDefault="002B0299">
      <w:pPr>
        <w:pStyle w:val="BodyText"/>
        <w:spacing w:before="172" w:line="280" w:lineRule="auto"/>
        <w:ind w:left="1417" w:right="185"/>
      </w:pPr>
      <w:r>
        <w:rPr>
          <w:color w:val="58595B"/>
        </w:rPr>
        <w:t>We consider the EPA needs two core regulatory tools: the licensing and works approvals regime, and a general duty.</w:t>
      </w:r>
    </w:p>
    <w:p w14:paraId="5776C548" w14:textId="77777777" w:rsidR="00160E7F" w:rsidRDefault="002B0299">
      <w:pPr>
        <w:pStyle w:val="BodyText"/>
        <w:spacing w:before="172" w:line="280" w:lineRule="auto"/>
        <w:ind w:left="1417" w:right="142"/>
      </w:pPr>
      <w:r>
        <w:rPr>
          <w:color w:val="58595B"/>
        </w:rPr>
        <w:t xml:space="preserve">Licences and works approvals manage activities that create high risks of harm to human health and the environment. Harm can result both from single incidents and from the cumulative impact of an activity over time. A single incident from a high risk source can cause significant harm and be extremely costly – sometimes impossible – to remediate. Targeting this type of pollution and waste provides obvious benefits, warranting the increased costs associated with the stronger control that licences and works approvals offer a regulator. In chapter </w:t>
      </w:r>
      <w:r>
        <w:rPr>
          <w:color w:val="58595B"/>
          <w:spacing w:val="-3"/>
        </w:rPr>
        <w:t xml:space="preserve">16 </w:t>
      </w:r>
      <w:r>
        <w:rPr>
          <w:color w:val="58595B"/>
        </w:rPr>
        <w:t>we discuss opportunities for using economic instruments to make the licensing system more</w:t>
      </w:r>
      <w:r>
        <w:rPr>
          <w:color w:val="58595B"/>
          <w:spacing w:val="8"/>
        </w:rPr>
        <w:t xml:space="preserve"> </w:t>
      </w:r>
      <w:r>
        <w:rPr>
          <w:color w:val="58595B"/>
        </w:rPr>
        <w:t>efficient.</w:t>
      </w:r>
    </w:p>
    <w:p w14:paraId="027B4269" w14:textId="77777777" w:rsidR="00160E7F" w:rsidRDefault="00160E7F">
      <w:pPr>
        <w:spacing w:line="280" w:lineRule="auto"/>
        <w:sectPr w:rsidR="00160E7F">
          <w:headerReference w:type="even" r:id="rId26"/>
          <w:headerReference w:type="default" r:id="rId27"/>
          <w:pgSz w:w="11910" w:h="16840"/>
          <w:pgMar w:top="980" w:right="1680" w:bottom="280" w:left="0" w:header="788" w:footer="0" w:gutter="0"/>
          <w:cols w:space="720"/>
        </w:sectPr>
      </w:pPr>
    </w:p>
    <w:p w14:paraId="4DAF7529" w14:textId="77777777" w:rsidR="00160E7F" w:rsidRDefault="00160E7F">
      <w:pPr>
        <w:pStyle w:val="BodyText"/>
      </w:pPr>
    </w:p>
    <w:p w14:paraId="5F2E7685" w14:textId="77777777" w:rsidR="00160E7F" w:rsidRDefault="00160E7F">
      <w:pPr>
        <w:pStyle w:val="BodyText"/>
      </w:pPr>
    </w:p>
    <w:p w14:paraId="1485A7E2" w14:textId="77777777" w:rsidR="00160E7F" w:rsidRDefault="00160E7F">
      <w:pPr>
        <w:pStyle w:val="BodyText"/>
      </w:pPr>
    </w:p>
    <w:p w14:paraId="66863B3A" w14:textId="77777777" w:rsidR="00160E7F" w:rsidRDefault="00160E7F">
      <w:pPr>
        <w:pStyle w:val="BodyText"/>
      </w:pPr>
    </w:p>
    <w:p w14:paraId="469B0DC4" w14:textId="77777777" w:rsidR="00160E7F" w:rsidRDefault="00160E7F">
      <w:pPr>
        <w:pStyle w:val="BodyText"/>
        <w:spacing w:before="8"/>
        <w:rPr>
          <w:sz w:val="17"/>
        </w:rPr>
      </w:pPr>
    </w:p>
    <w:p w14:paraId="456BEF0C" w14:textId="77777777" w:rsidR="00160E7F" w:rsidRDefault="002B0299">
      <w:pPr>
        <w:pStyle w:val="BodyText"/>
        <w:spacing w:before="1" w:line="280" w:lineRule="auto"/>
        <w:ind w:left="134" w:right="1433"/>
      </w:pPr>
      <w:r>
        <w:rPr>
          <w:color w:val="58595B"/>
        </w:rPr>
        <w:t>As Victoria’s population grows, it has also become increasingly important to prevent harm from sources that cannot be cost effectively managed by licences and works approvals. In particular, pollution that accumulates from multiple small and medium sources can be dangerous. For example, localised dust pollution (that accumulates from the activities of many small and medium sized businesses) can pose significant health risks, such as acute respiratory issues leading to premature death. Even individuals can impact the environment through their day-to-day actions, for example, disposing of household chemicals down the drain, poor use of woodfire heaters, or washing cars on hard surfaces allowing the runoff to go into stormwater.</w:t>
      </w:r>
    </w:p>
    <w:p w14:paraId="58BE66D7" w14:textId="77777777" w:rsidR="00160E7F" w:rsidRDefault="002B0299">
      <w:pPr>
        <w:pStyle w:val="BodyText"/>
        <w:spacing w:before="172" w:line="280" w:lineRule="auto"/>
        <w:ind w:left="134" w:right="1747"/>
      </w:pPr>
      <w:r>
        <w:rPr>
          <w:color w:val="58595B"/>
        </w:rPr>
        <w:t>Preventing the aggregated effects of pollution and waste from these sources can provide significant benefits. We recommend a general duty as the most effective tool to address these sources. It encourages shared responsibility for preventing harm. There are obvious benefits from engaging the community as a whole with the regulatory task. And there are many low cost and simple ways that Victorian households and businesses can contribute to preventing environmental</w:t>
      </w:r>
      <w:r>
        <w:rPr>
          <w:color w:val="58595B"/>
          <w:spacing w:val="-7"/>
        </w:rPr>
        <w:t xml:space="preserve"> </w:t>
      </w:r>
      <w:r>
        <w:rPr>
          <w:color w:val="58595B"/>
        </w:rPr>
        <w:t>damage.</w:t>
      </w:r>
    </w:p>
    <w:p w14:paraId="1B7C2AE3" w14:textId="77777777" w:rsidR="00160E7F" w:rsidRDefault="002B0299">
      <w:pPr>
        <w:spacing w:before="172" w:line="280" w:lineRule="auto"/>
        <w:ind w:left="701" w:right="1900"/>
        <w:rPr>
          <w:sz w:val="11"/>
        </w:rPr>
      </w:pPr>
      <w:r>
        <w:rPr>
          <w:i/>
          <w:color w:val="231F20"/>
          <w:sz w:val="20"/>
        </w:rPr>
        <w:t xml:space="preserve">The </w:t>
      </w:r>
      <w:r>
        <w:rPr>
          <w:i/>
          <w:color w:val="231F20"/>
          <w:spacing w:val="-3"/>
          <w:sz w:val="20"/>
        </w:rPr>
        <w:t xml:space="preserve">educational </w:t>
      </w:r>
      <w:r>
        <w:rPr>
          <w:i/>
          <w:color w:val="231F20"/>
          <w:sz w:val="20"/>
        </w:rPr>
        <w:t xml:space="preserve">effect of </w:t>
      </w:r>
      <w:r>
        <w:rPr>
          <w:i/>
          <w:color w:val="231F20"/>
          <w:spacing w:val="-3"/>
          <w:sz w:val="20"/>
        </w:rPr>
        <w:t xml:space="preserve">including </w:t>
      </w:r>
      <w:r>
        <w:rPr>
          <w:i/>
          <w:color w:val="231F20"/>
          <w:sz w:val="20"/>
        </w:rPr>
        <w:t xml:space="preserve">a duty of </w:t>
      </w:r>
      <w:r>
        <w:rPr>
          <w:i/>
          <w:color w:val="231F20"/>
          <w:spacing w:val="-3"/>
          <w:sz w:val="20"/>
        </w:rPr>
        <w:t xml:space="preserve">care, backed </w:t>
      </w:r>
      <w:r>
        <w:rPr>
          <w:i/>
          <w:color w:val="231F20"/>
          <w:spacing w:val="-4"/>
          <w:sz w:val="20"/>
        </w:rPr>
        <w:t xml:space="preserve">by </w:t>
      </w:r>
      <w:r>
        <w:rPr>
          <w:i/>
          <w:color w:val="231F20"/>
          <w:spacing w:val="-3"/>
          <w:sz w:val="20"/>
        </w:rPr>
        <w:t xml:space="preserve">the subsequent publication </w:t>
      </w:r>
      <w:r>
        <w:rPr>
          <w:i/>
          <w:color w:val="231F20"/>
          <w:sz w:val="20"/>
        </w:rPr>
        <w:t xml:space="preserve">of </w:t>
      </w:r>
      <w:r>
        <w:rPr>
          <w:i/>
          <w:color w:val="231F20"/>
          <w:spacing w:val="-3"/>
          <w:sz w:val="20"/>
        </w:rPr>
        <w:t xml:space="preserve">guidelines </w:t>
      </w:r>
      <w:r>
        <w:rPr>
          <w:i/>
          <w:color w:val="231F20"/>
          <w:sz w:val="20"/>
        </w:rPr>
        <w:t xml:space="preserve">for </w:t>
      </w:r>
      <w:r>
        <w:rPr>
          <w:i/>
          <w:color w:val="231F20"/>
          <w:spacing w:val="-3"/>
          <w:sz w:val="20"/>
        </w:rPr>
        <w:t xml:space="preserve">compliance, </w:t>
      </w:r>
      <w:r>
        <w:rPr>
          <w:i/>
          <w:color w:val="231F20"/>
          <w:sz w:val="20"/>
        </w:rPr>
        <w:t xml:space="preserve">is an </w:t>
      </w:r>
      <w:r>
        <w:rPr>
          <w:i/>
          <w:color w:val="231F20"/>
          <w:spacing w:val="-4"/>
          <w:sz w:val="20"/>
        </w:rPr>
        <w:t xml:space="preserve">advantage </w:t>
      </w:r>
      <w:r>
        <w:rPr>
          <w:i/>
          <w:color w:val="231F20"/>
          <w:spacing w:val="-3"/>
          <w:sz w:val="20"/>
        </w:rPr>
        <w:t xml:space="preserve">that </w:t>
      </w:r>
      <w:r>
        <w:rPr>
          <w:i/>
          <w:color w:val="231F20"/>
          <w:sz w:val="20"/>
        </w:rPr>
        <w:t xml:space="preserve">should not be </w:t>
      </w:r>
      <w:r>
        <w:rPr>
          <w:i/>
          <w:color w:val="231F20"/>
          <w:spacing w:val="-4"/>
          <w:sz w:val="20"/>
        </w:rPr>
        <w:t>underestimated.</w:t>
      </w:r>
      <w:r>
        <w:rPr>
          <w:color w:val="231F20"/>
          <w:spacing w:val="-4"/>
          <w:position w:val="7"/>
          <w:sz w:val="11"/>
        </w:rPr>
        <w:t>1</w:t>
      </w:r>
    </w:p>
    <w:p w14:paraId="058605B5" w14:textId="77777777" w:rsidR="00160E7F" w:rsidRDefault="002B0299">
      <w:pPr>
        <w:pStyle w:val="BodyText"/>
        <w:spacing w:before="172" w:line="280" w:lineRule="auto"/>
        <w:ind w:left="134" w:right="1688"/>
      </w:pPr>
      <w:r>
        <w:rPr>
          <w:color w:val="58595B"/>
        </w:rPr>
        <w:t xml:space="preserve">We propose applying the duty to businesses initially, and then expanding it to the wider community over time. It will complement other tools and instruments but will not replace them. Compliance will inevitably involve costs. How the general duty is implemented must account </w:t>
      </w:r>
      <w:r>
        <w:rPr>
          <w:color w:val="58595B"/>
          <w:spacing w:val="-3"/>
        </w:rPr>
        <w:t xml:space="preserve">for, </w:t>
      </w:r>
      <w:r>
        <w:rPr>
          <w:color w:val="58595B"/>
        </w:rPr>
        <w:t>and minimise, the regulatory burden. Some features – such as the “reasonably practicable” qualification and that it is not prescriptive – can help minimise such</w:t>
      </w:r>
      <w:r>
        <w:rPr>
          <w:color w:val="58595B"/>
          <w:spacing w:val="8"/>
        </w:rPr>
        <w:t xml:space="preserve"> </w:t>
      </w:r>
      <w:r>
        <w:rPr>
          <w:color w:val="58595B"/>
        </w:rPr>
        <w:t>burden.</w:t>
      </w:r>
    </w:p>
    <w:p w14:paraId="0195AFEC" w14:textId="77777777" w:rsidR="00160E7F" w:rsidRDefault="002B0299">
      <w:pPr>
        <w:pStyle w:val="BodyText"/>
        <w:spacing w:before="172" w:line="280" w:lineRule="auto"/>
        <w:ind w:left="134" w:right="1971"/>
      </w:pPr>
      <w:r>
        <w:rPr>
          <w:color w:val="58595B"/>
        </w:rPr>
        <w:t>A general duty will also allow the EPA to be nimble in managing new risks – in particular, by adapting codes of practice and guidance.</w:t>
      </w:r>
    </w:p>
    <w:p w14:paraId="668AA8EE" w14:textId="77777777" w:rsidR="00160E7F" w:rsidRDefault="002B0299">
      <w:pPr>
        <w:pStyle w:val="BodyText"/>
        <w:spacing w:before="172" w:line="280" w:lineRule="auto"/>
        <w:ind w:left="134" w:right="1937"/>
      </w:pPr>
      <w:r>
        <w:rPr>
          <w:color w:val="58595B"/>
        </w:rPr>
        <w:t>Figure 12.1 demonstrates how the proposed new and enhanced tools will expand regulatory coverage across a wider range of activities.</w:t>
      </w:r>
    </w:p>
    <w:p w14:paraId="707F9524" w14:textId="77777777" w:rsidR="00160E7F" w:rsidRDefault="00160E7F">
      <w:pPr>
        <w:spacing w:line="280" w:lineRule="auto"/>
        <w:sectPr w:rsidR="00160E7F">
          <w:pgSz w:w="11910" w:h="16840"/>
          <w:pgMar w:top="980" w:right="0" w:bottom="280" w:left="1680" w:header="788" w:footer="0" w:gutter="0"/>
          <w:cols w:space="720"/>
        </w:sectPr>
      </w:pPr>
    </w:p>
    <w:p w14:paraId="698973D9" w14:textId="77777777" w:rsidR="00160E7F" w:rsidRDefault="00160E7F">
      <w:pPr>
        <w:pStyle w:val="BodyText"/>
      </w:pPr>
    </w:p>
    <w:p w14:paraId="592E29B7" w14:textId="77777777" w:rsidR="00160E7F" w:rsidRDefault="00160E7F">
      <w:pPr>
        <w:pStyle w:val="BodyText"/>
      </w:pPr>
    </w:p>
    <w:p w14:paraId="5B03422C" w14:textId="77777777" w:rsidR="00160E7F" w:rsidRDefault="00160E7F">
      <w:pPr>
        <w:pStyle w:val="BodyText"/>
      </w:pPr>
    </w:p>
    <w:p w14:paraId="270E7305" w14:textId="77777777" w:rsidR="00160E7F" w:rsidRDefault="00160E7F">
      <w:pPr>
        <w:pStyle w:val="BodyText"/>
      </w:pPr>
    </w:p>
    <w:p w14:paraId="705F42E8" w14:textId="77777777" w:rsidR="00160E7F" w:rsidRDefault="00160E7F">
      <w:pPr>
        <w:pStyle w:val="BodyText"/>
        <w:spacing w:before="8"/>
        <w:rPr>
          <w:sz w:val="17"/>
        </w:rPr>
      </w:pPr>
    </w:p>
    <w:p w14:paraId="1196B20C" w14:textId="77777777" w:rsidR="00160E7F" w:rsidRDefault="002B0299">
      <w:pPr>
        <w:spacing w:before="1"/>
        <w:ind w:left="1417" w:right="789"/>
        <w:rPr>
          <w:sz w:val="20"/>
        </w:rPr>
      </w:pPr>
      <w:r>
        <w:rPr>
          <w:b/>
          <w:color w:val="0095A7"/>
          <w:sz w:val="20"/>
        </w:rPr>
        <w:t xml:space="preserve">FIGURE 12.1  </w:t>
      </w:r>
      <w:r>
        <w:rPr>
          <w:color w:val="0095A7"/>
          <w:sz w:val="20"/>
        </w:rPr>
        <w:t>APPLICATION OF THE TOOLKIT</w:t>
      </w:r>
    </w:p>
    <w:p w14:paraId="5D394243" w14:textId="77777777" w:rsidR="00160E7F" w:rsidRDefault="002B0299">
      <w:pPr>
        <w:pStyle w:val="BodyText"/>
        <w:rPr>
          <w:sz w:val="21"/>
        </w:rPr>
      </w:pPr>
      <w:r>
        <w:rPr>
          <w:noProof/>
        </w:rPr>
        <w:drawing>
          <wp:anchor distT="0" distB="0" distL="0" distR="0" simplePos="0" relativeHeight="1288" behindDoc="0" locked="0" layoutInCell="1" allowOverlap="1" wp14:anchorId="64543EF4" wp14:editId="0F0005D6">
            <wp:simplePos x="0" y="0"/>
            <wp:positionH relativeFrom="page">
              <wp:posOffset>899998</wp:posOffset>
            </wp:positionH>
            <wp:positionV relativeFrom="paragraph">
              <wp:posOffset>178482</wp:posOffset>
            </wp:positionV>
            <wp:extent cx="5433367" cy="5064633"/>
            <wp:effectExtent l="0" t="0" r="0" b="0"/>
            <wp:wrapTopAndBottom/>
            <wp:docPr id="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jpeg"/>
                    <pic:cNvPicPr/>
                  </pic:nvPicPr>
                  <pic:blipFill>
                    <a:blip r:embed="rId28" cstate="print"/>
                    <a:stretch>
                      <a:fillRect/>
                    </a:stretch>
                  </pic:blipFill>
                  <pic:spPr>
                    <a:xfrm>
                      <a:off x="0" y="0"/>
                      <a:ext cx="5433367" cy="5064633"/>
                    </a:xfrm>
                    <a:prstGeom prst="rect">
                      <a:avLst/>
                    </a:prstGeom>
                  </pic:spPr>
                </pic:pic>
              </a:graphicData>
            </a:graphic>
          </wp:anchor>
        </w:drawing>
      </w:r>
    </w:p>
    <w:p w14:paraId="78AFDE40" w14:textId="77777777" w:rsidR="00160E7F" w:rsidRDefault="00160E7F">
      <w:pPr>
        <w:rPr>
          <w:sz w:val="21"/>
        </w:rPr>
        <w:sectPr w:rsidR="00160E7F">
          <w:headerReference w:type="even" r:id="rId29"/>
          <w:headerReference w:type="default" r:id="rId30"/>
          <w:pgSz w:w="11910" w:h="16840"/>
          <w:pgMar w:top="980" w:right="1680" w:bottom="280" w:left="0" w:header="788" w:footer="0" w:gutter="0"/>
          <w:cols w:space="720"/>
        </w:sectPr>
      </w:pPr>
    </w:p>
    <w:p w14:paraId="0DEE3C42" w14:textId="77777777" w:rsidR="00160E7F" w:rsidRDefault="00160E7F">
      <w:pPr>
        <w:pStyle w:val="BodyText"/>
      </w:pPr>
    </w:p>
    <w:p w14:paraId="078A5EF6" w14:textId="77777777" w:rsidR="00160E7F" w:rsidRDefault="00160E7F">
      <w:pPr>
        <w:pStyle w:val="BodyText"/>
      </w:pPr>
    </w:p>
    <w:p w14:paraId="6269B292" w14:textId="77777777" w:rsidR="00160E7F" w:rsidRDefault="00160E7F">
      <w:pPr>
        <w:pStyle w:val="BodyText"/>
      </w:pPr>
    </w:p>
    <w:p w14:paraId="0BF47584" w14:textId="77777777" w:rsidR="00160E7F" w:rsidRDefault="00160E7F">
      <w:pPr>
        <w:pStyle w:val="BodyText"/>
      </w:pPr>
    </w:p>
    <w:p w14:paraId="3C4D00B3" w14:textId="77777777" w:rsidR="00160E7F" w:rsidRDefault="002B0299">
      <w:pPr>
        <w:pStyle w:val="Heading3"/>
        <w:numPr>
          <w:ilvl w:val="1"/>
          <w:numId w:val="44"/>
        </w:numPr>
        <w:tabs>
          <w:tab w:val="left" w:pos="723"/>
        </w:tabs>
        <w:ind w:left="722" w:hanging="588"/>
        <w:jc w:val="left"/>
      </w:pPr>
      <w:r>
        <w:rPr>
          <w:color w:val="0095A7"/>
        </w:rPr>
        <w:t>Introducing a general duty to prevent risks of</w:t>
      </w:r>
      <w:r>
        <w:rPr>
          <w:color w:val="0095A7"/>
          <w:spacing w:val="46"/>
        </w:rPr>
        <w:t xml:space="preserve"> </w:t>
      </w:r>
      <w:r>
        <w:rPr>
          <w:color w:val="0095A7"/>
        </w:rPr>
        <w:t>harm</w:t>
      </w:r>
    </w:p>
    <w:p w14:paraId="7120B242" w14:textId="46C31FA9" w:rsidR="00160E7F" w:rsidRDefault="002B0299">
      <w:pPr>
        <w:pStyle w:val="BodyText"/>
        <w:spacing w:before="145" w:line="280" w:lineRule="auto"/>
        <w:ind w:left="134" w:right="1494"/>
      </w:pPr>
      <w:r>
        <w:rPr>
          <w:color w:val="58595B"/>
        </w:rPr>
        <w:t>We recommend that the EP Act be amended to create a general duty to take reasonably practicable steps to minimise the risks of harm to human health and the environment from pollution and waste. We see this as the cornerstone reform for the future EPA. It is a more effective mechanism for capturing smaller, but cumulatively si</w:t>
      </w:r>
      <w:r w:rsidR="009B0E22">
        <w:rPr>
          <w:color w:val="58595B"/>
        </w:rPr>
        <w:t>gnificant, sources of pollution</w:t>
      </w:r>
      <w:r w:rsidR="009B0E22">
        <w:rPr>
          <w:color w:val="58595B"/>
        </w:rPr>
        <w:br/>
      </w:r>
      <w:r>
        <w:rPr>
          <w:color w:val="58595B"/>
        </w:rPr>
        <w:t>and emphasises shared responsibility for the environment.</w:t>
      </w:r>
    </w:p>
    <w:p w14:paraId="0E638903" w14:textId="77777777" w:rsidR="00160E7F" w:rsidRDefault="002B0299">
      <w:pPr>
        <w:pStyle w:val="BodyText"/>
        <w:spacing w:before="172" w:line="280" w:lineRule="auto"/>
        <w:ind w:left="134" w:right="1433"/>
        <w:rPr>
          <w:sz w:val="11"/>
        </w:rPr>
      </w:pPr>
      <w:r>
        <w:rPr>
          <w:color w:val="58595B"/>
        </w:rPr>
        <w:t>The concept of a general duty is exemplified by the safety duty imposed on employers under occupational health and safety legislation. This model of workplace safety regulation has been adopted in most Western industrialised nations since the 1970s.</w:t>
      </w:r>
      <w:r>
        <w:rPr>
          <w:color w:val="58595B"/>
          <w:position w:val="7"/>
          <w:sz w:val="11"/>
        </w:rPr>
        <w:t>2</w:t>
      </w:r>
    </w:p>
    <w:p w14:paraId="1B8BF575" w14:textId="77777777" w:rsidR="00160E7F" w:rsidRDefault="002B0299">
      <w:pPr>
        <w:spacing w:before="172" w:line="280" w:lineRule="auto"/>
        <w:ind w:left="134" w:right="1433"/>
        <w:rPr>
          <w:sz w:val="20"/>
        </w:rPr>
      </w:pPr>
      <w:r>
        <w:rPr>
          <w:color w:val="58595B"/>
          <w:sz w:val="20"/>
        </w:rPr>
        <w:t xml:space="preserve">Victoria’s workplace safety law (the </w:t>
      </w:r>
      <w:r>
        <w:rPr>
          <w:i/>
          <w:color w:val="58595B"/>
          <w:sz w:val="20"/>
        </w:rPr>
        <w:t>Occupational Health and Safety Act 2004</w:t>
      </w:r>
      <w:r>
        <w:rPr>
          <w:color w:val="58595B"/>
          <w:sz w:val="20"/>
        </w:rPr>
        <w:t>) (OHS Act) expresses the general duty in these terms:</w:t>
      </w:r>
    </w:p>
    <w:p w14:paraId="63545A46" w14:textId="77777777" w:rsidR="00160E7F" w:rsidRDefault="002B0299">
      <w:pPr>
        <w:spacing w:before="172" w:line="280" w:lineRule="auto"/>
        <w:ind w:left="701" w:right="2480"/>
        <w:jc w:val="both"/>
        <w:rPr>
          <w:sz w:val="11"/>
        </w:rPr>
      </w:pPr>
      <w:r>
        <w:rPr>
          <w:i/>
          <w:color w:val="231F20"/>
          <w:sz w:val="20"/>
        </w:rPr>
        <w:t>An employer must, so far as is reasonably practicable, provide and maintain for employees of the employer a working environment that is safe and without risks to health.</w:t>
      </w:r>
      <w:r>
        <w:rPr>
          <w:color w:val="231F20"/>
          <w:position w:val="7"/>
          <w:sz w:val="11"/>
        </w:rPr>
        <w:t>3</w:t>
      </w:r>
    </w:p>
    <w:p w14:paraId="3618284A" w14:textId="77777777" w:rsidR="00160E7F" w:rsidRDefault="002B0299">
      <w:pPr>
        <w:pStyle w:val="BodyText"/>
        <w:spacing w:before="172"/>
        <w:ind w:left="134" w:right="789"/>
      </w:pPr>
      <w:r>
        <w:rPr>
          <w:color w:val="58595B"/>
        </w:rPr>
        <w:t>As the OHS Act explains, in practice this means that the employer must –</w:t>
      </w:r>
    </w:p>
    <w:p w14:paraId="57CE7832" w14:textId="77777777" w:rsidR="00160E7F" w:rsidRDefault="002B0299">
      <w:pPr>
        <w:pStyle w:val="ListParagraph"/>
        <w:numPr>
          <w:ilvl w:val="0"/>
          <w:numId w:val="43"/>
        </w:numPr>
        <w:tabs>
          <w:tab w:val="left" w:pos="475"/>
        </w:tabs>
        <w:spacing w:before="125"/>
        <w:ind w:hanging="340"/>
        <w:rPr>
          <w:i/>
          <w:sz w:val="20"/>
        </w:rPr>
      </w:pPr>
      <w:r>
        <w:rPr>
          <w:i/>
          <w:color w:val="231F20"/>
          <w:sz w:val="20"/>
        </w:rPr>
        <w:t>eliminate risks to health and safety so far as is reasonably practicable;</w:t>
      </w:r>
      <w:r>
        <w:rPr>
          <w:i/>
          <w:color w:val="231F20"/>
          <w:spacing w:val="-7"/>
          <w:sz w:val="20"/>
        </w:rPr>
        <w:t xml:space="preserve"> </w:t>
      </w:r>
      <w:r>
        <w:rPr>
          <w:i/>
          <w:color w:val="231F20"/>
          <w:sz w:val="20"/>
        </w:rPr>
        <w:t>and</w:t>
      </w:r>
    </w:p>
    <w:p w14:paraId="26E603C9" w14:textId="77777777" w:rsidR="00160E7F" w:rsidRDefault="002B0299">
      <w:pPr>
        <w:pStyle w:val="ListParagraph"/>
        <w:numPr>
          <w:ilvl w:val="0"/>
          <w:numId w:val="43"/>
        </w:numPr>
        <w:tabs>
          <w:tab w:val="left" w:pos="475"/>
        </w:tabs>
        <w:spacing w:before="125" w:line="280" w:lineRule="auto"/>
        <w:ind w:right="2035" w:hanging="340"/>
        <w:rPr>
          <w:sz w:val="11"/>
        </w:rPr>
      </w:pPr>
      <w:r>
        <w:rPr>
          <w:i/>
          <w:color w:val="231F20"/>
          <w:sz w:val="20"/>
        </w:rPr>
        <w:t>If it is not reasonably practicable to eliminate risks to health and safety, to reduce those risks so far as is reasonably</w:t>
      </w:r>
      <w:r>
        <w:rPr>
          <w:i/>
          <w:color w:val="231F20"/>
          <w:spacing w:val="5"/>
          <w:sz w:val="20"/>
        </w:rPr>
        <w:t xml:space="preserve"> </w:t>
      </w:r>
      <w:r>
        <w:rPr>
          <w:i/>
          <w:color w:val="231F20"/>
          <w:sz w:val="20"/>
        </w:rPr>
        <w:t>practicable.</w:t>
      </w:r>
      <w:r>
        <w:rPr>
          <w:color w:val="231F20"/>
          <w:position w:val="7"/>
          <w:sz w:val="11"/>
        </w:rPr>
        <w:t>4</w:t>
      </w:r>
    </w:p>
    <w:p w14:paraId="612C05E4" w14:textId="7B759982" w:rsidR="00160E7F" w:rsidRDefault="002B0299">
      <w:pPr>
        <w:pStyle w:val="BodyText"/>
        <w:spacing w:before="172" w:line="280" w:lineRule="auto"/>
        <w:ind w:left="134" w:right="1427"/>
      </w:pPr>
      <w:r>
        <w:rPr>
          <w:color w:val="58595B"/>
        </w:rPr>
        <w:t xml:space="preserve">We envisage a comparable duty relating to pollution and waste </w:t>
      </w:r>
      <w:r w:rsidR="00B546EF">
        <w:rPr>
          <w:color w:val="58595B"/>
        </w:rPr>
        <w:t>in a reframed EP Act, but with</w:t>
      </w:r>
      <w:r w:rsidR="00B546EF">
        <w:rPr>
          <w:color w:val="58595B"/>
        </w:rPr>
        <w:br/>
      </w:r>
      <w:r>
        <w:rPr>
          <w:color w:val="58595B"/>
        </w:rPr>
        <w:t xml:space="preserve">one very significant difference. Employers must </w:t>
      </w:r>
      <w:r>
        <w:rPr>
          <w:color w:val="58595B"/>
          <w:spacing w:val="-3"/>
        </w:rPr>
        <w:t xml:space="preserve">(so </w:t>
      </w:r>
      <w:r>
        <w:rPr>
          <w:color w:val="58595B"/>
        </w:rPr>
        <w:t xml:space="preserve">far as is reasonably practicable) </w:t>
      </w:r>
      <w:r>
        <w:rPr>
          <w:i/>
          <w:color w:val="58595B"/>
        </w:rPr>
        <w:t xml:space="preserve">eliminate </w:t>
      </w:r>
      <w:r>
        <w:rPr>
          <w:color w:val="58595B"/>
        </w:rPr>
        <w:t xml:space="preserve">risks to employee health and safety; the environmental duty will be to </w:t>
      </w:r>
      <w:r>
        <w:rPr>
          <w:i/>
          <w:color w:val="58595B"/>
        </w:rPr>
        <w:t xml:space="preserve">minimise </w:t>
      </w:r>
      <w:r>
        <w:rPr>
          <w:color w:val="58595B"/>
        </w:rPr>
        <w:t>– but not</w:t>
      </w:r>
      <w:r>
        <w:rPr>
          <w:color w:val="58595B"/>
          <w:spacing w:val="-9"/>
        </w:rPr>
        <w:t xml:space="preserve"> </w:t>
      </w:r>
      <w:r>
        <w:rPr>
          <w:color w:val="58595B"/>
        </w:rPr>
        <w:t>eliminate</w:t>
      </w:r>
    </w:p>
    <w:p w14:paraId="70EAEDCB" w14:textId="77777777" w:rsidR="00160E7F" w:rsidRDefault="002B0299">
      <w:pPr>
        <w:pStyle w:val="BodyText"/>
        <w:spacing w:before="2" w:line="280" w:lineRule="auto"/>
        <w:ind w:left="134" w:right="1459"/>
      </w:pPr>
      <w:r>
        <w:rPr>
          <w:color w:val="58595B"/>
        </w:rPr>
        <w:t xml:space="preserve">– risks to human health and the environment. As discussed in chapter 4, a </w:t>
      </w:r>
      <w:r>
        <w:rPr>
          <w:color w:val="58595B"/>
          <w:spacing w:val="-3"/>
        </w:rPr>
        <w:t xml:space="preserve">key </w:t>
      </w:r>
      <w:r>
        <w:rPr>
          <w:color w:val="58595B"/>
        </w:rPr>
        <w:t>feature of pollution regulation involves considering appropriate levels of risk tolerance and cost, because reducing the risk of harm from pollution and waste is costly and eliminating risk altogether is</w:t>
      </w:r>
      <w:r>
        <w:rPr>
          <w:color w:val="58595B"/>
          <w:spacing w:val="8"/>
        </w:rPr>
        <w:t xml:space="preserve"> </w:t>
      </w:r>
      <w:r>
        <w:rPr>
          <w:color w:val="58595B"/>
        </w:rPr>
        <w:t>impossible.</w:t>
      </w:r>
    </w:p>
    <w:p w14:paraId="7FB16925" w14:textId="77777777" w:rsidR="00160E7F" w:rsidRDefault="002B0299">
      <w:pPr>
        <w:pStyle w:val="BodyText"/>
        <w:spacing w:before="172"/>
        <w:ind w:left="134" w:right="789"/>
      </w:pPr>
      <w:r>
        <w:rPr>
          <w:color w:val="58595B"/>
        </w:rPr>
        <w:t>The proposed general duty would:</w:t>
      </w:r>
    </w:p>
    <w:p w14:paraId="541BBFEE" w14:textId="77777777" w:rsidR="00160E7F" w:rsidRDefault="002B0299">
      <w:pPr>
        <w:pStyle w:val="ListParagraph"/>
        <w:numPr>
          <w:ilvl w:val="0"/>
          <w:numId w:val="47"/>
        </w:numPr>
        <w:tabs>
          <w:tab w:val="left" w:pos="305"/>
        </w:tabs>
        <w:spacing w:before="153"/>
        <w:ind w:hanging="170"/>
        <w:rPr>
          <w:sz w:val="20"/>
        </w:rPr>
      </w:pPr>
      <w:r>
        <w:rPr>
          <w:color w:val="58595B"/>
          <w:sz w:val="20"/>
        </w:rPr>
        <w:t>be subject to the same qualification of ‘reasonably practicable’ as under the OHS</w:t>
      </w:r>
      <w:r>
        <w:rPr>
          <w:color w:val="58595B"/>
          <w:spacing w:val="9"/>
          <w:sz w:val="20"/>
        </w:rPr>
        <w:t xml:space="preserve"> </w:t>
      </w:r>
      <w:r>
        <w:rPr>
          <w:color w:val="58595B"/>
          <w:sz w:val="20"/>
        </w:rPr>
        <w:t>Act</w:t>
      </w:r>
    </w:p>
    <w:p w14:paraId="479EE14E" w14:textId="77777777" w:rsidR="00160E7F" w:rsidRDefault="002B0299">
      <w:pPr>
        <w:pStyle w:val="ListParagraph"/>
        <w:numPr>
          <w:ilvl w:val="0"/>
          <w:numId w:val="47"/>
        </w:numPr>
        <w:tabs>
          <w:tab w:val="left" w:pos="305"/>
        </w:tabs>
        <w:spacing w:before="153" w:line="280" w:lineRule="auto"/>
        <w:ind w:right="2186" w:hanging="170"/>
        <w:rPr>
          <w:sz w:val="20"/>
        </w:rPr>
      </w:pPr>
      <w:r>
        <w:rPr>
          <w:color w:val="58595B"/>
          <w:sz w:val="20"/>
        </w:rPr>
        <w:t>require duty holders to minimise risks of harm to human health or the environment from pollution or</w:t>
      </w:r>
      <w:r>
        <w:rPr>
          <w:color w:val="58595B"/>
          <w:spacing w:val="-1"/>
          <w:sz w:val="20"/>
        </w:rPr>
        <w:t xml:space="preserve"> </w:t>
      </w:r>
      <w:r>
        <w:rPr>
          <w:color w:val="58595B"/>
          <w:sz w:val="20"/>
        </w:rPr>
        <w:t>waste</w:t>
      </w:r>
    </w:p>
    <w:p w14:paraId="353650FE" w14:textId="77777777" w:rsidR="00160E7F" w:rsidRDefault="002B0299">
      <w:pPr>
        <w:pStyle w:val="ListParagraph"/>
        <w:numPr>
          <w:ilvl w:val="0"/>
          <w:numId w:val="47"/>
        </w:numPr>
        <w:tabs>
          <w:tab w:val="left" w:pos="305"/>
        </w:tabs>
        <w:spacing w:before="115"/>
        <w:ind w:hanging="170"/>
        <w:rPr>
          <w:sz w:val="20"/>
        </w:rPr>
      </w:pPr>
      <w:r>
        <w:rPr>
          <w:color w:val="58595B"/>
          <w:sz w:val="20"/>
        </w:rPr>
        <w:t>create both criminal and civil liability in the event of</w:t>
      </w:r>
      <w:r>
        <w:rPr>
          <w:color w:val="58595B"/>
          <w:spacing w:val="1"/>
          <w:sz w:val="20"/>
        </w:rPr>
        <w:t xml:space="preserve"> </w:t>
      </w:r>
      <w:r>
        <w:rPr>
          <w:color w:val="58595B"/>
          <w:sz w:val="20"/>
        </w:rPr>
        <w:t>breach.</w:t>
      </w:r>
    </w:p>
    <w:p w14:paraId="7FCDEA13" w14:textId="77777777" w:rsidR="00160E7F" w:rsidRDefault="00160E7F">
      <w:pPr>
        <w:pStyle w:val="BodyText"/>
        <w:spacing w:before="3"/>
        <w:rPr>
          <w:sz w:val="18"/>
        </w:rPr>
      </w:pPr>
    </w:p>
    <w:p w14:paraId="1999D7E3" w14:textId="77777777" w:rsidR="00160E7F" w:rsidRDefault="002B0299">
      <w:pPr>
        <w:pStyle w:val="BodyText"/>
        <w:spacing w:line="280" w:lineRule="auto"/>
        <w:ind w:left="134" w:right="1747"/>
      </w:pPr>
      <w:r>
        <w:rPr>
          <w:color w:val="58595B"/>
        </w:rPr>
        <w:t>As with the offences under the OHS Act, the offence of breaching the general duty will have the following features:</w:t>
      </w:r>
    </w:p>
    <w:p w14:paraId="3DFBD20B" w14:textId="77777777" w:rsidR="00160E7F" w:rsidRDefault="002B0299">
      <w:pPr>
        <w:pStyle w:val="ListParagraph"/>
        <w:numPr>
          <w:ilvl w:val="0"/>
          <w:numId w:val="47"/>
        </w:numPr>
        <w:tabs>
          <w:tab w:val="left" w:pos="305"/>
        </w:tabs>
        <w:spacing w:before="115" w:line="280" w:lineRule="auto"/>
        <w:ind w:right="1776" w:hanging="170"/>
        <w:rPr>
          <w:sz w:val="20"/>
        </w:rPr>
      </w:pPr>
      <w:r>
        <w:rPr>
          <w:color w:val="58595B"/>
          <w:sz w:val="20"/>
        </w:rPr>
        <w:t>whether harm actually occurs is not an element of the offence, but would be evidence of the risk eventuating and the degree of harm that would result if the risk</w:t>
      </w:r>
      <w:r>
        <w:rPr>
          <w:color w:val="58595B"/>
          <w:spacing w:val="-10"/>
          <w:sz w:val="20"/>
        </w:rPr>
        <w:t xml:space="preserve"> </w:t>
      </w:r>
      <w:r>
        <w:rPr>
          <w:color w:val="58595B"/>
          <w:sz w:val="20"/>
        </w:rPr>
        <w:t>eventuated</w:t>
      </w:r>
    </w:p>
    <w:p w14:paraId="00B5BAC7" w14:textId="77777777" w:rsidR="00160E7F" w:rsidRDefault="002B0299">
      <w:pPr>
        <w:pStyle w:val="ListParagraph"/>
        <w:numPr>
          <w:ilvl w:val="0"/>
          <w:numId w:val="47"/>
        </w:numPr>
        <w:tabs>
          <w:tab w:val="left" w:pos="305"/>
        </w:tabs>
        <w:spacing w:before="115"/>
        <w:ind w:hanging="170"/>
        <w:rPr>
          <w:sz w:val="11"/>
        </w:rPr>
      </w:pPr>
      <w:r>
        <w:rPr>
          <w:color w:val="58595B"/>
          <w:sz w:val="20"/>
        </w:rPr>
        <w:t>proof of a breach would not require proof of knowledge, intention or</w:t>
      </w:r>
      <w:r>
        <w:rPr>
          <w:color w:val="58595B"/>
          <w:spacing w:val="3"/>
          <w:sz w:val="20"/>
        </w:rPr>
        <w:t xml:space="preserve"> </w:t>
      </w:r>
      <w:r>
        <w:rPr>
          <w:color w:val="58595B"/>
          <w:sz w:val="20"/>
        </w:rPr>
        <w:t>recklessness</w:t>
      </w:r>
      <w:r>
        <w:rPr>
          <w:color w:val="58595B"/>
          <w:position w:val="7"/>
          <w:sz w:val="11"/>
        </w:rPr>
        <w:t>5</w:t>
      </w:r>
    </w:p>
    <w:p w14:paraId="56CB2268" w14:textId="77777777" w:rsidR="00160E7F" w:rsidRDefault="002B0299">
      <w:pPr>
        <w:pStyle w:val="ListParagraph"/>
        <w:numPr>
          <w:ilvl w:val="0"/>
          <w:numId w:val="47"/>
        </w:numPr>
        <w:tabs>
          <w:tab w:val="left" w:pos="305"/>
        </w:tabs>
        <w:spacing w:before="153" w:line="280" w:lineRule="auto"/>
        <w:ind w:right="1542" w:hanging="170"/>
        <w:rPr>
          <w:sz w:val="11"/>
        </w:rPr>
      </w:pPr>
      <w:r>
        <w:rPr>
          <w:color w:val="58595B"/>
          <w:sz w:val="20"/>
        </w:rPr>
        <w:t>liability for a breach would arise when the relevant event occurs, namely, a failure to prevent or minimise risks of</w:t>
      </w:r>
      <w:r>
        <w:rPr>
          <w:color w:val="58595B"/>
          <w:spacing w:val="4"/>
          <w:sz w:val="20"/>
        </w:rPr>
        <w:t xml:space="preserve"> </w:t>
      </w:r>
      <w:r>
        <w:rPr>
          <w:color w:val="58595B"/>
          <w:sz w:val="20"/>
        </w:rPr>
        <w:t>harm.</w:t>
      </w:r>
      <w:r>
        <w:rPr>
          <w:color w:val="58595B"/>
          <w:position w:val="7"/>
          <w:sz w:val="11"/>
        </w:rPr>
        <w:t>6</w:t>
      </w:r>
    </w:p>
    <w:p w14:paraId="49F3DFE0" w14:textId="77777777" w:rsidR="00160E7F" w:rsidRDefault="002B0299">
      <w:pPr>
        <w:pStyle w:val="BodyText"/>
        <w:spacing w:before="172" w:line="280" w:lineRule="auto"/>
        <w:ind w:left="134" w:right="1526"/>
      </w:pPr>
      <w:r>
        <w:rPr>
          <w:color w:val="58595B"/>
        </w:rPr>
        <w:t>Everyone must play their part in reducing risks of harm from pollution and waste. Instead of focusing narrowly on a small number of known poor performers, the general duty engages broadly, adopting the positive presumption that most businesses want to comply, some just need knowledge and support. The EPA needs to empower, educate and assist duty holders to comply with their environmental obligations.</w:t>
      </w:r>
    </w:p>
    <w:p w14:paraId="2BE06F7D" w14:textId="77777777" w:rsidR="00160E7F" w:rsidRDefault="00160E7F">
      <w:pPr>
        <w:spacing w:line="280" w:lineRule="auto"/>
        <w:sectPr w:rsidR="00160E7F">
          <w:pgSz w:w="11910" w:h="16840"/>
          <w:pgMar w:top="980" w:right="0" w:bottom="280" w:left="1680" w:header="788" w:footer="0" w:gutter="0"/>
          <w:cols w:space="720"/>
        </w:sectPr>
      </w:pPr>
    </w:p>
    <w:p w14:paraId="5C21E374" w14:textId="77777777" w:rsidR="00160E7F" w:rsidRDefault="00160E7F">
      <w:pPr>
        <w:pStyle w:val="BodyText"/>
      </w:pPr>
    </w:p>
    <w:p w14:paraId="1B1FB934" w14:textId="77777777" w:rsidR="00160E7F" w:rsidRDefault="00160E7F">
      <w:pPr>
        <w:pStyle w:val="BodyText"/>
      </w:pPr>
    </w:p>
    <w:p w14:paraId="2B10AE1F" w14:textId="77777777" w:rsidR="00160E7F" w:rsidRDefault="00160E7F">
      <w:pPr>
        <w:pStyle w:val="BodyText"/>
      </w:pPr>
    </w:p>
    <w:p w14:paraId="39F4B7E0" w14:textId="77777777" w:rsidR="00160E7F" w:rsidRDefault="00160E7F">
      <w:pPr>
        <w:pStyle w:val="BodyText"/>
      </w:pPr>
    </w:p>
    <w:p w14:paraId="7C3ED354" w14:textId="77777777" w:rsidR="00160E7F" w:rsidRDefault="00160E7F">
      <w:pPr>
        <w:pStyle w:val="BodyText"/>
        <w:spacing w:before="8"/>
        <w:rPr>
          <w:sz w:val="17"/>
        </w:rPr>
      </w:pPr>
    </w:p>
    <w:p w14:paraId="113E3E3F" w14:textId="77777777" w:rsidR="00160E7F" w:rsidRDefault="002B0299">
      <w:pPr>
        <w:pStyle w:val="BodyText"/>
        <w:spacing w:before="1" w:line="280" w:lineRule="auto"/>
        <w:ind w:left="1417" w:right="343"/>
      </w:pPr>
      <w:r>
        <w:rPr>
          <w:color w:val="58595B"/>
        </w:rPr>
        <w:t>Under a general duty, duty holders must take reasonably practicable measures to prevent or minimise risks of harm. It also changes the EPA’s regulatory effort from dealing reactively with the consequences of harm to acting proactively, minimising the risks of harm before an incident can occur.</w:t>
      </w:r>
    </w:p>
    <w:p w14:paraId="1BE6ACC3" w14:textId="77777777" w:rsidR="00160E7F" w:rsidRDefault="00160E7F">
      <w:pPr>
        <w:pStyle w:val="BodyText"/>
        <w:spacing w:before="4"/>
        <w:rPr>
          <w:sz w:val="22"/>
        </w:rPr>
      </w:pPr>
    </w:p>
    <w:p w14:paraId="7B7E7F51" w14:textId="77777777" w:rsidR="00160E7F" w:rsidRDefault="002B0299">
      <w:pPr>
        <w:pStyle w:val="ListParagraph"/>
        <w:numPr>
          <w:ilvl w:val="2"/>
          <w:numId w:val="42"/>
        </w:numPr>
        <w:tabs>
          <w:tab w:val="left" w:pos="2053"/>
        </w:tabs>
        <w:spacing w:before="0"/>
        <w:ind w:hanging="635"/>
        <w:jc w:val="left"/>
        <w:rPr>
          <w:sz w:val="20"/>
        </w:rPr>
      </w:pPr>
      <w:r>
        <w:rPr>
          <w:color w:val="0095A7"/>
          <w:sz w:val="20"/>
        </w:rPr>
        <w:t>Established models for a general</w:t>
      </w:r>
      <w:r>
        <w:rPr>
          <w:color w:val="0095A7"/>
          <w:spacing w:val="6"/>
          <w:sz w:val="20"/>
        </w:rPr>
        <w:t xml:space="preserve"> </w:t>
      </w:r>
      <w:r>
        <w:rPr>
          <w:color w:val="0095A7"/>
          <w:sz w:val="20"/>
        </w:rPr>
        <w:t>duty</w:t>
      </w:r>
    </w:p>
    <w:p w14:paraId="3EE73565" w14:textId="77777777" w:rsidR="00160E7F" w:rsidRDefault="002B0299">
      <w:pPr>
        <w:pStyle w:val="BodyText"/>
        <w:spacing w:before="153" w:line="280" w:lineRule="auto"/>
        <w:ind w:left="1417" w:right="174"/>
      </w:pPr>
      <w:r>
        <w:rPr>
          <w:color w:val="58595B"/>
        </w:rPr>
        <w:t>As noted above, the concept of a general duty is well established in Victoria through occupational health and safety regulation.</w:t>
      </w:r>
      <w:r>
        <w:rPr>
          <w:color w:val="58595B"/>
          <w:position w:val="7"/>
          <w:sz w:val="11"/>
        </w:rPr>
        <w:t xml:space="preserve">7  </w:t>
      </w:r>
      <w:r>
        <w:rPr>
          <w:color w:val="58595B"/>
        </w:rPr>
        <w:t>It has been embedded in legislation and industry practice for over 30 years.</w:t>
      </w:r>
    </w:p>
    <w:p w14:paraId="46F83DFB" w14:textId="77777777" w:rsidR="00160E7F" w:rsidRDefault="002B0299">
      <w:pPr>
        <w:pStyle w:val="BodyText"/>
        <w:spacing w:before="172" w:line="280" w:lineRule="auto"/>
        <w:ind w:left="1417" w:right="131"/>
      </w:pPr>
      <w:r>
        <w:rPr>
          <w:color w:val="58595B"/>
        </w:rPr>
        <w:t>Other Australian states and territories have also included a general duty in their environment protection laws. South Australia introduced a general duty for the environment in 1993.</w:t>
      </w:r>
      <w:r>
        <w:rPr>
          <w:color w:val="58595B"/>
          <w:position w:val="7"/>
          <w:sz w:val="11"/>
        </w:rPr>
        <w:t xml:space="preserve">8 </w:t>
      </w:r>
      <w:r>
        <w:rPr>
          <w:color w:val="58595B"/>
        </w:rPr>
        <w:t>A general environmental duty was subsequently adopted in Queensland (1994),</w:t>
      </w:r>
      <w:r>
        <w:rPr>
          <w:color w:val="58595B"/>
          <w:position w:val="7"/>
          <w:sz w:val="11"/>
        </w:rPr>
        <w:t xml:space="preserve">9 </w:t>
      </w:r>
      <w:r>
        <w:rPr>
          <w:color w:val="58595B"/>
        </w:rPr>
        <w:t>the ACT (1997),</w:t>
      </w:r>
      <w:r>
        <w:rPr>
          <w:color w:val="58595B"/>
          <w:position w:val="7"/>
          <w:sz w:val="11"/>
        </w:rPr>
        <w:t xml:space="preserve">10 </w:t>
      </w:r>
      <w:r>
        <w:rPr>
          <w:color w:val="58595B"/>
        </w:rPr>
        <w:t>the Northern Territory (1998)</w:t>
      </w:r>
      <w:r>
        <w:rPr>
          <w:color w:val="58595B"/>
          <w:position w:val="7"/>
          <w:sz w:val="11"/>
        </w:rPr>
        <w:t xml:space="preserve">11 </w:t>
      </w:r>
      <w:r>
        <w:rPr>
          <w:color w:val="58595B"/>
        </w:rPr>
        <w:t>and Tasmania (2000).</w:t>
      </w:r>
      <w:r>
        <w:rPr>
          <w:color w:val="58595B"/>
          <w:position w:val="7"/>
          <w:sz w:val="11"/>
        </w:rPr>
        <w:t xml:space="preserve">12 </w:t>
      </w:r>
      <w:r>
        <w:rPr>
          <w:color w:val="58595B"/>
        </w:rPr>
        <w:t>In each case, failure to comply with the general duty allows the regulator to issue an administrative or remedial notice. Failure to comply with such a notice (rather than with the duty itself) is an offence. Civil remedies may be sought in South Australia when the general duty is breached, but failure to comply is not an offence in itself.</w:t>
      </w:r>
    </w:p>
    <w:p w14:paraId="3C6E9B4D" w14:textId="77777777" w:rsidR="00160E7F" w:rsidRDefault="00160E7F">
      <w:pPr>
        <w:pStyle w:val="BodyText"/>
        <w:spacing w:before="4"/>
        <w:rPr>
          <w:sz w:val="22"/>
        </w:rPr>
      </w:pPr>
    </w:p>
    <w:p w14:paraId="7A48BFFF" w14:textId="77777777" w:rsidR="00160E7F" w:rsidRDefault="002B0299">
      <w:pPr>
        <w:pStyle w:val="ListParagraph"/>
        <w:numPr>
          <w:ilvl w:val="2"/>
          <w:numId w:val="42"/>
        </w:numPr>
        <w:tabs>
          <w:tab w:val="left" w:pos="2076"/>
        </w:tabs>
        <w:spacing w:before="0"/>
        <w:ind w:left="2075" w:hanging="658"/>
        <w:jc w:val="left"/>
        <w:rPr>
          <w:sz w:val="20"/>
        </w:rPr>
      </w:pPr>
      <w:r>
        <w:rPr>
          <w:color w:val="0095A7"/>
          <w:sz w:val="20"/>
        </w:rPr>
        <w:t>The case for a general</w:t>
      </w:r>
      <w:r>
        <w:rPr>
          <w:color w:val="0095A7"/>
          <w:spacing w:val="6"/>
          <w:sz w:val="20"/>
        </w:rPr>
        <w:t xml:space="preserve"> </w:t>
      </w:r>
      <w:r>
        <w:rPr>
          <w:color w:val="0095A7"/>
          <w:sz w:val="20"/>
        </w:rPr>
        <w:t>duty</w:t>
      </w:r>
    </w:p>
    <w:p w14:paraId="53FA9079" w14:textId="77777777" w:rsidR="00160E7F" w:rsidRDefault="002B0299">
      <w:pPr>
        <w:pStyle w:val="BodyText"/>
        <w:spacing w:before="153" w:line="280" w:lineRule="auto"/>
        <w:ind w:left="1417" w:right="142"/>
        <w:rPr>
          <w:sz w:val="11"/>
        </w:rPr>
      </w:pPr>
      <w:r>
        <w:rPr>
          <w:color w:val="58595B"/>
        </w:rPr>
        <w:t>In a civil society, everyone should play their part and help protect the environment. A general duty to minimise risks of harm from pollution and waste involves identifying and assessing possible risks, and then implementing mitigation measures. Establishing such a duty in Victoria will allow the EPA to take action if businesses or individuals fail to take steps to prevent harm (whether or not the harm eventuates). At present, the EPA takes action after a harm occurs and must prove the harm to establish a breach.</w:t>
      </w:r>
      <w:r>
        <w:rPr>
          <w:color w:val="58595B"/>
          <w:position w:val="7"/>
          <w:sz w:val="11"/>
        </w:rPr>
        <w:t>13</w:t>
      </w:r>
    </w:p>
    <w:p w14:paraId="4E854F18" w14:textId="77777777" w:rsidR="00160E7F" w:rsidRDefault="002B0299">
      <w:pPr>
        <w:pStyle w:val="BodyText"/>
        <w:spacing w:before="172" w:line="280" w:lineRule="auto"/>
        <w:ind w:left="1417" w:right="185"/>
      </w:pPr>
      <w:r>
        <w:rPr>
          <w:color w:val="58595B"/>
        </w:rPr>
        <w:t>Currently, the EP Act defines pollution offences narrowly around specific harms. These offences do not adequately deal with:</w:t>
      </w:r>
    </w:p>
    <w:p w14:paraId="6B381D17" w14:textId="77777777" w:rsidR="00160E7F" w:rsidRDefault="002B0299">
      <w:pPr>
        <w:pStyle w:val="ListParagraph"/>
        <w:numPr>
          <w:ilvl w:val="1"/>
          <w:numId w:val="47"/>
        </w:numPr>
        <w:tabs>
          <w:tab w:val="left" w:pos="1588"/>
        </w:tabs>
        <w:spacing w:before="115" w:line="280" w:lineRule="auto"/>
        <w:ind w:right="251" w:hanging="170"/>
        <w:jc w:val="both"/>
        <w:rPr>
          <w:sz w:val="20"/>
        </w:rPr>
      </w:pPr>
      <w:r>
        <w:rPr>
          <w:color w:val="58595B"/>
          <w:sz w:val="20"/>
        </w:rPr>
        <w:t>clearly harmful behaviour, such as causing persistent low level pollution, particularly where the receiving environment is already affected by pollution or there are numerous potential pollution sources</w:t>
      </w:r>
    </w:p>
    <w:p w14:paraId="62C0DF3C" w14:textId="77777777" w:rsidR="00160E7F" w:rsidRDefault="002B0299">
      <w:pPr>
        <w:pStyle w:val="ListParagraph"/>
        <w:numPr>
          <w:ilvl w:val="1"/>
          <w:numId w:val="47"/>
        </w:numPr>
        <w:tabs>
          <w:tab w:val="left" w:pos="1588"/>
        </w:tabs>
        <w:spacing w:before="115"/>
        <w:ind w:hanging="170"/>
        <w:rPr>
          <w:sz w:val="20"/>
        </w:rPr>
      </w:pPr>
      <w:r>
        <w:rPr>
          <w:color w:val="58595B"/>
          <w:sz w:val="20"/>
        </w:rPr>
        <w:t>poor environmental practices that do not result in pollution reaching the receiving</w:t>
      </w:r>
      <w:r>
        <w:rPr>
          <w:color w:val="58595B"/>
          <w:spacing w:val="4"/>
          <w:sz w:val="20"/>
        </w:rPr>
        <w:t xml:space="preserve"> </w:t>
      </w:r>
      <w:r>
        <w:rPr>
          <w:color w:val="58595B"/>
          <w:sz w:val="20"/>
        </w:rPr>
        <w:t>environment</w:t>
      </w:r>
    </w:p>
    <w:p w14:paraId="1C40DF95" w14:textId="77777777" w:rsidR="00160E7F" w:rsidRDefault="002B0299">
      <w:pPr>
        <w:pStyle w:val="ListParagraph"/>
        <w:numPr>
          <w:ilvl w:val="1"/>
          <w:numId w:val="47"/>
        </w:numPr>
        <w:tabs>
          <w:tab w:val="left" w:pos="1588"/>
        </w:tabs>
        <w:spacing w:before="153"/>
        <w:ind w:hanging="170"/>
        <w:rPr>
          <w:sz w:val="20"/>
        </w:rPr>
      </w:pPr>
      <w:r>
        <w:rPr>
          <w:color w:val="58595B"/>
          <w:sz w:val="20"/>
        </w:rPr>
        <w:t>new materials with serious environmental and health</w:t>
      </w:r>
      <w:r>
        <w:rPr>
          <w:color w:val="58595B"/>
          <w:spacing w:val="1"/>
          <w:sz w:val="20"/>
        </w:rPr>
        <w:t xml:space="preserve"> </w:t>
      </w:r>
      <w:r>
        <w:rPr>
          <w:color w:val="58595B"/>
          <w:sz w:val="20"/>
        </w:rPr>
        <w:t>impacts.</w:t>
      </w:r>
    </w:p>
    <w:p w14:paraId="7FCE2859" w14:textId="77777777" w:rsidR="00160E7F" w:rsidRDefault="00160E7F">
      <w:pPr>
        <w:pStyle w:val="BodyText"/>
        <w:spacing w:before="3"/>
        <w:rPr>
          <w:sz w:val="18"/>
        </w:rPr>
      </w:pPr>
    </w:p>
    <w:p w14:paraId="22EEDAA4" w14:textId="77777777" w:rsidR="00160E7F" w:rsidRDefault="002B0299">
      <w:pPr>
        <w:pStyle w:val="BodyText"/>
        <w:spacing w:line="280" w:lineRule="auto"/>
        <w:ind w:left="1417" w:right="185"/>
      </w:pPr>
      <w:r>
        <w:rPr>
          <w:color w:val="58595B"/>
        </w:rPr>
        <w:t>Proof of an offence ‘beyond reasonable doubt’ is difficult given the way the offences are currently framed. It has to be demonstrated that ‘the condition of the [water/air/land] is so changed as to make or be reasonably expected to make’ it harmful or potentially harmful.</w:t>
      </w:r>
    </w:p>
    <w:p w14:paraId="4046863E" w14:textId="77777777" w:rsidR="00160E7F" w:rsidRDefault="002B0299">
      <w:pPr>
        <w:pStyle w:val="BodyText"/>
        <w:spacing w:before="172" w:line="280" w:lineRule="auto"/>
        <w:ind w:left="1417" w:right="142"/>
      </w:pPr>
      <w:r>
        <w:rPr>
          <w:color w:val="58595B"/>
        </w:rPr>
        <w:t>By contrast, a general duty is both enduring and flexible. Specific practices or technologies do not have to be identified upfront and the duty can apply to new hazards that emerge in the future.</w:t>
      </w:r>
    </w:p>
    <w:p w14:paraId="6C98C8FE" w14:textId="77777777" w:rsidR="00160E7F" w:rsidRDefault="002B0299">
      <w:pPr>
        <w:pStyle w:val="BodyText"/>
        <w:spacing w:before="2" w:line="280" w:lineRule="auto"/>
        <w:ind w:left="1417" w:right="185"/>
        <w:rPr>
          <w:sz w:val="11"/>
        </w:rPr>
      </w:pPr>
      <w:r>
        <w:rPr>
          <w:color w:val="58595B"/>
        </w:rPr>
        <w:t>Codes of practice can be updated regularly to reflect changes and guide compliance. In this way, a general duty can fill the gaps where no specific requirement exists in current legislation.</w:t>
      </w:r>
      <w:r>
        <w:rPr>
          <w:color w:val="58595B"/>
          <w:position w:val="7"/>
          <w:sz w:val="11"/>
        </w:rPr>
        <w:t>14</w:t>
      </w:r>
    </w:p>
    <w:p w14:paraId="3C63BBA0" w14:textId="77777777" w:rsidR="00160E7F" w:rsidRDefault="002B0299">
      <w:pPr>
        <w:pStyle w:val="BodyText"/>
        <w:spacing w:before="172" w:line="280" w:lineRule="auto"/>
        <w:ind w:left="1417" w:right="142"/>
      </w:pPr>
      <w:r>
        <w:rPr>
          <w:color w:val="58595B"/>
        </w:rPr>
        <w:t>Future pollution challenges are likely to be increasingly related to diffuse and small point source pollution. The Future Air study projected growth in emissions from some near-to-ground sources, especially from domestic, commercial and small industry sectors.</w:t>
      </w:r>
      <w:r>
        <w:rPr>
          <w:color w:val="58595B"/>
          <w:position w:val="7"/>
          <w:sz w:val="11"/>
        </w:rPr>
        <w:t xml:space="preserve">15 </w:t>
      </w:r>
      <w:r>
        <w:rPr>
          <w:color w:val="58595B"/>
        </w:rPr>
        <w:t>The EPA’s current toolkit does not enable it to deal effectively with these risks.</w:t>
      </w:r>
    </w:p>
    <w:p w14:paraId="5921ACA2" w14:textId="77777777" w:rsidR="00160E7F" w:rsidRDefault="00160E7F">
      <w:pPr>
        <w:spacing w:line="280" w:lineRule="auto"/>
        <w:sectPr w:rsidR="00160E7F">
          <w:headerReference w:type="even" r:id="rId31"/>
          <w:headerReference w:type="default" r:id="rId32"/>
          <w:pgSz w:w="11910" w:h="16840"/>
          <w:pgMar w:top="980" w:right="1680" w:bottom="280" w:left="0" w:header="788" w:footer="0" w:gutter="0"/>
          <w:pgNumType w:start="222"/>
          <w:cols w:space="720"/>
        </w:sectPr>
      </w:pPr>
    </w:p>
    <w:p w14:paraId="7BE8B5F0" w14:textId="77777777" w:rsidR="00160E7F" w:rsidRDefault="00160E7F">
      <w:pPr>
        <w:pStyle w:val="BodyText"/>
      </w:pPr>
    </w:p>
    <w:p w14:paraId="2998B864" w14:textId="77777777" w:rsidR="00160E7F" w:rsidRDefault="00160E7F">
      <w:pPr>
        <w:pStyle w:val="BodyText"/>
      </w:pPr>
    </w:p>
    <w:p w14:paraId="62E6A613" w14:textId="77777777" w:rsidR="00160E7F" w:rsidRDefault="00160E7F">
      <w:pPr>
        <w:pStyle w:val="BodyText"/>
      </w:pPr>
    </w:p>
    <w:p w14:paraId="457E0743" w14:textId="77777777" w:rsidR="00160E7F" w:rsidRDefault="00160E7F">
      <w:pPr>
        <w:pStyle w:val="BodyText"/>
      </w:pPr>
    </w:p>
    <w:p w14:paraId="0EE95F72" w14:textId="77777777" w:rsidR="00160E7F" w:rsidRDefault="00160E7F">
      <w:pPr>
        <w:pStyle w:val="BodyText"/>
        <w:spacing w:before="8"/>
        <w:rPr>
          <w:sz w:val="17"/>
        </w:rPr>
      </w:pPr>
    </w:p>
    <w:p w14:paraId="29FF648B" w14:textId="77777777" w:rsidR="00160E7F" w:rsidRDefault="002B0299" w:rsidP="002B0299">
      <w:pPr>
        <w:pStyle w:val="BodyText"/>
        <w:spacing w:before="1"/>
        <w:ind w:left="134" w:right="789"/>
      </w:pPr>
      <w:r>
        <w:rPr>
          <w:color w:val="58595B"/>
        </w:rPr>
        <w:t>Strategies that have successfully controlled large point source pollution are often inappropriate</w:t>
      </w:r>
      <w:r>
        <w:t xml:space="preserve"> </w:t>
      </w:r>
      <w:r>
        <w:rPr>
          <w:color w:val="58595B"/>
        </w:rPr>
        <w:t>or</w:t>
      </w:r>
      <w:r>
        <w:rPr>
          <w:color w:val="58595B"/>
          <w:spacing w:val="-5"/>
        </w:rPr>
        <w:t xml:space="preserve"> </w:t>
      </w:r>
      <w:r>
        <w:rPr>
          <w:color w:val="58595B"/>
        </w:rPr>
        <w:t>ineffective</w:t>
      </w:r>
      <w:r>
        <w:rPr>
          <w:color w:val="58595B"/>
          <w:spacing w:val="-5"/>
        </w:rPr>
        <w:t xml:space="preserve"> </w:t>
      </w:r>
      <w:r>
        <w:rPr>
          <w:color w:val="58595B"/>
        </w:rPr>
        <w:t>for</w:t>
      </w:r>
      <w:r>
        <w:rPr>
          <w:color w:val="58595B"/>
          <w:spacing w:val="-5"/>
        </w:rPr>
        <w:t xml:space="preserve"> </w:t>
      </w:r>
      <w:r>
        <w:rPr>
          <w:color w:val="58595B"/>
        </w:rPr>
        <w:t>diffuse</w:t>
      </w:r>
      <w:r>
        <w:rPr>
          <w:color w:val="58595B"/>
          <w:spacing w:val="-5"/>
        </w:rPr>
        <w:t xml:space="preserve"> </w:t>
      </w:r>
      <w:r>
        <w:rPr>
          <w:color w:val="58595B"/>
        </w:rPr>
        <w:t>and</w:t>
      </w:r>
      <w:r>
        <w:rPr>
          <w:color w:val="58595B"/>
          <w:spacing w:val="-5"/>
        </w:rPr>
        <w:t xml:space="preserve"> </w:t>
      </w:r>
      <w:r>
        <w:rPr>
          <w:color w:val="58595B"/>
        </w:rPr>
        <w:t>small</w:t>
      </w:r>
      <w:r>
        <w:rPr>
          <w:color w:val="58595B"/>
          <w:spacing w:val="-5"/>
        </w:rPr>
        <w:t xml:space="preserve"> </w:t>
      </w:r>
      <w:r>
        <w:rPr>
          <w:color w:val="58595B"/>
        </w:rPr>
        <w:t>point</w:t>
      </w:r>
      <w:r>
        <w:rPr>
          <w:color w:val="58595B"/>
          <w:spacing w:val="-5"/>
        </w:rPr>
        <w:t xml:space="preserve"> </w:t>
      </w:r>
      <w:r>
        <w:rPr>
          <w:color w:val="58595B"/>
        </w:rPr>
        <w:t>sources.</w:t>
      </w:r>
      <w:r>
        <w:rPr>
          <w:color w:val="58595B"/>
          <w:spacing w:val="-5"/>
        </w:rPr>
        <w:t xml:space="preserve"> </w:t>
      </w:r>
      <w:r>
        <w:rPr>
          <w:color w:val="58595B"/>
        </w:rPr>
        <w:t>Applying</w:t>
      </w:r>
      <w:r>
        <w:rPr>
          <w:color w:val="58595B"/>
          <w:spacing w:val="-5"/>
        </w:rPr>
        <w:t xml:space="preserve"> </w:t>
      </w:r>
      <w:r>
        <w:rPr>
          <w:color w:val="58595B"/>
        </w:rPr>
        <w:t>the</w:t>
      </w:r>
      <w:r>
        <w:rPr>
          <w:color w:val="58595B"/>
          <w:spacing w:val="-5"/>
        </w:rPr>
        <w:t xml:space="preserve"> </w:t>
      </w:r>
      <w:r>
        <w:rPr>
          <w:color w:val="58595B"/>
          <w:spacing w:val="-7"/>
        </w:rPr>
        <w:t>EPA’s</w:t>
      </w:r>
      <w:r>
        <w:rPr>
          <w:color w:val="58595B"/>
          <w:spacing w:val="-5"/>
        </w:rPr>
        <w:t xml:space="preserve"> </w:t>
      </w:r>
      <w:r>
        <w:rPr>
          <w:color w:val="58595B"/>
        </w:rPr>
        <w:t>traditional</w:t>
      </w:r>
      <w:r>
        <w:rPr>
          <w:color w:val="58595B"/>
          <w:spacing w:val="-5"/>
        </w:rPr>
        <w:t xml:space="preserve"> </w:t>
      </w:r>
      <w:r>
        <w:rPr>
          <w:color w:val="58595B"/>
        </w:rPr>
        <w:t>core</w:t>
      </w:r>
      <w:r>
        <w:rPr>
          <w:color w:val="58595B"/>
          <w:spacing w:val="-5"/>
        </w:rPr>
        <w:t xml:space="preserve"> </w:t>
      </w:r>
      <w:r>
        <w:rPr>
          <w:color w:val="58595B"/>
        </w:rPr>
        <w:t>regulatory</w:t>
      </w:r>
      <w:r>
        <w:rPr>
          <w:color w:val="58595B"/>
          <w:spacing w:val="-5"/>
        </w:rPr>
        <w:t xml:space="preserve"> </w:t>
      </w:r>
      <w:r>
        <w:rPr>
          <w:color w:val="58595B"/>
        </w:rPr>
        <w:t xml:space="preserve">tool of licensing to, for example, thousands of small businesses would be inefficient – requiring costly </w:t>
      </w:r>
      <w:r>
        <w:rPr>
          <w:color w:val="58595B"/>
          <w:spacing w:val="2"/>
        </w:rPr>
        <w:t xml:space="preserve">one-on-one </w:t>
      </w:r>
      <w:r>
        <w:rPr>
          <w:color w:val="58595B"/>
        </w:rPr>
        <w:t>engagement with businesses and compliance paperwork for the duty holder. It is also disproportionate to the risk each business</w:t>
      </w:r>
      <w:r>
        <w:rPr>
          <w:color w:val="58595B"/>
          <w:spacing w:val="17"/>
        </w:rPr>
        <w:t xml:space="preserve"> </w:t>
      </w:r>
      <w:r>
        <w:rPr>
          <w:color w:val="58595B"/>
        </w:rPr>
        <w:t>poses.</w:t>
      </w:r>
    </w:p>
    <w:p w14:paraId="45C0F0F4" w14:textId="77777777" w:rsidR="00160E7F" w:rsidRDefault="002B0299">
      <w:pPr>
        <w:pStyle w:val="BodyText"/>
        <w:spacing w:before="172" w:line="280" w:lineRule="auto"/>
        <w:ind w:left="134" w:right="1433"/>
      </w:pPr>
      <w:r>
        <w:rPr>
          <w:color w:val="58595B"/>
        </w:rPr>
        <w:t xml:space="preserve">The </w:t>
      </w:r>
      <w:r>
        <w:rPr>
          <w:color w:val="58595B"/>
          <w:spacing w:val="-8"/>
        </w:rPr>
        <w:t xml:space="preserve">2011 </w:t>
      </w:r>
      <w:r>
        <w:rPr>
          <w:color w:val="58595B"/>
        </w:rPr>
        <w:t xml:space="preserve">Krpan </w:t>
      </w:r>
      <w:r>
        <w:rPr>
          <w:color w:val="58595B"/>
          <w:spacing w:val="-4"/>
        </w:rPr>
        <w:t xml:space="preserve">Review </w:t>
      </w:r>
      <w:r>
        <w:rPr>
          <w:color w:val="58595B"/>
          <w:spacing w:val="-3"/>
        </w:rPr>
        <w:t xml:space="preserve">recommended </w:t>
      </w:r>
      <w:r>
        <w:rPr>
          <w:color w:val="58595B"/>
        </w:rPr>
        <w:t xml:space="preserve">a </w:t>
      </w:r>
      <w:r>
        <w:rPr>
          <w:color w:val="58595B"/>
          <w:spacing w:val="-3"/>
        </w:rPr>
        <w:t xml:space="preserve">general </w:t>
      </w:r>
      <w:r>
        <w:rPr>
          <w:color w:val="58595B"/>
        </w:rPr>
        <w:t xml:space="preserve">duty as an </w:t>
      </w:r>
      <w:r>
        <w:rPr>
          <w:color w:val="58595B"/>
          <w:spacing w:val="-3"/>
        </w:rPr>
        <w:t xml:space="preserve">effective </w:t>
      </w:r>
      <w:r>
        <w:rPr>
          <w:color w:val="58595B"/>
          <w:spacing w:val="-4"/>
        </w:rPr>
        <w:t xml:space="preserve">way </w:t>
      </w:r>
      <w:r>
        <w:rPr>
          <w:color w:val="58595B"/>
        </w:rPr>
        <w:t xml:space="preserve">of </w:t>
      </w:r>
      <w:r>
        <w:rPr>
          <w:color w:val="58595B"/>
          <w:spacing w:val="-3"/>
        </w:rPr>
        <w:t xml:space="preserve">ensuring shared </w:t>
      </w:r>
      <w:r>
        <w:rPr>
          <w:color w:val="58595B"/>
          <w:spacing w:val="-5"/>
        </w:rPr>
        <w:t>responsibility.</w:t>
      </w:r>
      <w:r>
        <w:rPr>
          <w:color w:val="58595B"/>
          <w:spacing w:val="-5"/>
          <w:position w:val="7"/>
          <w:sz w:val="11"/>
        </w:rPr>
        <w:t xml:space="preserve">16 </w:t>
      </w:r>
      <w:r>
        <w:rPr>
          <w:color w:val="58595B"/>
          <w:spacing w:val="-3"/>
        </w:rPr>
        <w:t xml:space="preserve">Submissions </w:t>
      </w:r>
      <w:r>
        <w:rPr>
          <w:color w:val="58595B"/>
        </w:rPr>
        <w:t xml:space="preserve">to </w:t>
      </w:r>
      <w:r>
        <w:rPr>
          <w:color w:val="58595B"/>
          <w:spacing w:val="-3"/>
        </w:rPr>
        <w:t xml:space="preserve">our </w:t>
      </w:r>
      <w:r>
        <w:rPr>
          <w:color w:val="58595B"/>
        </w:rPr>
        <w:t xml:space="preserve">inquiry </w:t>
      </w:r>
      <w:r>
        <w:rPr>
          <w:color w:val="58595B"/>
          <w:spacing w:val="-3"/>
        </w:rPr>
        <w:t xml:space="preserve">also </w:t>
      </w:r>
      <w:r>
        <w:rPr>
          <w:color w:val="58595B"/>
        </w:rPr>
        <w:t xml:space="preserve">supported a </w:t>
      </w:r>
      <w:r>
        <w:rPr>
          <w:color w:val="58595B"/>
          <w:spacing w:val="-3"/>
        </w:rPr>
        <w:t xml:space="preserve">general </w:t>
      </w:r>
      <w:r>
        <w:rPr>
          <w:color w:val="58595B"/>
        </w:rPr>
        <w:t xml:space="preserve">duty for </w:t>
      </w:r>
      <w:r>
        <w:rPr>
          <w:color w:val="58595B"/>
          <w:spacing w:val="-3"/>
        </w:rPr>
        <w:t xml:space="preserve">this </w:t>
      </w:r>
      <w:r>
        <w:rPr>
          <w:color w:val="58595B"/>
        </w:rPr>
        <w:t xml:space="preserve">and </w:t>
      </w:r>
      <w:r>
        <w:rPr>
          <w:color w:val="58595B"/>
          <w:spacing w:val="-3"/>
        </w:rPr>
        <w:t>other reasons.</w:t>
      </w:r>
    </w:p>
    <w:p w14:paraId="15E88CEC" w14:textId="77777777" w:rsidR="00160E7F" w:rsidRDefault="002B0299">
      <w:pPr>
        <w:spacing w:before="172"/>
        <w:ind w:left="701" w:right="789"/>
        <w:rPr>
          <w:i/>
          <w:sz w:val="20"/>
        </w:rPr>
      </w:pPr>
      <w:r>
        <w:rPr>
          <w:i/>
          <w:color w:val="231F20"/>
          <w:sz w:val="20"/>
        </w:rPr>
        <w:t>We strongly support the introduction of an enforceable general duty not to pollute.</w:t>
      </w:r>
    </w:p>
    <w:p w14:paraId="1572E9C4" w14:textId="77777777" w:rsidR="00160E7F" w:rsidRDefault="002B0299">
      <w:pPr>
        <w:pStyle w:val="BodyText"/>
        <w:spacing w:before="40"/>
        <w:ind w:left="701" w:right="789"/>
      </w:pPr>
      <w:r>
        <w:rPr>
          <w:color w:val="231F20"/>
        </w:rPr>
        <w:t>(Environmental Justice Australia submission, p. 3)</w:t>
      </w:r>
    </w:p>
    <w:p w14:paraId="747EC83C" w14:textId="77777777" w:rsidR="00160E7F" w:rsidRDefault="00160E7F">
      <w:pPr>
        <w:pStyle w:val="BodyText"/>
        <w:spacing w:before="3"/>
        <w:rPr>
          <w:sz w:val="18"/>
        </w:rPr>
      </w:pPr>
    </w:p>
    <w:p w14:paraId="3ED4A34D" w14:textId="77777777" w:rsidR="00160E7F" w:rsidRDefault="002B0299">
      <w:pPr>
        <w:spacing w:line="280" w:lineRule="auto"/>
        <w:ind w:left="701" w:right="2193"/>
        <w:rPr>
          <w:sz w:val="20"/>
        </w:rPr>
      </w:pPr>
      <w:r>
        <w:rPr>
          <w:i/>
          <w:color w:val="231F20"/>
          <w:sz w:val="20"/>
        </w:rPr>
        <w:t xml:space="preserve">Actually polluting air or water is an offence, but this ‘after the event’ focus is inadequate and limits the EPA in dealing with accidents that are waiting to happen. So we’ll be strongly advocating for an enforceable general duty not to pollute. </w:t>
      </w:r>
      <w:r>
        <w:rPr>
          <w:color w:val="231F20"/>
          <w:sz w:val="20"/>
        </w:rPr>
        <w:t>(Michael Nugent submission, p. 1)</w:t>
      </w:r>
    </w:p>
    <w:p w14:paraId="7E89A466" w14:textId="77777777" w:rsidR="00160E7F" w:rsidRDefault="002B0299">
      <w:pPr>
        <w:spacing w:before="172" w:line="280" w:lineRule="auto"/>
        <w:ind w:left="701" w:right="2193"/>
        <w:rPr>
          <w:sz w:val="20"/>
        </w:rPr>
      </w:pPr>
      <w:r>
        <w:rPr>
          <w:i/>
          <w:color w:val="231F20"/>
          <w:sz w:val="20"/>
        </w:rPr>
        <w:t xml:space="preserve">The present situation where the EPA is brought to bear only when incidents of pollution are imminent or indeed after the event is not acceptable. There should be an enforceable general duty not to pollute. </w:t>
      </w:r>
      <w:r>
        <w:rPr>
          <w:color w:val="231F20"/>
          <w:sz w:val="20"/>
        </w:rPr>
        <w:t>(Dave Munro submission, p. 1)</w:t>
      </w:r>
    </w:p>
    <w:p w14:paraId="0174DEAF" w14:textId="77777777" w:rsidR="00160E7F" w:rsidRDefault="002B0299">
      <w:pPr>
        <w:spacing w:before="172" w:line="280" w:lineRule="auto"/>
        <w:ind w:left="701" w:right="2306"/>
        <w:rPr>
          <w:i/>
          <w:sz w:val="20"/>
        </w:rPr>
      </w:pPr>
      <w:r>
        <w:rPr>
          <w:i/>
          <w:color w:val="231F20"/>
          <w:sz w:val="20"/>
        </w:rPr>
        <w:t xml:space="preserve">Arguably missing from the </w:t>
      </w:r>
      <w:r>
        <w:rPr>
          <w:i/>
          <w:color w:val="231F20"/>
          <w:spacing w:val="-5"/>
          <w:sz w:val="20"/>
        </w:rPr>
        <w:t xml:space="preserve">EPA’s </w:t>
      </w:r>
      <w:r>
        <w:rPr>
          <w:i/>
          <w:color w:val="231F20"/>
          <w:sz w:val="20"/>
        </w:rPr>
        <w:t xml:space="preserve">arsenal, </w:t>
      </w:r>
      <w:r>
        <w:rPr>
          <w:i/>
          <w:color w:val="231F20"/>
          <w:spacing w:val="-3"/>
          <w:sz w:val="20"/>
        </w:rPr>
        <w:t xml:space="preserve">however, </w:t>
      </w:r>
      <w:r>
        <w:rPr>
          <w:i/>
          <w:color w:val="231F20"/>
          <w:sz w:val="20"/>
        </w:rPr>
        <w:t>are tools to enable the EPA to act pre emptively to address risks to the environment before they materialise into environmental harm. One model for addressing this gap is found in the recently agreed national model work, health and safety legislation. The corner stone of this legislation is a series of positive duties on persons (or entities) whose acts</w:t>
      </w:r>
      <w:r>
        <w:rPr>
          <w:i/>
          <w:color w:val="231F20"/>
          <w:spacing w:val="-17"/>
          <w:sz w:val="20"/>
        </w:rPr>
        <w:t xml:space="preserve"> </w:t>
      </w:r>
      <w:r>
        <w:rPr>
          <w:i/>
          <w:color w:val="231F20"/>
          <w:sz w:val="20"/>
        </w:rPr>
        <w:t>or</w:t>
      </w:r>
    </w:p>
    <w:p w14:paraId="7B8F9C56" w14:textId="77777777" w:rsidR="00160E7F" w:rsidRDefault="002B0299">
      <w:pPr>
        <w:spacing w:before="2"/>
        <w:ind w:left="701" w:right="789"/>
        <w:rPr>
          <w:i/>
          <w:sz w:val="20"/>
        </w:rPr>
      </w:pPr>
      <w:r>
        <w:rPr>
          <w:i/>
          <w:color w:val="231F20"/>
          <w:sz w:val="20"/>
        </w:rPr>
        <w:t>omissions are capable of affecting the health, safety and welfare of persons at work.</w:t>
      </w:r>
    </w:p>
    <w:p w14:paraId="4F6D9B5C" w14:textId="77777777" w:rsidR="00160E7F" w:rsidRDefault="002B0299">
      <w:pPr>
        <w:pStyle w:val="BodyText"/>
        <w:spacing w:before="40"/>
        <w:ind w:left="701" w:right="789"/>
      </w:pPr>
      <w:r>
        <w:rPr>
          <w:color w:val="231F20"/>
        </w:rPr>
        <w:t>(Eric Windholz, Monash University submission, p. 4)</w:t>
      </w:r>
    </w:p>
    <w:p w14:paraId="3AEDF110" w14:textId="77777777" w:rsidR="00160E7F" w:rsidRDefault="00160E7F">
      <w:pPr>
        <w:pStyle w:val="BodyText"/>
        <w:spacing w:before="7"/>
        <w:rPr>
          <w:sz w:val="25"/>
        </w:rPr>
      </w:pPr>
    </w:p>
    <w:p w14:paraId="5545C814" w14:textId="77777777" w:rsidR="00160E7F" w:rsidRDefault="002B0299">
      <w:pPr>
        <w:pStyle w:val="ListParagraph"/>
        <w:numPr>
          <w:ilvl w:val="2"/>
          <w:numId w:val="42"/>
        </w:numPr>
        <w:tabs>
          <w:tab w:val="left" w:pos="790"/>
        </w:tabs>
        <w:spacing w:before="0"/>
        <w:ind w:left="789" w:hanging="655"/>
        <w:jc w:val="left"/>
        <w:rPr>
          <w:sz w:val="20"/>
        </w:rPr>
      </w:pPr>
      <w:r>
        <w:rPr>
          <w:color w:val="0095A7"/>
          <w:sz w:val="20"/>
        </w:rPr>
        <w:t>Preconditions for an effective general</w:t>
      </w:r>
      <w:r>
        <w:rPr>
          <w:color w:val="0095A7"/>
          <w:spacing w:val="13"/>
          <w:sz w:val="20"/>
        </w:rPr>
        <w:t xml:space="preserve"> </w:t>
      </w:r>
      <w:r>
        <w:rPr>
          <w:color w:val="0095A7"/>
          <w:sz w:val="20"/>
        </w:rPr>
        <w:t>duty</w:t>
      </w:r>
    </w:p>
    <w:p w14:paraId="71199C3A" w14:textId="77777777" w:rsidR="00160E7F" w:rsidRDefault="002B0299">
      <w:pPr>
        <w:pStyle w:val="BodyText"/>
        <w:spacing w:before="153"/>
        <w:ind w:left="134" w:right="789"/>
      </w:pPr>
      <w:r>
        <w:rPr>
          <w:color w:val="58595B"/>
        </w:rPr>
        <w:t>All businesses have longstanding experience with the general duty under the OHS Act.</w:t>
      </w:r>
    </w:p>
    <w:p w14:paraId="7E8B4BA9" w14:textId="77777777" w:rsidR="00160E7F" w:rsidRDefault="00160E7F">
      <w:pPr>
        <w:pStyle w:val="BodyText"/>
        <w:spacing w:before="3"/>
        <w:rPr>
          <w:sz w:val="18"/>
        </w:rPr>
      </w:pPr>
    </w:p>
    <w:p w14:paraId="40E2967E" w14:textId="2822A0DF" w:rsidR="00160E7F" w:rsidRDefault="002B0299">
      <w:pPr>
        <w:pStyle w:val="BodyText"/>
        <w:spacing w:line="280" w:lineRule="auto"/>
        <w:ind w:left="134" w:right="1559"/>
      </w:pPr>
      <w:r>
        <w:rPr>
          <w:color w:val="58595B"/>
        </w:rPr>
        <w:t xml:space="preserve">Although the focus of the proposed environmental duty is different, businesses will be able to use a very similar methodology – risk identification, risk assessment, risk mitigation. And </w:t>
      </w:r>
      <w:r>
        <w:rPr>
          <w:color w:val="58595B"/>
          <w:spacing w:val="-4"/>
        </w:rPr>
        <w:t>(as</w:t>
      </w:r>
      <w:r w:rsidR="00F12BD9">
        <w:rPr>
          <w:color w:val="58595B"/>
          <w:spacing w:val="-4"/>
        </w:rPr>
        <w:br/>
      </w:r>
      <w:r>
        <w:rPr>
          <w:color w:val="58595B"/>
        </w:rPr>
        <w:t>with the OHS Act) businesses will have guidance from codes of practice and will be able to seek advice from the EPA. Businesses with national operations will be able to use their</w:t>
      </w:r>
      <w:r>
        <w:rPr>
          <w:color w:val="58595B"/>
          <w:spacing w:val="14"/>
        </w:rPr>
        <w:t xml:space="preserve"> </w:t>
      </w:r>
      <w:r>
        <w:rPr>
          <w:color w:val="58595B"/>
        </w:rPr>
        <w:t>experience</w:t>
      </w:r>
    </w:p>
    <w:p w14:paraId="4FB4429A" w14:textId="47000EF2" w:rsidR="00160E7F" w:rsidRDefault="002B0299">
      <w:pPr>
        <w:pStyle w:val="BodyText"/>
        <w:spacing w:before="2" w:line="280" w:lineRule="auto"/>
        <w:ind w:left="134" w:right="1572"/>
      </w:pPr>
      <w:r>
        <w:rPr>
          <w:color w:val="58595B"/>
        </w:rPr>
        <w:t>of the general duty in other Australian jurisdictions. Over time, the costs to businesses will fall</w:t>
      </w:r>
      <w:r w:rsidR="00F12BD9">
        <w:rPr>
          <w:color w:val="58595B"/>
        </w:rPr>
        <w:br/>
      </w:r>
      <w:r>
        <w:rPr>
          <w:color w:val="58595B"/>
        </w:rPr>
        <w:t xml:space="preserve">as businesses improve their practices. And taking preventive action will protect businesses against the potentially significant costs that can apply if an acute pollution incident occurs or pollution builds up. Further, applying the duty over time to all businesses will spread the burden of environment protection more </w:t>
      </w:r>
      <w:r>
        <w:rPr>
          <w:color w:val="58595B"/>
          <w:spacing w:val="-3"/>
        </w:rPr>
        <w:t xml:space="preserve">evenly, </w:t>
      </w:r>
      <w:r>
        <w:rPr>
          <w:color w:val="58595B"/>
        </w:rPr>
        <w:t>and in particular, level the playing field between licensed and non-licensed</w:t>
      </w:r>
      <w:r>
        <w:rPr>
          <w:color w:val="58595B"/>
          <w:spacing w:val="11"/>
        </w:rPr>
        <w:t xml:space="preserve"> </w:t>
      </w:r>
      <w:r>
        <w:rPr>
          <w:color w:val="58595B"/>
        </w:rPr>
        <w:t>businesses.</w:t>
      </w:r>
    </w:p>
    <w:p w14:paraId="516BFE30" w14:textId="77777777" w:rsidR="00160E7F" w:rsidRDefault="002B0299">
      <w:pPr>
        <w:pStyle w:val="BodyText"/>
        <w:spacing w:before="172" w:line="280" w:lineRule="auto"/>
        <w:ind w:left="134" w:right="2193"/>
      </w:pPr>
      <w:r>
        <w:rPr>
          <w:color w:val="58595B"/>
        </w:rPr>
        <w:t>Introducing a general duty will also change how the EPA approaches its regulatory task. To implement the general duty effectively, the EPA will need to:</w:t>
      </w:r>
    </w:p>
    <w:p w14:paraId="37035506" w14:textId="77777777" w:rsidR="00160E7F" w:rsidRDefault="002B0299">
      <w:pPr>
        <w:pStyle w:val="ListParagraph"/>
        <w:numPr>
          <w:ilvl w:val="0"/>
          <w:numId w:val="47"/>
        </w:numPr>
        <w:tabs>
          <w:tab w:val="left" w:pos="305"/>
        </w:tabs>
        <w:spacing w:before="115" w:line="280" w:lineRule="auto"/>
        <w:ind w:right="1824" w:hanging="170"/>
        <w:rPr>
          <w:sz w:val="20"/>
        </w:rPr>
      </w:pPr>
      <w:r>
        <w:rPr>
          <w:color w:val="58595B"/>
          <w:sz w:val="20"/>
        </w:rPr>
        <w:t>provide strong organisational leadership, to drive commitment to enforce the duty, including reviewing inspection procedures and retraining authorised</w:t>
      </w:r>
      <w:r>
        <w:rPr>
          <w:color w:val="58595B"/>
          <w:spacing w:val="24"/>
          <w:sz w:val="20"/>
        </w:rPr>
        <w:t xml:space="preserve"> </w:t>
      </w:r>
      <w:r>
        <w:rPr>
          <w:color w:val="58595B"/>
          <w:sz w:val="20"/>
        </w:rPr>
        <w:t>officers</w:t>
      </w:r>
    </w:p>
    <w:p w14:paraId="15E19C00" w14:textId="77777777" w:rsidR="00160E7F" w:rsidRDefault="002B0299">
      <w:pPr>
        <w:pStyle w:val="ListParagraph"/>
        <w:numPr>
          <w:ilvl w:val="0"/>
          <w:numId w:val="47"/>
        </w:numPr>
        <w:tabs>
          <w:tab w:val="left" w:pos="305"/>
        </w:tabs>
        <w:spacing w:before="115" w:line="280" w:lineRule="auto"/>
        <w:ind w:right="1853" w:hanging="170"/>
        <w:rPr>
          <w:sz w:val="20"/>
        </w:rPr>
      </w:pPr>
      <w:r>
        <w:rPr>
          <w:color w:val="58595B"/>
          <w:sz w:val="20"/>
        </w:rPr>
        <w:t>develop targeted compliance advice and communicate outcomes in line with the new focus on shared</w:t>
      </w:r>
      <w:r>
        <w:rPr>
          <w:color w:val="58595B"/>
          <w:spacing w:val="7"/>
          <w:sz w:val="20"/>
        </w:rPr>
        <w:t xml:space="preserve"> </w:t>
      </w:r>
      <w:r>
        <w:rPr>
          <w:color w:val="58595B"/>
          <w:sz w:val="20"/>
        </w:rPr>
        <w:t>responsibility</w:t>
      </w:r>
    </w:p>
    <w:p w14:paraId="0B2A7728" w14:textId="77777777" w:rsidR="00160E7F" w:rsidRDefault="002B0299">
      <w:pPr>
        <w:pStyle w:val="ListParagraph"/>
        <w:numPr>
          <w:ilvl w:val="0"/>
          <w:numId w:val="47"/>
        </w:numPr>
        <w:tabs>
          <w:tab w:val="left" w:pos="305"/>
        </w:tabs>
        <w:spacing w:before="115" w:line="280" w:lineRule="auto"/>
        <w:ind w:right="1576" w:hanging="170"/>
        <w:rPr>
          <w:sz w:val="20"/>
        </w:rPr>
      </w:pPr>
      <w:r>
        <w:rPr>
          <w:color w:val="58595B"/>
          <w:sz w:val="20"/>
        </w:rPr>
        <w:t>establish strong scientific and technical capabilities to analyse and use data for a broad scope of activities and duty</w:t>
      </w:r>
      <w:r>
        <w:rPr>
          <w:color w:val="58595B"/>
          <w:spacing w:val="7"/>
          <w:sz w:val="20"/>
        </w:rPr>
        <w:t xml:space="preserve"> </w:t>
      </w:r>
      <w:r>
        <w:rPr>
          <w:color w:val="58595B"/>
          <w:sz w:val="20"/>
        </w:rPr>
        <w:t>holders.</w:t>
      </w:r>
    </w:p>
    <w:p w14:paraId="7729F41F" w14:textId="77777777" w:rsidR="00160E7F" w:rsidRDefault="00160E7F">
      <w:pPr>
        <w:spacing w:line="280" w:lineRule="auto"/>
        <w:rPr>
          <w:sz w:val="20"/>
        </w:rPr>
        <w:sectPr w:rsidR="00160E7F">
          <w:pgSz w:w="11910" w:h="16840"/>
          <w:pgMar w:top="980" w:right="0" w:bottom="280" w:left="1680" w:header="788" w:footer="0" w:gutter="0"/>
          <w:cols w:space="720"/>
        </w:sectPr>
      </w:pPr>
    </w:p>
    <w:p w14:paraId="1F874B1D" w14:textId="77777777" w:rsidR="00160E7F" w:rsidRDefault="00160E7F">
      <w:pPr>
        <w:pStyle w:val="BodyText"/>
      </w:pPr>
    </w:p>
    <w:p w14:paraId="24596922" w14:textId="77777777" w:rsidR="00160E7F" w:rsidRDefault="00160E7F">
      <w:pPr>
        <w:pStyle w:val="BodyText"/>
      </w:pPr>
    </w:p>
    <w:p w14:paraId="15230FC7" w14:textId="77777777" w:rsidR="00160E7F" w:rsidRDefault="00160E7F">
      <w:pPr>
        <w:pStyle w:val="BodyText"/>
      </w:pPr>
    </w:p>
    <w:p w14:paraId="7D20F146" w14:textId="77777777" w:rsidR="00160E7F" w:rsidRDefault="00160E7F">
      <w:pPr>
        <w:pStyle w:val="BodyText"/>
      </w:pPr>
    </w:p>
    <w:p w14:paraId="73D4FC2B" w14:textId="77777777" w:rsidR="00160E7F" w:rsidRDefault="00160E7F">
      <w:pPr>
        <w:pStyle w:val="BodyText"/>
        <w:spacing w:before="8"/>
        <w:rPr>
          <w:sz w:val="17"/>
        </w:rPr>
      </w:pPr>
    </w:p>
    <w:p w14:paraId="4CDAF3A2" w14:textId="77777777" w:rsidR="00160E7F" w:rsidRDefault="002B0299">
      <w:pPr>
        <w:spacing w:before="1"/>
        <w:ind w:left="1417" w:right="789"/>
        <w:rPr>
          <w:i/>
          <w:sz w:val="20"/>
        </w:rPr>
      </w:pPr>
      <w:r>
        <w:rPr>
          <w:i/>
          <w:color w:val="6D6E71"/>
          <w:sz w:val="20"/>
        </w:rPr>
        <w:t>‘Reasonably practicable’ measures</w:t>
      </w:r>
    </w:p>
    <w:p w14:paraId="06C16AFE" w14:textId="77777777" w:rsidR="00160E7F" w:rsidRDefault="002B0299">
      <w:pPr>
        <w:pStyle w:val="BodyText"/>
        <w:spacing w:before="125" w:line="280" w:lineRule="auto"/>
        <w:ind w:left="1417" w:right="1022"/>
      </w:pPr>
      <w:r>
        <w:rPr>
          <w:color w:val="58595B"/>
        </w:rPr>
        <w:t>The qualification ‘so far as is reasonably practicable’ is well established in OHS law. Under the OHS Act, determining what is ‘reasonably practicable’ for a particular hazard or risk involves considering:</w:t>
      </w:r>
    </w:p>
    <w:p w14:paraId="45323D48" w14:textId="77777777" w:rsidR="00160E7F" w:rsidRDefault="002B0299">
      <w:pPr>
        <w:pStyle w:val="ListParagraph"/>
        <w:numPr>
          <w:ilvl w:val="1"/>
          <w:numId w:val="47"/>
        </w:numPr>
        <w:tabs>
          <w:tab w:val="left" w:pos="1588"/>
        </w:tabs>
        <w:spacing w:before="115"/>
        <w:ind w:hanging="170"/>
        <w:rPr>
          <w:sz w:val="20"/>
        </w:rPr>
      </w:pPr>
      <w:r>
        <w:rPr>
          <w:color w:val="58595B"/>
          <w:sz w:val="20"/>
        </w:rPr>
        <w:t>the likelihood of the hazard or risk</w:t>
      </w:r>
      <w:r>
        <w:rPr>
          <w:color w:val="58595B"/>
          <w:spacing w:val="-5"/>
          <w:sz w:val="20"/>
        </w:rPr>
        <w:t xml:space="preserve"> </w:t>
      </w:r>
      <w:r>
        <w:rPr>
          <w:color w:val="58595B"/>
          <w:sz w:val="20"/>
        </w:rPr>
        <w:t>eventuating</w:t>
      </w:r>
    </w:p>
    <w:p w14:paraId="3365D709" w14:textId="77777777" w:rsidR="00160E7F" w:rsidRDefault="002B0299">
      <w:pPr>
        <w:pStyle w:val="ListParagraph"/>
        <w:numPr>
          <w:ilvl w:val="1"/>
          <w:numId w:val="47"/>
        </w:numPr>
        <w:tabs>
          <w:tab w:val="left" w:pos="1588"/>
        </w:tabs>
        <w:spacing w:before="153"/>
        <w:ind w:hanging="170"/>
        <w:rPr>
          <w:sz w:val="20"/>
        </w:rPr>
      </w:pPr>
      <w:r>
        <w:rPr>
          <w:color w:val="58595B"/>
          <w:sz w:val="20"/>
        </w:rPr>
        <w:t>the degree of harm that would result if the hazard or risk eventuated</w:t>
      </w:r>
    </w:p>
    <w:p w14:paraId="64F752FA" w14:textId="77777777" w:rsidR="00160E7F" w:rsidRDefault="002B0299">
      <w:pPr>
        <w:pStyle w:val="ListParagraph"/>
        <w:numPr>
          <w:ilvl w:val="1"/>
          <w:numId w:val="47"/>
        </w:numPr>
        <w:tabs>
          <w:tab w:val="left" w:pos="1588"/>
        </w:tabs>
        <w:spacing w:before="153" w:line="280" w:lineRule="auto"/>
        <w:ind w:right="727" w:hanging="170"/>
        <w:rPr>
          <w:sz w:val="20"/>
        </w:rPr>
      </w:pPr>
      <w:r>
        <w:rPr>
          <w:color w:val="58595B"/>
          <w:sz w:val="20"/>
        </w:rPr>
        <w:t>what the person concerned knows, or ought reasonably to know, about the hazard or risk and any ways of eliminating or reducing the hazard or</w:t>
      </w:r>
      <w:r>
        <w:rPr>
          <w:color w:val="58595B"/>
          <w:spacing w:val="-2"/>
          <w:sz w:val="20"/>
        </w:rPr>
        <w:t xml:space="preserve"> </w:t>
      </w:r>
      <w:r>
        <w:rPr>
          <w:color w:val="58595B"/>
          <w:sz w:val="20"/>
        </w:rPr>
        <w:t>risk</w:t>
      </w:r>
    </w:p>
    <w:p w14:paraId="7F37316F" w14:textId="77777777" w:rsidR="00160E7F" w:rsidRDefault="002B0299">
      <w:pPr>
        <w:pStyle w:val="ListParagraph"/>
        <w:numPr>
          <w:ilvl w:val="1"/>
          <w:numId w:val="47"/>
        </w:numPr>
        <w:tabs>
          <w:tab w:val="left" w:pos="1588"/>
        </w:tabs>
        <w:spacing w:before="115"/>
        <w:ind w:hanging="170"/>
        <w:rPr>
          <w:sz w:val="20"/>
        </w:rPr>
      </w:pPr>
      <w:r>
        <w:rPr>
          <w:color w:val="58595B"/>
          <w:sz w:val="20"/>
        </w:rPr>
        <w:t>the availability and suitability of ways to eliminate or reduce the hazard or risk, and</w:t>
      </w:r>
    </w:p>
    <w:p w14:paraId="03706FC1" w14:textId="77777777" w:rsidR="00160E7F" w:rsidRDefault="002B0299">
      <w:pPr>
        <w:pStyle w:val="ListParagraph"/>
        <w:numPr>
          <w:ilvl w:val="1"/>
          <w:numId w:val="47"/>
        </w:numPr>
        <w:tabs>
          <w:tab w:val="left" w:pos="1588"/>
        </w:tabs>
        <w:spacing w:before="153"/>
        <w:ind w:hanging="170"/>
        <w:rPr>
          <w:sz w:val="11"/>
        </w:rPr>
      </w:pPr>
      <w:r>
        <w:rPr>
          <w:color w:val="58595B"/>
          <w:sz w:val="20"/>
        </w:rPr>
        <w:t>the cost of eliminating or reducing the hazard or</w:t>
      </w:r>
      <w:r>
        <w:rPr>
          <w:color w:val="58595B"/>
          <w:spacing w:val="22"/>
          <w:sz w:val="20"/>
        </w:rPr>
        <w:t xml:space="preserve"> </w:t>
      </w:r>
      <w:r>
        <w:rPr>
          <w:color w:val="58595B"/>
          <w:spacing w:val="-4"/>
          <w:sz w:val="20"/>
        </w:rPr>
        <w:t>risk.</w:t>
      </w:r>
      <w:r>
        <w:rPr>
          <w:color w:val="58595B"/>
          <w:spacing w:val="-4"/>
          <w:position w:val="7"/>
          <w:sz w:val="11"/>
        </w:rPr>
        <w:t>17</w:t>
      </w:r>
    </w:p>
    <w:p w14:paraId="0B7BFF7B" w14:textId="77777777" w:rsidR="00160E7F" w:rsidRDefault="00160E7F">
      <w:pPr>
        <w:pStyle w:val="BodyText"/>
        <w:spacing w:before="3"/>
        <w:rPr>
          <w:sz w:val="18"/>
        </w:rPr>
      </w:pPr>
    </w:p>
    <w:p w14:paraId="2F04C649" w14:textId="77777777" w:rsidR="00160E7F" w:rsidRDefault="002B0299">
      <w:pPr>
        <w:pStyle w:val="BodyText"/>
        <w:spacing w:line="280" w:lineRule="auto"/>
        <w:ind w:left="1417" w:right="405"/>
      </w:pPr>
      <w:r>
        <w:rPr>
          <w:color w:val="58595B"/>
        </w:rPr>
        <w:t>These factors ensure that the obligation is risk-based, proportionate and related to the actual circumstances of the business. The South Australian legislation expresses the general environmental duty in these terms:</w:t>
      </w:r>
    </w:p>
    <w:p w14:paraId="6537A5A0" w14:textId="77777777" w:rsidR="00160E7F" w:rsidRDefault="002B0299">
      <w:pPr>
        <w:spacing w:before="172" w:line="280" w:lineRule="auto"/>
        <w:ind w:left="1984" w:right="789"/>
        <w:rPr>
          <w:sz w:val="11"/>
        </w:rPr>
      </w:pPr>
      <w:r>
        <w:rPr>
          <w:i/>
          <w:color w:val="231F20"/>
          <w:sz w:val="20"/>
        </w:rPr>
        <w:t>A person must not undertake an activity that pollutes, or might pollute, the environment unless the person takes all reasonable and practicable measures to prevent or minimise any resulting environmental harm.</w:t>
      </w:r>
      <w:r>
        <w:rPr>
          <w:color w:val="231F20"/>
          <w:position w:val="7"/>
          <w:sz w:val="11"/>
        </w:rPr>
        <w:t>18</w:t>
      </w:r>
    </w:p>
    <w:p w14:paraId="22D9D36D" w14:textId="77777777" w:rsidR="00160E7F" w:rsidRDefault="002B0299">
      <w:pPr>
        <w:pStyle w:val="BodyText"/>
        <w:spacing w:before="172" w:line="280" w:lineRule="auto"/>
        <w:ind w:left="1417" w:right="405"/>
      </w:pPr>
      <w:r>
        <w:rPr>
          <w:color w:val="58595B"/>
        </w:rPr>
        <w:t>In determining what are the ‘reasonable and practicable measures’ for a particular polluting activity, duty holders must consider the following matters:</w:t>
      </w:r>
    </w:p>
    <w:p w14:paraId="1990D072" w14:textId="77777777" w:rsidR="00160E7F" w:rsidRDefault="002B0299">
      <w:pPr>
        <w:pStyle w:val="ListParagraph"/>
        <w:numPr>
          <w:ilvl w:val="1"/>
          <w:numId w:val="47"/>
        </w:numPr>
        <w:tabs>
          <w:tab w:val="left" w:pos="1588"/>
        </w:tabs>
        <w:spacing w:before="115"/>
        <w:ind w:hanging="170"/>
        <w:rPr>
          <w:sz w:val="20"/>
        </w:rPr>
      </w:pPr>
      <w:r>
        <w:rPr>
          <w:color w:val="58595B"/>
          <w:sz w:val="20"/>
        </w:rPr>
        <w:t>the nature of the pollution or potential pollution, and the sensitivity of the receiving</w:t>
      </w:r>
      <w:r>
        <w:rPr>
          <w:color w:val="58595B"/>
          <w:spacing w:val="2"/>
          <w:sz w:val="20"/>
        </w:rPr>
        <w:t xml:space="preserve"> </w:t>
      </w:r>
      <w:r>
        <w:rPr>
          <w:color w:val="58595B"/>
          <w:sz w:val="20"/>
        </w:rPr>
        <w:t>environment</w:t>
      </w:r>
    </w:p>
    <w:p w14:paraId="639962B4" w14:textId="77777777" w:rsidR="00160E7F" w:rsidRDefault="002B0299">
      <w:pPr>
        <w:pStyle w:val="ListParagraph"/>
        <w:numPr>
          <w:ilvl w:val="1"/>
          <w:numId w:val="47"/>
        </w:numPr>
        <w:tabs>
          <w:tab w:val="left" w:pos="1588"/>
        </w:tabs>
        <w:spacing w:before="153" w:line="280" w:lineRule="auto"/>
        <w:ind w:right="615" w:hanging="170"/>
        <w:rPr>
          <w:sz w:val="20"/>
        </w:rPr>
      </w:pPr>
      <w:r>
        <w:rPr>
          <w:color w:val="58595B"/>
          <w:sz w:val="20"/>
        </w:rPr>
        <w:t>the financial implications of the various measures that might be taken, and how those implications relate to the class of persons undertaking activities of the same or similar</w:t>
      </w:r>
      <w:r>
        <w:rPr>
          <w:color w:val="58595B"/>
          <w:spacing w:val="21"/>
          <w:sz w:val="20"/>
        </w:rPr>
        <w:t xml:space="preserve"> </w:t>
      </w:r>
      <w:r>
        <w:rPr>
          <w:color w:val="58595B"/>
          <w:sz w:val="20"/>
        </w:rPr>
        <w:t>kind</w:t>
      </w:r>
    </w:p>
    <w:p w14:paraId="0E6C8390" w14:textId="77777777" w:rsidR="00160E7F" w:rsidRDefault="002B0299">
      <w:pPr>
        <w:pStyle w:val="ListParagraph"/>
        <w:numPr>
          <w:ilvl w:val="1"/>
          <w:numId w:val="47"/>
        </w:numPr>
        <w:tabs>
          <w:tab w:val="left" w:pos="1588"/>
        </w:tabs>
        <w:spacing w:before="115" w:line="280" w:lineRule="auto"/>
        <w:ind w:right="601" w:hanging="170"/>
        <w:rPr>
          <w:sz w:val="11"/>
        </w:rPr>
      </w:pPr>
      <w:r>
        <w:rPr>
          <w:color w:val="58595B"/>
          <w:sz w:val="20"/>
        </w:rPr>
        <w:t>the current state of technical knowledge and likelihood of successfully applying the various measures that might be</w:t>
      </w:r>
      <w:r>
        <w:rPr>
          <w:color w:val="58595B"/>
          <w:spacing w:val="7"/>
          <w:sz w:val="20"/>
        </w:rPr>
        <w:t xml:space="preserve"> </w:t>
      </w:r>
      <w:r>
        <w:rPr>
          <w:color w:val="58595B"/>
          <w:spacing w:val="-4"/>
          <w:sz w:val="20"/>
        </w:rPr>
        <w:t>taken.</w:t>
      </w:r>
      <w:r>
        <w:rPr>
          <w:color w:val="58595B"/>
          <w:spacing w:val="-4"/>
          <w:position w:val="7"/>
          <w:sz w:val="11"/>
        </w:rPr>
        <w:t>19</w:t>
      </w:r>
    </w:p>
    <w:p w14:paraId="73FFDB90" w14:textId="77777777" w:rsidR="00160E7F" w:rsidRDefault="00160E7F">
      <w:pPr>
        <w:pStyle w:val="BodyText"/>
        <w:spacing w:before="10"/>
        <w:rPr>
          <w:sz w:val="19"/>
        </w:rPr>
      </w:pPr>
    </w:p>
    <w:p w14:paraId="3997229E" w14:textId="77777777" w:rsidR="00160E7F" w:rsidRDefault="002B0299">
      <w:pPr>
        <w:ind w:left="1417" w:right="789"/>
        <w:rPr>
          <w:i/>
          <w:sz w:val="20"/>
        </w:rPr>
      </w:pPr>
      <w:r>
        <w:rPr>
          <w:i/>
          <w:color w:val="6D6E71"/>
          <w:sz w:val="20"/>
        </w:rPr>
        <w:t>Support for compliance is critical</w:t>
      </w:r>
    </w:p>
    <w:p w14:paraId="7617D240" w14:textId="77777777" w:rsidR="00160E7F" w:rsidRDefault="002B0299">
      <w:pPr>
        <w:pStyle w:val="BodyText"/>
        <w:spacing w:before="125" w:line="280" w:lineRule="auto"/>
        <w:ind w:left="1417" w:right="343"/>
      </w:pPr>
      <w:r>
        <w:rPr>
          <w:color w:val="58595B"/>
        </w:rPr>
        <w:t>The effective implementation of a general duty will depend on educating, assisting and advising duty holders on compliance. Authorised officers sit at the front end of this process. The critical role of inspectors is well recognised in relation to OHS regulation:</w:t>
      </w:r>
    </w:p>
    <w:p w14:paraId="0AE9CCB3" w14:textId="77777777" w:rsidR="00160E7F" w:rsidRDefault="002B0299">
      <w:pPr>
        <w:spacing w:before="172" w:line="280" w:lineRule="auto"/>
        <w:ind w:left="1984" w:right="789"/>
        <w:rPr>
          <w:i/>
          <w:sz w:val="20"/>
        </w:rPr>
      </w:pPr>
      <w:r>
        <w:rPr>
          <w:i/>
          <w:color w:val="231F20"/>
          <w:sz w:val="20"/>
        </w:rPr>
        <w:t>It is impossible to overstate the importance of the role of the inspectors in occupational health and safety. First, the effectiveness of the legislation in eliminating/mitigating risks depends critically on the performance of the inspectors.</w:t>
      </w:r>
    </w:p>
    <w:p w14:paraId="465EB4C9" w14:textId="77777777" w:rsidR="00160E7F" w:rsidRDefault="002B0299">
      <w:pPr>
        <w:spacing w:before="2" w:line="280" w:lineRule="auto"/>
        <w:ind w:left="1984" w:right="789"/>
        <w:rPr>
          <w:sz w:val="11"/>
        </w:rPr>
      </w:pPr>
      <w:r>
        <w:rPr>
          <w:i/>
          <w:color w:val="231F20"/>
          <w:sz w:val="20"/>
        </w:rPr>
        <w:t>… Quite simply, the inspectors operate at the sharp end of the legislative scheme. It is for them (in the first instance) to decide what does, and what does not, constitute compliance with the requirements of the Act and the regulations. It is they who must engage in the crucial debates with duty holders about what is, and what is not, ‘practicable having regard to...’.</w:t>
      </w:r>
      <w:r>
        <w:rPr>
          <w:color w:val="231F20"/>
          <w:position w:val="7"/>
          <w:sz w:val="11"/>
        </w:rPr>
        <w:t>20</w:t>
      </w:r>
    </w:p>
    <w:p w14:paraId="3A4A60FB" w14:textId="77777777" w:rsidR="00160E7F" w:rsidRDefault="00160E7F">
      <w:pPr>
        <w:spacing w:line="280" w:lineRule="auto"/>
        <w:rPr>
          <w:sz w:val="11"/>
        </w:rPr>
        <w:sectPr w:rsidR="00160E7F">
          <w:pgSz w:w="11910" w:h="16840"/>
          <w:pgMar w:top="980" w:right="1680" w:bottom="280" w:left="0" w:header="788" w:footer="0" w:gutter="0"/>
          <w:cols w:space="720"/>
        </w:sectPr>
      </w:pPr>
    </w:p>
    <w:p w14:paraId="52774E7B" w14:textId="77777777" w:rsidR="00160E7F" w:rsidRDefault="00160E7F">
      <w:pPr>
        <w:pStyle w:val="BodyText"/>
      </w:pPr>
    </w:p>
    <w:p w14:paraId="460AA198" w14:textId="77777777" w:rsidR="00160E7F" w:rsidRDefault="00160E7F">
      <w:pPr>
        <w:pStyle w:val="BodyText"/>
      </w:pPr>
    </w:p>
    <w:p w14:paraId="20E6270D" w14:textId="77777777" w:rsidR="00160E7F" w:rsidRDefault="00160E7F">
      <w:pPr>
        <w:pStyle w:val="BodyText"/>
      </w:pPr>
    </w:p>
    <w:p w14:paraId="3874E79A" w14:textId="77777777" w:rsidR="00160E7F" w:rsidRDefault="00160E7F">
      <w:pPr>
        <w:pStyle w:val="BodyText"/>
      </w:pPr>
    </w:p>
    <w:p w14:paraId="77E5DC87" w14:textId="77777777" w:rsidR="00160E7F" w:rsidRDefault="00160E7F">
      <w:pPr>
        <w:pStyle w:val="BodyText"/>
        <w:spacing w:before="8"/>
        <w:rPr>
          <w:sz w:val="17"/>
        </w:rPr>
      </w:pPr>
    </w:p>
    <w:p w14:paraId="484A223A" w14:textId="77777777" w:rsidR="00160E7F" w:rsidRDefault="002B0299">
      <w:pPr>
        <w:pStyle w:val="BodyText"/>
        <w:spacing w:before="1" w:line="280" w:lineRule="auto"/>
        <w:ind w:left="134" w:right="1433"/>
        <w:rPr>
          <w:sz w:val="11"/>
        </w:rPr>
      </w:pPr>
      <w:r>
        <w:rPr>
          <w:color w:val="58595B"/>
        </w:rPr>
        <w:t>To fulfil this task, authorised officers must be empowered to provide advice about how to comply with the general duty and, more broadly, the EP Act. Both the Maxwell Occupational Health and Safety Act Review</w:t>
      </w:r>
      <w:r>
        <w:rPr>
          <w:color w:val="58595B"/>
          <w:position w:val="7"/>
          <w:sz w:val="11"/>
        </w:rPr>
        <w:t xml:space="preserve">21 </w:t>
      </w:r>
      <w:r>
        <w:rPr>
          <w:color w:val="58595B"/>
        </w:rPr>
        <w:t>and the Krpan Review</w:t>
      </w:r>
      <w:r>
        <w:rPr>
          <w:color w:val="58595B"/>
          <w:position w:val="7"/>
          <w:sz w:val="11"/>
        </w:rPr>
        <w:t xml:space="preserve">22 </w:t>
      </w:r>
      <w:r>
        <w:rPr>
          <w:color w:val="58595B"/>
        </w:rPr>
        <w:t>concluded that the advantages of authorised officers giving advice outweigh the disadvantages. Providing advice is conducive to compliance and it establishes a relationship between the officer and duty holders, founded on the common purpose of achieving compliance.</w:t>
      </w:r>
      <w:r>
        <w:rPr>
          <w:color w:val="58595B"/>
          <w:position w:val="7"/>
          <w:sz w:val="11"/>
        </w:rPr>
        <w:t>23</w:t>
      </w:r>
    </w:p>
    <w:p w14:paraId="5F0FD639" w14:textId="77777777" w:rsidR="00160E7F" w:rsidRDefault="002B0299">
      <w:pPr>
        <w:pStyle w:val="BodyText"/>
        <w:spacing w:before="172" w:line="280" w:lineRule="auto"/>
        <w:ind w:left="134" w:right="1598"/>
        <w:rPr>
          <w:sz w:val="11"/>
        </w:rPr>
      </w:pPr>
      <w:r>
        <w:rPr>
          <w:color w:val="58595B"/>
        </w:rPr>
        <w:t xml:space="preserve">A duty must be widely understood to be effective. The </w:t>
      </w:r>
      <w:r>
        <w:rPr>
          <w:color w:val="58595B"/>
          <w:spacing w:val="-4"/>
        </w:rPr>
        <w:t xml:space="preserve">EPA </w:t>
      </w:r>
      <w:r>
        <w:rPr>
          <w:color w:val="58595B"/>
        </w:rPr>
        <w:t>must make it as easy as possible for duty holders to understand what compliance requires. Compliance raises particular challenges for small and medium sized enterprises, which often lack understanding of their environmental impact and regulatory obligations. Communication, education and practical guidance will thus be crucial tasks for the</w:t>
      </w:r>
      <w:r>
        <w:rPr>
          <w:color w:val="58595B"/>
          <w:spacing w:val="15"/>
        </w:rPr>
        <w:t xml:space="preserve"> </w:t>
      </w:r>
      <w:r>
        <w:rPr>
          <w:color w:val="58595B"/>
        </w:rPr>
        <w:t>EPA.</w:t>
      </w:r>
      <w:r>
        <w:rPr>
          <w:color w:val="58595B"/>
          <w:position w:val="7"/>
          <w:sz w:val="11"/>
        </w:rPr>
        <w:t>24</w:t>
      </w:r>
    </w:p>
    <w:p w14:paraId="7D9A29A9" w14:textId="77777777" w:rsidR="00160E7F" w:rsidRDefault="00160E7F">
      <w:pPr>
        <w:pStyle w:val="BodyText"/>
        <w:spacing w:before="10"/>
        <w:rPr>
          <w:sz w:val="19"/>
        </w:rPr>
      </w:pPr>
    </w:p>
    <w:p w14:paraId="1E3D3A3F" w14:textId="77777777" w:rsidR="00160E7F" w:rsidRDefault="002B0299">
      <w:pPr>
        <w:ind w:left="134" w:right="789"/>
        <w:rPr>
          <w:i/>
          <w:sz w:val="20"/>
        </w:rPr>
      </w:pPr>
      <w:r>
        <w:rPr>
          <w:i/>
          <w:color w:val="6D6E71"/>
          <w:sz w:val="20"/>
        </w:rPr>
        <w:t>Codes of practice are critically important</w:t>
      </w:r>
    </w:p>
    <w:p w14:paraId="2DF0547C" w14:textId="77777777" w:rsidR="00160E7F" w:rsidRDefault="002B0299">
      <w:pPr>
        <w:pStyle w:val="BodyText"/>
        <w:spacing w:before="125" w:line="280" w:lineRule="auto"/>
        <w:ind w:left="134" w:right="1604"/>
      </w:pPr>
      <w:r>
        <w:rPr>
          <w:color w:val="58595B"/>
        </w:rPr>
        <w:t>Codes of practice and other guidance materials are used to explain how duty holders can fulfil the duty.</w:t>
      </w:r>
      <w:r>
        <w:rPr>
          <w:color w:val="58595B"/>
          <w:position w:val="7"/>
          <w:sz w:val="11"/>
        </w:rPr>
        <w:t xml:space="preserve">25 </w:t>
      </w:r>
      <w:r>
        <w:rPr>
          <w:color w:val="58595B"/>
        </w:rPr>
        <w:t>Under the OHS Act, there are eight codes of practice, or ‘compliance codes,’ which provide detailed ‘practical guidance’ to those with obligations under the OHS Act.</w:t>
      </w:r>
      <w:r>
        <w:rPr>
          <w:color w:val="58595B"/>
          <w:position w:val="7"/>
          <w:sz w:val="11"/>
        </w:rPr>
        <w:t xml:space="preserve">26 </w:t>
      </w:r>
      <w:r>
        <w:rPr>
          <w:color w:val="58595B"/>
        </w:rPr>
        <w:t>The codes were developed in consultation with industry, employers, employees, government agencies and the community. They provide greater certainty about what constitutes compliance under the OHS Act.</w:t>
      </w:r>
    </w:p>
    <w:p w14:paraId="77E5EB77" w14:textId="78A3E816" w:rsidR="00160E7F" w:rsidRDefault="002B0299">
      <w:pPr>
        <w:pStyle w:val="BodyText"/>
        <w:spacing w:before="172" w:line="280" w:lineRule="auto"/>
        <w:ind w:left="134" w:right="1588"/>
        <w:rPr>
          <w:sz w:val="11"/>
        </w:rPr>
      </w:pPr>
      <w:r>
        <w:rPr>
          <w:color w:val="58595B"/>
        </w:rPr>
        <w:t>The OHS Act specifies that, when a code of practice ‘makes provision with respect to a duty imposed by the Act’, compliance with the code is taken to be compliance with the Act.</w:t>
      </w:r>
      <w:r>
        <w:rPr>
          <w:color w:val="58595B"/>
          <w:position w:val="7"/>
          <w:sz w:val="11"/>
        </w:rPr>
        <w:t xml:space="preserve">27  </w:t>
      </w:r>
      <w:r>
        <w:rPr>
          <w:color w:val="58595B"/>
        </w:rPr>
        <w:t>Codes</w:t>
      </w:r>
      <w:r w:rsidR="00071591">
        <w:rPr>
          <w:color w:val="58595B"/>
        </w:rPr>
        <w:br/>
      </w:r>
      <w:r>
        <w:rPr>
          <w:color w:val="58595B"/>
        </w:rPr>
        <w:t>of practice provide duty holders with flexibility in choosing how to comply with the general duty.</w:t>
      </w:r>
      <w:r>
        <w:rPr>
          <w:color w:val="58595B"/>
          <w:position w:val="7"/>
          <w:sz w:val="11"/>
        </w:rPr>
        <w:t xml:space="preserve">28 </w:t>
      </w:r>
      <w:r>
        <w:rPr>
          <w:color w:val="58595B"/>
        </w:rPr>
        <w:t>They offer one acceptable means of achieving compliance, without precluding other potentially viable</w:t>
      </w:r>
      <w:r>
        <w:rPr>
          <w:color w:val="58595B"/>
          <w:spacing w:val="14"/>
        </w:rPr>
        <w:t xml:space="preserve"> </w:t>
      </w:r>
      <w:r>
        <w:rPr>
          <w:color w:val="58595B"/>
        </w:rPr>
        <w:t>options.</w:t>
      </w:r>
      <w:r>
        <w:rPr>
          <w:color w:val="58595B"/>
          <w:position w:val="7"/>
          <w:sz w:val="11"/>
        </w:rPr>
        <w:t>29</w:t>
      </w:r>
    </w:p>
    <w:p w14:paraId="4A872CF1" w14:textId="77777777" w:rsidR="00160E7F" w:rsidRDefault="002B0299">
      <w:pPr>
        <w:pStyle w:val="BodyText"/>
        <w:spacing w:before="172"/>
        <w:ind w:left="134" w:right="789"/>
      </w:pPr>
      <w:r>
        <w:rPr>
          <w:color w:val="58595B"/>
        </w:rPr>
        <w:t>How codes of practice are framed – to identify the most cost effective measures for compliance</w:t>
      </w:r>
    </w:p>
    <w:p w14:paraId="3ED3E501" w14:textId="77777777" w:rsidR="00160E7F" w:rsidRDefault="002B0299">
      <w:pPr>
        <w:pStyle w:val="BodyText"/>
        <w:spacing w:before="40" w:line="280" w:lineRule="auto"/>
        <w:ind w:left="134" w:right="1526"/>
      </w:pPr>
      <w:r>
        <w:rPr>
          <w:color w:val="58595B"/>
        </w:rPr>
        <w:t>– and their accessibility can significantly affect regulatory burden. In developing and distributing codes of practice, the EPA must minimise the regulatory burden for duty holders. Clear and concise codes of practice, and other communications that help duty holders understand their obligations, will be important. For example, if duty holders do not understand their obligations they may:</w:t>
      </w:r>
    </w:p>
    <w:p w14:paraId="62052DD4" w14:textId="77777777" w:rsidR="00160E7F" w:rsidRDefault="002B0299">
      <w:pPr>
        <w:pStyle w:val="ListParagraph"/>
        <w:numPr>
          <w:ilvl w:val="0"/>
          <w:numId w:val="47"/>
        </w:numPr>
        <w:tabs>
          <w:tab w:val="left" w:pos="305"/>
        </w:tabs>
        <w:spacing w:before="115"/>
        <w:ind w:hanging="170"/>
        <w:rPr>
          <w:sz w:val="20"/>
        </w:rPr>
      </w:pPr>
      <w:r>
        <w:rPr>
          <w:color w:val="58595B"/>
          <w:sz w:val="20"/>
        </w:rPr>
        <w:t>fail to comply, risking enforcement action by the</w:t>
      </w:r>
      <w:r>
        <w:rPr>
          <w:color w:val="58595B"/>
          <w:spacing w:val="-6"/>
          <w:sz w:val="20"/>
        </w:rPr>
        <w:t xml:space="preserve"> </w:t>
      </w:r>
      <w:r>
        <w:rPr>
          <w:color w:val="58595B"/>
          <w:sz w:val="20"/>
        </w:rPr>
        <w:t>regulator</w:t>
      </w:r>
    </w:p>
    <w:p w14:paraId="7BBC0F61" w14:textId="77777777" w:rsidR="00160E7F" w:rsidRDefault="002B0299">
      <w:pPr>
        <w:pStyle w:val="ListParagraph"/>
        <w:numPr>
          <w:ilvl w:val="0"/>
          <w:numId w:val="47"/>
        </w:numPr>
        <w:tabs>
          <w:tab w:val="left" w:pos="305"/>
        </w:tabs>
        <w:spacing w:before="153" w:line="280" w:lineRule="auto"/>
        <w:ind w:right="2366" w:hanging="170"/>
        <w:rPr>
          <w:sz w:val="20"/>
        </w:rPr>
      </w:pPr>
      <w:r>
        <w:rPr>
          <w:color w:val="58595B"/>
          <w:sz w:val="20"/>
        </w:rPr>
        <w:t>undertake costly but unnecessary actions in the mistaken belief that such actions are necessary for them to</w:t>
      </w:r>
      <w:r>
        <w:rPr>
          <w:color w:val="58595B"/>
          <w:spacing w:val="6"/>
          <w:sz w:val="20"/>
        </w:rPr>
        <w:t xml:space="preserve"> </w:t>
      </w:r>
      <w:r>
        <w:rPr>
          <w:color w:val="58595B"/>
          <w:sz w:val="20"/>
        </w:rPr>
        <w:t>comply.</w:t>
      </w:r>
    </w:p>
    <w:p w14:paraId="78A6F59E" w14:textId="77777777" w:rsidR="00160E7F" w:rsidRDefault="002B0299">
      <w:pPr>
        <w:pStyle w:val="BodyText"/>
        <w:spacing w:before="172" w:line="280" w:lineRule="auto"/>
        <w:ind w:left="134" w:right="789"/>
      </w:pPr>
      <w:r>
        <w:rPr>
          <w:color w:val="58595B"/>
        </w:rPr>
        <w:t>The ability to access relevant guidance quickly and easily will also be important. A user friendly searchable website will help with this.</w:t>
      </w:r>
    </w:p>
    <w:p w14:paraId="3829B87E" w14:textId="77777777" w:rsidR="00160E7F" w:rsidRDefault="00160E7F">
      <w:pPr>
        <w:pStyle w:val="BodyText"/>
        <w:spacing w:before="10"/>
        <w:rPr>
          <w:sz w:val="19"/>
        </w:rPr>
      </w:pPr>
    </w:p>
    <w:p w14:paraId="33978A9F" w14:textId="77777777" w:rsidR="00160E7F" w:rsidRDefault="002B0299">
      <w:pPr>
        <w:ind w:left="134" w:right="789"/>
        <w:rPr>
          <w:i/>
          <w:sz w:val="20"/>
        </w:rPr>
      </w:pPr>
      <w:r>
        <w:rPr>
          <w:i/>
          <w:color w:val="6D6E71"/>
          <w:sz w:val="20"/>
        </w:rPr>
        <w:t>Transitioning to a general duty – a phased approach</w:t>
      </w:r>
    </w:p>
    <w:p w14:paraId="57ADCF3A" w14:textId="77777777" w:rsidR="00160E7F" w:rsidRDefault="002B0299">
      <w:pPr>
        <w:pStyle w:val="BodyText"/>
        <w:spacing w:before="125" w:line="280" w:lineRule="auto"/>
        <w:ind w:left="134" w:right="1716"/>
      </w:pPr>
      <w:r>
        <w:rPr>
          <w:color w:val="58595B"/>
        </w:rPr>
        <w:t>Ultimately, the general duty should apply to every person, given our shared responsibility for the environment. We recommend that the general duty be introduced in stages over a suitable transition period.</w:t>
      </w:r>
    </w:p>
    <w:p w14:paraId="41F3B944" w14:textId="77777777" w:rsidR="00160E7F" w:rsidRDefault="002B0299" w:rsidP="002B0299">
      <w:pPr>
        <w:pStyle w:val="BodyText"/>
        <w:spacing w:before="172" w:line="280" w:lineRule="auto"/>
        <w:ind w:left="134" w:right="1420"/>
      </w:pPr>
      <w:r>
        <w:rPr>
          <w:color w:val="58595B"/>
        </w:rPr>
        <w:t>Introducing an enforceable general duty is a major change to the regulatory framework.</w:t>
      </w:r>
      <w:r>
        <w:rPr>
          <w:color w:val="58595B"/>
        </w:rPr>
        <w:br/>
        <w:t xml:space="preserve">A period of transition will be necessary to allow both duty holders and the </w:t>
      </w:r>
      <w:r>
        <w:rPr>
          <w:color w:val="58595B"/>
          <w:spacing w:val="-4"/>
        </w:rPr>
        <w:t xml:space="preserve">EPA </w:t>
      </w:r>
      <w:r>
        <w:rPr>
          <w:color w:val="58595B"/>
        </w:rPr>
        <w:t>to prepare</w:t>
      </w:r>
      <w:r>
        <w:rPr>
          <w:color w:val="58595B"/>
        </w:rPr>
        <w:br/>
        <w:t>and adjust to the general duty. We recommend a phased introduction. The duty should apply initially to entities with the largest risks of impact and that are best equipped to understand</w:t>
      </w:r>
      <w:r>
        <w:rPr>
          <w:color w:val="58595B"/>
        </w:rPr>
        <w:br/>
        <w:t>and adapt to</w:t>
      </w:r>
      <w:r>
        <w:rPr>
          <w:color w:val="58595B"/>
          <w:spacing w:val="-2"/>
        </w:rPr>
        <w:t xml:space="preserve"> </w:t>
      </w:r>
      <w:r>
        <w:rPr>
          <w:color w:val="58595B"/>
        </w:rPr>
        <w:t>the general duty.</w:t>
      </w:r>
    </w:p>
    <w:p w14:paraId="3E172D56" w14:textId="77777777" w:rsidR="00160E7F" w:rsidRDefault="00160E7F">
      <w:pPr>
        <w:sectPr w:rsidR="00160E7F">
          <w:pgSz w:w="11910" w:h="16840"/>
          <w:pgMar w:top="980" w:right="0" w:bottom="280" w:left="1680" w:header="788" w:footer="0" w:gutter="0"/>
          <w:cols w:space="720"/>
        </w:sectPr>
      </w:pPr>
    </w:p>
    <w:p w14:paraId="1A330899" w14:textId="77777777" w:rsidR="00160E7F" w:rsidRDefault="00160E7F">
      <w:pPr>
        <w:pStyle w:val="BodyText"/>
      </w:pPr>
    </w:p>
    <w:p w14:paraId="32DD8C95" w14:textId="77777777" w:rsidR="00160E7F" w:rsidRDefault="00160E7F">
      <w:pPr>
        <w:pStyle w:val="BodyText"/>
      </w:pPr>
    </w:p>
    <w:p w14:paraId="7866F00A" w14:textId="77777777" w:rsidR="00160E7F" w:rsidRDefault="00160E7F">
      <w:pPr>
        <w:pStyle w:val="BodyText"/>
      </w:pPr>
    </w:p>
    <w:p w14:paraId="2013AD84" w14:textId="77777777" w:rsidR="00160E7F" w:rsidRDefault="00160E7F">
      <w:pPr>
        <w:pStyle w:val="BodyText"/>
      </w:pPr>
    </w:p>
    <w:p w14:paraId="2DF45A6D" w14:textId="77777777" w:rsidR="00160E7F" w:rsidRDefault="00160E7F">
      <w:pPr>
        <w:pStyle w:val="BodyText"/>
        <w:spacing w:before="8"/>
        <w:rPr>
          <w:sz w:val="17"/>
        </w:rPr>
      </w:pPr>
    </w:p>
    <w:p w14:paraId="123DC74A" w14:textId="77777777" w:rsidR="00160E7F" w:rsidRDefault="002B0299">
      <w:pPr>
        <w:pStyle w:val="BodyText"/>
        <w:spacing w:before="1"/>
        <w:ind w:left="1417" w:right="789"/>
      </w:pPr>
      <w:r>
        <w:rPr>
          <w:color w:val="58595B"/>
        </w:rPr>
        <w:t>Specifically, we propose implementing the general duty in three phases:</w:t>
      </w:r>
    </w:p>
    <w:p w14:paraId="6713247E" w14:textId="77777777" w:rsidR="00160E7F" w:rsidRDefault="002B0299">
      <w:pPr>
        <w:pStyle w:val="ListParagraph"/>
        <w:numPr>
          <w:ilvl w:val="1"/>
          <w:numId w:val="47"/>
        </w:numPr>
        <w:tabs>
          <w:tab w:val="left" w:pos="1588"/>
        </w:tabs>
        <w:spacing w:before="153" w:line="280" w:lineRule="auto"/>
        <w:ind w:right="131" w:hanging="170"/>
        <w:rPr>
          <w:sz w:val="11"/>
        </w:rPr>
      </w:pPr>
      <w:r>
        <w:rPr>
          <w:color w:val="58595B"/>
          <w:sz w:val="20"/>
        </w:rPr>
        <w:t>Phase 1 – The general duty applies to all premises that require a works approval or licence, and to those that are registered under the new registration scheme proposed later in this chapter. This will include the largest polluters and sites that store and handle dangerous</w:t>
      </w:r>
      <w:r>
        <w:rPr>
          <w:color w:val="58595B"/>
          <w:spacing w:val="18"/>
          <w:sz w:val="20"/>
        </w:rPr>
        <w:t xml:space="preserve"> </w:t>
      </w:r>
      <w:r>
        <w:rPr>
          <w:color w:val="58595B"/>
          <w:sz w:val="20"/>
        </w:rPr>
        <w:t>goods.</w:t>
      </w:r>
      <w:r>
        <w:rPr>
          <w:color w:val="58595B"/>
          <w:position w:val="7"/>
          <w:sz w:val="11"/>
        </w:rPr>
        <w:t>30</w:t>
      </w:r>
    </w:p>
    <w:p w14:paraId="646BE1F8" w14:textId="77777777" w:rsidR="00160E7F" w:rsidRDefault="002B0299">
      <w:pPr>
        <w:pStyle w:val="ListParagraph"/>
        <w:numPr>
          <w:ilvl w:val="1"/>
          <w:numId w:val="47"/>
        </w:numPr>
        <w:tabs>
          <w:tab w:val="left" w:pos="1588"/>
        </w:tabs>
        <w:spacing w:before="115" w:line="280" w:lineRule="auto"/>
        <w:ind w:right="195" w:hanging="170"/>
        <w:rPr>
          <w:sz w:val="20"/>
        </w:rPr>
      </w:pPr>
      <w:r>
        <w:rPr>
          <w:color w:val="58595B"/>
          <w:sz w:val="20"/>
        </w:rPr>
        <w:t xml:space="preserve">Phase 2 – The general duty includes all other businesses. In both these phases, the </w:t>
      </w:r>
      <w:r>
        <w:rPr>
          <w:color w:val="58595B"/>
          <w:spacing w:val="-4"/>
          <w:sz w:val="20"/>
        </w:rPr>
        <w:t xml:space="preserve">EPA </w:t>
      </w:r>
      <w:r>
        <w:rPr>
          <w:color w:val="58595B"/>
          <w:sz w:val="20"/>
        </w:rPr>
        <w:t xml:space="preserve">will work constructively with industry about how to comply with the general duty. It will also educate and work with duty holders and industry associations in preparing codes of practice and practical guidance material. Both industry and the </w:t>
      </w:r>
      <w:r>
        <w:rPr>
          <w:color w:val="58595B"/>
          <w:spacing w:val="-4"/>
          <w:sz w:val="20"/>
        </w:rPr>
        <w:t xml:space="preserve">EPA </w:t>
      </w:r>
      <w:r>
        <w:rPr>
          <w:color w:val="58595B"/>
          <w:sz w:val="20"/>
        </w:rPr>
        <w:t>must recognise the need for testing and potential revision along the</w:t>
      </w:r>
      <w:r>
        <w:rPr>
          <w:color w:val="58595B"/>
          <w:spacing w:val="3"/>
          <w:sz w:val="20"/>
        </w:rPr>
        <w:t xml:space="preserve"> </w:t>
      </w:r>
      <w:r>
        <w:rPr>
          <w:color w:val="58595B"/>
          <w:spacing w:val="-5"/>
          <w:sz w:val="20"/>
        </w:rPr>
        <w:t>way.</w:t>
      </w:r>
    </w:p>
    <w:p w14:paraId="19C8CC06" w14:textId="77777777" w:rsidR="00160E7F" w:rsidRDefault="002B0299">
      <w:pPr>
        <w:pStyle w:val="ListParagraph"/>
        <w:numPr>
          <w:ilvl w:val="1"/>
          <w:numId w:val="47"/>
        </w:numPr>
        <w:tabs>
          <w:tab w:val="left" w:pos="1588"/>
        </w:tabs>
        <w:spacing w:before="115" w:line="280" w:lineRule="auto"/>
        <w:ind w:right="425" w:hanging="170"/>
        <w:jc w:val="both"/>
        <w:rPr>
          <w:sz w:val="20"/>
        </w:rPr>
      </w:pPr>
      <w:r>
        <w:rPr>
          <w:color w:val="58595B"/>
          <w:sz w:val="20"/>
        </w:rPr>
        <w:t xml:space="preserve">Phase 3 – The general duty extends to every person. This phase would commence once the general duty was well established and the </w:t>
      </w:r>
      <w:r>
        <w:rPr>
          <w:color w:val="58595B"/>
          <w:spacing w:val="-4"/>
          <w:sz w:val="20"/>
        </w:rPr>
        <w:t xml:space="preserve">EPA </w:t>
      </w:r>
      <w:r>
        <w:rPr>
          <w:color w:val="58595B"/>
          <w:sz w:val="20"/>
        </w:rPr>
        <w:t>has the capacity to undertake the necessary community</w:t>
      </w:r>
      <w:r>
        <w:rPr>
          <w:color w:val="58595B"/>
          <w:spacing w:val="8"/>
          <w:sz w:val="20"/>
        </w:rPr>
        <w:t xml:space="preserve"> </w:t>
      </w:r>
      <w:r>
        <w:rPr>
          <w:color w:val="58595B"/>
          <w:sz w:val="20"/>
        </w:rPr>
        <w:t>education.</w:t>
      </w:r>
    </w:p>
    <w:p w14:paraId="4747CF5B" w14:textId="77777777" w:rsidR="00160E7F" w:rsidRDefault="00160E7F">
      <w:pPr>
        <w:pStyle w:val="BodyText"/>
        <w:spacing w:before="4"/>
        <w:rPr>
          <w:sz w:val="22"/>
        </w:rPr>
      </w:pPr>
    </w:p>
    <w:p w14:paraId="28EAB359" w14:textId="77777777" w:rsidR="00160E7F" w:rsidRDefault="002B0299">
      <w:pPr>
        <w:pStyle w:val="ListParagraph"/>
        <w:numPr>
          <w:ilvl w:val="2"/>
          <w:numId w:val="42"/>
        </w:numPr>
        <w:tabs>
          <w:tab w:val="left" w:pos="2072"/>
        </w:tabs>
        <w:spacing w:before="0"/>
        <w:ind w:left="2071" w:hanging="654"/>
        <w:jc w:val="left"/>
        <w:rPr>
          <w:sz w:val="20"/>
        </w:rPr>
      </w:pPr>
      <w:r>
        <w:rPr>
          <w:color w:val="0095A7"/>
          <w:spacing w:val="-3"/>
          <w:sz w:val="20"/>
        </w:rPr>
        <w:t xml:space="preserve">Key </w:t>
      </w:r>
      <w:r>
        <w:rPr>
          <w:color w:val="0095A7"/>
          <w:sz w:val="20"/>
        </w:rPr>
        <w:t>legal design issues for a general</w:t>
      </w:r>
      <w:r>
        <w:rPr>
          <w:color w:val="0095A7"/>
          <w:spacing w:val="12"/>
          <w:sz w:val="20"/>
        </w:rPr>
        <w:t xml:space="preserve"> </w:t>
      </w:r>
      <w:r>
        <w:rPr>
          <w:color w:val="0095A7"/>
          <w:sz w:val="20"/>
        </w:rPr>
        <w:t>duty</w:t>
      </w:r>
    </w:p>
    <w:p w14:paraId="4EEF1647" w14:textId="77777777" w:rsidR="00160E7F" w:rsidRDefault="00160E7F">
      <w:pPr>
        <w:pStyle w:val="BodyText"/>
        <w:spacing w:before="9"/>
        <w:rPr>
          <w:sz w:val="15"/>
        </w:rPr>
      </w:pPr>
    </w:p>
    <w:p w14:paraId="45367D6E" w14:textId="77777777" w:rsidR="00160E7F" w:rsidRDefault="002B0299">
      <w:pPr>
        <w:pStyle w:val="BodyText"/>
        <w:ind w:left="1417" w:right="789"/>
      </w:pPr>
      <w:r>
        <w:rPr>
          <w:color w:val="6D6E71"/>
        </w:rPr>
        <w:t>Failure to comply with the general duty should be an offence</w:t>
      </w:r>
    </w:p>
    <w:p w14:paraId="5676C46B" w14:textId="77777777" w:rsidR="00160E7F" w:rsidRDefault="002B0299">
      <w:pPr>
        <w:pStyle w:val="BodyText"/>
        <w:spacing w:before="125" w:line="280" w:lineRule="auto"/>
        <w:ind w:left="1417" w:right="278"/>
      </w:pPr>
      <w:r>
        <w:rPr>
          <w:color w:val="58595B"/>
        </w:rPr>
        <w:t>A general duty needs to be enforceable to be effective.</w:t>
      </w:r>
      <w:r>
        <w:rPr>
          <w:color w:val="58595B"/>
          <w:position w:val="7"/>
          <w:sz w:val="11"/>
        </w:rPr>
        <w:t xml:space="preserve">31 </w:t>
      </w:r>
      <w:r>
        <w:rPr>
          <w:color w:val="58595B"/>
        </w:rPr>
        <w:t>Making it a criminal offence to breach the general duty sends a strong message about the importance of taking action to prevent harm from pollution and waste. Criminal liability for breach of a general duty is well accepted under OHS legislation.</w:t>
      </w:r>
    </w:p>
    <w:p w14:paraId="255A2672" w14:textId="77777777" w:rsidR="00160E7F" w:rsidRDefault="002B0299">
      <w:pPr>
        <w:pStyle w:val="BodyText"/>
        <w:spacing w:before="172" w:line="280" w:lineRule="auto"/>
        <w:ind w:left="1417" w:right="278"/>
      </w:pPr>
      <w:r>
        <w:rPr>
          <w:color w:val="58595B"/>
        </w:rPr>
        <w:t>The public interest in environment protection rests substantially on the health benefits of a clean environment and is no less important a justification for criminal penalties than is the public interest in workplace safety. The pollution offences under the EP Act currently give rise to criminal liability.</w:t>
      </w:r>
    </w:p>
    <w:p w14:paraId="0E81BAA2" w14:textId="77777777" w:rsidR="00160E7F" w:rsidRDefault="002B0299">
      <w:pPr>
        <w:pStyle w:val="BodyText"/>
        <w:spacing w:before="172" w:line="280" w:lineRule="auto"/>
        <w:ind w:left="1417" w:right="185"/>
      </w:pPr>
      <w:r>
        <w:rPr>
          <w:color w:val="58595B"/>
        </w:rPr>
        <w:t>Exposure to potential criminal liability creates an incentive for compliance, provided the enforcement machinery is strong enough to make the threat of inspection and prosecution real.</w:t>
      </w:r>
    </w:p>
    <w:p w14:paraId="21E19CD0" w14:textId="77777777" w:rsidR="00160E7F" w:rsidRDefault="00160E7F">
      <w:pPr>
        <w:pStyle w:val="BodyText"/>
        <w:spacing w:before="10"/>
        <w:rPr>
          <w:sz w:val="19"/>
        </w:rPr>
      </w:pPr>
    </w:p>
    <w:p w14:paraId="6749A7BC" w14:textId="77777777" w:rsidR="00160E7F" w:rsidRDefault="002B0299">
      <w:pPr>
        <w:ind w:left="1417" w:right="789"/>
        <w:rPr>
          <w:i/>
          <w:sz w:val="20"/>
        </w:rPr>
      </w:pPr>
      <w:r>
        <w:rPr>
          <w:i/>
          <w:color w:val="6D6E71"/>
          <w:sz w:val="20"/>
        </w:rPr>
        <w:t>Failure to comply should also give rise to civil remedies</w:t>
      </w:r>
    </w:p>
    <w:p w14:paraId="0FB4BEC7" w14:textId="77777777" w:rsidR="00160E7F" w:rsidRDefault="002B0299">
      <w:pPr>
        <w:pStyle w:val="BodyText"/>
        <w:spacing w:before="125" w:line="280" w:lineRule="auto"/>
        <w:ind w:left="1417" w:right="185"/>
      </w:pPr>
      <w:r>
        <w:rPr>
          <w:color w:val="58595B"/>
        </w:rPr>
        <w:t>In addition to criminal penalties, a breach of the general duty should give rise to civil liability. That is, the EPA should be able to make application to a court for civil remedies, which should include:</w:t>
      </w:r>
    </w:p>
    <w:p w14:paraId="240785DA" w14:textId="77777777" w:rsidR="00160E7F" w:rsidRDefault="002B0299">
      <w:pPr>
        <w:pStyle w:val="ListParagraph"/>
        <w:numPr>
          <w:ilvl w:val="1"/>
          <w:numId w:val="47"/>
        </w:numPr>
        <w:tabs>
          <w:tab w:val="left" w:pos="1588"/>
        </w:tabs>
        <w:spacing w:before="115"/>
        <w:ind w:hanging="170"/>
        <w:rPr>
          <w:sz w:val="20"/>
        </w:rPr>
      </w:pPr>
      <w:r>
        <w:rPr>
          <w:color w:val="58595B"/>
          <w:sz w:val="20"/>
        </w:rPr>
        <w:t>an injunction to restrain a threatened breach of the general</w:t>
      </w:r>
      <w:r>
        <w:rPr>
          <w:color w:val="58595B"/>
          <w:spacing w:val="6"/>
          <w:sz w:val="20"/>
        </w:rPr>
        <w:t xml:space="preserve"> </w:t>
      </w:r>
      <w:r>
        <w:rPr>
          <w:color w:val="58595B"/>
          <w:sz w:val="20"/>
        </w:rPr>
        <w:t>duty</w:t>
      </w:r>
    </w:p>
    <w:p w14:paraId="4FA6C074" w14:textId="77777777" w:rsidR="00160E7F" w:rsidRDefault="002B0299">
      <w:pPr>
        <w:pStyle w:val="ListParagraph"/>
        <w:numPr>
          <w:ilvl w:val="1"/>
          <w:numId w:val="47"/>
        </w:numPr>
        <w:tabs>
          <w:tab w:val="left" w:pos="1588"/>
        </w:tabs>
        <w:spacing w:before="153" w:line="280" w:lineRule="auto"/>
        <w:ind w:right="340" w:hanging="170"/>
        <w:rPr>
          <w:sz w:val="20"/>
        </w:rPr>
      </w:pPr>
      <w:r>
        <w:rPr>
          <w:color w:val="58595B"/>
          <w:sz w:val="20"/>
        </w:rPr>
        <w:t>orders requiring a person who has failed or refused to take ‘reasonably practicable’ measures to do</w:t>
      </w:r>
      <w:r>
        <w:rPr>
          <w:color w:val="58595B"/>
          <w:spacing w:val="-1"/>
          <w:sz w:val="20"/>
        </w:rPr>
        <w:t xml:space="preserve"> </w:t>
      </w:r>
      <w:r>
        <w:rPr>
          <w:color w:val="58595B"/>
          <w:sz w:val="20"/>
        </w:rPr>
        <w:t>so</w:t>
      </w:r>
    </w:p>
    <w:p w14:paraId="4B320E30" w14:textId="77777777" w:rsidR="00160E7F" w:rsidRDefault="002B0299">
      <w:pPr>
        <w:pStyle w:val="ListParagraph"/>
        <w:numPr>
          <w:ilvl w:val="1"/>
          <w:numId w:val="47"/>
        </w:numPr>
        <w:tabs>
          <w:tab w:val="left" w:pos="1588"/>
        </w:tabs>
        <w:spacing w:before="115" w:line="280" w:lineRule="auto"/>
        <w:ind w:right="862" w:hanging="170"/>
        <w:rPr>
          <w:sz w:val="20"/>
        </w:rPr>
      </w:pPr>
      <w:r>
        <w:rPr>
          <w:color w:val="58595B"/>
          <w:sz w:val="20"/>
        </w:rPr>
        <w:t>orders</w:t>
      </w:r>
      <w:r>
        <w:rPr>
          <w:color w:val="58595B"/>
          <w:spacing w:val="-9"/>
          <w:sz w:val="20"/>
        </w:rPr>
        <w:t xml:space="preserve"> </w:t>
      </w:r>
      <w:r>
        <w:rPr>
          <w:color w:val="58595B"/>
          <w:sz w:val="20"/>
        </w:rPr>
        <w:t>requiring</w:t>
      </w:r>
      <w:r>
        <w:rPr>
          <w:color w:val="58595B"/>
          <w:spacing w:val="-9"/>
          <w:sz w:val="20"/>
        </w:rPr>
        <w:t xml:space="preserve"> </w:t>
      </w:r>
      <w:r>
        <w:rPr>
          <w:color w:val="58595B"/>
          <w:sz w:val="20"/>
        </w:rPr>
        <w:t>a</w:t>
      </w:r>
      <w:r>
        <w:rPr>
          <w:color w:val="58595B"/>
          <w:spacing w:val="-9"/>
          <w:sz w:val="20"/>
        </w:rPr>
        <w:t xml:space="preserve"> </w:t>
      </w:r>
      <w:r>
        <w:rPr>
          <w:color w:val="58595B"/>
          <w:sz w:val="20"/>
        </w:rPr>
        <w:t>duty</w:t>
      </w:r>
      <w:r>
        <w:rPr>
          <w:color w:val="58595B"/>
          <w:spacing w:val="-9"/>
          <w:sz w:val="20"/>
        </w:rPr>
        <w:t xml:space="preserve"> </w:t>
      </w:r>
      <w:r>
        <w:rPr>
          <w:color w:val="58595B"/>
          <w:sz w:val="20"/>
        </w:rPr>
        <w:t>holder</w:t>
      </w:r>
      <w:r>
        <w:rPr>
          <w:color w:val="58595B"/>
          <w:spacing w:val="-9"/>
          <w:sz w:val="20"/>
        </w:rPr>
        <w:t xml:space="preserve"> </w:t>
      </w:r>
      <w:r>
        <w:rPr>
          <w:color w:val="58595B"/>
          <w:sz w:val="20"/>
        </w:rPr>
        <w:t>to</w:t>
      </w:r>
      <w:r>
        <w:rPr>
          <w:color w:val="58595B"/>
          <w:spacing w:val="-9"/>
          <w:sz w:val="20"/>
        </w:rPr>
        <w:t xml:space="preserve"> </w:t>
      </w:r>
      <w:r>
        <w:rPr>
          <w:color w:val="58595B"/>
          <w:sz w:val="20"/>
        </w:rPr>
        <w:t>rectify</w:t>
      </w:r>
      <w:r>
        <w:rPr>
          <w:color w:val="58595B"/>
          <w:spacing w:val="-9"/>
          <w:sz w:val="20"/>
        </w:rPr>
        <w:t xml:space="preserve"> </w:t>
      </w:r>
      <w:r>
        <w:rPr>
          <w:color w:val="58595B"/>
          <w:spacing w:val="-3"/>
          <w:sz w:val="20"/>
        </w:rPr>
        <w:t>environmental</w:t>
      </w:r>
      <w:r>
        <w:rPr>
          <w:color w:val="58595B"/>
          <w:spacing w:val="-9"/>
          <w:sz w:val="20"/>
        </w:rPr>
        <w:t xml:space="preserve"> </w:t>
      </w:r>
      <w:r>
        <w:rPr>
          <w:color w:val="58595B"/>
          <w:sz w:val="20"/>
        </w:rPr>
        <w:t>harm</w:t>
      </w:r>
      <w:r>
        <w:rPr>
          <w:color w:val="58595B"/>
          <w:spacing w:val="-9"/>
          <w:sz w:val="20"/>
        </w:rPr>
        <w:t xml:space="preserve"> </w:t>
      </w:r>
      <w:r>
        <w:rPr>
          <w:color w:val="58595B"/>
          <w:sz w:val="20"/>
        </w:rPr>
        <w:t>resulting</w:t>
      </w:r>
      <w:r>
        <w:rPr>
          <w:color w:val="58595B"/>
          <w:spacing w:val="-9"/>
          <w:sz w:val="20"/>
        </w:rPr>
        <w:t xml:space="preserve"> </w:t>
      </w:r>
      <w:r>
        <w:rPr>
          <w:color w:val="58595B"/>
          <w:sz w:val="20"/>
        </w:rPr>
        <w:t>from</w:t>
      </w:r>
      <w:r>
        <w:rPr>
          <w:color w:val="58595B"/>
          <w:spacing w:val="-9"/>
          <w:sz w:val="20"/>
        </w:rPr>
        <w:t xml:space="preserve"> </w:t>
      </w:r>
      <w:r>
        <w:rPr>
          <w:color w:val="58595B"/>
          <w:sz w:val="20"/>
        </w:rPr>
        <w:t>a</w:t>
      </w:r>
      <w:r>
        <w:rPr>
          <w:color w:val="58595B"/>
          <w:spacing w:val="-9"/>
          <w:sz w:val="20"/>
        </w:rPr>
        <w:t xml:space="preserve"> </w:t>
      </w:r>
      <w:r>
        <w:rPr>
          <w:color w:val="58595B"/>
          <w:sz w:val="20"/>
        </w:rPr>
        <w:t>breach</w:t>
      </w:r>
      <w:r>
        <w:rPr>
          <w:color w:val="58595B"/>
          <w:spacing w:val="-9"/>
          <w:sz w:val="20"/>
        </w:rPr>
        <w:t xml:space="preserve"> </w:t>
      </w:r>
      <w:r>
        <w:rPr>
          <w:color w:val="58595B"/>
          <w:sz w:val="20"/>
        </w:rPr>
        <w:t>of</w:t>
      </w:r>
      <w:r>
        <w:rPr>
          <w:color w:val="58595B"/>
          <w:spacing w:val="-9"/>
          <w:sz w:val="20"/>
        </w:rPr>
        <w:t xml:space="preserve"> </w:t>
      </w:r>
      <w:r>
        <w:rPr>
          <w:color w:val="58595B"/>
          <w:sz w:val="20"/>
        </w:rPr>
        <w:t>the general</w:t>
      </w:r>
      <w:r>
        <w:rPr>
          <w:color w:val="58595B"/>
          <w:spacing w:val="-19"/>
          <w:sz w:val="20"/>
        </w:rPr>
        <w:t xml:space="preserve"> </w:t>
      </w:r>
      <w:r>
        <w:rPr>
          <w:color w:val="58595B"/>
          <w:sz w:val="20"/>
        </w:rPr>
        <w:t>duty</w:t>
      </w:r>
    </w:p>
    <w:p w14:paraId="5A571E6E" w14:textId="77777777" w:rsidR="00160E7F" w:rsidRDefault="002B0299">
      <w:pPr>
        <w:pStyle w:val="ListParagraph"/>
        <w:numPr>
          <w:ilvl w:val="1"/>
          <w:numId w:val="47"/>
        </w:numPr>
        <w:tabs>
          <w:tab w:val="left" w:pos="1588"/>
        </w:tabs>
        <w:spacing w:before="115"/>
        <w:ind w:hanging="170"/>
        <w:rPr>
          <w:sz w:val="20"/>
        </w:rPr>
      </w:pPr>
      <w:r>
        <w:rPr>
          <w:color w:val="58595B"/>
          <w:sz w:val="20"/>
        </w:rPr>
        <w:t>orders requiring a person whose breach of duty has resulted in environmental harm</w:t>
      </w:r>
      <w:r>
        <w:rPr>
          <w:color w:val="58595B"/>
          <w:spacing w:val="9"/>
          <w:sz w:val="20"/>
        </w:rPr>
        <w:t xml:space="preserve"> </w:t>
      </w:r>
      <w:r>
        <w:rPr>
          <w:color w:val="58595B"/>
          <w:spacing w:val="-3"/>
          <w:sz w:val="20"/>
        </w:rPr>
        <w:t>to:</w:t>
      </w:r>
    </w:p>
    <w:p w14:paraId="5B373761" w14:textId="77777777" w:rsidR="00160E7F" w:rsidRDefault="00160E7F">
      <w:pPr>
        <w:pStyle w:val="BodyText"/>
        <w:spacing w:before="3"/>
        <w:rPr>
          <w:sz w:val="18"/>
        </w:rPr>
      </w:pPr>
    </w:p>
    <w:p w14:paraId="705460C6" w14:textId="77777777" w:rsidR="00160E7F" w:rsidRDefault="002B0299">
      <w:pPr>
        <w:pStyle w:val="ListParagraph"/>
        <w:numPr>
          <w:ilvl w:val="3"/>
          <w:numId w:val="42"/>
        </w:numPr>
        <w:tabs>
          <w:tab w:val="left" w:pos="1928"/>
        </w:tabs>
        <w:spacing w:before="0"/>
        <w:ind w:hanging="340"/>
        <w:rPr>
          <w:sz w:val="20"/>
        </w:rPr>
      </w:pPr>
      <w:r>
        <w:rPr>
          <w:color w:val="58595B"/>
          <w:sz w:val="20"/>
        </w:rPr>
        <w:t xml:space="preserve">reimburse the </w:t>
      </w:r>
      <w:r>
        <w:rPr>
          <w:color w:val="58595B"/>
          <w:spacing w:val="-4"/>
          <w:sz w:val="20"/>
        </w:rPr>
        <w:t xml:space="preserve">EPA </w:t>
      </w:r>
      <w:r>
        <w:rPr>
          <w:color w:val="58595B"/>
          <w:sz w:val="20"/>
        </w:rPr>
        <w:t>for any clean up</w:t>
      </w:r>
      <w:r>
        <w:rPr>
          <w:color w:val="58595B"/>
          <w:spacing w:val="9"/>
          <w:sz w:val="20"/>
        </w:rPr>
        <w:t xml:space="preserve"> </w:t>
      </w:r>
      <w:r>
        <w:rPr>
          <w:color w:val="58595B"/>
          <w:sz w:val="20"/>
        </w:rPr>
        <w:t>costs</w:t>
      </w:r>
    </w:p>
    <w:p w14:paraId="70117247" w14:textId="77777777" w:rsidR="00160E7F" w:rsidRDefault="00160E7F">
      <w:pPr>
        <w:pStyle w:val="BodyText"/>
        <w:spacing w:before="3"/>
        <w:rPr>
          <w:sz w:val="18"/>
        </w:rPr>
      </w:pPr>
    </w:p>
    <w:p w14:paraId="685A12CA" w14:textId="77777777" w:rsidR="00160E7F" w:rsidRDefault="002B0299">
      <w:pPr>
        <w:pStyle w:val="ListParagraph"/>
        <w:numPr>
          <w:ilvl w:val="3"/>
          <w:numId w:val="42"/>
        </w:numPr>
        <w:tabs>
          <w:tab w:val="left" w:pos="1928"/>
        </w:tabs>
        <w:spacing w:before="0"/>
        <w:ind w:hanging="340"/>
        <w:rPr>
          <w:sz w:val="20"/>
        </w:rPr>
      </w:pPr>
      <w:r>
        <w:rPr>
          <w:color w:val="58595B"/>
          <w:sz w:val="20"/>
        </w:rPr>
        <w:t>compensate any person who has suffered loss or damage as a direct result of the</w:t>
      </w:r>
      <w:r>
        <w:rPr>
          <w:color w:val="58595B"/>
          <w:spacing w:val="9"/>
          <w:sz w:val="20"/>
        </w:rPr>
        <w:t xml:space="preserve"> </w:t>
      </w:r>
      <w:r>
        <w:rPr>
          <w:color w:val="58595B"/>
          <w:sz w:val="20"/>
        </w:rPr>
        <w:t>breach.</w:t>
      </w:r>
    </w:p>
    <w:p w14:paraId="628FB91B" w14:textId="77777777" w:rsidR="00160E7F" w:rsidRDefault="00160E7F">
      <w:pPr>
        <w:pStyle w:val="BodyText"/>
        <w:spacing w:before="3"/>
        <w:rPr>
          <w:sz w:val="18"/>
        </w:rPr>
      </w:pPr>
    </w:p>
    <w:p w14:paraId="3EBD25F6" w14:textId="77777777" w:rsidR="00160E7F" w:rsidRDefault="002B0299">
      <w:pPr>
        <w:pStyle w:val="BodyText"/>
        <w:spacing w:line="280" w:lineRule="auto"/>
        <w:ind w:left="1417" w:right="185"/>
      </w:pPr>
      <w:r>
        <w:rPr>
          <w:color w:val="58595B"/>
        </w:rPr>
        <w:t>At</w:t>
      </w:r>
      <w:r>
        <w:rPr>
          <w:color w:val="58595B"/>
          <w:spacing w:val="-10"/>
        </w:rPr>
        <w:t xml:space="preserve"> </w:t>
      </w:r>
      <w:r>
        <w:rPr>
          <w:color w:val="58595B"/>
        </w:rPr>
        <w:t>present,</w:t>
      </w:r>
      <w:r>
        <w:rPr>
          <w:color w:val="58595B"/>
          <w:spacing w:val="-10"/>
        </w:rPr>
        <w:t xml:space="preserve"> </w:t>
      </w:r>
      <w:r>
        <w:rPr>
          <w:color w:val="58595B"/>
        </w:rPr>
        <w:t>the</w:t>
      </w:r>
      <w:r>
        <w:rPr>
          <w:color w:val="58595B"/>
          <w:spacing w:val="-10"/>
        </w:rPr>
        <w:t xml:space="preserve"> </w:t>
      </w:r>
      <w:r>
        <w:rPr>
          <w:color w:val="58595B"/>
        </w:rPr>
        <w:t>principal</w:t>
      </w:r>
      <w:r>
        <w:rPr>
          <w:color w:val="58595B"/>
          <w:spacing w:val="-10"/>
        </w:rPr>
        <w:t xml:space="preserve"> </w:t>
      </w:r>
      <w:r>
        <w:rPr>
          <w:color w:val="58595B"/>
        </w:rPr>
        <w:t>civil</w:t>
      </w:r>
      <w:r>
        <w:rPr>
          <w:color w:val="58595B"/>
          <w:spacing w:val="-10"/>
        </w:rPr>
        <w:t xml:space="preserve"> </w:t>
      </w:r>
      <w:r>
        <w:rPr>
          <w:color w:val="58595B"/>
        </w:rPr>
        <w:t>remedy</w:t>
      </w:r>
      <w:r>
        <w:rPr>
          <w:color w:val="58595B"/>
          <w:spacing w:val="-10"/>
        </w:rPr>
        <w:t xml:space="preserve"> </w:t>
      </w:r>
      <w:r>
        <w:rPr>
          <w:color w:val="58595B"/>
          <w:spacing w:val="-3"/>
        </w:rPr>
        <w:t>available</w:t>
      </w:r>
      <w:r>
        <w:rPr>
          <w:color w:val="58595B"/>
          <w:spacing w:val="-10"/>
        </w:rPr>
        <w:t xml:space="preserve"> </w:t>
      </w:r>
      <w:r>
        <w:rPr>
          <w:color w:val="58595B"/>
        </w:rPr>
        <w:t>to</w:t>
      </w:r>
      <w:r>
        <w:rPr>
          <w:color w:val="58595B"/>
          <w:spacing w:val="-10"/>
        </w:rPr>
        <w:t xml:space="preserve"> </w:t>
      </w:r>
      <w:r>
        <w:rPr>
          <w:color w:val="58595B"/>
        </w:rPr>
        <w:t>the</w:t>
      </w:r>
      <w:r>
        <w:rPr>
          <w:color w:val="58595B"/>
          <w:spacing w:val="-10"/>
        </w:rPr>
        <w:t xml:space="preserve"> </w:t>
      </w:r>
      <w:r>
        <w:rPr>
          <w:color w:val="58595B"/>
          <w:spacing w:val="-5"/>
        </w:rPr>
        <w:t>EPA</w:t>
      </w:r>
      <w:r>
        <w:rPr>
          <w:color w:val="58595B"/>
          <w:spacing w:val="-10"/>
        </w:rPr>
        <w:t xml:space="preserve"> </w:t>
      </w:r>
      <w:r>
        <w:rPr>
          <w:color w:val="58595B"/>
        </w:rPr>
        <w:t>is</w:t>
      </w:r>
      <w:r>
        <w:rPr>
          <w:color w:val="58595B"/>
          <w:spacing w:val="-10"/>
        </w:rPr>
        <w:t xml:space="preserve"> </w:t>
      </w:r>
      <w:r>
        <w:rPr>
          <w:color w:val="58595B"/>
        </w:rPr>
        <w:t>an</w:t>
      </w:r>
      <w:r>
        <w:rPr>
          <w:color w:val="58595B"/>
          <w:spacing w:val="-10"/>
        </w:rPr>
        <w:t xml:space="preserve"> </w:t>
      </w:r>
      <w:r>
        <w:rPr>
          <w:color w:val="58595B"/>
        </w:rPr>
        <w:t>injunction.</w:t>
      </w:r>
      <w:r>
        <w:rPr>
          <w:color w:val="58595B"/>
          <w:spacing w:val="-10"/>
        </w:rPr>
        <w:t xml:space="preserve"> </w:t>
      </w:r>
      <w:r>
        <w:rPr>
          <w:color w:val="58595B"/>
        </w:rPr>
        <w:t>Under</w:t>
      </w:r>
      <w:r>
        <w:rPr>
          <w:color w:val="58595B"/>
          <w:spacing w:val="-10"/>
        </w:rPr>
        <w:t xml:space="preserve"> </w:t>
      </w:r>
      <w:r>
        <w:rPr>
          <w:color w:val="58595B"/>
        </w:rPr>
        <w:t>section</w:t>
      </w:r>
      <w:r>
        <w:rPr>
          <w:color w:val="58595B"/>
          <w:spacing w:val="-10"/>
        </w:rPr>
        <w:t xml:space="preserve"> </w:t>
      </w:r>
      <w:r>
        <w:rPr>
          <w:color w:val="58595B"/>
        </w:rPr>
        <w:t>64A</w:t>
      </w:r>
      <w:r>
        <w:rPr>
          <w:color w:val="58595B"/>
          <w:spacing w:val="-10"/>
        </w:rPr>
        <w:t xml:space="preserve"> </w:t>
      </w:r>
      <w:r>
        <w:rPr>
          <w:color w:val="58595B"/>
        </w:rPr>
        <w:t>of</w:t>
      </w:r>
      <w:r>
        <w:rPr>
          <w:color w:val="58595B"/>
          <w:spacing w:val="-10"/>
        </w:rPr>
        <w:t xml:space="preserve"> </w:t>
      </w:r>
      <w:r>
        <w:rPr>
          <w:color w:val="58595B"/>
        </w:rPr>
        <w:t>the EP</w:t>
      </w:r>
      <w:r>
        <w:rPr>
          <w:color w:val="58595B"/>
          <w:spacing w:val="-11"/>
        </w:rPr>
        <w:t xml:space="preserve"> </w:t>
      </w:r>
      <w:r>
        <w:rPr>
          <w:color w:val="58595B"/>
        </w:rPr>
        <w:t>Act,</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spacing w:val="-3"/>
        </w:rPr>
        <w:t>may</w:t>
      </w:r>
      <w:r>
        <w:rPr>
          <w:color w:val="58595B"/>
          <w:spacing w:val="-11"/>
        </w:rPr>
        <w:t xml:space="preserve"> </w:t>
      </w:r>
      <w:r>
        <w:rPr>
          <w:color w:val="58595B"/>
        </w:rPr>
        <w:t>seek</w:t>
      </w:r>
      <w:r>
        <w:rPr>
          <w:color w:val="58595B"/>
          <w:spacing w:val="-11"/>
        </w:rPr>
        <w:t xml:space="preserve"> </w:t>
      </w:r>
      <w:r>
        <w:rPr>
          <w:color w:val="58595B"/>
        </w:rPr>
        <w:t>an</w:t>
      </w:r>
      <w:r>
        <w:rPr>
          <w:color w:val="58595B"/>
          <w:spacing w:val="-11"/>
        </w:rPr>
        <w:t xml:space="preserve"> </w:t>
      </w:r>
      <w:r>
        <w:rPr>
          <w:color w:val="58595B"/>
        </w:rPr>
        <w:t>injunction</w:t>
      </w:r>
      <w:r>
        <w:rPr>
          <w:color w:val="58595B"/>
          <w:spacing w:val="-11"/>
        </w:rPr>
        <w:t xml:space="preserve"> </w:t>
      </w:r>
      <w:r>
        <w:rPr>
          <w:color w:val="58595B"/>
        </w:rPr>
        <w:t>restraining</w:t>
      </w:r>
      <w:r>
        <w:rPr>
          <w:color w:val="58595B"/>
          <w:spacing w:val="-11"/>
        </w:rPr>
        <w:t xml:space="preserve"> </w:t>
      </w:r>
      <w:r>
        <w:rPr>
          <w:color w:val="58595B"/>
        </w:rPr>
        <w:t>the</w:t>
      </w:r>
      <w:r>
        <w:rPr>
          <w:color w:val="58595B"/>
          <w:spacing w:val="-11"/>
        </w:rPr>
        <w:t xml:space="preserve"> </w:t>
      </w:r>
      <w:r>
        <w:rPr>
          <w:color w:val="58595B"/>
        </w:rPr>
        <w:t>contravention</w:t>
      </w:r>
      <w:r>
        <w:rPr>
          <w:color w:val="58595B"/>
          <w:spacing w:val="-11"/>
        </w:rPr>
        <w:t xml:space="preserve"> </w:t>
      </w:r>
      <w:r>
        <w:rPr>
          <w:color w:val="58595B"/>
          <w:spacing w:val="-4"/>
        </w:rPr>
        <w:t>of,</w:t>
      </w:r>
      <w:r>
        <w:rPr>
          <w:color w:val="58595B"/>
          <w:spacing w:val="-11"/>
        </w:rPr>
        <w:t xml:space="preserve"> </w:t>
      </w:r>
      <w:r>
        <w:rPr>
          <w:color w:val="58595B"/>
        </w:rPr>
        <w:t>or</w:t>
      </w:r>
      <w:r>
        <w:rPr>
          <w:color w:val="58595B"/>
          <w:spacing w:val="-11"/>
        </w:rPr>
        <w:t xml:space="preserve"> </w:t>
      </w:r>
      <w:r>
        <w:rPr>
          <w:color w:val="58595B"/>
        </w:rPr>
        <w:t>compelling</w:t>
      </w:r>
      <w:r>
        <w:rPr>
          <w:color w:val="58595B"/>
          <w:spacing w:val="-11"/>
        </w:rPr>
        <w:t xml:space="preserve"> </w:t>
      </w:r>
      <w:r>
        <w:rPr>
          <w:color w:val="58595B"/>
        </w:rPr>
        <w:t xml:space="preserve">compliance with, the EP Act or a condition of a works </w:t>
      </w:r>
      <w:r>
        <w:rPr>
          <w:color w:val="58595B"/>
          <w:spacing w:val="-3"/>
        </w:rPr>
        <w:t xml:space="preserve">approval, </w:t>
      </w:r>
      <w:r>
        <w:rPr>
          <w:color w:val="58595B"/>
        </w:rPr>
        <w:t xml:space="preserve">licence, permit or notice. That is, the </w:t>
      </w:r>
      <w:r>
        <w:rPr>
          <w:color w:val="58595B"/>
          <w:spacing w:val="-5"/>
        </w:rPr>
        <w:t xml:space="preserve">EPA </w:t>
      </w:r>
      <w:r>
        <w:rPr>
          <w:color w:val="58595B"/>
        </w:rPr>
        <w:t>can seek</w:t>
      </w:r>
      <w:r>
        <w:rPr>
          <w:color w:val="58595B"/>
          <w:spacing w:val="-11"/>
        </w:rPr>
        <w:t xml:space="preserve"> </w:t>
      </w:r>
      <w:r>
        <w:rPr>
          <w:color w:val="58595B"/>
        </w:rPr>
        <w:t>orders</w:t>
      </w:r>
      <w:r>
        <w:rPr>
          <w:color w:val="58595B"/>
          <w:spacing w:val="-11"/>
        </w:rPr>
        <w:t xml:space="preserve"> </w:t>
      </w:r>
      <w:r>
        <w:rPr>
          <w:color w:val="58595B"/>
        </w:rPr>
        <w:t>that</w:t>
      </w:r>
      <w:r>
        <w:rPr>
          <w:color w:val="58595B"/>
          <w:spacing w:val="-11"/>
        </w:rPr>
        <w:t xml:space="preserve"> </w:t>
      </w:r>
      <w:r>
        <w:rPr>
          <w:color w:val="58595B"/>
        </w:rPr>
        <w:t>are</w:t>
      </w:r>
      <w:r>
        <w:rPr>
          <w:color w:val="58595B"/>
          <w:spacing w:val="-11"/>
        </w:rPr>
        <w:t xml:space="preserve"> </w:t>
      </w:r>
      <w:r>
        <w:rPr>
          <w:color w:val="58595B"/>
        </w:rPr>
        <w:t>both</w:t>
      </w:r>
      <w:r>
        <w:rPr>
          <w:color w:val="58595B"/>
          <w:spacing w:val="-11"/>
        </w:rPr>
        <w:t xml:space="preserve"> </w:t>
      </w:r>
      <w:r>
        <w:rPr>
          <w:color w:val="58595B"/>
        </w:rPr>
        <w:t>restraining</w:t>
      </w:r>
      <w:r>
        <w:rPr>
          <w:color w:val="58595B"/>
          <w:spacing w:val="-11"/>
        </w:rPr>
        <w:t xml:space="preserve"> </w:t>
      </w:r>
      <w:r>
        <w:rPr>
          <w:color w:val="58595B"/>
        </w:rPr>
        <w:t>and</w:t>
      </w:r>
      <w:r>
        <w:rPr>
          <w:color w:val="58595B"/>
          <w:spacing w:val="-11"/>
        </w:rPr>
        <w:t xml:space="preserve"> </w:t>
      </w:r>
      <w:r>
        <w:rPr>
          <w:color w:val="58595B"/>
        </w:rPr>
        <w:t>coercive.</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uses</w:t>
      </w:r>
      <w:r>
        <w:rPr>
          <w:color w:val="58595B"/>
          <w:spacing w:val="-11"/>
        </w:rPr>
        <w:t xml:space="preserve"> </w:t>
      </w:r>
      <w:r>
        <w:rPr>
          <w:color w:val="58595B"/>
        </w:rPr>
        <w:t>this</w:t>
      </w:r>
      <w:r>
        <w:rPr>
          <w:color w:val="58595B"/>
          <w:spacing w:val="-11"/>
        </w:rPr>
        <w:t xml:space="preserve"> </w:t>
      </w:r>
      <w:r>
        <w:rPr>
          <w:color w:val="58595B"/>
        </w:rPr>
        <w:t>power</w:t>
      </w:r>
      <w:r>
        <w:rPr>
          <w:color w:val="58595B"/>
          <w:spacing w:val="-11"/>
        </w:rPr>
        <w:t xml:space="preserve"> </w:t>
      </w:r>
      <w:r>
        <w:rPr>
          <w:color w:val="58595B"/>
        </w:rPr>
        <w:t>very</w:t>
      </w:r>
      <w:r>
        <w:rPr>
          <w:color w:val="58595B"/>
          <w:spacing w:val="-11"/>
        </w:rPr>
        <w:t xml:space="preserve"> </w:t>
      </w:r>
      <w:r>
        <w:rPr>
          <w:color w:val="58595B"/>
          <w:spacing w:val="-4"/>
        </w:rPr>
        <w:t>rarely.</w:t>
      </w:r>
    </w:p>
    <w:p w14:paraId="79663072" w14:textId="77777777" w:rsidR="00160E7F" w:rsidRDefault="00160E7F">
      <w:pPr>
        <w:spacing w:line="280" w:lineRule="auto"/>
        <w:sectPr w:rsidR="00160E7F">
          <w:pgSz w:w="11910" w:h="16840"/>
          <w:pgMar w:top="980" w:right="1680" w:bottom="280" w:left="0" w:header="788" w:footer="0" w:gutter="0"/>
          <w:cols w:space="720"/>
        </w:sectPr>
      </w:pPr>
    </w:p>
    <w:p w14:paraId="605D7CB3" w14:textId="77777777" w:rsidR="00160E7F" w:rsidRDefault="00160E7F">
      <w:pPr>
        <w:pStyle w:val="BodyText"/>
      </w:pPr>
    </w:p>
    <w:p w14:paraId="7D85BF75" w14:textId="77777777" w:rsidR="00160E7F" w:rsidRDefault="00160E7F">
      <w:pPr>
        <w:pStyle w:val="BodyText"/>
      </w:pPr>
    </w:p>
    <w:p w14:paraId="0F0EE2F1" w14:textId="77777777" w:rsidR="00160E7F" w:rsidRDefault="00160E7F">
      <w:pPr>
        <w:pStyle w:val="BodyText"/>
      </w:pPr>
    </w:p>
    <w:p w14:paraId="4924FFB5" w14:textId="77777777" w:rsidR="00160E7F" w:rsidRDefault="00160E7F">
      <w:pPr>
        <w:pStyle w:val="BodyText"/>
      </w:pPr>
    </w:p>
    <w:p w14:paraId="2B729986" w14:textId="77777777" w:rsidR="00160E7F" w:rsidRDefault="00160E7F">
      <w:pPr>
        <w:pStyle w:val="BodyText"/>
        <w:spacing w:before="8"/>
        <w:rPr>
          <w:sz w:val="17"/>
        </w:rPr>
      </w:pPr>
    </w:p>
    <w:p w14:paraId="66786A31" w14:textId="77777777" w:rsidR="00160E7F" w:rsidRDefault="002B0299">
      <w:pPr>
        <w:pStyle w:val="BodyText"/>
        <w:spacing w:before="1" w:line="280" w:lineRule="auto"/>
        <w:ind w:left="134" w:right="1433"/>
      </w:pPr>
      <w:r>
        <w:rPr>
          <w:color w:val="58595B"/>
        </w:rPr>
        <w:t>The</w:t>
      </w:r>
      <w:r>
        <w:rPr>
          <w:color w:val="58595B"/>
          <w:spacing w:val="-9"/>
        </w:rPr>
        <w:t xml:space="preserve"> </w:t>
      </w:r>
      <w:r>
        <w:rPr>
          <w:color w:val="58595B"/>
          <w:spacing w:val="-6"/>
        </w:rPr>
        <w:t>EPA</w:t>
      </w:r>
      <w:r>
        <w:rPr>
          <w:color w:val="58595B"/>
          <w:spacing w:val="-9"/>
        </w:rPr>
        <w:t xml:space="preserve"> </w:t>
      </w:r>
      <w:r>
        <w:rPr>
          <w:color w:val="58595B"/>
          <w:spacing w:val="-3"/>
        </w:rPr>
        <w:t>also</w:t>
      </w:r>
      <w:r>
        <w:rPr>
          <w:color w:val="58595B"/>
          <w:spacing w:val="-9"/>
        </w:rPr>
        <w:t xml:space="preserve"> </w:t>
      </w:r>
      <w:r>
        <w:rPr>
          <w:color w:val="58595B"/>
          <w:spacing w:val="-3"/>
        </w:rPr>
        <w:t>has</w:t>
      </w:r>
      <w:r>
        <w:rPr>
          <w:color w:val="58595B"/>
          <w:spacing w:val="-9"/>
        </w:rPr>
        <w:t xml:space="preserve"> </w:t>
      </w:r>
      <w:r>
        <w:rPr>
          <w:color w:val="58595B"/>
        </w:rPr>
        <w:t>a</w:t>
      </w:r>
      <w:r>
        <w:rPr>
          <w:color w:val="58595B"/>
          <w:spacing w:val="-9"/>
        </w:rPr>
        <w:t xml:space="preserve"> </w:t>
      </w:r>
      <w:r>
        <w:rPr>
          <w:color w:val="58595B"/>
        </w:rPr>
        <w:t>right</w:t>
      </w:r>
      <w:r>
        <w:rPr>
          <w:color w:val="58595B"/>
          <w:spacing w:val="-9"/>
        </w:rPr>
        <w:t xml:space="preserve"> </w:t>
      </w:r>
      <w:r>
        <w:rPr>
          <w:color w:val="58595B"/>
          <w:spacing w:val="-3"/>
        </w:rPr>
        <w:t>under</w:t>
      </w:r>
      <w:r>
        <w:rPr>
          <w:color w:val="58595B"/>
          <w:spacing w:val="-9"/>
        </w:rPr>
        <w:t xml:space="preserve"> </w:t>
      </w:r>
      <w:r>
        <w:rPr>
          <w:color w:val="58595B"/>
        </w:rPr>
        <w:t>section</w:t>
      </w:r>
      <w:r>
        <w:rPr>
          <w:color w:val="58595B"/>
          <w:spacing w:val="-9"/>
        </w:rPr>
        <w:t xml:space="preserve"> </w:t>
      </w:r>
      <w:r>
        <w:rPr>
          <w:color w:val="58595B"/>
          <w:spacing w:val="-6"/>
        </w:rPr>
        <w:t>62(2)</w:t>
      </w:r>
      <w:r>
        <w:rPr>
          <w:color w:val="58595B"/>
          <w:spacing w:val="-9"/>
        </w:rPr>
        <w:t xml:space="preserve"> </w:t>
      </w:r>
      <w:r>
        <w:rPr>
          <w:color w:val="58595B"/>
        </w:rPr>
        <w:t>of</w:t>
      </w:r>
      <w:r>
        <w:rPr>
          <w:color w:val="58595B"/>
          <w:spacing w:val="-9"/>
        </w:rPr>
        <w:t xml:space="preserve"> </w:t>
      </w:r>
      <w:r>
        <w:rPr>
          <w:color w:val="58595B"/>
        </w:rPr>
        <w:t>the</w:t>
      </w:r>
      <w:r>
        <w:rPr>
          <w:color w:val="58595B"/>
          <w:spacing w:val="-9"/>
        </w:rPr>
        <w:t xml:space="preserve"> </w:t>
      </w:r>
      <w:r>
        <w:rPr>
          <w:color w:val="58595B"/>
        </w:rPr>
        <w:t>EP</w:t>
      </w:r>
      <w:r>
        <w:rPr>
          <w:color w:val="58595B"/>
          <w:spacing w:val="-9"/>
        </w:rPr>
        <w:t xml:space="preserve"> </w:t>
      </w:r>
      <w:r>
        <w:rPr>
          <w:color w:val="58595B"/>
        </w:rPr>
        <w:t>Act</w:t>
      </w:r>
      <w:r>
        <w:rPr>
          <w:color w:val="58595B"/>
          <w:spacing w:val="-9"/>
        </w:rPr>
        <w:t xml:space="preserve"> </w:t>
      </w:r>
      <w:r>
        <w:rPr>
          <w:color w:val="58595B"/>
        </w:rPr>
        <w:t>to</w:t>
      </w:r>
      <w:r>
        <w:rPr>
          <w:color w:val="58595B"/>
          <w:spacing w:val="-9"/>
        </w:rPr>
        <w:t xml:space="preserve"> </w:t>
      </w:r>
      <w:r>
        <w:rPr>
          <w:color w:val="58595B"/>
          <w:spacing w:val="-3"/>
        </w:rPr>
        <w:t>recover</w:t>
      </w:r>
      <w:r>
        <w:rPr>
          <w:color w:val="58595B"/>
          <w:spacing w:val="-9"/>
        </w:rPr>
        <w:t xml:space="preserve"> </w:t>
      </w:r>
      <w:r>
        <w:rPr>
          <w:color w:val="58595B"/>
          <w:spacing w:val="-3"/>
        </w:rPr>
        <w:t>reasonable</w:t>
      </w:r>
      <w:r>
        <w:rPr>
          <w:color w:val="58595B"/>
          <w:spacing w:val="-9"/>
        </w:rPr>
        <w:t xml:space="preserve"> </w:t>
      </w:r>
      <w:r>
        <w:rPr>
          <w:color w:val="58595B"/>
        </w:rPr>
        <w:t>costs</w:t>
      </w:r>
      <w:r>
        <w:rPr>
          <w:color w:val="58595B"/>
          <w:spacing w:val="-9"/>
        </w:rPr>
        <w:t xml:space="preserve"> </w:t>
      </w:r>
      <w:r>
        <w:rPr>
          <w:color w:val="58595B"/>
        </w:rPr>
        <w:t>of</w:t>
      </w:r>
      <w:r>
        <w:rPr>
          <w:color w:val="58595B"/>
          <w:spacing w:val="-9"/>
        </w:rPr>
        <w:t xml:space="preserve"> </w:t>
      </w:r>
      <w:r>
        <w:rPr>
          <w:color w:val="58595B"/>
        </w:rPr>
        <w:t>clean</w:t>
      </w:r>
      <w:r>
        <w:rPr>
          <w:color w:val="58595B"/>
          <w:spacing w:val="-9"/>
        </w:rPr>
        <w:t xml:space="preserve"> </w:t>
      </w:r>
      <w:r>
        <w:rPr>
          <w:color w:val="58595B"/>
          <w:spacing w:val="-3"/>
        </w:rPr>
        <w:t>up.</w:t>
      </w:r>
      <w:r>
        <w:rPr>
          <w:color w:val="58595B"/>
          <w:spacing w:val="-3"/>
          <w:position w:val="7"/>
          <w:sz w:val="11"/>
        </w:rPr>
        <w:t xml:space="preserve">32 </w:t>
      </w:r>
      <w:r>
        <w:rPr>
          <w:color w:val="58595B"/>
        </w:rPr>
        <w:t>A</w:t>
      </w:r>
      <w:r>
        <w:rPr>
          <w:color w:val="58595B"/>
          <w:spacing w:val="-7"/>
        </w:rPr>
        <w:t xml:space="preserve"> </w:t>
      </w:r>
      <w:r>
        <w:rPr>
          <w:color w:val="58595B"/>
          <w:spacing w:val="-3"/>
        </w:rPr>
        <w:t>number</w:t>
      </w:r>
      <w:r>
        <w:rPr>
          <w:color w:val="58595B"/>
          <w:spacing w:val="-7"/>
        </w:rPr>
        <w:t xml:space="preserve"> </w:t>
      </w:r>
      <w:r>
        <w:rPr>
          <w:color w:val="58595B"/>
        </w:rPr>
        <w:t>of</w:t>
      </w:r>
      <w:r>
        <w:rPr>
          <w:color w:val="58595B"/>
          <w:spacing w:val="-7"/>
        </w:rPr>
        <w:t xml:space="preserve"> </w:t>
      </w:r>
      <w:r>
        <w:rPr>
          <w:color w:val="58595B"/>
          <w:spacing w:val="-3"/>
        </w:rPr>
        <w:t>other</w:t>
      </w:r>
      <w:r>
        <w:rPr>
          <w:color w:val="58595B"/>
          <w:spacing w:val="-7"/>
        </w:rPr>
        <w:t xml:space="preserve"> </w:t>
      </w:r>
      <w:r>
        <w:rPr>
          <w:color w:val="58595B"/>
          <w:spacing w:val="-3"/>
        </w:rPr>
        <w:t>remedies</w:t>
      </w:r>
      <w:r>
        <w:rPr>
          <w:color w:val="58595B"/>
          <w:spacing w:val="-7"/>
        </w:rPr>
        <w:t xml:space="preserve"> </w:t>
      </w:r>
      <w:r>
        <w:rPr>
          <w:color w:val="58595B"/>
        </w:rPr>
        <w:t>are</w:t>
      </w:r>
      <w:r>
        <w:rPr>
          <w:color w:val="58595B"/>
          <w:spacing w:val="-7"/>
        </w:rPr>
        <w:t xml:space="preserve"> </w:t>
      </w:r>
      <w:r>
        <w:rPr>
          <w:color w:val="58595B"/>
          <w:spacing w:val="-4"/>
        </w:rPr>
        <w:t>available</w:t>
      </w:r>
      <w:r>
        <w:rPr>
          <w:color w:val="58595B"/>
          <w:spacing w:val="-7"/>
        </w:rPr>
        <w:t xml:space="preserve"> </w:t>
      </w:r>
      <w:r>
        <w:rPr>
          <w:color w:val="58595B"/>
          <w:spacing w:val="-3"/>
        </w:rPr>
        <w:t>only</w:t>
      </w:r>
      <w:r>
        <w:rPr>
          <w:color w:val="58595B"/>
          <w:spacing w:val="-7"/>
        </w:rPr>
        <w:t xml:space="preserve"> </w:t>
      </w:r>
      <w:r>
        <w:rPr>
          <w:color w:val="58595B"/>
        </w:rPr>
        <w:t>upon</w:t>
      </w:r>
      <w:r>
        <w:rPr>
          <w:color w:val="58595B"/>
          <w:spacing w:val="-7"/>
        </w:rPr>
        <w:t xml:space="preserve"> </w:t>
      </w:r>
      <w:r>
        <w:rPr>
          <w:color w:val="58595B"/>
          <w:spacing w:val="-3"/>
        </w:rPr>
        <w:t>conviction,</w:t>
      </w:r>
      <w:r>
        <w:rPr>
          <w:color w:val="58595B"/>
          <w:spacing w:val="-7"/>
        </w:rPr>
        <w:t xml:space="preserve"> </w:t>
      </w:r>
      <w:r>
        <w:rPr>
          <w:color w:val="58595B"/>
        </w:rPr>
        <w:t>as</w:t>
      </w:r>
      <w:r>
        <w:rPr>
          <w:color w:val="58595B"/>
          <w:spacing w:val="-7"/>
        </w:rPr>
        <w:t xml:space="preserve"> </w:t>
      </w:r>
      <w:r>
        <w:rPr>
          <w:color w:val="58595B"/>
        </w:rPr>
        <w:t>ancillary</w:t>
      </w:r>
      <w:r>
        <w:rPr>
          <w:color w:val="58595B"/>
          <w:spacing w:val="-7"/>
        </w:rPr>
        <w:t xml:space="preserve"> </w:t>
      </w:r>
      <w:r>
        <w:rPr>
          <w:color w:val="58595B"/>
          <w:spacing w:val="-3"/>
        </w:rPr>
        <w:t>sentencing</w:t>
      </w:r>
      <w:r>
        <w:rPr>
          <w:color w:val="58595B"/>
          <w:spacing w:val="-7"/>
        </w:rPr>
        <w:t xml:space="preserve"> </w:t>
      </w:r>
      <w:r>
        <w:rPr>
          <w:color w:val="58595B"/>
          <w:spacing w:val="-3"/>
        </w:rPr>
        <w:t>orders.</w:t>
      </w:r>
    </w:p>
    <w:p w14:paraId="348EC2B4" w14:textId="77777777" w:rsidR="00160E7F" w:rsidRDefault="00160E7F">
      <w:pPr>
        <w:pStyle w:val="BodyText"/>
        <w:spacing w:before="10"/>
        <w:rPr>
          <w:sz w:val="19"/>
        </w:rPr>
      </w:pPr>
    </w:p>
    <w:p w14:paraId="63D03241" w14:textId="77777777" w:rsidR="00160E7F" w:rsidRDefault="002B0299">
      <w:pPr>
        <w:ind w:left="134" w:right="789"/>
        <w:rPr>
          <w:i/>
          <w:sz w:val="20"/>
        </w:rPr>
      </w:pPr>
      <w:r>
        <w:rPr>
          <w:i/>
          <w:color w:val="6D6E71"/>
          <w:sz w:val="20"/>
        </w:rPr>
        <w:t>Third party civil remedies</w:t>
      </w:r>
    </w:p>
    <w:p w14:paraId="4524D0AA" w14:textId="77777777" w:rsidR="00160E7F" w:rsidRDefault="002B0299">
      <w:pPr>
        <w:pStyle w:val="BodyText"/>
        <w:spacing w:before="125" w:line="280" w:lineRule="auto"/>
        <w:ind w:left="134" w:right="1433"/>
      </w:pPr>
      <w:r>
        <w:rPr>
          <w:color w:val="58595B"/>
        </w:rPr>
        <w:t>Under the South Australian model, civil remedies may be sought not just by the EPA but by any person whose interests are affected or any other person with the permission of the court.</w:t>
      </w:r>
      <w:r>
        <w:rPr>
          <w:color w:val="58595B"/>
          <w:position w:val="7"/>
          <w:sz w:val="11"/>
        </w:rPr>
        <w:t xml:space="preserve">33 </w:t>
      </w:r>
      <w:r>
        <w:rPr>
          <w:color w:val="58595B"/>
        </w:rPr>
        <w:t>This allows members of the affected community to take action if there is a breach, or threatened breach, of the general duty and the regulator does not take action.</w:t>
      </w:r>
    </w:p>
    <w:p w14:paraId="3065D690" w14:textId="77777777" w:rsidR="00160E7F" w:rsidRDefault="002B0299">
      <w:pPr>
        <w:pStyle w:val="BodyText"/>
        <w:spacing w:before="172" w:line="280" w:lineRule="auto"/>
        <w:ind w:left="134" w:right="1433"/>
      </w:pPr>
      <w:r>
        <w:rPr>
          <w:color w:val="58595B"/>
        </w:rPr>
        <w:t>In chapter 7, we recommend that similar third party rights be created in Victoria. This will improve access to justice and increase the level of environmental accountability of businesses.</w:t>
      </w:r>
    </w:p>
    <w:p w14:paraId="4DE50CC2" w14:textId="77777777" w:rsidR="00160E7F" w:rsidRDefault="00160E7F">
      <w:pPr>
        <w:pStyle w:val="BodyText"/>
        <w:spacing w:before="10"/>
        <w:rPr>
          <w:sz w:val="19"/>
        </w:rPr>
      </w:pPr>
    </w:p>
    <w:p w14:paraId="67273C06" w14:textId="77777777" w:rsidR="00160E7F" w:rsidRDefault="002B0299">
      <w:pPr>
        <w:ind w:left="134" w:right="789"/>
        <w:rPr>
          <w:i/>
          <w:sz w:val="20"/>
        </w:rPr>
      </w:pPr>
      <w:r>
        <w:rPr>
          <w:i/>
          <w:color w:val="6D6E71"/>
          <w:sz w:val="20"/>
        </w:rPr>
        <w:t>Compliance with specific requirements a defence to the general duty</w:t>
      </w:r>
    </w:p>
    <w:p w14:paraId="6736B24E" w14:textId="77777777" w:rsidR="00160E7F" w:rsidRDefault="002B0299">
      <w:pPr>
        <w:pStyle w:val="BodyText"/>
        <w:spacing w:before="125" w:line="280" w:lineRule="auto"/>
        <w:ind w:left="134" w:right="1529"/>
      </w:pPr>
      <w:r>
        <w:rPr>
          <w:color w:val="58595B"/>
        </w:rPr>
        <w:t>We recommend that the EP Act be amended to include an express provision that compliance with specific requirements in environmental authorisations (such as a works approval or licence), or with regulations and statutory policies, is a defence to a charge of breaching the general duty.</w:t>
      </w:r>
    </w:p>
    <w:p w14:paraId="38634B67" w14:textId="77777777" w:rsidR="00160E7F" w:rsidRDefault="002B0299">
      <w:pPr>
        <w:pStyle w:val="BodyText"/>
        <w:spacing w:before="2" w:line="280" w:lineRule="auto"/>
        <w:ind w:left="134" w:right="1414"/>
        <w:jc w:val="both"/>
      </w:pPr>
      <w:r>
        <w:rPr>
          <w:color w:val="58595B"/>
        </w:rPr>
        <w:t>This is necessary to ensure that the general duty integrates with – and does not conflict with – the operation of the licensing regime. For example, in the case of a licence that sets specific emission limits, discharging polluting emissions up to the limit could not be a breach of the general duty.</w:t>
      </w:r>
    </w:p>
    <w:p w14:paraId="54508BED" w14:textId="77777777" w:rsidR="00160E7F" w:rsidRDefault="002B0299">
      <w:pPr>
        <w:pStyle w:val="BodyText"/>
        <w:spacing w:before="2"/>
        <w:ind w:left="134" w:right="789"/>
        <w:rPr>
          <w:sz w:val="11"/>
        </w:rPr>
      </w:pPr>
      <w:r>
        <w:rPr>
          <w:color w:val="58595B"/>
        </w:rPr>
        <w:t>The South Australian scheme includes a provision of this kind.</w:t>
      </w:r>
      <w:r>
        <w:rPr>
          <w:color w:val="58595B"/>
          <w:position w:val="7"/>
          <w:sz w:val="11"/>
        </w:rPr>
        <w:t>34</w:t>
      </w:r>
    </w:p>
    <w:p w14:paraId="3114F750" w14:textId="77777777" w:rsidR="00160E7F" w:rsidRDefault="00160E7F">
      <w:pPr>
        <w:pStyle w:val="BodyText"/>
        <w:spacing w:before="2"/>
        <w:rPr>
          <w:sz w:val="23"/>
        </w:rPr>
      </w:pPr>
    </w:p>
    <w:p w14:paraId="0C608757" w14:textId="77777777" w:rsidR="00160E7F" w:rsidRDefault="002B0299">
      <w:pPr>
        <w:ind w:left="134" w:right="789"/>
        <w:rPr>
          <w:i/>
          <w:sz w:val="20"/>
        </w:rPr>
      </w:pPr>
      <w:r>
        <w:rPr>
          <w:i/>
          <w:color w:val="6D6E71"/>
          <w:sz w:val="20"/>
        </w:rPr>
        <w:t>Application of the current pollution offences</w:t>
      </w:r>
    </w:p>
    <w:p w14:paraId="6E34CED2" w14:textId="7C4DE811" w:rsidR="00160E7F" w:rsidRDefault="002B0299">
      <w:pPr>
        <w:pStyle w:val="BodyText"/>
        <w:spacing w:before="125" w:line="280" w:lineRule="auto"/>
        <w:ind w:left="134" w:right="1526"/>
      </w:pPr>
      <w:r>
        <w:rPr>
          <w:color w:val="58595B"/>
        </w:rPr>
        <w:t>The current EP Act contains prohibitions on polluting waters (section 39), the atmosphere (section 41) and land (section 45). All three prohibitions are in s</w:t>
      </w:r>
      <w:r w:rsidR="00071591">
        <w:rPr>
          <w:color w:val="58595B"/>
        </w:rPr>
        <w:t>imilar terms. As noted earlier,</w:t>
      </w:r>
      <w:r w:rsidR="00071591">
        <w:rPr>
          <w:color w:val="58595B"/>
        </w:rPr>
        <w:br/>
      </w:r>
      <w:r>
        <w:rPr>
          <w:color w:val="58595B"/>
        </w:rPr>
        <w:t>all require proof that the condition of the waters/atmosphere</w:t>
      </w:r>
      <w:r w:rsidR="00071591">
        <w:rPr>
          <w:color w:val="58595B"/>
        </w:rPr>
        <w:t>/land has been ‘… so changed as</w:t>
      </w:r>
      <w:r w:rsidR="00071591">
        <w:rPr>
          <w:color w:val="58595B"/>
        </w:rPr>
        <w:br/>
      </w:r>
      <w:r>
        <w:rPr>
          <w:color w:val="58595B"/>
        </w:rPr>
        <w:t>to make or be reasonably expected to make’ it harmful or potentially harmful.</w:t>
      </w:r>
    </w:p>
    <w:p w14:paraId="7AEF53A8" w14:textId="77777777" w:rsidR="00160E7F" w:rsidRDefault="002B0299">
      <w:pPr>
        <w:pStyle w:val="BodyText"/>
        <w:spacing w:before="172" w:line="280" w:lineRule="auto"/>
        <w:ind w:left="134" w:right="912"/>
      </w:pPr>
      <w:r>
        <w:rPr>
          <w:color w:val="58595B"/>
        </w:rPr>
        <w:t>Once the general duty becomes applicable to an entity or person, these offence provisions would become</w:t>
      </w:r>
      <w:r>
        <w:rPr>
          <w:color w:val="58595B"/>
          <w:spacing w:val="-11"/>
        </w:rPr>
        <w:t xml:space="preserve"> </w:t>
      </w:r>
      <w:r>
        <w:rPr>
          <w:color w:val="58595B"/>
        </w:rPr>
        <w:t>inapplicable</w:t>
      </w:r>
      <w:r>
        <w:rPr>
          <w:color w:val="58595B"/>
          <w:spacing w:val="-11"/>
        </w:rPr>
        <w:t xml:space="preserve"> </w:t>
      </w:r>
      <w:r>
        <w:rPr>
          <w:color w:val="58595B"/>
        </w:rPr>
        <w:t>to</w:t>
      </w:r>
      <w:r>
        <w:rPr>
          <w:color w:val="58595B"/>
          <w:spacing w:val="-11"/>
        </w:rPr>
        <w:t xml:space="preserve"> </w:t>
      </w:r>
      <w:r>
        <w:rPr>
          <w:color w:val="58595B"/>
        </w:rPr>
        <w:t>that</w:t>
      </w:r>
      <w:r>
        <w:rPr>
          <w:color w:val="58595B"/>
          <w:spacing w:val="-11"/>
        </w:rPr>
        <w:t xml:space="preserve"> </w:t>
      </w:r>
      <w:r>
        <w:rPr>
          <w:color w:val="58595B"/>
        </w:rPr>
        <w:t>entity</w:t>
      </w:r>
      <w:r>
        <w:rPr>
          <w:color w:val="58595B"/>
          <w:spacing w:val="-11"/>
        </w:rPr>
        <w:t xml:space="preserve"> </w:t>
      </w:r>
      <w:r>
        <w:rPr>
          <w:color w:val="58595B"/>
        </w:rPr>
        <w:t>or</w:t>
      </w:r>
      <w:r>
        <w:rPr>
          <w:color w:val="58595B"/>
          <w:spacing w:val="-11"/>
        </w:rPr>
        <w:t xml:space="preserve"> </w:t>
      </w:r>
      <w:r>
        <w:rPr>
          <w:color w:val="58595B"/>
        </w:rPr>
        <w:t>person.</w:t>
      </w:r>
      <w:r>
        <w:rPr>
          <w:color w:val="58595B"/>
          <w:spacing w:val="-11"/>
        </w:rPr>
        <w:t xml:space="preserve"> </w:t>
      </w:r>
      <w:r>
        <w:rPr>
          <w:color w:val="58595B"/>
        </w:rPr>
        <w:t>Because</w:t>
      </w:r>
      <w:r>
        <w:rPr>
          <w:color w:val="58595B"/>
          <w:spacing w:val="-11"/>
        </w:rPr>
        <w:t xml:space="preserve"> </w:t>
      </w:r>
      <w:r>
        <w:rPr>
          <w:color w:val="58595B"/>
        </w:rPr>
        <w:t>of</w:t>
      </w:r>
      <w:r>
        <w:rPr>
          <w:color w:val="58595B"/>
          <w:spacing w:val="-11"/>
        </w:rPr>
        <w:t xml:space="preserve"> </w:t>
      </w:r>
      <w:r>
        <w:rPr>
          <w:color w:val="58595B"/>
        </w:rPr>
        <w:t>the</w:t>
      </w:r>
      <w:r>
        <w:rPr>
          <w:color w:val="58595B"/>
          <w:spacing w:val="-11"/>
        </w:rPr>
        <w:t xml:space="preserve"> </w:t>
      </w:r>
      <w:r>
        <w:rPr>
          <w:color w:val="58595B"/>
        </w:rPr>
        <w:t>staged</w:t>
      </w:r>
      <w:r>
        <w:rPr>
          <w:color w:val="58595B"/>
          <w:spacing w:val="-11"/>
        </w:rPr>
        <w:t xml:space="preserve"> </w:t>
      </w:r>
      <w:r>
        <w:rPr>
          <w:color w:val="58595B"/>
        </w:rPr>
        <w:t>introduction</w:t>
      </w:r>
      <w:r>
        <w:rPr>
          <w:color w:val="58595B"/>
          <w:spacing w:val="-11"/>
        </w:rPr>
        <w:t xml:space="preserve"> </w:t>
      </w:r>
      <w:r>
        <w:rPr>
          <w:color w:val="58595B"/>
        </w:rPr>
        <w:t>of</w:t>
      </w:r>
      <w:r>
        <w:rPr>
          <w:color w:val="58595B"/>
          <w:spacing w:val="-11"/>
        </w:rPr>
        <w:t xml:space="preserve"> </w:t>
      </w:r>
      <w:r>
        <w:rPr>
          <w:color w:val="58595B"/>
        </w:rPr>
        <w:t>the</w:t>
      </w:r>
      <w:r>
        <w:rPr>
          <w:color w:val="58595B"/>
          <w:spacing w:val="-11"/>
        </w:rPr>
        <w:t xml:space="preserve"> </w:t>
      </w:r>
      <w:r>
        <w:rPr>
          <w:color w:val="58595B"/>
        </w:rPr>
        <w:t>general</w:t>
      </w:r>
      <w:r>
        <w:rPr>
          <w:color w:val="58595B"/>
          <w:spacing w:val="-11"/>
        </w:rPr>
        <w:t xml:space="preserve"> </w:t>
      </w:r>
      <w:r>
        <w:rPr>
          <w:color w:val="58595B"/>
          <w:spacing w:val="-4"/>
        </w:rPr>
        <w:t xml:space="preserve">duty, </w:t>
      </w:r>
      <w:r>
        <w:rPr>
          <w:color w:val="58595B"/>
          <w:spacing w:val="-5"/>
        </w:rPr>
        <w:t>however,</w:t>
      </w:r>
      <w:r>
        <w:rPr>
          <w:color w:val="58595B"/>
          <w:spacing w:val="-9"/>
        </w:rPr>
        <w:t xml:space="preserve"> </w:t>
      </w:r>
      <w:r>
        <w:rPr>
          <w:color w:val="58595B"/>
        </w:rPr>
        <w:t>the</w:t>
      </w:r>
      <w:r>
        <w:rPr>
          <w:color w:val="58595B"/>
          <w:spacing w:val="-9"/>
        </w:rPr>
        <w:t xml:space="preserve"> </w:t>
      </w:r>
      <w:r>
        <w:rPr>
          <w:color w:val="58595B"/>
        </w:rPr>
        <w:t>offence</w:t>
      </w:r>
      <w:r>
        <w:rPr>
          <w:color w:val="58595B"/>
          <w:spacing w:val="-9"/>
        </w:rPr>
        <w:t xml:space="preserve"> </w:t>
      </w:r>
      <w:r>
        <w:rPr>
          <w:color w:val="58595B"/>
        </w:rPr>
        <w:t>provisions</w:t>
      </w:r>
      <w:r>
        <w:rPr>
          <w:color w:val="58595B"/>
          <w:spacing w:val="-9"/>
        </w:rPr>
        <w:t xml:space="preserve"> </w:t>
      </w:r>
      <w:r>
        <w:rPr>
          <w:color w:val="58595B"/>
        </w:rPr>
        <w:t>will</w:t>
      </w:r>
      <w:r>
        <w:rPr>
          <w:color w:val="58595B"/>
          <w:spacing w:val="-9"/>
        </w:rPr>
        <w:t xml:space="preserve"> </w:t>
      </w:r>
      <w:r>
        <w:rPr>
          <w:color w:val="58595B"/>
        </w:rPr>
        <w:t>continue</w:t>
      </w:r>
      <w:r>
        <w:rPr>
          <w:color w:val="58595B"/>
          <w:spacing w:val="-9"/>
        </w:rPr>
        <w:t xml:space="preserve"> </w:t>
      </w:r>
      <w:r>
        <w:rPr>
          <w:color w:val="58595B"/>
        </w:rPr>
        <w:t>to</w:t>
      </w:r>
      <w:r>
        <w:rPr>
          <w:color w:val="58595B"/>
          <w:spacing w:val="-9"/>
        </w:rPr>
        <w:t xml:space="preserve"> </w:t>
      </w:r>
      <w:r>
        <w:rPr>
          <w:color w:val="58595B"/>
          <w:spacing w:val="-3"/>
        </w:rPr>
        <w:t>have</w:t>
      </w:r>
      <w:r>
        <w:rPr>
          <w:color w:val="58595B"/>
          <w:spacing w:val="-9"/>
        </w:rPr>
        <w:t xml:space="preserve"> </w:t>
      </w:r>
      <w:r>
        <w:rPr>
          <w:color w:val="58595B"/>
        </w:rPr>
        <w:t>work</w:t>
      </w:r>
      <w:r>
        <w:rPr>
          <w:color w:val="58595B"/>
          <w:spacing w:val="-9"/>
        </w:rPr>
        <w:t xml:space="preserve"> </w:t>
      </w:r>
      <w:r>
        <w:rPr>
          <w:color w:val="58595B"/>
        </w:rPr>
        <w:t>to</w:t>
      </w:r>
      <w:r>
        <w:rPr>
          <w:color w:val="58595B"/>
          <w:spacing w:val="-9"/>
        </w:rPr>
        <w:t xml:space="preserve"> </w:t>
      </w:r>
      <w:r>
        <w:rPr>
          <w:color w:val="58595B"/>
        </w:rPr>
        <w:t>do</w:t>
      </w:r>
      <w:r>
        <w:rPr>
          <w:color w:val="58595B"/>
          <w:spacing w:val="-9"/>
        </w:rPr>
        <w:t xml:space="preserve"> </w:t>
      </w:r>
      <w:r>
        <w:rPr>
          <w:color w:val="58595B"/>
        </w:rPr>
        <w:t>in</w:t>
      </w:r>
      <w:r>
        <w:rPr>
          <w:color w:val="58595B"/>
          <w:spacing w:val="-9"/>
        </w:rPr>
        <w:t xml:space="preserve"> </w:t>
      </w:r>
      <w:r>
        <w:rPr>
          <w:color w:val="58595B"/>
        </w:rPr>
        <w:t>relation</w:t>
      </w:r>
      <w:r>
        <w:rPr>
          <w:color w:val="58595B"/>
          <w:spacing w:val="-9"/>
        </w:rPr>
        <w:t xml:space="preserve"> </w:t>
      </w:r>
      <w:r>
        <w:rPr>
          <w:color w:val="58595B"/>
        </w:rPr>
        <w:t>to</w:t>
      </w:r>
      <w:r>
        <w:rPr>
          <w:color w:val="58595B"/>
          <w:spacing w:val="-9"/>
        </w:rPr>
        <w:t xml:space="preserve"> </w:t>
      </w:r>
      <w:r>
        <w:rPr>
          <w:color w:val="58595B"/>
        </w:rPr>
        <w:t>those</w:t>
      </w:r>
      <w:r>
        <w:rPr>
          <w:color w:val="58595B"/>
          <w:spacing w:val="-9"/>
        </w:rPr>
        <w:t xml:space="preserve"> </w:t>
      </w:r>
      <w:r>
        <w:rPr>
          <w:color w:val="58595B"/>
        </w:rPr>
        <w:t>not</w:t>
      </w:r>
      <w:r>
        <w:rPr>
          <w:color w:val="58595B"/>
          <w:spacing w:val="-9"/>
        </w:rPr>
        <w:t xml:space="preserve"> </w:t>
      </w:r>
      <w:r>
        <w:rPr>
          <w:color w:val="58595B"/>
          <w:spacing w:val="-3"/>
        </w:rPr>
        <w:t>yet</w:t>
      </w:r>
      <w:r>
        <w:rPr>
          <w:color w:val="58595B"/>
          <w:spacing w:val="-9"/>
        </w:rPr>
        <w:t xml:space="preserve"> </w:t>
      </w:r>
      <w:r>
        <w:rPr>
          <w:color w:val="58595B"/>
          <w:spacing w:val="-3"/>
        </w:rPr>
        <w:t>covered.</w:t>
      </w:r>
    </w:p>
    <w:p w14:paraId="4A696086" w14:textId="77777777" w:rsidR="00160E7F" w:rsidRDefault="002B0299">
      <w:pPr>
        <w:pStyle w:val="BodyText"/>
        <w:spacing w:before="172" w:line="280" w:lineRule="auto"/>
        <w:ind w:left="134" w:right="1433"/>
      </w:pPr>
      <w:r>
        <w:rPr>
          <w:color w:val="58595B"/>
        </w:rPr>
        <w:t>The current offences should be reviewed, and possibly removed, once the general duty has been fully rolled out.</w:t>
      </w:r>
    </w:p>
    <w:p w14:paraId="47A8BE56" w14:textId="77777777" w:rsidR="00160E7F" w:rsidRDefault="002B0299">
      <w:pPr>
        <w:pStyle w:val="BodyText"/>
        <w:spacing w:before="172" w:line="280" w:lineRule="auto"/>
        <w:ind w:left="134" w:right="1433"/>
      </w:pPr>
      <w:r>
        <w:rPr>
          <w:color w:val="58595B"/>
        </w:rPr>
        <w:t xml:space="preserve">As noted </w:t>
      </w:r>
      <w:r>
        <w:rPr>
          <w:color w:val="58595B"/>
          <w:spacing w:val="-3"/>
        </w:rPr>
        <w:t xml:space="preserve">above, </w:t>
      </w:r>
      <w:r>
        <w:rPr>
          <w:color w:val="58595B"/>
        </w:rPr>
        <w:t xml:space="preserve">the general duty will </w:t>
      </w:r>
      <w:r>
        <w:rPr>
          <w:color w:val="58595B"/>
          <w:spacing w:val="-3"/>
        </w:rPr>
        <w:t xml:space="preserve">have </w:t>
      </w:r>
      <w:r>
        <w:rPr>
          <w:color w:val="58595B"/>
        </w:rPr>
        <w:t xml:space="preserve">significant </w:t>
      </w:r>
      <w:r>
        <w:rPr>
          <w:color w:val="58595B"/>
          <w:spacing w:val="-3"/>
        </w:rPr>
        <w:t xml:space="preserve">advantages. </w:t>
      </w:r>
      <w:r>
        <w:rPr>
          <w:color w:val="58595B"/>
        </w:rPr>
        <w:t xml:space="preserve">It will be enforceable before there has been </w:t>
      </w:r>
      <w:r>
        <w:rPr>
          <w:color w:val="58595B"/>
          <w:spacing w:val="-3"/>
        </w:rPr>
        <w:t xml:space="preserve">any </w:t>
      </w:r>
      <w:r>
        <w:rPr>
          <w:color w:val="58595B"/>
        </w:rPr>
        <w:t xml:space="preserve">change to the </w:t>
      </w:r>
      <w:r>
        <w:rPr>
          <w:color w:val="58595B"/>
          <w:spacing w:val="-3"/>
        </w:rPr>
        <w:t xml:space="preserve">relevant </w:t>
      </w:r>
      <w:r>
        <w:rPr>
          <w:color w:val="58595B"/>
        </w:rPr>
        <w:t xml:space="preserve">part of the </w:t>
      </w:r>
      <w:r>
        <w:rPr>
          <w:color w:val="58595B"/>
          <w:spacing w:val="-3"/>
        </w:rPr>
        <w:t xml:space="preserve">environment, </w:t>
      </w:r>
      <w:r>
        <w:rPr>
          <w:color w:val="58595B"/>
        </w:rPr>
        <w:t>and proof of breach will not require</w:t>
      </w:r>
      <w:r>
        <w:rPr>
          <w:color w:val="58595B"/>
          <w:spacing w:val="-9"/>
        </w:rPr>
        <w:t xml:space="preserve"> </w:t>
      </w:r>
      <w:r>
        <w:rPr>
          <w:color w:val="58595B"/>
        </w:rPr>
        <w:t>proof</w:t>
      </w:r>
      <w:r>
        <w:rPr>
          <w:color w:val="58595B"/>
          <w:spacing w:val="-9"/>
        </w:rPr>
        <w:t xml:space="preserve"> </w:t>
      </w:r>
      <w:r>
        <w:rPr>
          <w:color w:val="58595B"/>
        </w:rPr>
        <w:t>of</w:t>
      </w:r>
      <w:r>
        <w:rPr>
          <w:color w:val="58595B"/>
          <w:spacing w:val="-9"/>
        </w:rPr>
        <w:t xml:space="preserve"> </w:t>
      </w:r>
      <w:r>
        <w:rPr>
          <w:color w:val="58595B"/>
        </w:rPr>
        <w:t>harmful</w:t>
      </w:r>
      <w:r>
        <w:rPr>
          <w:color w:val="58595B"/>
          <w:spacing w:val="-9"/>
        </w:rPr>
        <w:t xml:space="preserve"> </w:t>
      </w:r>
      <w:r>
        <w:rPr>
          <w:color w:val="58595B"/>
        </w:rPr>
        <w:t>change.</w:t>
      </w:r>
      <w:r>
        <w:rPr>
          <w:color w:val="58595B"/>
          <w:spacing w:val="-9"/>
        </w:rPr>
        <w:t xml:space="preserve"> </w:t>
      </w:r>
      <w:r>
        <w:rPr>
          <w:color w:val="58595B"/>
        </w:rPr>
        <w:t>The</w:t>
      </w:r>
      <w:r>
        <w:rPr>
          <w:color w:val="58595B"/>
          <w:spacing w:val="-9"/>
        </w:rPr>
        <w:t xml:space="preserve"> </w:t>
      </w:r>
      <w:r>
        <w:rPr>
          <w:color w:val="58595B"/>
        </w:rPr>
        <w:t>duty</w:t>
      </w:r>
      <w:r>
        <w:rPr>
          <w:color w:val="58595B"/>
          <w:spacing w:val="-9"/>
        </w:rPr>
        <w:t xml:space="preserve"> </w:t>
      </w:r>
      <w:r>
        <w:rPr>
          <w:color w:val="58595B"/>
        </w:rPr>
        <w:t>will</w:t>
      </w:r>
      <w:r>
        <w:rPr>
          <w:color w:val="58595B"/>
          <w:spacing w:val="-9"/>
        </w:rPr>
        <w:t xml:space="preserve"> </w:t>
      </w:r>
      <w:r>
        <w:rPr>
          <w:color w:val="58595B"/>
        </w:rPr>
        <w:t>be</w:t>
      </w:r>
      <w:r>
        <w:rPr>
          <w:color w:val="58595B"/>
          <w:spacing w:val="-9"/>
        </w:rPr>
        <w:t xml:space="preserve"> </w:t>
      </w:r>
      <w:r>
        <w:rPr>
          <w:color w:val="58595B"/>
        </w:rPr>
        <w:t>breached</w:t>
      </w:r>
      <w:r>
        <w:rPr>
          <w:color w:val="58595B"/>
          <w:spacing w:val="-9"/>
        </w:rPr>
        <w:t xml:space="preserve"> </w:t>
      </w:r>
      <w:r>
        <w:rPr>
          <w:color w:val="58595B"/>
        </w:rPr>
        <w:t>if</w:t>
      </w:r>
      <w:r>
        <w:rPr>
          <w:color w:val="58595B"/>
          <w:spacing w:val="-9"/>
        </w:rPr>
        <w:t xml:space="preserve"> </w:t>
      </w:r>
      <w:r>
        <w:rPr>
          <w:color w:val="58595B"/>
        </w:rPr>
        <w:t>a</w:t>
      </w:r>
      <w:r>
        <w:rPr>
          <w:color w:val="58595B"/>
          <w:spacing w:val="-9"/>
        </w:rPr>
        <w:t xml:space="preserve"> </w:t>
      </w:r>
      <w:r>
        <w:rPr>
          <w:color w:val="58595B"/>
        </w:rPr>
        <w:t>person</w:t>
      </w:r>
      <w:r>
        <w:rPr>
          <w:color w:val="58595B"/>
          <w:spacing w:val="-9"/>
        </w:rPr>
        <w:t xml:space="preserve"> </w:t>
      </w:r>
      <w:r>
        <w:rPr>
          <w:color w:val="58595B"/>
        </w:rPr>
        <w:t>fails</w:t>
      </w:r>
      <w:r>
        <w:rPr>
          <w:color w:val="58595B"/>
          <w:spacing w:val="-9"/>
        </w:rPr>
        <w:t xml:space="preserve"> </w:t>
      </w:r>
      <w:r>
        <w:rPr>
          <w:color w:val="58595B"/>
        </w:rPr>
        <w:t>to</w:t>
      </w:r>
      <w:r>
        <w:rPr>
          <w:color w:val="58595B"/>
          <w:spacing w:val="-9"/>
        </w:rPr>
        <w:t xml:space="preserve"> </w:t>
      </w:r>
      <w:r>
        <w:rPr>
          <w:color w:val="58595B"/>
        </w:rPr>
        <w:t>do</w:t>
      </w:r>
      <w:r>
        <w:rPr>
          <w:color w:val="58595B"/>
          <w:spacing w:val="-9"/>
        </w:rPr>
        <w:t xml:space="preserve"> </w:t>
      </w:r>
      <w:r>
        <w:rPr>
          <w:color w:val="58595B"/>
        </w:rPr>
        <w:t>what</w:t>
      </w:r>
      <w:r>
        <w:rPr>
          <w:color w:val="58595B"/>
          <w:spacing w:val="-9"/>
        </w:rPr>
        <w:t xml:space="preserve"> </w:t>
      </w:r>
      <w:r>
        <w:rPr>
          <w:color w:val="58595B"/>
        </w:rPr>
        <w:t>is</w:t>
      </w:r>
      <w:r>
        <w:rPr>
          <w:color w:val="58595B"/>
          <w:spacing w:val="-9"/>
        </w:rPr>
        <w:t xml:space="preserve"> </w:t>
      </w:r>
      <w:r>
        <w:rPr>
          <w:color w:val="58595B"/>
          <w:spacing w:val="-3"/>
        </w:rPr>
        <w:t xml:space="preserve">reasonably </w:t>
      </w:r>
      <w:r>
        <w:rPr>
          <w:color w:val="58595B"/>
        </w:rPr>
        <w:t>practicable</w:t>
      </w:r>
      <w:r>
        <w:rPr>
          <w:color w:val="58595B"/>
          <w:spacing w:val="-10"/>
        </w:rPr>
        <w:t xml:space="preserve"> </w:t>
      </w:r>
      <w:r>
        <w:rPr>
          <w:color w:val="58595B"/>
        </w:rPr>
        <w:t>to</w:t>
      </w:r>
      <w:r>
        <w:rPr>
          <w:color w:val="58595B"/>
          <w:spacing w:val="-10"/>
        </w:rPr>
        <w:t xml:space="preserve"> </w:t>
      </w:r>
      <w:r>
        <w:rPr>
          <w:color w:val="58595B"/>
        </w:rPr>
        <w:t>minimise</w:t>
      </w:r>
      <w:r>
        <w:rPr>
          <w:color w:val="58595B"/>
          <w:spacing w:val="-10"/>
        </w:rPr>
        <w:t xml:space="preserve"> </w:t>
      </w:r>
      <w:r>
        <w:rPr>
          <w:color w:val="58595B"/>
        </w:rPr>
        <w:t>the</w:t>
      </w:r>
      <w:r>
        <w:rPr>
          <w:color w:val="58595B"/>
          <w:spacing w:val="-11"/>
        </w:rPr>
        <w:t xml:space="preserve"> </w:t>
      </w:r>
      <w:r>
        <w:rPr>
          <w:i/>
          <w:color w:val="58595B"/>
        </w:rPr>
        <w:t>risk</w:t>
      </w:r>
      <w:r>
        <w:rPr>
          <w:i/>
          <w:color w:val="58595B"/>
          <w:spacing w:val="-10"/>
        </w:rPr>
        <w:t xml:space="preserve"> </w:t>
      </w:r>
      <w:r>
        <w:rPr>
          <w:color w:val="58595B"/>
        </w:rPr>
        <w:t>of</w:t>
      </w:r>
      <w:r>
        <w:rPr>
          <w:color w:val="58595B"/>
          <w:spacing w:val="-10"/>
        </w:rPr>
        <w:t xml:space="preserve"> </w:t>
      </w:r>
      <w:r>
        <w:rPr>
          <w:color w:val="58595B"/>
        </w:rPr>
        <w:t>harm.</w:t>
      </w:r>
      <w:r>
        <w:rPr>
          <w:color w:val="58595B"/>
          <w:spacing w:val="-10"/>
        </w:rPr>
        <w:t xml:space="preserve"> </w:t>
      </w:r>
      <w:r>
        <w:rPr>
          <w:color w:val="58595B"/>
          <w:spacing w:val="-9"/>
        </w:rPr>
        <w:t>To</w:t>
      </w:r>
      <w:r>
        <w:rPr>
          <w:color w:val="58595B"/>
          <w:spacing w:val="-10"/>
        </w:rPr>
        <w:t xml:space="preserve"> </w:t>
      </w:r>
      <w:r>
        <w:rPr>
          <w:color w:val="58595B"/>
        </w:rPr>
        <w:t>clarify</w:t>
      </w:r>
      <w:r>
        <w:rPr>
          <w:color w:val="58595B"/>
          <w:spacing w:val="-10"/>
        </w:rPr>
        <w:t xml:space="preserve"> </w:t>
      </w:r>
      <w:r>
        <w:rPr>
          <w:color w:val="58595B"/>
        </w:rPr>
        <w:t>the</w:t>
      </w:r>
      <w:r>
        <w:rPr>
          <w:color w:val="58595B"/>
          <w:spacing w:val="-10"/>
        </w:rPr>
        <w:t xml:space="preserve"> </w:t>
      </w:r>
      <w:r>
        <w:rPr>
          <w:color w:val="58595B"/>
        </w:rPr>
        <w:t>obligations</w:t>
      </w:r>
      <w:r>
        <w:rPr>
          <w:color w:val="58595B"/>
          <w:spacing w:val="-10"/>
        </w:rPr>
        <w:t xml:space="preserve"> </w:t>
      </w:r>
      <w:r>
        <w:rPr>
          <w:color w:val="58595B"/>
        </w:rPr>
        <w:t>of</w:t>
      </w:r>
      <w:r>
        <w:rPr>
          <w:color w:val="58595B"/>
          <w:spacing w:val="-10"/>
        </w:rPr>
        <w:t xml:space="preserve"> </w:t>
      </w:r>
      <w:r>
        <w:rPr>
          <w:color w:val="58595B"/>
        </w:rPr>
        <w:t>a</w:t>
      </w:r>
      <w:r>
        <w:rPr>
          <w:color w:val="58595B"/>
          <w:spacing w:val="-10"/>
        </w:rPr>
        <w:t xml:space="preserve"> </w:t>
      </w:r>
      <w:r>
        <w:rPr>
          <w:color w:val="58595B"/>
        </w:rPr>
        <w:t>duty</w:t>
      </w:r>
      <w:r>
        <w:rPr>
          <w:color w:val="58595B"/>
          <w:spacing w:val="-10"/>
        </w:rPr>
        <w:t xml:space="preserve"> </w:t>
      </w:r>
      <w:r>
        <w:rPr>
          <w:color w:val="58595B"/>
          <w:spacing w:val="-4"/>
        </w:rPr>
        <w:t>holder,</w:t>
      </w:r>
      <w:r>
        <w:rPr>
          <w:color w:val="58595B"/>
          <w:spacing w:val="-10"/>
        </w:rPr>
        <w:t xml:space="preserve"> </w:t>
      </w:r>
      <w:r>
        <w:rPr>
          <w:color w:val="58595B"/>
        </w:rPr>
        <w:t>we</w:t>
      </w:r>
      <w:r>
        <w:rPr>
          <w:color w:val="58595B"/>
          <w:spacing w:val="-10"/>
        </w:rPr>
        <w:t xml:space="preserve"> </w:t>
      </w:r>
      <w:r>
        <w:rPr>
          <w:color w:val="58595B"/>
        </w:rPr>
        <w:t>recommend</w:t>
      </w:r>
    </w:p>
    <w:p w14:paraId="2F9AB1ED" w14:textId="77777777" w:rsidR="00160E7F" w:rsidRDefault="002B0299">
      <w:pPr>
        <w:pStyle w:val="BodyText"/>
        <w:spacing w:before="2" w:line="280" w:lineRule="auto"/>
        <w:ind w:left="134" w:right="1433"/>
        <w:rPr>
          <w:sz w:val="11"/>
        </w:rPr>
      </w:pPr>
      <w:r>
        <w:rPr>
          <w:color w:val="58595B"/>
        </w:rPr>
        <w:t>–</w:t>
      </w:r>
      <w:r>
        <w:rPr>
          <w:color w:val="58595B"/>
          <w:spacing w:val="-8"/>
        </w:rPr>
        <w:t xml:space="preserve"> </w:t>
      </w:r>
      <w:r>
        <w:rPr>
          <w:color w:val="58595B"/>
        </w:rPr>
        <w:t>again</w:t>
      </w:r>
      <w:r>
        <w:rPr>
          <w:color w:val="58595B"/>
          <w:spacing w:val="-8"/>
        </w:rPr>
        <w:t xml:space="preserve"> </w:t>
      </w:r>
      <w:r>
        <w:rPr>
          <w:color w:val="58595B"/>
        </w:rPr>
        <w:t>drawing</w:t>
      </w:r>
      <w:r>
        <w:rPr>
          <w:color w:val="58595B"/>
          <w:spacing w:val="-8"/>
        </w:rPr>
        <w:t xml:space="preserve"> </w:t>
      </w:r>
      <w:r>
        <w:rPr>
          <w:color w:val="58595B"/>
        </w:rPr>
        <w:t>on</w:t>
      </w:r>
      <w:r>
        <w:rPr>
          <w:color w:val="58595B"/>
          <w:spacing w:val="-8"/>
        </w:rPr>
        <w:t xml:space="preserve"> </w:t>
      </w:r>
      <w:r>
        <w:rPr>
          <w:color w:val="58595B"/>
        </w:rPr>
        <w:t>the</w:t>
      </w:r>
      <w:r>
        <w:rPr>
          <w:color w:val="58595B"/>
          <w:spacing w:val="-8"/>
        </w:rPr>
        <w:t xml:space="preserve"> </w:t>
      </w:r>
      <w:r>
        <w:rPr>
          <w:color w:val="58595B"/>
        </w:rPr>
        <w:t>OHS</w:t>
      </w:r>
      <w:r>
        <w:rPr>
          <w:color w:val="58595B"/>
          <w:spacing w:val="-8"/>
        </w:rPr>
        <w:t xml:space="preserve"> </w:t>
      </w:r>
      <w:r>
        <w:rPr>
          <w:color w:val="58595B"/>
        </w:rPr>
        <w:t>Act</w:t>
      </w:r>
      <w:r>
        <w:rPr>
          <w:color w:val="58595B"/>
          <w:spacing w:val="-8"/>
        </w:rPr>
        <w:t xml:space="preserve"> </w:t>
      </w:r>
      <w:r>
        <w:rPr>
          <w:color w:val="58595B"/>
        </w:rPr>
        <w:t>model</w:t>
      </w:r>
      <w:r>
        <w:rPr>
          <w:color w:val="58595B"/>
          <w:spacing w:val="-8"/>
        </w:rPr>
        <w:t xml:space="preserve"> </w:t>
      </w:r>
      <w:r>
        <w:rPr>
          <w:color w:val="58595B"/>
        </w:rPr>
        <w:t>–</w:t>
      </w:r>
      <w:r>
        <w:rPr>
          <w:color w:val="58595B"/>
          <w:spacing w:val="-8"/>
        </w:rPr>
        <w:t xml:space="preserve"> </w:t>
      </w:r>
      <w:r>
        <w:rPr>
          <w:color w:val="58595B"/>
        </w:rPr>
        <w:t>that</w:t>
      </w:r>
      <w:r>
        <w:rPr>
          <w:color w:val="58595B"/>
          <w:spacing w:val="-8"/>
        </w:rPr>
        <w:t xml:space="preserve"> </w:t>
      </w:r>
      <w:r>
        <w:rPr>
          <w:color w:val="58595B"/>
        </w:rPr>
        <w:t>consideration</w:t>
      </w:r>
      <w:r>
        <w:rPr>
          <w:color w:val="58595B"/>
          <w:spacing w:val="-8"/>
        </w:rPr>
        <w:t xml:space="preserve"> </w:t>
      </w:r>
      <w:r>
        <w:rPr>
          <w:color w:val="58595B"/>
        </w:rPr>
        <w:t>be</w:t>
      </w:r>
      <w:r>
        <w:rPr>
          <w:color w:val="58595B"/>
          <w:spacing w:val="-8"/>
        </w:rPr>
        <w:t xml:space="preserve"> </w:t>
      </w:r>
      <w:r>
        <w:rPr>
          <w:color w:val="58595B"/>
          <w:spacing w:val="-3"/>
        </w:rPr>
        <w:t>given</w:t>
      </w:r>
      <w:r>
        <w:rPr>
          <w:color w:val="58595B"/>
          <w:spacing w:val="-8"/>
        </w:rPr>
        <w:t xml:space="preserve"> </w:t>
      </w:r>
      <w:r>
        <w:rPr>
          <w:color w:val="58595B"/>
        </w:rPr>
        <w:t>to</w:t>
      </w:r>
      <w:r>
        <w:rPr>
          <w:color w:val="58595B"/>
          <w:spacing w:val="-8"/>
        </w:rPr>
        <w:t xml:space="preserve"> </w:t>
      </w:r>
      <w:r>
        <w:rPr>
          <w:color w:val="58595B"/>
        </w:rPr>
        <w:t>specifying</w:t>
      </w:r>
      <w:r>
        <w:rPr>
          <w:color w:val="58595B"/>
          <w:spacing w:val="-8"/>
        </w:rPr>
        <w:t xml:space="preserve"> </w:t>
      </w:r>
      <w:r>
        <w:rPr>
          <w:color w:val="58595B"/>
        </w:rPr>
        <w:t>certain</w:t>
      </w:r>
      <w:r>
        <w:rPr>
          <w:color w:val="58595B"/>
          <w:spacing w:val="-8"/>
        </w:rPr>
        <w:t xml:space="preserve"> </w:t>
      </w:r>
      <w:r>
        <w:rPr>
          <w:color w:val="58595B"/>
        </w:rPr>
        <w:t>types</w:t>
      </w:r>
      <w:r>
        <w:rPr>
          <w:color w:val="58595B"/>
          <w:spacing w:val="-8"/>
        </w:rPr>
        <w:t xml:space="preserve"> </w:t>
      </w:r>
      <w:r>
        <w:rPr>
          <w:color w:val="58595B"/>
        </w:rPr>
        <w:t>of conduct</w:t>
      </w:r>
      <w:r>
        <w:rPr>
          <w:color w:val="58595B"/>
          <w:spacing w:val="-11"/>
        </w:rPr>
        <w:t xml:space="preserve"> </w:t>
      </w:r>
      <w:r>
        <w:rPr>
          <w:color w:val="58595B"/>
          <w:spacing w:val="-3"/>
        </w:rPr>
        <w:t>(acts</w:t>
      </w:r>
      <w:r>
        <w:rPr>
          <w:color w:val="58595B"/>
          <w:spacing w:val="-11"/>
        </w:rPr>
        <w:t xml:space="preserve"> </w:t>
      </w:r>
      <w:r>
        <w:rPr>
          <w:color w:val="58595B"/>
        </w:rPr>
        <w:t>or</w:t>
      </w:r>
      <w:r>
        <w:rPr>
          <w:color w:val="58595B"/>
          <w:spacing w:val="-11"/>
        </w:rPr>
        <w:t xml:space="preserve"> </w:t>
      </w:r>
      <w:r>
        <w:rPr>
          <w:color w:val="58595B"/>
          <w:spacing w:val="-3"/>
        </w:rPr>
        <w:t>omissions)</w:t>
      </w:r>
      <w:r>
        <w:rPr>
          <w:color w:val="58595B"/>
          <w:spacing w:val="-11"/>
        </w:rPr>
        <w:t xml:space="preserve"> </w:t>
      </w:r>
      <w:r>
        <w:rPr>
          <w:color w:val="58595B"/>
        </w:rPr>
        <w:t>that</w:t>
      </w:r>
      <w:r>
        <w:rPr>
          <w:color w:val="58595B"/>
          <w:spacing w:val="-11"/>
        </w:rPr>
        <w:t xml:space="preserve"> </w:t>
      </w:r>
      <w:r>
        <w:rPr>
          <w:color w:val="58595B"/>
        </w:rPr>
        <w:t>will</w:t>
      </w:r>
      <w:r>
        <w:rPr>
          <w:color w:val="58595B"/>
          <w:spacing w:val="-11"/>
        </w:rPr>
        <w:t xml:space="preserve"> </w:t>
      </w:r>
      <w:r>
        <w:rPr>
          <w:color w:val="58595B"/>
        </w:rPr>
        <w:t>constitute</w:t>
      </w:r>
      <w:r>
        <w:rPr>
          <w:color w:val="58595B"/>
          <w:spacing w:val="-11"/>
        </w:rPr>
        <w:t xml:space="preserve"> </w:t>
      </w:r>
      <w:r>
        <w:rPr>
          <w:color w:val="58595B"/>
        </w:rPr>
        <w:t>a</w:t>
      </w:r>
      <w:r>
        <w:rPr>
          <w:color w:val="58595B"/>
          <w:spacing w:val="-11"/>
        </w:rPr>
        <w:t xml:space="preserve"> </w:t>
      </w:r>
      <w:r>
        <w:rPr>
          <w:color w:val="58595B"/>
        </w:rPr>
        <w:t>contravention</w:t>
      </w:r>
      <w:r>
        <w:rPr>
          <w:color w:val="58595B"/>
          <w:spacing w:val="-11"/>
        </w:rPr>
        <w:t xml:space="preserve"> </w:t>
      </w:r>
      <w:r>
        <w:rPr>
          <w:color w:val="58595B"/>
        </w:rPr>
        <w:t>of</w:t>
      </w:r>
      <w:r>
        <w:rPr>
          <w:color w:val="58595B"/>
          <w:spacing w:val="-11"/>
        </w:rPr>
        <w:t xml:space="preserve"> </w:t>
      </w:r>
      <w:r>
        <w:rPr>
          <w:color w:val="58595B"/>
        </w:rPr>
        <w:t>the</w:t>
      </w:r>
      <w:r>
        <w:rPr>
          <w:color w:val="58595B"/>
          <w:spacing w:val="-11"/>
        </w:rPr>
        <w:t xml:space="preserve"> </w:t>
      </w:r>
      <w:r>
        <w:rPr>
          <w:color w:val="58595B"/>
        </w:rPr>
        <w:t>general</w:t>
      </w:r>
      <w:r>
        <w:rPr>
          <w:color w:val="58595B"/>
          <w:spacing w:val="-11"/>
        </w:rPr>
        <w:t xml:space="preserve"> </w:t>
      </w:r>
      <w:r>
        <w:rPr>
          <w:color w:val="58595B"/>
        </w:rPr>
        <w:t>duty.</w:t>
      </w:r>
      <w:r>
        <w:rPr>
          <w:color w:val="58595B"/>
          <w:position w:val="7"/>
          <w:sz w:val="11"/>
        </w:rPr>
        <w:t>35</w:t>
      </w:r>
    </w:p>
    <w:p w14:paraId="5CA88BEA" w14:textId="77777777" w:rsidR="00160E7F" w:rsidRDefault="00160E7F">
      <w:pPr>
        <w:pStyle w:val="BodyText"/>
        <w:spacing w:before="10"/>
        <w:rPr>
          <w:sz w:val="19"/>
        </w:rPr>
      </w:pPr>
    </w:p>
    <w:p w14:paraId="490C8066" w14:textId="77777777" w:rsidR="00160E7F" w:rsidRDefault="002B0299">
      <w:pPr>
        <w:ind w:left="134" w:right="789"/>
        <w:rPr>
          <w:i/>
          <w:sz w:val="20"/>
        </w:rPr>
      </w:pPr>
      <w:r>
        <w:rPr>
          <w:i/>
          <w:color w:val="6D6E71"/>
          <w:sz w:val="20"/>
        </w:rPr>
        <w:t>Enforcement by local environment protection officers</w:t>
      </w:r>
    </w:p>
    <w:p w14:paraId="7FA6B493" w14:textId="77777777" w:rsidR="00160E7F" w:rsidRDefault="002B0299">
      <w:pPr>
        <w:pStyle w:val="BodyText"/>
        <w:spacing w:before="125" w:line="280" w:lineRule="auto"/>
        <w:ind w:left="134" w:right="1716"/>
      </w:pPr>
      <w:r>
        <w:rPr>
          <w:color w:val="58595B"/>
        </w:rPr>
        <w:t xml:space="preserve">Chapter </w:t>
      </w:r>
      <w:r>
        <w:rPr>
          <w:color w:val="58595B"/>
          <w:spacing w:val="-4"/>
        </w:rPr>
        <w:t xml:space="preserve">18 </w:t>
      </w:r>
      <w:r>
        <w:rPr>
          <w:color w:val="58595B"/>
        </w:rPr>
        <w:t>outlines the proposed new role of local environment protection officers placed within local governments across Victoria. These officers will play an important part in enforcing the general duty. They will be expected to support compliance and undertake enforcement at the lower end of the harms scale. Therefore, they will play only a limited role in the first phase of</w:t>
      </w:r>
      <w:r>
        <w:rPr>
          <w:color w:val="58595B"/>
          <w:spacing w:val="-1"/>
        </w:rPr>
        <w:t xml:space="preserve"> </w:t>
      </w:r>
      <w:r>
        <w:rPr>
          <w:color w:val="58595B"/>
        </w:rPr>
        <w:t>implementation.</w:t>
      </w:r>
    </w:p>
    <w:p w14:paraId="396A5E58" w14:textId="77777777" w:rsidR="00160E7F" w:rsidRDefault="002B0299">
      <w:pPr>
        <w:pStyle w:val="BodyText"/>
        <w:spacing w:before="172" w:line="280" w:lineRule="auto"/>
        <w:ind w:left="134" w:right="1432"/>
        <w:jc w:val="both"/>
      </w:pPr>
      <w:r>
        <w:rPr>
          <w:color w:val="58595B"/>
        </w:rPr>
        <w:t>From the outset, they will be trained and supervised by the EPA, including with expert advice and support from EPA authorised officers in the field. They will need a period of capacity building and support from the EPA. Transitional arrangements may be necessary, such as the EPA overseeing remedial notices issued by local government environment protection officers.</w:t>
      </w:r>
    </w:p>
    <w:p w14:paraId="40B22205" w14:textId="77777777" w:rsidR="00160E7F" w:rsidRDefault="00160E7F">
      <w:pPr>
        <w:spacing w:line="280" w:lineRule="auto"/>
        <w:jc w:val="both"/>
        <w:sectPr w:rsidR="00160E7F">
          <w:pgSz w:w="11910" w:h="16840"/>
          <w:pgMar w:top="980" w:right="0" w:bottom="280" w:left="1680" w:header="788" w:footer="0" w:gutter="0"/>
          <w:cols w:space="720"/>
        </w:sectPr>
      </w:pPr>
    </w:p>
    <w:p w14:paraId="0CD001AC" w14:textId="77777777" w:rsidR="00160E7F" w:rsidRDefault="00160E7F">
      <w:pPr>
        <w:pStyle w:val="BodyText"/>
      </w:pPr>
    </w:p>
    <w:p w14:paraId="22DCCD85" w14:textId="77777777" w:rsidR="00160E7F" w:rsidRDefault="00160E7F">
      <w:pPr>
        <w:pStyle w:val="BodyText"/>
      </w:pPr>
    </w:p>
    <w:p w14:paraId="0BC53D56" w14:textId="77777777" w:rsidR="00160E7F" w:rsidRDefault="00160E7F">
      <w:pPr>
        <w:pStyle w:val="BodyText"/>
      </w:pPr>
    </w:p>
    <w:p w14:paraId="28CED3CD" w14:textId="77777777" w:rsidR="00160E7F" w:rsidRDefault="00160E7F">
      <w:pPr>
        <w:pStyle w:val="BodyText"/>
      </w:pPr>
    </w:p>
    <w:p w14:paraId="21A024DC" w14:textId="77777777" w:rsidR="00160E7F" w:rsidRDefault="00160E7F">
      <w:pPr>
        <w:pStyle w:val="BodyText"/>
        <w:spacing w:before="8"/>
        <w:rPr>
          <w:sz w:val="17"/>
        </w:rPr>
      </w:pPr>
    </w:p>
    <w:p w14:paraId="17B2C70B" w14:textId="77777777" w:rsidR="00160E7F" w:rsidRDefault="002B0299">
      <w:pPr>
        <w:pStyle w:val="ListParagraph"/>
        <w:numPr>
          <w:ilvl w:val="2"/>
          <w:numId w:val="42"/>
        </w:numPr>
        <w:tabs>
          <w:tab w:val="left" w:pos="2073"/>
        </w:tabs>
        <w:spacing w:before="1"/>
        <w:ind w:left="2072" w:hanging="655"/>
        <w:jc w:val="left"/>
        <w:rPr>
          <w:sz w:val="20"/>
        </w:rPr>
      </w:pPr>
      <w:r>
        <w:rPr>
          <w:color w:val="0095A7"/>
          <w:sz w:val="20"/>
        </w:rPr>
        <w:t>Remedial</w:t>
      </w:r>
      <w:r>
        <w:rPr>
          <w:color w:val="0095A7"/>
          <w:spacing w:val="1"/>
          <w:sz w:val="20"/>
        </w:rPr>
        <w:t xml:space="preserve"> </w:t>
      </w:r>
      <w:r>
        <w:rPr>
          <w:color w:val="0095A7"/>
          <w:sz w:val="20"/>
        </w:rPr>
        <w:t>notices</w:t>
      </w:r>
    </w:p>
    <w:p w14:paraId="408AB089" w14:textId="77777777" w:rsidR="00160E7F" w:rsidRDefault="002B0299">
      <w:pPr>
        <w:pStyle w:val="BodyText"/>
        <w:spacing w:before="153" w:line="280" w:lineRule="auto"/>
        <w:ind w:left="1417" w:right="405"/>
      </w:pPr>
      <w:r>
        <w:rPr>
          <w:color w:val="58595B"/>
        </w:rPr>
        <w:t>Remedial notices are an important tool for promoting compliance. At present, the EPA has the power to issue remedial notices of two kinds: the first requires a change (or cessation) to an activity in order to reduce pollution; the second requires rectification of the effects of pollution.</w:t>
      </w:r>
    </w:p>
    <w:p w14:paraId="23A352CF" w14:textId="77777777" w:rsidR="00160E7F" w:rsidRDefault="002B0299">
      <w:pPr>
        <w:pStyle w:val="BodyText"/>
        <w:spacing w:before="172" w:line="280" w:lineRule="auto"/>
        <w:ind w:left="1417" w:right="405"/>
        <w:rPr>
          <w:sz w:val="11"/>
        </w:rPr>
      </w:pPr>
      <w:r>
        <w:rPr>
          <w:color w:val="58595B"/>
        </w:rPr>
        <w:t>A pollution abatement notice may be issued if a process or activity has caused or is likely to cause pollution or create an environmental hazard.</w:t>
      </w:r>
      <w:r>
        <w:rPr>
          <w:color w:val="58595B"/>
          <w:position w:val="7"/>
          <w:sz w:val="11"/>
        </w:rPr>
        <w:t>36</w:t>
      </w:r>
    </w:p>
    <w:p w14:paraId="4BAC9D46" w14:textId="77777777" w:rsidR="00160E7F" w:rsidRDefault="002B0299">
      <w:pPr>
        <w:pStyle w:val="BodyText"/>
        <w:spacing w:before="172" w:line="280" w:lineRule="auto"/>
        <w:ind w:left="1417" w:right="405"/>
        <w:rPr>
          <w:sz w:val="11"/>
        </w:rPr>
      </w:pPr>
      <w:r>
        <w:rPr>
          <w:color w:val="58595B"/>
        </w:rPr>
        <w:t>A clean up notice may be issued where pollution has occurred or been permitted to occur, or where industrial waste or potentially hazardous substances have been abandoned or dumped, or handled in a manner likely to cause an environmental hazard.</w:t>
      </w:r>
      <w:r>
        <w:rPr>
          <w:color w:val="58595B"/>
          <w:position w:val="7"/>
          <w:sz w:val="11"/>
        </w:rPr>
        <w:t>37</w:t>
      </w:r>
    </w:p>
    <w:p w14:paraId="381A6A9C" w14:textId="77777777" w:rsidR="00160E7F" w:rsidRDefault="002B0299">
      <w:pPr>
        <w:pStyle w:val="BodyText"/>
        <w:spacing w:before="172"/>
        <w:ind w:left="1417" w:right="789"/>
      </w:pPr>
      <w:r>
        <w:rPr>
          <w:color w:val="58595B"/>
        </w:rPr>
        <w:t>Remedial notices do not punish non-compliance. When the general duty comes into force,</w:t>
      </w:r>
    </w:p>
    <w:p w14:paraId="6878B6E4" w14:textId="77777777" w:rsidR="00160E7F" w:rsidRDefault="002B0299">
      <w:pPr>
        <w:pStyle w:val="BodyText"/>
        <w:spacing w:before="40" w:line="280" w:lineRule="auto"/>
        <w:ind w:left="1417" w:right="243"/>
        <w:jc w:val="both"/>
      </w:pPr>
      <w:r>
        <w:rPr>
          <w:color w:val="58595B"/>
        </w:rPr>
        <w:t xml:space="preserve">a decision will need to be made about whether to take action to punish the offender for breach of the general duty. Such a decision would be made in accordance with the EPA’s </w:t>
      </w:r>
      <w:r>
        <w:rPr>
          <w:i/>
          <w:color w:val="58595B"/>
        </w:rPr>
        <w:t>Compliance and Enforcement Policy</w:t>
      </w:r>
      <w:r>
        <w:rPr>
          <w:color w:val="58595B"/>
        </w:rPr>
        <w:t>.</w:t>
      </w:r>
    </w:p>
    <w:p w14:paraId="7A0D28F5" w14:textId="77777777" w:rsidR="00160E7F" w:rsidRDefault="002B0299">
      <w:pPr>
        <w:pStyle w:val="BodyText"/>
        <w:spacing w:before="172" w:line="280" w:lineRule="auto"/>
        <w:ind w:left="1417" w:right="588"/>
      </w:pPr>
      <w:r>
        <w:rPr>
          <w:color w:val="58595B"/>
        </w:rPr>
        <w:t>Currently, authorised officers have delegated power to issue remedial notices for works up to $100,000. The grounds for issuing remedial notices are unduly restrictive and, in our view, hamper the EPA’s capacity to issue notices in a timely manner.</w:t>
      </w:r>
    </w:p>
    <w:p w14:paraId="65E940ED" w14:textId="77777777" w:rsidR="00160E7F" w:rsidRDefault="002B0299">
      <w:pPr>
        <w:pStyle w:val="BodyText"/>
        <w:spacing w:before="172" w:line="280" w:lineRule="auto"/>
        <w:ind w:left="1417" w:right="176"/>
      </w:pPr>
      <w:r>
        <w:rPr>
          <w:color w:val="58595B"/>
        </w:rPr>
        <w:t>With the introduction of the general duty, pollution abatement notices should be replaced by a new type of remedial notice. The new notices could be modelled on improvement notices under the OHS Act, which can be issued directly by an inspector.</w:t>
      </w:r>
      <w:r>
        <w:rPr>
          <w:color w:val="58595B"/>
          <w:position w:val="7"/>
          <w:sz w:val="11"/>
        </w:rPr>
        <w:t xml:space="preserve">38 </w:t>
      </w:r>
      <w:r>
        <w:rPr>
          <w:color w:val="58595B"/>
        </w:rPr>
        <w:t xml:space="preserve">Specifically, a breach, or threatened breach, of the general duty should trigger the </w:t>
      </w:r>
      <w:r>
        <w:rPr>
          <w:color w:val="58595B"/>
          <w:spacing w:val="-7"/>
        </w:rPr>
        <w:t xml:space="preserve">EPA’s </w:t>
      </w:r>
      <w:r>
        <w:rPr>
          <w:color w:val="58595B"/>
        </w:rPr>
        <w:t>capacity to issue a notice so that the problem can be remedied quickly. An improvement notice under the OHS Act identifies the contravention and may include directions about the remedial actions to be taken. This new notice might be called a protection notice – to reflect what they actually do and the positive contribution they can make as a preventative</w:t>
      </w:r>
      <w:r>
        <w:rPr>
          <w:color w:val="58595B"/>
          <w:spacing w:val="-17"/>
        </w:rPr>
        <w:t xml:space="preserve"> </w:t>
      </w:r>
      <w:r>
        <w:rPr>
          <w:color w:val="58595B"/>
        </w:rPr>
        <w:t>tool.</w:t>
      </w:r>
    </w:p>
    <w:p w14:paraId="406CC31A" w14:textId="77777777" w:rsidR="00160E7F" w:rsidRDefault="002B0299">
      <w:pPr>
        <w:pStyle w:val="BodyText"/>
        <w:spacing w:before="172" w:line="280" w:lineRule="auto"/>
        <w:ind w:left="1417" w:right="142"/>
        <w:rPr>
          <w:sz w:val="11"/>
        </w:rPr>
      </w:pPr>
      <w:r>
        <w:rPr>
          <w:color w:val="58595B"/>
        </w:rPr>
        <w:t>Where an authorised officer considers that a polluting activity should cease immediately because of the seriousness of the threat, there should be power – as there is at present under the EP Act</w:t>
      </w:r>
      <w:r>
        <w:rPr>
          <w:color w:val="58595B"/>
          <w:position w:val="7"/>
          <w:sz w:val="11"/>
        </w:rPr>
        <w:t>39</w:t>
      </w:r>
    </w:p>
    <w:p w14:paraId="278591B7" w14:textId="77777777" w:rsidR="00160E7F" w:rsidRDefault="002B0299">
      <w:pPr>
        <w:pStyle w:val="BodyText"/>
        <w:spacing w:before="2" w:line="280" w:lineRule="auto"/>
        <w:ind w:left="1417" w:right="461"/>
        <w:rPr>
          <w:sz w:val="11"/>
        </w:rPr>
      </w:pPr>
      <w:r>
        <w:rPr>
          <w:color w:val="58595B"/>
        </w:rPr>
        <w:t>– to require an activity to cease or not to commence. This would be equivalent to the power of a WorkSafe inspector to issue a prohibition notice under the OHS Act.</w:t>
      </w:r>
      <w:r>
        <w:rPr>
          <w:color w:val="58595B"/>
          <w:position w:val="7"/>
          <w:sz w:val="11"/>
        </w:rPr>
        <w:t>40</w:t>
      </w:r>
    </w:p>
    <w:p w14:paraId="4A33E814" w14:textId="77777777" w:rsidR="00160E7F" w:rsidRDefault="00160E7F">
      <w:pPr>
        <w:pStyle w:val="BodyText"/>
        <w:spacing w:before="4"/>
        <w:rPr>
          <w:sz w:val="22"/>
        </w:rPr>
      </w:pPr>
    </w:p>
    <w:p w14:paraId="445B35DC" w14:textId="77777777" w:rsidR="00160E7F" w:rsidRDefault="002B0299">
      <w:pPr>
        <w:pStyle w:val="ListParagraph"/>
        <w:numPr>
          <w:ilvl w:val="2"/>
          <w:numId w:val="42"/>
        </w:numPr>
        <w:tabs>
          <w:tab w:val="left" w:pos="2071"/>
        </w:tabs>
        <w:spacing w:before="0"/>
        <w:ind w:left="2070" w:hanging="653"/>
        <w:jc w:val="left"/>
        <w:rPr>
          <w:sz w:val="20"/>
        </w:rPr>
      </w:pPr>
      <w:r>
        <w:rPr>
          <w:color w:val="0095A7"/>
          <w:sz w:val="20"/>
        </w:rPr>
        <w:t>Registration</w:t>
      </w:r>
      <w:r>
        <w:rPr>
          <w:color w:val="0095A7"/>
          <w:spacing w:val="3"/>
          <w:sz w:val="20"/>
        </w:rPr>
        <w:t xml:space="preserve"> </w:t>
      </w:r>
      <w:r>
        <w:rPr>
          <w:color w:val="0095A7"/>
          <w:sz w:val="20"/>
        </w:rPr>
        <w:t>scheme</w:t>
      </w:r>
    </w:p>
    <w:p w14:paraId="7A2E16A7" w14:textId="77777777" w:rsidR="00160E7F" w:rsidRDefault="002B0299">
      <w:pPr>
        <w:pStyle w:val="BodyText"/>
        <w:spacing w:before="153" w:line="280" w:lineRule="auto"/>
        <w:ind w:left="1417" w:right="588"/>
      </w:pPr>
      <w:r>
        <w:rPr>
          <w:color w:val="58595B"/>
        </w:rPr>
        <w:t>Registration of premises is a widely used regulatory tool, familiar to the business sector. For example, Consumer Affairs Victoria registers a range of occupations.</w:t>
      </w:r>
      <w:r>
        <w:rPr>
          <w:color w:val="58595B"/>
          <w:position w:val="7"/>
          <w:sz w:val="11"/>
        </w:rPr>
        <w:t xml:space="preserve">41 </w:t>
      </w:r>
      <w:r>
        <w:rPr>
          <w:color w:val="58595B"/>
        </w:rPr>
        <w:t>Registration enables the regulator to identify and assess businesses whose activities are (or may become) of regulatory significance. It also facilitates communication with those businesses to support compliance. The registered businesses are likely to have a heightened appreciation of their compliance responsibilities.</w:t>
      </w:r>
    </w:p>
    <w:p w14:paraId="7CA5C171" w14:textId="7574EE1E" w:rsidR="00160E7F" w:rsidRDefault="002B0299" w:rsidP="00071591">
      <w:pPr>
        <w:pStyle w:val="BodyText"/>
        <w:spacing w:before="172" w:line="280" w:lineRule="auto"/>
        <w:ind w:left="1417" w:right="142"/>
      </w:pPr>
      <w:r>
        <w:rPr>
          <w:color w:val="58595B"/>
        </w:rPr>
        <w:t>We propose that the EPA use registration as a basis for identifying and communicating with those businesses subject to the general duty in its initial phase of implementation (in addition to those businesses that are already licensed by the EPA). The register would be based on the dangerous goods notifications that operators are already obliged to give to WorkSafe.</w:t>
      </w:r>
      <w:r>
        <w:rPr>
          <w:color w:val="58595B"/>
          <w:position w:val="7"/>
          <w:sz w:val="11"/>
        </w:rPr>
        <w:t xml:space="preserve">42  </w:t>
      </w:r>
      <w:r>
        <w:rPr>
          <w:color w:val="58595B"/>
        </w:rPr>
        <w:t>This would</w:t>
      </w:r>
      <w:r w:rsidR="00071591">
        <w:br/>
      </w:r>
      <w:r>
        <w:rPr>
          <w:color w:val="58595B"/>
        </w:rPr>
        <w:t>capture many of the critical, smaller scale, pollution risks and avoid duplication with an existing registration scheme. Workplaces that store or handle dangerous goods in excess of specified quantities must notify WorkSafe. There are approximately 2,800 workplaces that have submitted a current notification.</w:t>
      </w:r>
      <w:r>
        <w:rPr>
          <w:color w:val="58595B"/>
          <w:position w:val="7"/>
          <w:sz w:val="11"/>
        </w:rPr>
        <w:t xml:space="preserve">43 </w:t>
      </w:r>
      <w:r>
        <w:rPr>
          <w:color w:val="58595B"/>
        </w:rPr>
        <w:t xml:space="preserve">These workplaces could be deemed to be registered with the </w:t>
      </w:r>
      <w:r>
        <w:rPr>
          <w:color w:val="58595B"/>
          <w:spacing w:val="-4"/>
        </w:rPr>
        <w:t xml:space="preserve">EPA </w:t>
      </w:r>
      <w:r>
        <w:rPr>
          <w:color w:val="58595B"/>
        </w:rPr>
        <w:t>without having to submit any additional</w:t>
      </w:r>
      <w:r>
        <w:rPr>
          <w:color w:val="58595B"/>
          <w:spacing w:val="5"/>
        </w:rPr>
        <w:t xml:space="preserve"> </w:t>
      </w:r>
      <w:r>
        <w:rPr>
          <w:color w:val="58595B"/>
        </w:rPr>
        <w:t>paperwork.</w:t>
      </w:r>
    </w:p>
    <w:p w14:paraId="7DFAFBB1" w14:textId="77777777" w:rsidR="00160E7F" w:rsidRDefault="00160E7F">
      <w:pPr>
        <w:spacing w:line="280" w:lineRule="auto"/>
        <w:sectPr w:rsidR="00160E7F">
          <w:pgSz w:w="11910" w:h="16840"/>
          <w:pgMar w:top="980" w:right="1680" w:bottom="280" w:left="0" w:header="788" w:footer="0" w:gutter="0"/>
          <w:cols w:space="720"/>
        </w:sectPr>
      </w:pPr>
    </w:p>
    <w:p w14:paraId="2096A805" w14:textId="77777777" w:rsidR="00160E7F" w:rsidRDefault="00160E7F">
      <w:pPr>
        <w:pStyle w:val="BodyText"/>
      </w:pPr>
    </w:p>
    <w:p w14:paraId="4EB87EE3" w14:textId="77777777" w:rsidR="00160E7F" w:rsidRDefault="00160E7F">
      <w:pPr>
        <w:pStyle w:val="BodyText"/>
      </w:pPr>
    </w:p>
    <w:p w14:paraId="16E8B7B7" w14:textId="77777777" w:rsidR="00160E7F" w:rsidRDefault="00160E7F">
      <w:pPr>
        <w:pStyle w:val="BodyText"/>
      </w:pPr>
    </w:p>
    <w:p w14:paraId="78DC9482" w14:textId="77777777" w:rsidR="00160E7F" w:rsidRDefault="00160E7F">
      <w:pPr>
        <w:pStyle w:val="BodyText"/>
      </w:pPr>
    </w:p>
    <w:p w14:paraId="413A45CC" w14:textId="77777777" w:rsidR="00160E7F" w:rsidRDefault="00160E7F">
      <w:pPr>
        <w:pStyle w:val="BodyText"/>
        <w:spacing w:before="8"/>
        <w:rPr>
          <w:sz w:val="17"/>
        </w:rPr>
      </w:pPr>
    </w:p>
    <w:p w14:paraId="739485A3" w14:textId="77777777" w:rsidR="00160E7F" w:rsidRDefault="002B0299">
      <w:pPr>
        <w:pStyle w:val="BodyText"/>
        <w:spacing w:before="1" w:line="280" w:lineRule="auto"/>
        <w:ind w:left="134" w:right="1433"/>
      </w:pPr>
      <w:r>
        <w:rPr>
          <w:color w:val="58595B"/>
        </w:rPr>
        <w:t>The registration requirement should extend, based on an assessment of potential risks (and assuming that some of these activities are not captured under the WorkSafe regime), to activities such as dry cleaners, electroplaters, underground petroleum storage systems at petrol stations and some non-intensive agricultural activities. These activities involve chemicals or dangerous goods which, if not used or disposed of appropriately, can cause pollution and contamination.</w:t>
      </w:r>
    </w:p>
    <w:p w14:paraId="23D7B8F3" w14:textId="77777777" w:rsidR="00160E7F" w:rsidRDefault="002B0299">
      <w:pPr>
        <w:pStyle w:val="BodyText"/>
        <w:spacing w:before="172" w:line="280" w:lineRule="auto"/>
        <w:ind w:left="134" w:right="1900"/>
      </w:pPr>
      <w:r>
        <w:rPr>
          <w:color w:val="58595B"/>
        </w:rPr>
        <w:t>A registration tier is consistent with a risk-based approach and would better manage the graduated risks of activities. As the EPA’s understanding of the risks of an activity improves or when changes within the industry increase or decrease the risks, activities may shift from registration to licensing or from licensing to registration.</w:t>
      </w:r>
    </w:p>
    <w:p w14:paraId="25DF0A23" w14:textId="77777777" w:rsidR="00160E7F" w:rsidRDefault="002B0299">
      <w:pPr>
        <w:pStyle w:val="BodyText"/>
        <w:spacing w:before="172" w:line="280" w:lineRule="auto"/>
        <w:ind w:left="134" w:right="1526"/>
      </w:pPr>
      <w:r>
        <w:rPr>
          <w:color w:val="58595B"/>
        </w:rPr>
        <w:t>In addition to the benefits of direct EPA scrutiny, we recommend that in phase 1 the general duty apply to, and only to, persons (whether incorporated or not) who are registered with the EPA in one of the above ways. This approach ensures that the first phase of implementation is directed at activities that present, or are likely to present, the greatest risk of environmental harm. It will also ensure that all entities covered in phase 1 are well aware of the general duty regime.</w:t>
      </w:r>
    </w:p>
    <w:p w14:paraId="78949B9B" w14:textId="77777777" w:rsidR="00160E7F" w:rsidRDefault="002B0299">
      <w:pPr>
        <w:pStyle w:val="BodyText"/>
        <w:spacing w:before="172" w:line="280" w:lineRule="auto"/>
        <w:ind w:left="134" w:right="1433"/>
      </w:pPr>
      <w:r>
        <w:rPr>
          <w:color w:val="58595B"/>
        </w:rPr>
        <w:t>There are likely to be objections from businesses which are required to register. A registration scheme is justified by the benefits it will generate, however, particularly through better</w:t>
      </w:r>
    </w:p>
    <w:p w14:paraId="782280AB" w14:textId="77777777" w:rsidR="00160E7F" w:rsidRDefault="002B0299">
      <w:pPr>
        <w:pStyle w:val="BodyText"/>
        <w:spacing w:before="2" w:line="280" w:lineRule="auto"/>
        <w:ind w:left="134" w:right="1716"/>
      </w:pPr>
      <w:r>
        <w:rPr>
          <w:color w:val="58595B"/>
        </w:rPr>
        <w:t>risk identification and management. Registration is a significantly lower regulatory burden option than licensing. It may involve a fee to cover the costs of administering the registration scheme but would not involve any additional compliance requirement and only a modest administrative burden.</w:t>
      </w:r>
    </w:p>
    <w:p w14:paraId="5EAF0798" w14:textId="77777777" w:rsidR="00160E7F" w:rsidRDefault="002B0299">
      <w:pPr>
        <w:pStyle w:val="BodyText"/>
        <w:spacing w:before="172" w:line="280" w:lineRule="auto"/>
        <w:ind w:left="134" w:right="1433"/>
      </w:pPr>
      <w:r>
        <w:rPr>
          <w:color w:val="58595B"/>
        </w:rPr>
        <w:t>Registration will be an effective measure to address the many non-scheduled activities that warrant some level of oversight and engagement with the EPA. As such, it will help to level the playing field between licensed activities, which are directly regulated, and non-licensed sites, to which general obligations apply.</w:t>
      </w:r>
    </w:p>
    <w:p w14:paraId="7BC34C93" w14:textId="77777777" w:rsidR="00160E7F" w:rsidRDefault="00160E7F">
      <w:pPr>
        <w:pStyle w:val="BodyText"/>
        <w:spacing w:before="1"/>
        <w:rPr>
          <w:sz w:val="19"/>
        </w:rPr>
      </w:pPr>
    </w:p>
    <w:p w14:paraId="0E5D94FF" w14:textId="77777777" w:rsidR="00160E7F" w:rsidRDefault="002B0299">
      <w:pPr>
        <w:pStyle w:val="Heading3"/>
        <w:numPr>
          <w:ilvl w:val="1"/>
          <w:numId w:val="41"/>
        </w:numPr>
        <w:tabs>
          <w:tab w:val="left" w:pos="720"/>
        </w:tabs>
        <w:spacing w:before="0"/>
      </w:pPr>
      <w:r>
        <w:rPr>
          <w:color w:val="0095A7"/>
        </w:rPr>
        <w:t>Strengthening prevention through the licensing</w:t>
      </w:r>
      <w:r>
        <w:rPr>
          <w:color w:val="0095A7"/>
          <w:spacing w:val="39"/>
        </w:rPr>
        <w:t xml:space="preserve"> </w:t>
      </w:r>
      <w:r>
        <w:rPr>
          <w:color w:val="0095A7"/>
        </w:rPr>
        <w:t>regime</w:t>
      </w:r>
    </w:p>
    <w:p w14:paraId="3729BC33" w14:textId="77777777" w:rsidR="00160E7F" w:rsidRDefault="002B0299">
      <w:pPr>
        <w:pStyle w:val="BodyText"/>
        <w:spacing w:before="145" w:line="280" w:lineRule="auto"/>
        <w:ind w:left="134" w:right="2079"/>
        <w:jc w:val="both"/>
      </w:pPr>
      <w:r>
        <w:rPr>
          <w:color w:val="58595B"/>
        </w:rPr>
        <w:t>The works approvals and licensing regime will continue to be very important for managing the highest order risks from pollution and waste. We propose measures to strengthen their effectiveness, many of which the EPA can implement immediately.</w:t>
      </w:r>
    </w:p>
    <w:p w14:paraId="5725C7E5" w14:textId="77777777" w:rsidR="00160E7F" w:rsidRDefault="002B0299">
      <w:pPr>
        <w:pStyle w:val="BodyText"/>
        <w:spacing w:before="172" w:line="280" w:lineRule="auto"/>
        <w:ind w:left="134" w:right="1526"/>
      </w:pPr>
      <w:r>
        <w:rPr>
          <w:color w:val="58595B"/>
        </w:rPr>
        <w:t>Works approvals allow the EPA to ensure that construction, installation and modification works meet environment protection standards. Because businesses must obtain approval before starting works, the EPA can influence the design of the works so as to minimise risks to human health and the environment.</w:t>
      </w:r>
    </w:p>
    <w:p w14:paraId="5F726E16" w14:textId="283CA4AE" w:rsidR="00160E7F" w:rsidRDefault="002B0299">
      <w:pPr>
        <w:pStyle w:val="BodyText"/>
        <w:spacing w:before="172" w:line="280" w:lineRule="auto"/>
        <w:ind w:left="134" w:right="1464"/>
      </w:pPr>
      <w:r>
        <w:rPr>
          <w:color w:val="58595B"/>
        </w:rPr>
        <w:t xml:space="preserve">Licences allow the </w:t>
      </w:r>
      <w:r>
        <w:rPr>
          <w:color w:val="58595B"/>
          <w:spacing w:val="-4"/>
        </w:rPr>
        <w:t xml:space="preserve">EPA </w:t>
      </w:r>
      <w:r>
        <w:rPr>
          <w:color w:val="58595B"/>
        </w:rPr>
        <w:t>to set the operating conditions for licensed activities. Licences can include site specific emission limits for pollutants. Licences ca</w:t>
      </w:r>
      <w:r w:rsidR="008C4F03">
        <w:rPr>
          <w:color w:val="58595B"/>
        </w:rPr>
        <w:t>n also set conditions to manage</w:t>
      </w:r>
      <w:r w:rsidR="008C4F03">
        <w:rPr>
          <w:color w:val="58595B"/>
        </w:rPr>
        <w:br/>
      </w:r>
      <w:r>
        <w:rPr>
          <w:color w:val="58595B"/>
        </w:rPr>
        <w:t>the risks of the</w:t>
      </w:r>
      <w:r>
        <w:rPr>
          <w:color w:val="58595B"/>
          <w:spacing w:val="-5"/>
        </w:rPr>
        <w:t xml:space="preserve"> </w:t>
      </w:r>
      <w:r>
        <w:rPr>
          <w:color w:val="58595B"/>
        </w:rPr>
        <w:t>activity.</w:t>
      </w:r>
    </w:p>
    <w:p w14:paraId="43F63049" w14:textId="77777777" w:rsidR="00160E7F" w:rsidRDefault="00160E7F">
      <w:pPr>
        <w:pStyle w:val="BodyText"/>
        <w:spacing w:before="4"/>
        <w:rPr>
          <w:sz w:val="22"/>
        </w:rPr>
      </w:pPr>
    </w:p>
    <w:p w14:paraId="56A748BE" w14:textId="77777777" w:rsidR="00160E7F" w:rsidRDefault="002B0299">
      <w:pPr>
        <w:pStyle w:val="ListParagraph"/>
        <w:numPr>
          <w:ilvl w:val="2"/>
          <w:numId w:val="41"/>
        </w:numPr>
        <w:tabs>
          <w:tab w:val="left" w:pos="767"/>
        </w:tabs>
        <w:spacing w:before="0"/>
        <w:ind w:hanging="632"/>
        <w:jc w:val="left"/>
        <w:rPr>
          <w:sz w:val="20"/>
        </w:rPr>
      </w:pPr>
      <w:r>
        <w:rPr>
          <w:color w:val="0095A7"/>
          <w:sz w:val="20"/>
        </w:rPr>
        <w:t>Extending the licensed</w:t>
      </w:r>
      <w:r>
        <w:rPr>
          <w:color w:val="0095A7"/>
          <w:spacing w:val="8"/>
          <w:sz w:val="20"/>
        </w:rPr>
        <w:t xml:space="preserve"> </w:t>
      </w:r>
      <w:r>
        <w:rPr>
          <w:color w:val="0095A7"/>
          <w:spacing w:val="2"/>
          <w:sz w:val="20"/>
        </w:rPr>
        <w:t>cohort</w:t>
      </w:r>
    </w:p>
    <w:p w14:paraId="6A9E9443" w14:textId="77777777" w:rsidR="00160E7F" w:rsidRDefault="002B0299">
      <w:pPr>
        <w:pStyle w:val="BodyText"/>
        <w:spacing w:before="153" w:line="280" w:lineRule="auto"/>
        <w:ind w:left="134" w:right="1497"/>
      </w:pPr>
      <w:r>
        <w:rPr>
          <w:color w:val="58595B"/>
        </w:rPr>
        <w:t xml:space="preserve">The size of the </w:t>
      </w:r>
      <w:r>
        <w:rPr>
          <w:color w:val="58595B"/>
          <w:spacing w:val="-7"/>
        </w:rPr>
        <w:t xml:space="preserve">EPA’s </w:t>
      </w:r>
      <w:r>
        <w:rPr>
          <w:color w:val="58595B"/>
        </w:rPr>
        <w:t xml:space="preserve">licensed </w:t>
      </w:r>
      <w:r>
        <w:rPr>
          <w:color w:val="58595B"/>
          <w:spacing w:val="2"/>
        </w:rPr>
        <w:t xml:space="preserve">cohort </w:t>
      </w:r>
      <w:r>
        <w:rPr>
          <w:color w:val="58595B"/>
        </w:rPr>
        <w:t xml:space="preserve">has diminished over time. The number of licences has fallen from more than 10,000, when licensing was introduced in the 1970s, to between 4,000 and 5,000 in the 1980s, 1,400 in 1996 and 1,000 in 2006. Currently, the </w:t>
      </w:r>
      <w:r>
        <w:rPr>
          <w:color w:val="58595B"/>
          <w:spacing w:val="-4"/>
        </w:rPr>
        <w:t xml:space="preserve">EPA </w:t>
      </w:r>
      <w:r>
        <w:rPr>
          <w:color w:val="58595B"/>
        </w:rPr>
        <w:t>licenses</w:t>
      </w:r>
      <w:r>
        <w:rPr>
          <w:color w:val="58595B"/>
          <w:spacing w:val="7"/>
        </w:rPr>
        <w:t xml:space="preserve"> </w:t>
      </w:r>
      <w:r>
        <w:rPr>
          <w:color w:val="58595B"/>
        </w:rPr>
        <w:t>approximately</w:t>
      </w:r>
    </w:p>
    <w:p w14:paraId="60AAB61D" w14:textId="77777777" w:rsidR="00160E7F" w:rsidRDefault="002B0299">
      <w:pPr>
        <w:pStyle w:val="BodyText"/>
        <w:spacing w:before="2"/>
        <w:ind w:left="134" w:right="789"/>
        <w:rPr>
          <w:sz w:val="11"/>
        </w:rPr>
      </w:pPr>
      <w:r>
        <w:rPr>
          <w:color w:val="58595B"/>
        </w:rPr>
        <w:t>670 premises.</w:t>
      </w:r>
      <w:r>
        <w:rPr>
          <w:color w:val="58595B"/>
          <w:position w:val="7"/>
          <w:sz w:val="11"/>
        </w:rPr>
        <w:t>44</w:t>
      </w:r>
    </w:p>
    <w:p w14:paraId="10196655" w14:textId="77777777" w:rsidR="00160E7F" w:rsidRDefault="00160E7F">
      <w:pPr>
        <w:rPr>
          <w:sz w:val="11"/>
        </w:rPr>
        <w:sectPr w:rsidR="00160E7F">
          <w:pgSz w:w="11910" w:h="16840"/>
          <w:pgMar w:top="980" w:right="0" w:bottom="280" w:left="1680" w:header="788" w:footer="0" w:gutter="0"/>
          <w:cols w:space="720"/>
        </w:sectPr>
      </w:pPr>
    </w:p>
    <w:p w14:paraId="39777EA8" w14:textId="77777777" w:rsidR="00160E7F" w:rsidRDefault="00160E7F">
      <w:pPr>
        <w:pStyle w:val="BodyText"/>
      </w:pPr>
    </w:p>
    <w:p w14:paraId="3842BA37" w14:textId="77777777" w:rsidR="00160E7F" w:rsidRDefault="00160E7F">
      <w:pPr>
        <w:pStyle w:val="BodyText"/>
      </w:pPr>
    </w:p>
    <w:p w14:paraId="72EE98E2" w14:textId="77777777" w:rsidR="00160E7F" w:rsidRDefault="00160E7F">
      <w:pPr>
        <w:pStyle w:val="BodyText"/>
      </w:pPr>
    </w:p>
    <w:p w14:paraId="466C0C30" w14:textId="77777777" w:rsidR="00160E7F" w:rsidRDefault="00160E7F">
      <w:pPr>
        <w:pStyle w:val="BodyText"/>
      </w:pPr>
    </w:p>
    <w:p w14:paraId="3A1C7178" w14:textId="77777777" w:rsidR="00160E7F" w:rsidRDefault="00160E7F">
      <w:pPr>
        <w:pStyle w:val="BodyText"/>
        <w:spacing w:before="8"/>
        <w:rPr>
          <w:sz w:val="17"/>
        </w:rPr>
      </w:pPr>
    </w:p>
    <w:p w14:paraId="7039CEE0" w14:textId="77777777" w:rsidR="00160E7F" w:rsidRDefault="002B0299">
      <w:pPr>
        <w:pStyle w:val="BodyText"/>
        <w:spacing w:before="1" w:line="280" w:lineRule="auto"/>
        <w:ind w:left="1417" w:right="278"/>
      </w:pPr>
      <w:r>
        <w:rPr>
          <w:color w:val="58595B"/>
        </w:rPr>
        <w:t>DELWP and the EPA have commenced a review of the Environment Protection (Scheduled Premises and Exemptions) Regulations 2007 to remake the regulations before they sunset in late June 2017. These Regulations define which activities require a works approval or a licence (known as ‘scheduled premises’). The review will consider which activities should be subject to works approvals and licences in the future. It is a timely opportunity to implement changes that support our proposals for the EPA of the future. The application of works approvals and licences should only be extended after considering how effectively and efficiently these tools can prevent harm, compared with alternative approaches, including the general duty.</w:t>
      </w:r>
    </w:p>
    <w:p w14:paraId="74C24FBF" w14:textId="77777777" w:rsidR="00160E7F" w:rsidRDefault="00160E7F">
      <w:pPr>
        <w:pStyle w:val="BodyText"/>
        <w:spacing w:before="10"/>
        <w:rPr>
          <w:sz w:val="19"/>
        </w:rPr>
      </w:pPr>
    </w:p>
    <w:p w14:paraId="5D7A53A3" w14:textId="77777777" w:rsidR="00160E7F" w:rsidRDefault="002B0299">
      <w:pPr>
        <w:ind w:left="1417" w:right="789"/>
        <w:rPr>
          <w:i/>
          <w:sz w:val="20"/>
        </w:rPr>
      </w:pPr>
      <w:r>
        <w:rPr>
          <w:i/>
          <w:color w:val="6D6E71"/>
          <w:sz w:val="20"/>
        </w:rPr>
        <w:t>New types of activities to be included</w:t>
      </w:r>
    </w:p>
    <w:p w14:paraId="38E77ACB" w14:textId="77777777" w:rsidR="00160E7F" w:rsidRDefault="002B0299">
      <w:pPr>
        <w:pStyle w:val="BodyText"/>
        <w:spacing w:before="125" w:line="280" w:lineRule="auto"/>
        <w:ind w:left="1417" w:right="142"/>
      </w:pPr>
      <w:r>
        <w:rPr>
          <w:color w:val="58595B"/>
        </w:rPr>
        <w:t>Through our public consultation process and site visits, we identified unlicensed activities with the potential for significant impacts on human health and the environment, including:</w:t>
      </w:r>
    </w:p>
    <w:p w14:paraId="235E8AC6" w14:textId="77777777" w:rsidR="00160E7F" w:rsidRDefault="002B0299">
      <w:pPr>
        <w:pStyle w:val="ListParagraph"/>
        <w:numPr>
          <w:ilvl w:val="0"/>
          <w:numId w:val="1"/>
        </w:numPr>
        <w:tabs>
          <w:tab w:val="left" w:pos="1588"/>
        </w:tabs>
        <w:spacing w:before="115"/>
        <w:ind w:hanging="170"/>
        <w:rPr>
          <w:sz w:val="20"/>
        </w:rPr>
      </w:pPr>
      <w:r>
        <w:rPr>
          <w:color w:val="58595B"/>
          <w:sz w:val="20"/>
        </w:rPr>
        <w:t>intensive agriculture activities with significant waste and odour</w:t>
      </w:r>
      <w:r>
        <w:rPr>
          <w:color w:val="58595B"/>
          <w:spacing w:val="4"/>
          <w:sz w:val="20"/>
        </w:rPr>
        <w:t xml:space="preserve"> </w:t>
      </w:r>
      <w:r>
        <w:rPr>
          <w:color w:val="58595B"/>
          <w:sz w:val="20"/>
        </w:rPr>
        <w:t>issues</w:t>
      </w:r>
    </w:p>
    <w:p w14:paraId="7CFE9D46" w14:textId="77777777" w:rsidR="00160E7F" w:rsidRDefault="002B0299">
      <w:pPr>
        <w:pStyle w:val="ListParagraph"/>
        <w:numPr>
          <w:ilvl w:val="0"/>
          <w:numId w:val="1"/>
        </w:numPr>
        <w:tabs>
          <w:tab w:val="left" w:pos="1588"/>
        </w:tabs>
        <w:spacing w:before="153" w:line="280" w:lineRule="auto"/>
        <w:ind w:right="963" w:hanging="170"/>
        <w:rPr>
          <w:sz w:val="20"/>
        </w:rPr>
      </w:pPr>
      <w:r>
        <w:rPr>
          <w:color w:val="58595B"/>
          <w:sz w:val="20"/>
        </w:rPr>
        <w:t>transfer stations with large stockpiles of different types of wastes, which create several environmental risks, particularly in the event of a</w:t>
      </w:r>
      <w:r>
        <w:rPr>
          <w:color w:val="58595B"/>
          <w:spacing w:val="1"/>
          <w:sz w:val="20"/>
        </w:rPr>
        <w:t xml:space="preserve"> </w:t>
      </w:r>
      <w:r>
        <w:rPr>
          <w:color w:val="58595B"/>
          <w:sz w:val="20"/>
        </w:rPr>
        <w:t>fire.</w:t>
      </w:r>
    </w:p>
    <w:p w14:paraId="4EE49458" w14:textId="77777777" w:rsidR="00160E7F" w:rsidRDefault="002B0299">
      <w:pPr>
        <w:pStyle w:val="BodyText"/>
        <w:spacing w:before="172" w:line="280" w:lineRule="auto"/>
        <w:ind w:left="1417" w:right="405"/>
      </w:pPr>
      <w:r>
        <w:rPr>
          <w:color w:val="58595B"/>
        </w:rPr>
        <w:t>The discussion paper for the review of the Scheduled Premises Regulations identified some further examples:</w:t>
      </w:r>
    </w:p>
    <w:p w14:paraId="321BCF02" w14:textId="77777777" w:rsidR="00160E7F" w:rsidRDefault="002B0299">
      <w:pPr>
        <w:pStyle w:val="ListParagraph"/>
        <w:numPr>
          <w:ilvl w:val="0"/>
          <w:numId w:val="1"/>
        </w:numPr>
        <w:tabs>
          <w:tab w:val="left" w:pos="1588"/>
        </w:tabs>
        <w:spacing w:before="115"/>
        <w:ind w:hanging="170"/>
        <w:rPr>
          <w:sz w:val="20"/>
        </w:rPr>
      </w:pPr>
      <w:r>
        <w:rPr>
          <w:color w:val="58595B"/>
          <w:sz w:val="20"/>
        </w:rPr>
        <w:t>cumulative impacts from diffuse or small point source pollution (such as</w:t>
      </w:r>
      <w:r>
        <w:rPr>
          <w:color w:val="58595B"/>
          <w:spacing w:val="-1"/>
          <w:sz w:val="20"/>
        </w:rPr>
        <w:t xml:space="preserve"> </w:t>
      </w:r>
      <w:r>
        <w:rPr>
          <w:color w:val="58595B"/>
          <w:sz w:val="20"/>
        </w:rPr>
        <w:t>electroplating)</w:t>
      </w:r>
    </w:p>
    <w:p w14:paraId="6FE14DCD" w14:textId="77777777" w:rsidR="00160E7F" w:rsidRDefault="002B0299">
      <w:pPr>
        <w:pStyle w:val="ListParagraph"/>
        <w:numPr>
          <w:ilvl w:val="0"/>
          <w:numId w:val="1"/>
        </w:numPr>
        <w:tabs>
          <w:tab w:val="left" w:pos="1588"/>
        </w:tabs>
        <w:spacing w:before="153" w:line="280" w:lineRule="auto"/>
        <w:ind w:right="189" w:hanging="170"/>
        <w:rPr>
          <w:sz w:val="20"/>
        </w:rPr>
      </w:pPr>
      <w:r>
        <w:rPr>
          <w:color w:val="58595B"/>
          <w:sz w:val="20"/>
        </w:rPr>
        <w:t>impacts from contaminated environments (such as metal recycling and recovery, petrol stations and dry</w:t>
      </w:r>
      <w:r>
        <w:rPr>
          <w:color w:val="58595B"/>
          <w:spacing w:val="-3"/>
          <w:sz w:val="20"/>
        </w:rPr>
        <w:t xml:space="preserve"> </w:t>
      </w:r>
      <w:r>
        <w:rPr>
          <w:color w:val="58595B"/>
          <w:sz w:val="20"/>
        </w:rPr>
        <w:t>cleaning)</w:t>
      </w:r>
    </w:p>
    <w:p w14:paraId="317295A7" w14:textId="77777777" w:rsidR="00160E7F" w:rsidRDefault="002B0299">
      <w:pPr>
        <w:pStyle w:val="ListParagraph"/>
        <w:numPr>
          <w:ilvl w:val="0"/>
          <w:numId w:val="1"/>
        </w:numPr>
        <w:tabs>
          <w:tab w:val="left" w:pos="1588"/>
        </w:tabs>
        <w:spacing w:before="115" w:line="280" w:lineRule="auto"/>
        <w:ind w:right="973" w:hanging="170"/>
        <w:rPr>
          <w:sz w:val="20"/>
        </w:rPr>
      </w:pPr>
      <w:r>
        <w:rPr>
          <w:color w:val="58595B"/>
          <w:sz w:val="20"/>
        </w:rPr>
        <w:t>amenity impacts and risks to human health from using new technologies and industrial practices (such as transfer</w:t>
      </w:r>
      <w:r>
        <w:rPr>
          <w:color w:val="58595B"/>
          <w:spacing w:val="-10"/>
          <w:sz w:val="20"/>
        </w:rPr>
        <w:t xml:space="preserve"> </w:t>
      </w:r>
      <w:r>
        <w:rPr>
          <w:color w:val="58595B"/>
          <w:sz w:val="20"/>
        </w:rPr>
        <w:t>stations)</w:t>
      </w:r>
    </w:p>
    <w:p w14:paraId="13E3FBF7" w14:textId="77777777" w:rsidR="00160E7F" w:rsidRDefault="002B0299">
      <w:pPr>
        <w:pStyle w:val="ListParagraph"/>
        <w:numPr>
          <w:ilvl w:val="0"/>
          <w:numId w:val="1"/>
        </w:numPr>
        <w:tabs>
          <w:tab w:val="left" w:pos="1588"/>
        </w:tabs>
        <w:spacing w:before="115" w:line="280" w:lineRule="auto"/>
        <w:ind w:right="559" w:hanging="170"/>
        <w:rPr>
          <w:sz w:val="11"/>
        </w:rPr>
      </w:pPr>
      <w:r>
        <w:rPr>
          <w:color w:val="58595B"/>
          <w:sz w:val="20"/>
        </w:rPr>
        <w:t>conflict between land uses from increasingly intensified industrial and commercial activities (intensive agriculture, such as piggeries, broilers, dairy and cattle</w:t>
      </w:r>
      <w:r>
        <w:rPr>
          <w:color w:val="58595B"/>
          <w:spacing w:val="11"/>
          <w:sz w:val="20"/>
        </w:rPr>
        <w:t xml:space="preserve"> </w:t>
      </w:r>
      <w:r>
        <w:rPr>
          <w:color w:val="58595B"/>
          <w:sz w:val="20"/>
        </w:rPr>
        <w:t>feedlots).</w:t>
      </w:r>
      <w:r>
        <w:rPr>
          <w:color w:val="58595B"/>
          <w:position w:val="7"/>
          <w:sz w:val="11"/>
        </w:rPr>
        <w:t>45</w:t>
      </w:r>
    </w:p>
    <w:p w14:paraId="2C45F378" w14:textId="77777777" w:rsidR="00160E7F" w:rsidRDefault="002B0299">
      <w:pPr>
        <w:pStyle w:val="BodyText"/>
        <w:spacing w:before="172" w:line="280" w:lineRule="auto"/>
        <w:ind w:left="1417" w:right="142"/>
      </w:pPr>
      <w:r>
        <w:rPr>
          <w:color w:val="58595B"/>
        </w:rPr>
        <w:t>We recommend expanding the cohort of activities requiring a works approval or a licence to cover all activities with significant impacts (or potential impacts) on human health and the environment, regardless of the type of hazard posed. This approach should address:</w:t>
      </w:r>
    </w:p>
    <w:p w14:paraId="129A1A0A" w14:textId="77777777" w:rsidR="00160E7F" w:rsidRDefault="002B0299">
      <w:pPr>
        <w:pStyle w:val="ListParagraph"/>
        <w:numPr>
          <w:ilvl w:val="0"/>
          <w:numId w:val="1"/>
        </w:numPr>
        <w:tabs>
          <w:tab w:val="left" w:pos="1588"/>
        </w:tabs>
        <w:spacing w:before="115"/>
        <w:ind w:hanging="170"/>
        <w:rPr>
          <w:sz w:val="20"/>
        </w:rPr>
      </w:pPr>
      <w:r>
        <w:rPr>
          <w:color w:val="58595B"/>
          <w:sz w:val="20"/>
        </w:rPr>
        <w:t xml:space="preserve">onsite contamination to avoid future legacy contamination </w:t>
      </w:r>
      <w:r>
        <w:rPr>
          <w:color w:val="58595B"/>
          <w:spacing w:val="-3"/>
          <w:sz w:val="20"/>
        </w:rPr>
        <w:t xml:space="preserve">(not </w:t>
      </w:r>
      <w:r>
        <w:rPr>
          <w:color w:val="58595B"/>
          <w:sz w:val="20"/>
        </w:rPr>
        <w:t>just dealing with offsite</w:t>
      </w:r>
      <w:r>
        <w:rPr>
          <w:color w:val="58595B"/>
          <w:spacing w:val="7"/>
          <w:sz w:val="20"/>
        </w:rPr>
        <w:t xml:space="preserve"> </w:t>
      </w:r>
      <w:r>
        <w:rPr>
          <w:color w:val="58595B"/>
          <w:sz w:val="20"/>
        </w:rPr>
        <w:t>impacts)</w:t>
      </w:r>
    </w:p>
    <w:p w14:paraId="3CE5A423" w14:textId="77777777" w:rsidR="00160E7F" w:rsidRDefault="002B0299">
      <w:pPr>
        <w:pStyle w:val="ListParagraph"/>
        <w:numPr>
          <w:ilvl w:val="0"/>
          <w:numId w:val="1"/>
        </w:numPr>
        <w:tabs>
          <w:tab w:val="left" w:pos="1588"/>
        </w:tabs>
        <w:spacing w:before="153"/>
        <w:ind w:hanging="170"/>
        <w:rPr>
          <w:sz w:val="20"/>
        </w:rPr>
      </w:pPr>
      <w:r>
        <w:rPr>
          <w:color w:val="58595B"/>
          <w:sz w:val="20"/>
        </w:rPr>
        <w:t>long term exposure</w:t>
      </w:r>
      <w:r>
        <w:rPr>
          <w:color w:val="58595B"/>
          <w:spacing w:val="2"/>
          <w:sz w:val="20"/>
        </w:rPr>
        <w:t xml:space="preserve"> </w:t>
      </w:r>
      <w:r>
        <w:rPr>
          <w:color w:val="58595B"/>
          <w:sz w:val="20"/>
        </w:rPr>
        <w:t>risks</w:t>
      </w:r>
    </w:p>
    <w:p w14:paraId="50D69686" w14:textId="77777777" w:rsidR="00160E7F" w:rsidRDefault="002B0299">
      <w:pPr>
        <w:pStyle w:val="ListParagraph"/>
        <w:numPr>
          <w:ilvl w:val="0"/>
          <w:numId w:val="1"/>
        </w:numPr>
        <w:tabs>
          <w:tab w:val="left" w:pos="1588"/>
        </w:tabs>
        <w:spacing w:before="153"/>
        <w:ind w:hanging="170"/>
        <w:rPr>
          <w:sz w:val="20"/>
        </w:rPr>
      </w:pPr>
      <w:r>
        <w:rPr>
          <w:color w:val="58595B"/>
          <w:sz w:val="20"/>
        </w:rPr>
        <w:t xml:space="preserve">community expectations about exposure to </w:t>
      </w:r>
      <w:r>
        <w:rPr>
          <w:color w:val="58595B"/>
          <w:spacing w:val="-3"/>
          <w:sz w:val="20"/>
        </w:rPr>
        <w:t xml:space="preserve">odour, </w:t>
      </w:r>
      <w:r>
        <w:rPr>
          <w:color w:val="58595B"/>
          <w:sz w:val="20"/>
        </w:rPr>
        <w:t>noise and</w:t>
      </w:r>
      <w:r>
        <w:rPr>
          <w:color w:val="58595B"/>
          <w:spacing w:val="11"/>
          <w:sz w:val="20"/>
        </w:rPr>
        <w:t xml:space="preserve"> </w:t>
      </w:r>
      <w:r>
        <w:rPr>
          <w:color w:val="58595B"/>
          <w:sz w:val="20"/>
        </w:rPr>
        <w:t>dust</w:t>
      </w:r>
    </w:p>
    <w:p w14:paraId="53597B47" w14:textId="77777777" w:rsidR="00160E7F" w:rsidRDefault="002B0299">
      <w:pPr>
        <w:pStyle w:val="ListParagraph"/>
        <w:numPr>
          <w:ilvl w:val="0"/>
          <w:numId w:val="1"/>
        </w:numPr>
        <w:tabs>
          <w:tab w:val="left" w:pos="1588"/>
        </w:tabs>
        <w:spacing w:before="153" w:line="280" w:lineRule="auto"/>
        <w:ind w:right="779" w:hanging="170"/>
        <w:rPr>
          <w:sz w:val="20"/>
        </w:rPr>
      </w:pPr>
      <w:r>
        <w:rPr>
          <w:color w:val="58595B"/>
          <w:sz w:val="20"/>
        </w:rPr>
        <w:t>the potential consequences of catastrophic events (consistent with the recent decision to license waste tyre storage</w:t>
      </w:r>
      <w:r>
        <w:rPr>
          <w:color w:val="58595B"/>
          <w:spacing w:val="-9"/>
          <w:sz w:val="20"/>
        </w:rPr>
        <w:t xml:space="preserve"> </w:t>
      </w:r>
      <w:r>
        <w:rPr>
          <w:color w:val="58595B"/>
          <w:sz w:val="20"/>
        </w:rPr>
        <w:t>facilities).</w:t>
      </w:r>
    </w:p>
    <w:p w14:paraId="2ADB4283" w14:textId="77777777" w:rsidR="00160E7F" w:rsidRDefault="002B0299">
      <w:pPr>
        <w:pStyle w:val="BodyText"/>
        <w:spacing w:before="172" w:line="280" w:lineRule="auto"/>
        <w:ind w:left="1417" w:right="185"/>
      </w:pPr>
      <w:r>
        <w:rPr>
          <w:color w:val="58595B"/>
        </w:rPr>
        <w:t>Expanding the works approval and licence scheme will increase the regulatory burden for some businesses. But these activities pose significant risks to human health and the environment,</w:t>
      </w:r>
    </w:p>
    <w:p w14:paraId="38936EC3" w14:textId="77777777" w:rsidR="00160E7F" w:rsidRDefault="002B0299">
      <w:pPr>
        <w:pStyle w:val="BodyText"/>
        <w:spacing w:before="2"/>
        <w:ind w:left="1417" w:right="789"/>
      </w:pPr>
      <w:r>
        <w:rPr>
          <w:color w:val="58595B"/>
        </w:rPr>
        <w:t>so we consider the increase in the regulatory burden to be fully warranted.</w:t>
      </w:r>
    </w:p>
    <w:p w14:paraId="0B0CFA25" w14:textId="77777777" w:rsidR="00160E7F" w:rsidRDefault="00160E7F">
      <w:pPr>
        <w:pStyle w:val="BodyText"/>
        <w:spacing w:before="2"/>
        <w:rPr>
          <w:sz w:val="23"/>
        </w:rPr>
      </w:pPr>
    </w:p>
    <w:p w14:paraId="0BE525FA" w14:textId="77777777" w:rsidR="00160E7F" w:rsidRDefault="002B0299">
      <w:pPr>
        <w:ind w:left="1417" w:right="789"/>
        <w:rPr>
          <w:i/>
          <w:sz w:val="20"/>
        </w:rPr>
      </w:pPr>
      <w:r>
        <w:rPr>
          <w:i/>
          <w:color w:val="6D6E71"/>
          <w:sz w:val="20"/>
        </w:rPr>
        <w:t>Refining the thresholds for works approvals and licences</w:t>
      </w:r>
    </w:p>
    <w:p w14:paraId="70EE94B3" w14:textId="77777777" w:rsidR="00160E7F" w:rsidRDefault="002B0299">
      <w:pPr>
        <w:pStyle w:val="BodyText"/>
        <w:spacing w:before="125" w:line="280" w:lineRule="auto"/>
        <w:ind w:left="1417" w:right="185"/>
      </w:pPr>
      <w:r>
        <w:rPr>
          <w:color w:val="58595B"/>
        </w:rPr>
        <w:t>Generally, the requirement to obtain a licence or works approval relates to the level of production or the amount of pollution emitted. We recommend that new thresholds be adopted which will better reflect the different components of risk.</w:t>
      </w:r>
    </w:p>
    <w:p w14:paraId="0BCB8FAA" w14:textId="77777777" w:rsidR="00160E7F" w:rsidRDefault="00160E7F">
      <w:pPr>
        <w:spacing w:line="280" w:lineRule="auto"/>
        <w:sectPr w:rsidR="00160E7F">
          <w:headerReference w:type="even" r:id="rId33"/>
          <w:headerReference w:type="default" r:id="rId34"/>
          <w:pgSz w:w="11910" w:h="16840"/>
          <w:pgMar w:top="980" w:right="1680" w:bottom="280" w:left="0" w:header="788" w:footer="0" w:gutter="0"/>
          <w:pgNumType w:start="230"/>
          <w:cols w:space="720"/>
        </w:sectPr>
      </w:pPr>
    </w:p>
    <w:p w14:paraId="1B533152" w14:textId="77777777" w:rsidR="00160E7F" w:rsidRDefault="00160E7F">
      <w:pPr>
        <w:pStyle w:val="BodyText"/>
      </w:pPr>
    </w:p>
    <w:p w14:paraId="6197D1FB" w14:textId="77777777" w:rsidR="00160E7F" w:rsidRDefault="00160E7F">
      <w:pPr>
        <w:pStyle w:val="BodyText"/>
      </w:pPr>
    </w:p>
    <w:p w14:paraId="185F770F" w14:textId="77777777" w:rsidR="00160E7F" w:rsidRDefault="00160E7F">
      <w:pPr>
        <w:pStyle w:val="BodyText"/>
      </w:pPr>
    </w:p>
    <w:p w14:paraId="21672B01" w14:textId="77777777" w:rsidR="00160E7F" w:rsidRDefault="00160E7F">
      <w:pPr>
        <w:pStyle w:val="BodyText"/>
      </w:pPr>
    </w:p>
    <w:p w14:paraId="0DE993D1" w14:textId="77777777" w:rsidR="00160E7F" w:rsidRDefault="00160E7F">
      <w:pPr>
        <w:pStyle w:val="BodyText"/>
        <w:spacing w:before="8"/>
        <w:rPr>
          <w:sz w:val="17"/>
        </w:rPr>
      </w:pPr>
    </w:p>
    <w:p w14:paraId="54D87338" w14:textId="77777777" w:rsidR="00160E7F" w:rsidRDefault="002B0299">
      <w:pPr>
        <w:pStyle w:val="BodyText"/>
        <w:spacing w:before="1" w:line="280" w:lineRule="auto"/>
        <w:ind w:left="134" w:right="1433"/>
      </w:pPr>
      <w:r>
        <w:rPr>
          <w:color w:val="58595B"/>
        </w:rPr>
        <w:t>The review of the Scheduled Premises Regulations has suggested the greater use of load-based triggers, which apply regardless of the activity type.</w:t>
      </w:r>
      <w:r>
        <w:rPr>
          <w:color w:val="58595B"/>
          <w:position w:val="7"/>
          <w:sz w:val="11"/>
        </w:rPr>
        <w:t xml:space="preserve">46 </w:t>
      </w:r>
      <w:r>
        <w:rPr>
          <w:color w:val="58595B"/>
        </w:rPr>
        <w:t>By focusing on the level of emissions, rather than the type of activity, load-based thresholds better capture new types of industry activities</w:t>
      </w:r>
    </w:p>
    <w:p w14:paraId="0EC91153" w14:textId="77777777" w:rsidR="00160E7F" w:rsidRDefault="002B0299">
      <w:pPr>
        <w:pStyle w:val="BodyText"/>
        <w:spacing w:before="2"/>
        <w:ind w:left="134" w:right="789"/>
      </w:pPr>
      <w:r>
        <w:rPr>
          <w:color w:val="58595B"/>
        </w:rPr>
        <w:t>and technologies.</w:t>
      </w:r>
    </w:p>
    <w:p w14:paraId="52AA58CB" w14:textId="77777777" w:rsidR="00160E7F" w:rsidRDefault="00160E7F">
      <w:pPr>
        <w:pStyle w:val="BodyText"/>
        <w:spacing w:before="3"/>
        <w:rPr>
          <w:sz w:val="18"/>
        </w:rPr>
      </w:pPr>
    </w:p>
    <w:p w14:paraId="6C1D5410" w14:textId="77777777" w:rsidR="00160E7F" w:rsidRDefault="002B0299">
      <w:pPr>
        <w:pStyle w:val="BodyText"/>
        <w:ind w:left="134" w:right="789"/>
      </w:pPr>
      <w:r>
        <w:rPr>
          <w:color w:val="58595B"/>
        </w:rPr>
        <w:t>Further options for refining thresholds include:</w:t>
      </w:r>
    </w:p>
    <w:p w14:paraId="3C2ECE5E" w14:textId="77777777" w:rsidR="00160E7F" w:rsidRDefault="002B0299">
      <w:pPr>
        <w:pStyle w:val="ListParagraph"/>
        <w:numPr>
          <w:ilvl w:val="0"/>
          <w:numId w:val="47"/>
        </w:numPr>
        <w:tabs>
          <w:tab w:val="left" w:pos="305"/>
        </w:tabs>
        <w:spacing w:before="153"/>
        <w:ind w:hanging="170"/>
        <w:rPr>
          <w:sz w:val="20"/>
        </w:rPr>
      </w:pPr>
      <w:r>
        <w:rPr>
          <w:color w:val="58595B"/>
          <w:sz w:val="20"/>
        </w:rPr>
        <w:t>location-based thresholds – These could be used for risks in a particular geographical</w:t>
      </w:r>
      <w:r>
        <w:rPr>
          <w:color w:val="58595B"/>
          <w:spacing w:val="35"/>
          <w:sz w:val="20"/>
        </w:rPr>
        <w:t xml:space="preserve"> </w:t>
      </w:r>
      <w:r>
        <w:rPr>
          <w:color w:val="58595B"/>
          <w:sz w:val="20"/>
        </w:rPr>
        <w:t>area,</w:t>
      </w:r>
    </w:p>
    <w:p w14:paraId="6AAFBCFE" w14:textId="77777777" w:rsidR="00160E7F" w:rsidRDefault="002B0299">
      <w:pPr>
        <w:pStyle w:val="BodyText"/>
        <w:spacing w:before="40" w:line="280" w:lineRule="auto"/>
        <w:ind w:left="304" w:right="1494"/>
      </w:pPr>
      <w:r>
        <w:rPr>
          <w:color w:val="58595B"/>
        </w:rPr>
        <w:t>to capture the collective impact of small point or diffuse pollution sources or to reflect proximity to a sensitive receiving point such as a waterway.</w:t>
      </w:r>
    </w:p>
    <w:p w14:paraId="72F25C19" w14:textId="77777777" w:rsidR="00160E7F" w:rsidRDefault="002B0299">
      <w:pPr>
        <w:pStyle w:val="ListParagraph"/>
        <w:numPr>
          <w:ilvl w:val="0"/>
          <w:numId w:val="47"/>
        </w:numPr>
        <w:tabs>
          <w:tab w:val="left" w:pos="305"/>
        </w:tabs>
        <w:spacing w:before="115" w:line="280" w:lineRule="auto"/>
        <w:ind w:right="2152" w:hanging="170"/>
        <w:rPr>
          <w:sz w:val="20"/>
        </w:rPr>
      </w:pPr>
      <w:r>
        <w:rPr>
          <w:color w:val="58595B"/>
          <w:sz w:val="20"/>
        </w:rPr>
        <w:t>performance-based thresholds – These could require sites undertaking certain types of activities with poor compliance records to obtain a works approval or</w:t>
      </w:r>
      <w:r>
        <w:rPr>
          <w:color w:val="58595B"/>
          <w:spacing w:val="16"/>
          <w:sz w:val="20"/>
        </w:rPr>
        <w:t xml:space="preserve"> </w:t>
      </w:r>
      <w:r>
        <w:rPr>
          <w:color w:val="58595B"/>
          <w:sz w:val="20"/>
        </w:rPr>
        <w:t>licence.</w:t>
      </w:r>
    </w:p>
    <w:p w14:paraId="56C426A3" w14:textId="77777777" w:rsidR="00160E7F" w:rsidRDefault="002B0299">
      <w:pPr>
        <w:pStyle w:val="BodyText"/>
        <w:spacing w:before="172" w:line="280" w:lineRule="auto"/>
        <w:ind w:left="134" w:right="1433"/>
      </w:pPr>
      <w:r>
        <w:rPr>
          <w:color w:val="58595B"/>
        </w:rPr>
        <w:t>We consider load-, location- and performance-based thresholds should be pursued as part of the review of the Scheduled Premises Regulations.</w:t>
      </w:r>
    </w:p>
    <w:p w14:paraId="3E0B2949" w14:textId="77777777" w:rsidR="00160E7F" w:rsidRDefault="00160E7F">
      <w:pPr>
        <w:pStyle w:val="BodyText"/>
        <w:spacing w:before="4"/>
        <w:rPr>
          <w:sz w:val="22"/>
        </w:rPr>
      </w:pPr>
    </w:p>
    <w:p w14:paraId="4D3BA8D7" w14:textId="77777777" w:rsidR="00160E7F" w:rsidRDefault="002B0299">
      <w:pPr>
        <w:pStyle w:val="ListParagraph"/>
        <w:numPr>
          <w:ilvl w:val="2"/>
          <w:numId w:val="41"/>
        </w:numPr>
        <w:tabs>
          <w:tab w:val="left" w:pos="790"/>
        </w:tabs>
        <w:spacing w:before="0"/>
        <w:ind w:left="789" w:hanging="655"/>
        <w:jc w:val="left"/>
        <w:rPr>
          <w:sz w:val="20"/>
        </w:rPr>
      </w:pPr>
      <w:r>
        <w:rPr>
          <w:color w:val="0095A7"/>
          <w:sz w:val="20"/>
        </w:rPr>
        <w:t>Enforceability of licence</w:t>
      </w:r>
      <w:r>
        <w:rPr>
          <w:color w:val="0095A7"/>
          <w:spacing w:val="11"/>
          <w:sz w:val="20"/>
        </w:rPr>
        <w:t xml:space="preserve"> </w:t>
      </w:r>
      <w:r>
        <w:rPr>
          <w:color w:val="0095A7"/>
          <w:sz w:val="20"/>
        </w:rPr>
        <w:t>conditions</w:t>
      </w:r>
    </w:p>
    <w:p w14:paraId="04C91959" w14:textId="77777777" w:rsidR="00160E7F" w:rsidRDefault="002B0299">
      <w:pPr>
        <w:pStyle w:val="BodyText"/>
        <w:spacing w:before="153" w:line="280" w:lineRule="auto"/>
        <w:ind w:left="134" w:right="1433"/>
      </w:pPr>
      <w:r>
        <w:rPr>
          <w:color w:val="58595B"/>
        </w:rPr>
        <w:t>Since 2010, EPA licences have used standardised and outcome-focused conditions. This approach is consistent with moving away from prescriptive rules and ‘command and control’ regulation towards performance-based regulation.</w:t>
      </w:r>
    </w:p>
    <w:p w14:paraId="31DE2B9F" w14:textId="77777777" w:rsidR="00160E7F" w:rsidRDefault="002B0299">
      <w:pPr>
        <w:pStyle w:val="BodyText"/>
        <w:spacing w:before="172" w:line="280" w:lineRule="auto"/>
        <w:ind w:left="134" w:right="1420"/>
      </w:pPr>
      <w:r>
        <w:rPr>
          <w:color w:val="58595B"/>
        </w:rPr>
        <w:t>However, some inquiry participants were concerned about the enforceability of licence conditions. In particular, participants argued that conditions were often so generic as to be unenforceable.</w:t>
      </w:r>
    </w:p>
    <w:p w14:paraId="333C46C2" w14:textId="77777777" w:rsidR="00160E7F" w:rsidRDefault="002B0299">
      <w:pPr>
        <w:pStyle w:val="BodyText"/>
        <w:spacing w:before="2" w:line="280" w:lineRule="auto"/>
        <w:ind w:left="134" w:right="1433"/>
        <w:rPr>
          <w:sz w:val="11"/>
        </w:rPr>
      </w:pPr>
      <w:r>
        <w:rPr>
          <w:color w:val="58595B"/>
        </w:rPr>
        <w:t>Nor do such conditions sufficiently guide licence holders about what is expected. The Krpan Review also identified concerns about ‘… uncertainty created by [the] EPA adopting a less prescriptive approach to monitoring programs’.</w:t>
      </w:r>
      <w:r>
        <w:rPr>
          <w:color w:val="58595B"/>
          <w:position w:val="7"/>
          <w:sz w:val="11"/>
        </w:rPr>
        <w:t>47</w:t>
      </w:r>
    </w:p>
    <w:p w14:paraId="2A734BB5" w14:textId="77777777" w:rsidR="00160E7F" w:rsidRDefault="002B0299">
      <w:pPr>
        <w:pStyle w:val="BodyText"/>
        <w:spacing w:before="172" w:line="280" w:lineRule="auto"/>
        <w:ind w:left="134" w:right="1433"/>
      </w:pPr>
      <w:r>
        <w:rPr>
          <w:color w:val="58595B"/>
        </w:rPr>
        <w:t>Many regulators use standard operating conditions (box 12.1). To be effective, licence conditions must identify what compliance ‘looks like’ and allow compliance to be accurately assessed.</w:t>
      </w:r>
      <w:r>
        <w:rPr>
          <w:color w:val="58595B"/>
          <w:position w:val="7"/>
          <w:sz w:val="11"/>
        </w:rPr>
        <w:t xml:space="preserve">48 </w:t>
      </w:r>
      <w:r>
        <w:rPr>
          <w:color w:val="58595B"/>
        </w:rPr>
        <w:t>Effective outcome-focused licence conditions must include:</w:t>
      </w:r>
    </w:p>
    <w:p w14:paraId="242C2051" w14:textId="77777777" w:rsidR="00160E7F" w:rsidRDefault="002B0299">
      <w:pPr>
        <w:pStyle w:val="ListParagraph"/>
        <w:numPr>
          <w:ilvl w:val="0"/>
          <w:numId w:val="47"/>
        </w:numPr>
        <w:tabs>
          <w:tab w:val="left" w:pos="305"/>
        </w:tabs>
        <w:spacing w:before="115"/>
        <w:ind w:hanging="170"/>
        <w:rPr>
          <w:sz w:val="20"/>
        </w:rPr>
      </w:pPr>
      <w:r>
        <w:rPr>
          <w:color w:val="58595B"/>
          <w:sz w:val="20"/>
        </w:rPr>
        <w:t>viable mechanisms for the regulator to monitor</w:t>
      </w:r>
      <w:r>
        <w:rPr>
          <w:color w:val="58595B"/>
          <w:spacing w:val="8"/>
          <w:sz w:val="20"/>
        </w:rPr>
        <w:t xml:space="preserve"> </w:t>
      </w:r>
      <w:r>
        <w:rPr>
          <w:color w:val="58595B"/>
          <w:sz w:val="20"/>
        </w:rPr>
        <w:t>compliance</w:t>
      </w:r>
    </w:p>
    <w:p w14:paraId="4BE09ACB" w14:textId="77777777" w:rsidR="00160E7F" w:rsidRDefault="002B0299">
      <w:pPr>
        <w:pStyle w:val="ListParagraph"/>
        <w:numPr>
          <w:ilvl w:val="0"/>
          <w:numId w:val="47"/>
        </w:numPr>
        <w:tabs>
          <w:tab w:val="left" w:pos="305"/>
        </w:tabs>
        <w:spacing w:before="153" w:line="280" w:lineRule="auto"/>
        <w:ind w:right="1942" w:hanging="170"/>
        <w:jc w:val="both"/>
        <w:rPr>
          <w:sz w:val="20"/>
        </w:rPr>
      </w:pPr>
      <w:r>
        <w:rPr>
          <w:color w:val="58595B"/>
          <w:sz w:val="20"/>
        </w:rPr>
        <w:t xml:space="preserve">practical guidance and advice for business about how the licence conditions are expected to be met – the use of codes of practice offers a good </w:t>
      </w:r>
      <w:r>
        <w:rPr>
          <w:color w:val="58595B"/>
          <w:spacing w:val="-2"/>
          <w:sz w:val="20"/>
        </w:rPr>
        <w:t xml:space="preserve">way </w:t>
      </w:r>
      <w:r>
        <w:rPr>
          <w:color w:val="58595B"/>
          <w:sz w:val="20"/>
        </w:rPr>
        <w:t>of providing practical guidance and</w:t>
      </w:r>
      <w:r>
        <w:rPr>
          <w:color w:val="58595B"/>
          <w:spacing w:val="-1"/>
          <w:sz w:val="20"/>
        </w:rPr>
        <w:t xml:space="preserve"> </w:t>
      </w:r>
      <w:r>
        <w:rPr>
          <w:color w:val="58595B"/>
          <w:sz w:val="20"/>
        </w:rPr>
        <w:t>advice.</w:t>
      </w:r>
    </w:p>
    <w:p w14:paraId="029F2FA6" w14:textId="77777777" w:rsidR="00160E7F" w:rsidRDefault="002B0299">
      <w:pPr>
        <w:pStyle w:val="BodyText"/>
        <w:spacing w:before="172" w:line="280" w:lineRule="auto"/>
        <w:ind w:left="134" w:right="1433"/>
      </w:pPr>
      <w:r>
        <w:rPr>
          <w:color w:val="58595B"/>
        </w:rPr>
        <w:t>The EPA should review its approach to setting licence conditions and should periodically review operating conditions to ensure that they are enforceable.</w:t>
      </w:r>
    </w:p>
    <w:p w14:paraId="2FF394E0" w14:textId="77777777" w:rsidR="00160E7F" w:rsidRDefault="00160E7F">
      <w:pPr>
        <w:spacing w:line="280" w:lineRule="auto"/>
        <w:sectPr w:rsidR="00160E7F">
          <w:pgSz w:w="11910" w:h="16840"/>
          <w:pgMar w:top="980" w:right="0" w:bottom="280" w:left="1680" w:header="788" w:footer="0" w:gutter="0"/>
          <w:cols w:space="720"/>
        </w:sectPr>
      </w:pPr>
    </w:p>
    <w:p w14:paraId="2EA3173E" w14:textId="77777777" w:rsidR="00160E7F" w:rsidRDefault="00160E7F">
      <w:pPr>
        <w:pStyle w:val="BodyText"/>
      </w:pPr>
    </w:p>
    <w:p w14:paraId="41BF630A" w14:textId="77777777" w:rsidR="00160E7F" w:rsidRDefault="00160E7F">
      <w:pPr>
        <w:pStyle w:val="BodyText"/>
      </w:pPr>
    </w:p>
    <w:p w14:paraId="66475557" w14:textId="77777777" w:rsidR="00160E7F" w:rsidRDefault="00160E7F">
      <w:pPr>
        <w:pStyle w:val="BodyText"/>
      </w:pPr>
    </w:p>
    <w:p w14:paraId="59A1DB39" w14:textId="77777777" w:rsidR="00160E7F" w:rsidRDefault="00160E7F">
      <w:pPr>
        <w:pStyle w:val="BodyText"/>
      </w:pPr>
    </w:p>
    <w:p w14:paraId="3163F3C6" w14:textId="77777777" w:rsidR="00160E7F" w:rsidRDefault="00160E7F">
      <w:pPr>
        <w:pStyle w:val="BodyText"/>
        <w:spacing w:before="4" w:after="1"/>
        <w:rPr>
          <w:sz w:val="21"/>
        </w:rPr>
      </w:pPr>
    </w:p>
    <w:p w14:paraId="628BB324" w14:textId="77777777" w:rsidR="00160E7F" w:rsidRDefault="000638CB">
      <w:pPr>
        <w:pStyle w:val="BodyText"/>
        <w:ind w:left="1417"/>
      </w:pPr>
      <w:r>
        <w:pict w14:anchorId="287C0F4A">
          <v:shape id="_x0000_s1112" type="#_x0000_t202" style="width:432.7pt;height:273.5pt;mso-left-percent:-10001;mso-top-percent:-10001;mso-position-horizontal:absolute;mso-position-horizontal-relative:char;mso-position-vertical:absolute;mso-position-vertical-relative:line;mso-left-percent:-10001;mso-top-percent:-10001" fillcolor="#eaf2f3" stroked="f">
            <v:textbox inset="0,0,0,0">
              <w:txbxContent>
                <w:p w14:paraId="1461610F" w14:textId="77777777" w:rsidR="00804E46" w:rsidRDefault="00804E46">
                  <w:pPr>
                    <w:spacing w:before="128"/>
                    <w:ind w:left="170" w:right="567"/>
                    <w:rPr>
                      <w:sz w:val="11"/>
                    </w:rPr>
                  </w:pPr>
                  <w:r>
                    <w:rPr>
                      <w:b/>
                      <w:color w:val="0095A7"/>
                      <w:sz w:val="20"/>
                    </w:rPr>
                    <w:t xml:space="preserve">BOX 12.1  </w:t>
                  </w:r>
                  <w:r>
                    <w:rPr>
                      <w:color w:val="0095A7"/>
                      <w:sz w:val="20"/>
                    </w:rPr>
                    <w:t>NEW SOUTH WALES EPA LICENCE CONDITIONS</w:t>
                  </w:r>
                  <w:r>
                    <w:rPr>
                      <w:color w:val="0095A7"/>
                      <w:position w:val="7"/>
                      <w:sz w:val="11"/>
                    </w:rPr>
                    <w:t>49</w:t>
                  </w:r>
                </w:p>
                <w:p w14:paraId="76D5334B" w14:textId="77777777" w:rsidR="00804E46" w:rsidRDefault="00804E46">
                  <w:pPr>
                    <w:pStyle w:val="BodyText"/>
                    <w:spacing w:before="153" w:line="280" w:lineRule="auto"/>
                    <w:ind w:left="170" w:right="177"/>
                  </w:pPr>
                  <w:r>
                    <w:rPr>
                      <w:color w:val="58595B"/>
                    </w:rPr>
                    <w:t>New South Wales EPA licences include the following standard operating conditions, which it has regularly relied on for enforcement purposes:</w:t>
                  </w:r>
                </w:p>
                <w:p w14:paraId="6C1DC2F3" w14:textId="77777777" w:rsidR="00804E46" w:rsidRDefault="00804E46">
                  <w:pPr>
                    <w:spacing w:before="172"/>
                    <w:ind w:left="510" w:right="567"/>
                    <w:rPr>
                      <w:i/>
                      <w:sz w:val="20"/>
                    </w:rPr>
                  </w:pPr>
                  <w:r>
                    <w:rPr>
                      <w:i/>
                      <w:color w:val="58595B"/>
                      <w:sz w:val="20"/>
                    </w:rPr>
                    <w:t>Activities must be carried out in a competent manner</w:t>
                  </w:r>
                </w:p>
                <w:p w14:paraId="4CCCC41C" w14:textId="77777777" w:rsidR="00804E46" w:rsidRDefault="00804E46">
                  <w:pPr>
                    <w:pStyle w:val="BodyText"/>
                    <w:spacing w:before="3"/>
                    <w:rPr>
                      <w:sz w:val="18"/>
                    </w:rPr>
                  </w:pPr>
                </w:p>
                <w:p w14:paraId="668C4C4C" w14:textId="77777777" w:rsidR="00804E46" w:rsidRDefault="00804E46">
                  <w:pPr>
                    <w:ind w:left="510" w:right="567"/>
                    <w:rPr>
                      <w:i/>
                      <w:sz w:val="20"/>
                    </w:rPr>
                  </w:pPr>
                  <w:r>
                    <w:rPr>
                      <w:i/>
                      <w:color w:val="58595B"/>
                      <w:sz w:val="20"/>
                    </w:rPr>
                    <w:t>Licensed activities must be carried out in a competent manner. This includes:</w:t>
                  </w:r>
                </w:p>
                <w:p w14:paraId="2F57EF8E" w14:textId="77777777" w:rsidR="00804E46" w:rsidRDefault="00804E46">
                  <w:pPr>
                    <w:pStyle w:val="BodyText"/>
                    <w:spacing w:before="3"/>
                    <w:rPr>
                      <w:sz w:val="18"/>
                    </w:rPr>
                  </w:pPr>
                </w:p>
                <w:p w14:paraId="5B8DDC4C" w14:textId="77777777" w:rsidR="00804E46" w:rsidRDefault="00804E46">
                  <w:pPr>
                    <w:pStyle w:val="ListParagraph"/>
                    <w:numPr>
                      <w:ilvl w:val="0"/>
                      <w:numId w:val="40"/>
                    </w:numPr>
                    <w:tabs>
                      <w:tab w:val="left" w:pos="511"/>
                    </w:tabs>
                    <w:spacing w:before="0" w:line="280" w:lineRule="auto"/>
                    <w:ind w:right="538" w:hanging="340"/>
                    <w:rPr>
                      <w:i/>
                      <w:sz w:val="20"/>
                    </w:rPr>
                  </w:pPr>
                  <w:r>
                    <w:rPr>
                      <w:i/>
                      <w:color w:val="58595B"/>
                      <w:sz w:val="20"/>
                    </w:rPr>
                    <w:t>the processing, handling, movement and storage of materials and substances used to carry out the activity;</w:t>
                  </w:r>
                  <w:r>
                    <w:rPr>
                      <w:i/>
                      <w:color w:val="58595B"/>
                      <w:spacing w:val="11"/>
                      <w:sz w:val="20"/>
                    </w:rPr>
                    <w:t xml:space="preserve"> </w:t>
                  </w:r>
                  <w:r>
                    <w:rPr>
                      <w:i/>
                      <w:color w:val="58595B"/>
                      <w:sz w:val="20"/>
                    </w:rPr>
                    <w:t>and</w:t>
                  </w:r>
                </w:p>
                <w:p w14:paraId="6C4934E9" w14:textId="77777777" w:rsidR="00804E46" w:rsidRDefault="00804E46">
                  <w:pPr>
                    <w:pStyle w:val="ListParagraph"/>
                    <w:numPr>
                      <w:ilvl w:val="0"/>
                      <w:numId w:val="40"/>
                    </w:numPr>
                    <w:tabs>
                      <w:tab w:val="left" w:pos="511"/>
                    </w:tabs>
                    <w:spacing w:before="172" w:line="280" w:lineRule="auto"/>
                    <w:ind w:right="925" w:hanging="340"/>
                    <w:rPr>
                      <w:i/>
                      <w:sz w:val="20"/>
                    </w:rPr>
                  </w:pPr>
                  <w:r>
                    <w:rPr>
                      <w:i/>
                      <w:color w:val="58595B"/>
                      <w:sz w:val="20"/>
                    </w:rPr>
                    <w:t>the treatment, storage, processing, reprocessing, transport and disposal of waste generated by the</w:t>
                  </w:r>
                  <w:r>
                    <w:rPr>
                      <w:i/>
                      <w:color w:val="58595B"/>
                      <w:spacing w:val="-13"/>
                      <w:sz w:val="20"/>
                    </w:rPr>
                    <w:t xml:space="preserve"> </w:t>
                  </w:r>
                  <w:r>
                    <w:rPr>
                      <w:i/>
                      <w:color w:val="58595B"/>
                      <w:sz w:val="20"/>
                    </w:rPr>
                    <w:t>activity.</w:t>
                  </w:r>
                </w:p>
                <w:p w14:paraId="4F7FBEA9" w14:textId="77777777" w:rsidR="00804E46" w:rsidRDefault="00804E46">
                  <w:pPr>
                    <w:spacing w:before="172"/>
                    <w:ind w:left="510" w:right="567"/>
                    <w:rPr>
                      <w:i/>
                      <w:sz w:val="20"/>
                    </w:rPr>
                  </w:pPr>
                  <w:r>
                    <w:rPr>
                      <w:i/>
                      <w:color w:val="58595B"/>
                      <w:sz w:val="20"/>
                    </w:rPr>
                    <w:t>Maintenance of plant and equipment</w:t>
                  </w:r>
                </w:p>
                <w:p w14:paraId="72C24883" w14:textId="77777777" w:rsidR="00804E46" w:rsidRDefault="00804E46">
                  <w:pPr>
                    <w:pStyle w:val="BodyText"/>
                    <w:spacing w:before="3"/>
                    <w:rPr>
                      <w:sz w:val="18"/>
                    </w:rPr>
                  </w:pPr>
                </w:p>
                <w:p w14:paraId="2264B1BE" w14:textId="77777777" w:rsidR="00804E46" w:rsidRDefault="00804E46">
                  <w:pPr>
                    <w:spacing w:line="280" w:lineRule="auto"/>
                    <w:ind w:left="510" w:right="567"/>
                    <w:rPr>
                      <w:i/>
                      <w:sz w:val="20"/>
                    </w:rPr>
                  </w:pPr>
                  <w:r>
                    <w:rPr>
                      <w:i/>
                      <w:color w:val="58595B"/>
                      <w:sz w:val="20"/>
                    </w:rPr>
                    <w:t>All plant and equipment installed at the premises or used in connection with the licensed activity:</w:t>
                  </w:r>
                </w:p>
                <w:p w14:paraId="0C038C16" w14:textId="77777777" w:rsidR="00804E46" w:rsidRDefault="00804E46">
                  <w:pPr>
                    <w:pStyle w:val="ListParagraph"/>
                    <w:numPr>
                      <w:ilvl w:val="0"/>
                      <w:numId w:val="39"/>
                    </w:numPr>
                    <w:tabs>
                      <w:tab w:val="left" w:pos="511"/>
                    </w:tabs>
                    <w:spacing w:before="172"/>
                    <w:ind w:hanging="340"/>
                    <w:rPr>
                      <w:i/>
                      <w:sz w:val="20"/>
                    </w:rPr>
                  </w:pPr>
                  <w:r>
                    <w:rPr>
                      <w:i/>
                      <w:color w:val="58595B"/>
                      <w:sz w:val="20"/>
                    </w:rPr>
                    <w:t>must be maintained in a proper and efficient condition;</w:t>
                  </w:r>
                  <w:r>
                    <w:rPr>
                      <w:i/>
                      <w:color w:val="58595B"/>
                      <w:spacing w:val="5"/>
                      <w:sz w:val="20"/>
                    </w:rPr>
                    <w:t xml:space="preserve"> </w:t>
                  </w:r>
                  <w:r>
                    <w:rPr>
                      <w:i/>
                      <w:color w:val="58595B"/>
                      <w:sz w:val="20"/>
                    </w:rPr>
                    <w:t>and</w:t>
                  </w:r>
                </w:p>
                <w:p w14:paraId="7F21D518" w14:textId="77777777" w:rsidR="00804E46" w:rsidRDefault="00804E46">
                  <w:pPr>
                    <w:pStyle w:val="BodyText"/>
                    <w:spacing w:before="3"/>
                    <w:rPr>
                      <w:sz w:val="18"/>
                    </w:rPr>
                  </w:pPr>
                </w:p>
                <w:p w14:paraId="4FF90742" w14:textId="77777777" w:rsidR="00804E46" w:rsidRDefault="00804E46">
                  <w:pPr>
                    <w:pStyle w:val="ListParagraph"/>
                    <w:numPr>
                      <w:ilvl w:val="0"/>
                      <w:numId w:val="39"/>
                    </w:numPr>
                    <w:tabs>
                      <w:tab w:val="left" w:pos="511"/>
                    </w:tabs>
                    <w:spacing w:before="0"/>
                    <w:ind w:hanging="340"/>
                    <w:rPr>
                      <w:i/>
                      <w:sz w:val="20"/>
                    </w:rPr>
                  </w:pPr>
                  <w:r>
                    <w:rPr>
                      <w:i/>
                      <w:color w:val="58595B"/>
                      <w:sz w:val="20"/>
                    </w:rPr>
                    <w:t>must be operated in a proper and efficient</w:t>
                  </w:r>
                  <w:r>
                    <w:rPr>
                      <w:i/>
                      <w:color w:val="58595B"/>
                      <w:spacing w:val="-5"/>
                      <w:sz w:val="20"/>
                    </w:rPr>
                    <w:t xml:space="preserve"> </w:t>
                  </w:r>
                  <w:r>
                    <w:rPr>
                      <w:i/>
                      <w:color w:val="58595B"/>
                      <w:sz w:val="20"/>
                    </w:rPr>
                    <w:t>manner.</w:t>
                  </w:r>
                </w:p>
              </w:txbxContent>
            </v:textbox>
            <w10:wrap type="none"/>
            <w10:anchorlock/>
          </v:shape>
        </w:pict>
      </w:r>
    </w:p>
    <w:p w14:paraId="24645F78" w14:textId="77777777" w:rsidR="00160E7F" w:rsidRDefault="00160E7F">
      <w:pPr>
        <w:pStyle w:val="BodyText"/>
      </w:pPr>
    </w:p>
    <w:p w14:paraId="39AF4DF2" w14:textId="77777777" w:rsidR="00160E7F" w:rsidRDefault="00160E7F">
      <w:pPr>
        <w:pStyle w:val="BodyText"/>
        <w:spacing w:before="5"/>
        <w:rPr>
          <w:sz w:val="17"/>
        </w:rPr>
      </w:pPr>
    </w:p>
    <w:p w14:paraId="154DFE1B" w14:textId="77777777" w:rsidR="00160E7F" w:rsidRDefault="002B0299">
      <w:pPr>
        <w:pStyle w:val="ListParagraph"/>
        <w:numPr>
          <w:ilvl w:val="2"/>
          <w:numId w:val="41"/>
        </w:numPr>
        <w:tabs>
          <w:tab w:val="left" w:pos="2070"/>
        </w:tabs>
        <w:spacing w:before="0"/>
        <w:ind w:left="2069" w:hanging="652"/>
        <w:jc w:val="left"/>
        <w:rPr>
          <w:sz w:val="20"/>
        </w:rPr>
      </w:pPr>
      <w:r>
        <w:rPr>
          <w:color w:val="0095A7"/>
          <w:sz w:val="20"/>
        </w:rPr>
        <w:t>Reviewing operating</w:t>
      </w:r>
      <w:r>
        <w:rPr>
          <w:color w:val="0095A7"/>
          <w:spacing w:val="-1"/>
          <w:sz w:val="20"/>
        </w:rPr>
        <w:t xml:space="preserve"> </w:t>
      </w:r>
      <w:r>
        <w:rPr>
          <w:color w:val="0095A7"/>
          <w:sz w:val="20"/>
        </w:rPr>
        <w:t>conditions</w:t>
      </w:r>
    </w:p>
    <w:p w14:paraId="6C1A0655" w14:textId="77777777" w:rsidR="00160E7F" w:rsidRDefault="002B0299">
      <w:pPr>
        <w:spacing w:before="153" w:line="280" w:lineRule="auto"/>
        <w:ind w:left="1984" w:right="789"/>
        <w:rPr>
          <w:sz w:val="20"/>
        </w:rPr>
      </w:pPr>
      <w:r>
        <w:rPr>
          <w:i/>
          <w:color w:val="231F20"/>
          <w:sz w:val="20"/>
        </w:rPr>
        <w:t xml:space="preserve">It is common for new market entrants to be assessed against higher environmental standards and to experience a more stringent review regime, generally at considerably higher cost, than entrenched technologies or processes against which they will need to compete. </w:t>
      </w:r>
      <w:r>
        <w:rPr>
          <w:color w:val="231F20"/>
          <w:sz w:val="20"/>
        </w:rPr>
        <w:t>(Tony Lewis-Jones submission, p. 1)</w:t>
      </w:r>
    </w:p>
    <w:p w14:paraId="3D71D162" w14:textId="77777777" w:rsidR="00160E7F" w:rsidRDefault="002B0299">
      <w:pPr>
        <w:pStyle w:val="BodyText"/>
        <w:spacing w:before="143" w:line="280" w:lineRule="auto"/>
        <w:ind w:left="1417" w:right="461"/>
      </w:pPr>
      <w:r>
        <w:rPr>
          <w:color w:val="58595B"/>
        </w:rPr>
        <w:t>Licences allow the EPA to set operating conditions for managing pollution and waste impacts at licensed sites. For activities with significant emissions of pollutants to air, water or land, the</w:t>
      </w:r>
    </w:p>
    <w:p w14:paraId="527A62A9" w14:textId="77777777" w:rsidR="00160E7F" w:rsidRDefault="002B0299">
      <w:pPr>
        <w:pStyle w:val="BodyText"/>
        <w:spacing w:before="2" w:line="280" w:lineRule="auto"/>
        <w:ind w:left="1417" w:right="158"/>
        <w:jc w:val="both"/>
      </w:pPr>
      <w:r>
        <w:rPr>
          <w:color w:val="58595B"/>
        </w:rPr>
        <w:t>licence can include site-specific discharge limits.</w:t>
      </w:r>
      <w:r>
        <w:rPr>
          <w:color w:val="58595B"/>
          <w:position w:val="7"/>
          <w:sz w:val="11"/>
        </w:rPr>
        <w:t xml:space="preserve">50 </w:t>
      </w:r>
      <w:r>
        <w:rPr>
          <w:color w:val="58595B"/>
          <w:spacing w:val="-4"/>
        </w:rPr>
        <w:t xml:space="preserve">EPA </w:t>
      </w:r>
      <w:r>
        <w:rPr>
          <w:color w:val="58595B"/>
        </w:rPr>
        <w:t>licences are perpetual licenses and there is currently no formal mechanism for reviewing discharge limits or other conditions which regulate the licensee’s</w:t>
      </w:r>
      <w:r>
        <w:rPr>
          <w:color w:val="58595B"/>
          <w:spacing w:val="-8"/>
        </w:rPr>
        <w:t xml:space="preserve"> </w:t>
      </w:r>
      <w:r>
        <w:rPr>
          <w:color w:val="58595B"/>
        </w:rPr>
        <w:t>operations.</w:t>
      </w:r>
    </w:p>
    <w:p w14:paraId="3C27C0DD" w14:textId="77777777" w:rsidR="00160E7F" w:rsidRDefault="002B0299">
      <w:pPr>
        <w:pStyle w:val="BodyText"/>
        <w:spacing w:before="143" w:line="280" w:lineRule="auto"/>
        <w:ind w:left="1417" w:right="131"/>
      </w:pPr>
      <w:r>
        <w:rPr>
          <w:color w:val="58595B"/>
        </w:rPr>
        <w:t>We recommend amending the EP Act, to provide for the EPA to grant new licences for a specified period of time, rather than in perpetuity. The Act should also allow for regular reviews of licences. This change will ensure environmental performance keeps pace with contemporary standards.</w:t>
      </w:r>
    </w:p>
    <w:p w14:paraId="5C1EC576" w14:textId="77777777" w:rsidR="00160E7F" w:rsidRDefault="002B0299">
      <w:pPr>
        <w:pStyle w:val="BodyText"/>
        <w:spacing w:before="143" w:line="280" w:lineRule="auto"/>
        <w:ind w:left="1417" w:right="67"/>
      </w:pPr>
      <w:r>
        <w:rPr>
          <w:color w:val="58595B"/>
        </w:rPr>
        <w:t xml:space="preserve">Our understanding of risks, and how to manage them, changes </w:t>
      </w:r>
      <w:r>
        <w:rPr>
          <w:color w:val="58595B"/>
          <w:spacing w:val="-3"/>
        </w:rPr>
        <w:t xml:space="preserve">over </w:t>
      </w:r>
      <w:r>
        <w:rPr>
          <w:color w:val="58595B"/>
        </w:rPr>
        <w:t xml:space="preserve">time, as do community expectations. </w:t>
      </w:r>
      <w:r>
        <w:rPr>
          <w:color w:val="58595B"/>
          <w:spacing w:val="-3"/>
        </w:rPr>
        <w:t xml:space="preserve">For example, </w:t>
      </w:r>
      <w:r>
        <w:rPr>
          <w:color w:val="58595B"/>
        </w:rPr>
        <w:t xml:space="preserve">climate change can increase the risk of spills or overflows from holding ponds, as extreme </w:t>
      </w:r>
      <w:r>
        <w:rPr>
          <w:color w:val="58595B"/>
          <w:spacing w:val="-2"/>
        </w:rPr>
        <w:t xml:space="preserve">weather </w:t>
      </w:r>
      <w:r>
        <w:rPr>
          <w:color w:val="58595B"/>
          <w:spacing w:val="-3"/>
        </w:rPr>
        <w:t xml:space="preserve">events </w:t>
      </w:r>
      <w:r>
        <w:rPr>
          <w:color w:val="58595B"/>
        </w:rPr>
        <w:t xml:space="preserve">become more frequent </w:t>
      </w:r>
      <w:r>
        <w:rPr>
          <w:color w:val="58595B"/>
          <w:spacing w:val="-2"/>
        </w:rPr>
        <w:t xml:space="preserve">and/or </w:t>
      </w:r>
      <w:r>
        <w:rPr>
          <w:color w:val="58595B"/>
          <w:spacing w:val="-3"/>
        </w:rPr>
        <w:t xml:space="preserve">severe. </w:t>
      </w:r>
      <w:r>
        <w:rPr>
          <w:color w:val="58595B"/>
          <w:spacing w:val="-4"/>
        </w:rPr>
        <w:t xml:space="preserve">Further, </w:t>
      </w:r>
      <w:r>
        <w:rPr>
          <w:color w:val="58595B"/>
        </w:rPr>
        <w:t xml:space="preserve">as circumstances change with the changing </w:t>
      </w:r>
      <w:r>
        <w:rPr>
          <w:color w:val="58595B"/>
          <w:spacing w:val="-3"/>
        </w:rPr>
        <w:t xml:space="preserve">economy, </w:t>
      </w:r>
      <w:r>
        <w:rPr>
          <w:color w:val="58595B"/>
        </w:rPr>
        <w:t xml:space="preserve">population growth and climate change, the </w:t>
      </w:r>
      <w:r>
        <w:rPr>
          <w:color w:val="58595B"/>
          <w:spacing w:val="-2"/>
        </w:rPr>
        <w:t xml:space="preserve">number </w:t>
      </w:r>
      <w:r>
        <w:rPr>
          <w:color w:val="58595B"/>
        </w:rPr>
        <w:t xml:space="preserve">of firms seeking to discharge emissions in an area </w:t>
      </w:r>
      <w:r>
        <w:rPr>
          <w:color w:val="58595B"/>
          <w:spacing w:val="-3"/>
        </w:rPr>
        <w:t xml:space="preserve">may </w:t>
      </w:r>
      <w:r>
        <w:rPr>
          <w:color w:val="58595B"/>
        </w:rPr>
        <w:t xml:space="preserve">change. This will affect the appropriate site-specific discharge limits. Granting licences in perpetuity without a formal </w:t>
      </w:r>
      <w:r>
        <w:rPr>
          <w:color w:val="58595B"/>
          <w:spacing w:val="-3"/>
        </w:rPr>
        <w:t xml:space="preserve">review </w:t>
      </w:r>
      <w:r>
        <w:rPr>
          <w:color w:val="58595B"/>
        </w:rPr>
        <w:t xml:space="preserve">mechanism does not allow the </w:t>
      </w:r>
      <w:r>
        <w:rPr>
          <w:color w:val="58595B"/>
          <w:spacing w:val="-5"/>
        </w:rPr>
        <w:t xml:space="preserve">EPA </w:t>
      </w:r>
      <w:r>
        <w:rPr>
          <w:color w:val="58595B"/>
        </w:rPr>
        <w:t xml:space="preserve">flexibility to maintain standards in an economically efficient </w:t>
      </w:r>
      <w:r>
        <w:rPr>
          <w:color w:val="58595B"/>
          <w:spacing w:val="-4"/>
        </w:rPr>
        <w:t>manner.</w:t>
      </w:r>
    </w:p>
    <w:p w14:paraId="238A1E47" w14:textId="77777777" w:rsidR="00160E7F" w:rsidRDefault="002B0299">
      <w:pPr>
        <w:pStyle w:val="BodyText"/>
        <w:spacing w:before="143" w:line="280" w:lineRule="auto"/>
        <w:ind w:left="1417" w:right="185"/>
      </w:pPr>
      <w:r>
        <w:rPr>
          <w:color w:val="58595B"/>
        </w:rPr>
        <w:t>The licence term for new licences should be determined having regard to the need to provide certainty and investment security for businesses, on the one hand, and the need to manage risks to the government, community and environment, on the other. The EPA should also have the capacity to renew licences.</w:t>
      </w:r>
    </w:p>
    <w:p w14:paraId="04B85E8A" w14:textId="77777777" w:rsidR="00160E7F" w:rsidRDefault="002B0299">
      <w:pPr>
        <w:pStyle w:val="BodyText"/>
        <w:spacing w:before="143" w:line="280" w:lineRule="auto"/>
        <w:ind w:left="1417" w:right="405"/>
      </w:pPr>
      <w:r>
        <w:rPr>
          <w:color w:val="58595B"/>
        </w:rPr>
        <w:t>Licences with terms longer than five years should be subject to a formal review process during the life of the licence. The licence review process could build on the periodic licence review process the EPA recently commenced.</w:t>
      </w:r>
    </w:p>
    <w:p w14:paraId="300F9852" w14:textId="77777777" w:rsidR="00160E7F" w:rsidRDefault="00160E7F">
      <w:pPr>
        <w:spacing w:line="280" w:lineRule="auto"/>
        <w:sectPr w:rsidR="00160E7F">
          <w:pgSz w:w="11910" w:h="16840"/>
          <w:pgMar w:top="980" w:right="1680" w:bottom="280" w:left="0" w:header="788" w:footer="0" w:gutter="0"/>
          <w:cols w:space="720"/>
        </w:sectPr>
      </w:pPr>
    </w:p>
    <w:p w14:paraId="61534081" w14:textId="77777777" w:rsidR="00160E7F" w:rsidRDefault="00160E7F">
      <w:pPr>
        <w:pStyle w:val="BodyText"/>
      </w:pPr>
    </w:p>
    <w:p w14:paraId="51DE6FFA" w14:textId="77777777" w:rsidR="00160E7F" w:rsidRDefault="00160E7F">
      <w:pPr>
        <w:pStyle w:val="BodyText"/>
      </w:pPr>
    </w:p>
    <w:p w14:paraId="5D7A9EDD" w14:textId="77777777" w:rsidR="00160E7F" w:rsidRDefault="00160E7F">
      <w:pPr>
        <w:pStyle w:val="BodyText"/>
      </w:pPr>
    </w:p>
    <w:p w14:paraId="442D6458" w14:textId="77777777" w:rsidR="00160E7F" w:rsidRDefault="00160E7F">
      <w:pPr>
        <w:pStyle w:val="BodyText"/>
      </w:pPr>
    </w:p>
    <w:p w14:paraId="1C6F5891" w14:textId="77777777" w:rsidR="00160E7F" w:rsidRDefault="00160E7F">
      <w:pPr>
        <w:pStyle w:val="BodyText"/>
        <w:spacing w:before="8"/>
        <w:rPr>
          <w:sz w:val="17"/>
        </w:rPr>
      </w:pPr>
    </w:p>
    <w:p w14:paraId="76A568EC" w14:textId="77777777" w:rsidR="00160E7F" w:rsidRDefault="002B0299">
      <w:pPr>
        <w:pStyle w:val="BodyText"/>
        <w:spacing w:before="1" w:line="280" w:lineRule="auto"/>
        <w:ind w:left="134" w:right="1494"/>
      </w:pPr>
      <w:r>
        <w:rPr>
          <w:color w:val="58595B"/>
        </w:rPr>
        <w:t>The</w:t>
      </w:r>
      <w:r>
        <w:rPr>
          <w:color w:val="58595B"/>
          <w:spacing w:val="-12"/>
        </w:rPr>
        <w:t xml:space="preserve"> </w:t>
      </w:r>
      <w:r>
        <w:rPr>
          <w:color w:val="58595B"/>
          <w:spacing w:val="-8"/>
        </w:rPr>
        <w:t>EPA’s</w:t>
      </w:r>
      <w:r>
        <w:rPr>
          <w:color w:val="58595B"/>
          <w:spacing w:val="-12"/>
        </w:rPr>
        <w:t xml:space="preserve"> </w:t>
      </w:r>
      <w:r>
        <w:rPr>
          <w:color w:val="58595B"/>
        </w:rPr>
        <w:t>licensing</w:t>
      </w:r>
      <w:r>
        <w:rPr>
          <w:color w:val="58595B"/>
          <w:spacing w:val="-12"/>
        </w:rPr>
        <w:t xml:space="preserve"> </w:t>
      </w:r>
      <w:r>
        <w:rPr>
          <w:color w:val="58595B"/>
        </w:rPr>
        <w:t>regime</w:t>
      </w:r>
      <w:r>
        <w:rPr>
          <w:color w:val="58595B"/>
          <w:spacing w:val="-12"/>
        </w:rPr>
        <w:t xml:space="preserve"> </w:t>
      </w:r>
      <w:r>
        <w:rPr>
          <w:color w:val="58595B"/>
        </w:rPr>
        <w:t>should</w:t>
      </w:r>
      <w:r>
        <w:rPr>
          <w:color w:val="58595B"/>
          <w:spacing w:val="-12"/>
        </w:rPr>
        <w:t xml:space="preserve"> </w:t>
      </w:r>
      <w:r>
        <w:rPr>
          <w:color w:val="58595B"/>
        </w:rPr>
        <w:t>maintain</w:t>
      </w:r>
      <w:r>
        <w:rPr>
          <w:color w:val="58595B"/>
          <w:spacing w:val="-12"/>
        </w:rPr>
        <w:t xml:space="preserve"> </w:t>
      </w:r>
      <w:r>
        <w:rPr>
          <w:color w:val="58595B"/>
        </w:rPr>
        <w:t>up-to-date</w:t>
      </w:r>
      <w:r>
        <w:rPr>
          <w:color w:val="58595B"/>
          <w:spacing w:val="-12"/>
        </w:rPr>
        <w:t xml:space="preserve"> </w:t>
      </w:r>
      <w:r>
        <w:rPr>
          <w:color w:val="58595B"/>
        </w:rPr>
        <w:t>and</w:t>
      </w:r>
      <w:r>
        <w:rPr>
          <w:color w:val="58595B"/>
          <w:spacing w:val="-12"/>
        </w:rPr>
        <w:t xml:space="preserve"> </w:t>
      </w:r>
      <w:r>
        <w:rPr>
          <w:color w:val="58595B"/>
        </w:rPr>
        <w:t>uniform</w:t>
      </w:r>
      <w:r>
        <w:rPr>
          <w:color w:val="58595B"/>
          <w:spacing w:val="-12"/>
        </w:rPr>
        <w:t xml:space="preserve"> </w:t>
      </w:r>
      <w:r>
        <w:rPr>
          <w:color w:val="58595B"/>
        </w:rPr>
        <w:t>standards</w:t>
      </w:r>
      <w:r>
        <w:rPr>
          <w:color w:val="58595B"/>
          <w:spacing w:val="-12"/>
        </w:rPr>
        <w:t xml:space="preserve"> </w:t>
      </w:r>
      <w:r>
        <w:rPr>
          <w:color w:val="58595B"/>
        </w:rPr>
        <w:t>across</w:t>
      </w:r>
      <w:r>
        <w:rPr>
          <w:color w:val="58595B"/>
          <w:spacing w:val="-12"/>
        </w:rPr>
        <w:t xml:space="preserve"> </w:t>
      </w:r>
      <w:r>
        <w:rPr>
          <w:color w:val="58595B"/>
        </w:rPr>
        <w:t>the</w:t>
      </w:r>
      <w:r>
        <w:rPr>
          <w:color w:val="58595B"/>
          <w:spacing w:val="-12"/>
        </w:rPr>
        <w:t xml:space="preserve"> </w:t>
      </w:r>
      <w:r>
        <w:rPr>
          <w:color w:val="58595B"/>
          <w:spacing w:val="-3"/>
        </w:rPr>
        <w:t xml:space="preserve">industry. </w:t>
      </w:r>
      <w:r>
        <w:rPr>
          <w:color w:val="58595B"/>
        </w:rPr>
        <w:t xml:space="preserve">In </w:t>
      </w:r>
      <w:r>
        <w:rPr>
          <w:color w:val="58595B"/>
          <w:spacing w:val="-3"/>
        </w:rPr>
        <w:t xml:space="preserve">particular, </w:t>
      </w:r>
      <w:r>
        <w:rPr>
          <w:color w:val="58595B"/>
        </w:rPr>
        <w:t xml:space="preserve">the </w:t>
      </w:r>
      <w:r>
        <w:rPr>
          <w:color w:val="58595B"/>
          <w:spacing w:val="-5"/>
        </w:rPr>
        <w:t xml:space="preserve">EPA </w:t>
      </w:r>
      <w:r>
        <w:rPr>
          <w:color w:val="58595B"/>
        </w:rPr>
        <w:t xml:space="preserve">should </w:t>
      </w:r>
      <w:r>
        <w:rPr>
          <w:color w:val="58595B"/>
          <w:spacing w:val="-3"/>
        </w:rPr>
        <w:t xml:space="preserve">ensure </w:t>
      </w:r>
      <w:r>
        <w:rPr>
          <w:color w:val="58595B"/>
        </w:rPr>
        <w:t xml:space="preserve">that emissions from </w:t>
      </w:r>
      <w:r>
        <w:rPr>
          <w:color w:val="58595B"/>
          <w:spacing w:val="-3"/>
        </w:rPr>
        <w:t xml:space="preserve">existing </w:t>
      </w:r>
      <w:r>
        <w:rPr>
          <w:color w:val="58595B"/>
        </w:rPr>
        <w:t>facilities are consistent with contemporary</w:t>
      </w:r>
      <w:r>
        <w:rPr>
          <w:color w:val="58595B"/>
          <w:spacing w:val="-15"/>
        </w:rPr>
        <w:t xml:space="preserve"> </w:t>
      </w:r>
      <w:r>
        <w:rPr>
          <w:color w:val="58595B"/>
        </w:rPr>
        <w:t>scientific</w:t>
      </w:r>
      <w:r>
        <w:rPr>
          <w:color w:val="58595B"/>
          <w:spacing w:val="-15"/>
        </w:rPr>
        <w:t xml:space="preserve"> </w:t>
      </w:r>
      <w:r>
        <w:rPr>
          <w:color w:val="58595B"/>
        </w:rPr>
        <w:t>understanding</w:t>
      </w:r>
      <w:r>
        <w:rPr>
          <w:color w:val="58595B"/>
          <w:spacing w:val="-15"/>
        </w:rPr>
        <w:t xml:space="preserve"> </w:t>
      </w:r>
      <w:r>
        <w:rPr>
          <w:color w:val="58595B"/>
        </w:rPr>
        <w:t>–</w:t>
      </w:r>
      <w:r>
        <w:rPr>
          <w:color w:val="58595B"/>
          <w:spacing w:val="-15"/>
        </w:rPr>
        <w:t xml:space="preserve"> </w:t>
      </w:r>
      <w:r>
        <w:rPr>
          <w:color w:val="58595B"/>
        </w:rPr>
        <w:t>as</w:t>
      </w:r>
      <w:r>
        <w:rPr>
          <w:color w:val="58595B"/>
          <w:spacing w:val="-15"/>
        </w:rPr>
        <w:t xml:space="preserve"> </w:t>
      </w:r>
      <w:r>
        <w:rPr>
          <w:color w:val="58595B"/>
        </w:rPr>
        <w:t>represented</w:t>
      </w:r>
      <w:r>
        <w:rPr>
          <w:color w:val="58595B"/>
          <w:spacing w:val="-15"/>
        </w:rPr>
        <w:t xml:space="preserve"> </w:t>
      </w:r>
      <w:r>
        <w:rPr>
          <w:color w:val="58595B"/>
        </w:rPr>
        <w:t>in</w:t>
      </w:r>
      <w:r>
        <w:rPr>
          <w:color w:val="58595B"/>
          <w:spacing w:val="-15"/>
        </w:rPr>
        <w:t xml:space="preserve"> </w:t>
      </w:r>
      <w:r>
        <w:rPr>
          <w:color w:val="58595B"/>
        </w:rPr>
        <w:t>standards</w:t>
      </w:r>
      <w:r>
        <w:rPr>
          <w:color w:val="58595B"/>
          <w:spacing w:val="-15"/>
        </w:rPr>
        <w:t xml:space="preserve"> </w:t>
      </w:r>
      <w:r>
        <w:rPr>
          <w:color w:val="58595B"/>
        </w:rPr>
        <w:t>–</w:t>
      </w:r>
      <w:r>
        <w:rPr>
          <w:color w:val="58595B"/>
          <w:spacing w:val="-15"/>
        </w:rPr>
        <w:t xml:space="preserve"> </w:t>
      </w:r>
      <w:r>
        <w:rPr>
          <w:color w:val="58595B"/>
        </w:rPr>
        <w:t>about</w:t>
      </w:r>
      <w:r>
        <w:rPr>
          <w:color w:val="58595B"/>
          <w:spacing w:val="-15"/>
        </w:rPr>
        <w:t xml:space="preserve"> </w:t>
      </w:r>
      <w:r>
        <w:rPr>
          <w:color w:val="58595B"/>
        </w:rPr>
        <w:t>acceptable</w:t>
      </w:r>
      <w:r>
        <w:rPr>
          <w:color w:val="58595B"/>
          <w:spacing w:val="-15"/>
        </w:rPr>
        <w:t xml:space="preserve"> </w:t>
      </w:r>
      <w:r>
        <w:rPr>
          <w:color w:val="58595B"/>
        </w:rPr>
        <w:t>risks.</w:t>
      </w:r>
    </w:p>
    <w:p w14:paraId="42B7130E" w14:textId="77777777" w:rsidR="00160E7F" w:rsidRDefault="00160E7F">
      <w:pPr>
        <w:pStyle w:val="BodyText"/>
        <w:spacing w:before="4"/>
        <w:rPr>
          <w:sz w:val="22"/>
        </w:rPr>
      </w:pPr>
    </w:p>
    <w:p w14:paraId="0462DA87" w14:textId="77777777" w:rsidR="00160E7F" w:rsidRDefault="002B0299">
      <w:pPr>
        <w:pStyle w:val="ListParagraph"/>
        <w:numPr>
          <w:ilvl w:val="2"/>
          <w:numId w:val="41"/>
        </w:numPr>
        <w:tabs>
          <w:tab w:val="left" w:pos="786"/>
        </w:tabs>
        <w:spacing w:before="0"/>
        <w:ind w:left="785" w:hanging="651"/>
        <w:jc w:val="left"/>
        <w:rPr>
          <w:sz w:val="20"/>
        </w:rPr>
      </w:pPr>
      <w:r>
        <w:rPr>
          <w:color w:val="0095A7"/>
          <w:sz w:val="20"/>
        </w:rPr>
        <w:t>New post-closure licence or</w:t>
      </w:r>
      <w:r>
        <w:rPr>
          <w:color w:val="0095A7"/>
          <w:spacing w:val="11"/>
          <w:sz w:val="20"/>
        </w:rPr>
        <w:t xml:space="preserve"> </w:t>
      </w:r>
      <w:r>
        <w:rPr>
          <w:color w:val="0095A7"/>
          <w:sz w:val="20"/>
        </w:rPr>
        <w:t>instrument</w:t>
      </w:r>
    </w:p>
    <w:p w14:paraId="5F6629BC" w14:textId="77777777" w:rsidR="00160E7F" w:rsidRDefault="002B0299">
      <w:pPr>
        <w:pStyle w:val="BodyText"/>
        <w:spacing w:before="153" w:line="280" w:lineRule="auto"/>
        <w:ind w:left="134" w:right="1433"/>
      </w:pPr>
      <w:r>
        <w:rPr>
          <w:color w:val="58595B"/>
        </w:rPr>
        <w:t>The EPA currently uses remedial notices to require licence holders to manage the environmental risks of a site after an activity ceases. This process can include assessing and remediating contaminated land or managing and overseeing post-closure risks. Managing these risks will remain a vital function for the EPA.</w:t>
      </w:r>
    </w:p>
    <w:p w14:paraId="6D5BF014" w14:textId="77777777" w:rsidR="00160E7F" w:rsidRDefault="002B0299">
      <w:pPr>
        <w:pStyle w:val="BodyText"/>
        <w:spacing w:before="115" w:line="280" w:lineRule="auto"/>
        <w:ind w:left="134" w:right="1433"/>
      </w:pPr>
      <w:r>
        <w:rPr>
          <w:color w:val="58595B"/>
        </w:rPr>
        <w:t>By strategically anticipating risks, the EPA should be able to identify heavy industry and manufacturing sites that are coming to the end of their operating life. The EPA could then work with the site operator to plan for closure. However, the EPA’s current toolkit does not provide</w:t>
      </w:r>
    </w:p>
    <w:p w14:paraId="7B1626D9" w14:textId="77777777" w:rsidR="00160E7F" w:rsidRDefault="002B0299">
      <w:pPr>
        <w:pStyle w:val="BodyText"/>
        <w:spacing w:before="2"/>
        <w:ind w:left="134" w:right="789"/>
      </w:pPr>
      <w:r>
        <w:rPr>
          <w:color w:val="58595B"/>
        </w:rPr>
        <w:t>a robust mechanism for this purpose.</w:t>
      </w:r>
    </w:p>
    <w:p w14:paraId="1BDD4F24" w14:textId="77777777" w:rsidR="00160E7F" w:rsidRDefault="002B0299">
      <w:pPr>
        <w:pStyle w:val="BodyText"/>
        <w:spacing w:before="153" w:line="280" w:lineRule="auto"/>
        <w:ind w:left="134" w:right="1716"/>
      </w:pPr>
      <w:r>
        <w:rPr>
          <w:color w:val="58595B"/>
        </w:rPr>
        <w:t>Remedial notices were not designed for managing post-closure risks, which often require extended periods of time to address (30 years or more in the case of landfills). The EPA needs a more enduring, fit-for-purpose, instrument, given the significance and time scale of post- closure risks. We recommend a new post-closure licence category for landfills and high risk contaminating activities, or a new standalone post-closure instrument.</w:t>
      </w:r>
    </w:p>
    <w:p w14:paraId="1431D8BF" w14:textId="77777777" w:rsidR="00160E7F" w:rsidRDefault="00160E7F">
      <w:pPr>
        <w:pStyle w:val="BodyText"/>
        <w:spacing w:before="7"/>
        <w:rPr>
          <w:sz w:val="16"/>
        </w:rPr>
      </w:pPr>
    </w:p>
    <w:p w14:paraId="5754C17F" w14:textId="77777777" w:rsidR="00160E7F" w:rsidRDefault="002B0299">
      <w:pPr>
        <w:pStyle w:val="Heading3"/>
        <w:numPr>
          <w:ilvl w:val="1"/>
          <w:numId w:val="38"/>
        </w:numPr>
        <w:tabs>
          <w:tab w:val="left" w:pos="719"/>
        </w:tabs>
        <w:spacing w:before="0"/>
      </w:pPr>
      <w:r>
        <w:rPr>
          <w:color w:val="0095A7"/>
        </w:rPr>
        <w:t>Preparedness and response to pollution</w:t>
      </w:r>
      <w:r>
        <w:rPr>
          <w:color w:val="0095A7"/>
          <w:spacing w:val="40"/>
        </w:rPr>
        <w:t xml:space="preserve"> </w:t>
      </w:r>
      <w:r>
        <w:rPr>
          <w:color w:val="0095A7"/>
        </w:rPr>
        <w:t>incidents</w:t>
      </w:r>
    </w:p>
    <w:p w14:paraId="6990021F" w14:textId="77777777" w:rsidR="00160E7F" w:rsidRDefault="002B0299">
      <w:pPr>
        <w:pStyle w:val="ListParagraph"/>
        <w:numPr>
          <w:ilvl w:val="2"/>
          <w:numId w:val="38"/>
        </w:numPr>
        <w:tabs>
          <w:tab w:val="left" w:pos="764"/>
        </w:tabs>
        <w:spacing w:before="145"/>
        <w:ind w:hanging="629"/>
        <w:rPr>
          <w:sz w:val="20"/>
        </w:rPr>
      </w:pPr>
      <w:r>
        <w:rPr>
          <w:color w:val="0095A7"/>
          <w:sz w:val="20"/>
        </w:rPr>
        <w:t>Pollution incident</w:t>
      </w:r>
      <w:r>
        <w:rPr>
          <w:color w:val="0095A7"/>
          <w:spacing w:val="-1"/>
          <w:sz w:val="20"/>
        </w:rPr>
        <w:t xml:space="preserve"> </w:t>
      </w:r>
      <w:r>
        <w:rPr>
          <w:color w:val="0095A7"/>
          <w:sz w:val="20"/>
        </w:rPr>
        <w:t>planning</w:t>
      </w:r>
    </w:p>
    <w:p w14:paraId="54AE490F" w14:textId="77777777" w:rsidR="00160E7F" w:rsidRDefault="002B0299">
      <w:pPr>
        <w:pStyle w:val="BodyText"/>
        <w:spacing w:before="153" w:line="280" w:lineRule="auto"/>
        <w:ind w:left="134" w:right="1433"/>
      </w:pPr>
      <w:r>
        <w:rPr>
          <w:color w:val="58595B"/>
        </w:rPr>
        <w:t>The Hazelwood mine fire showed the deficiencies in existing incident management planning. Similarly, the 2011 pollution incident at Orica’s ammonium nitrate plant at Kooragang Island in New South Wales had the potential for significant impact on human health.</w:t>
      </w:r>
    </w:p>
    <w:p w14:paraId="3D35B092" w14:textId="77777777" w:rsidR="00160E7F" w:rsidRDefault="002B0299">
      <w:pPr>
        <w:pStyle w:val="BodyText"/>
        <w:spacing w:before="115" w:line="280" w:lineRule="auto"/>
        <w:ind w:left="134" w:right="1493"/>
      </w:pPr>
      <w:r>
        <w:rPr>
          <w:color w:val="58595B"/>
        </w:rPr>
        <w:t>In accordance with the general duty, businesses whose activities give rise to the risk of a serious incident should take reasonable steps to prevent or mitigate the risks of the incident and the impact of any harm if an incident occurs. To supplement this and to ensure that the impact on the community is specifically considered, we propose that EPA licensees be required to implement pollution incident planning.</w:t>
      </w:r>
    </w:p>
    <w:p w14:paraId="4FC3AF00" w14:textId="77777777" w:rsidR="00160E7F" w:rsidRDefault="002B0299">
      <w:pPr>
        <w:pStyle w:val="BodyText"/>
        <w:spacing w:before="115" w:line="280" w:lineRule="auto"/>
        <w:ind w:left="134" w:right="789"/>
      </w:pPr>
      <w:r>
        <w:rPr>
          <w:color w:val="58595B"/>
        </w:rPr>
        <w:t>The approach adopted in New South Wales</w:t>
      </w:r>
      <w:r>
        <w:rPr>
          <w:color w:val="58595B"/>
          <w:position w:val="7"/>
          <w:sz w:val="11"/>
        </w:rPr>
        <w:t xml:space="preserve">51 </w:t>
      </w:r>
      <w:r>
        <w:rPr>
          <w:color w:val="58595B"/>
        </w:rPr>
        <w:t>provides a good model. The plan would focus on ameliorating the impacts of an incident on human health or the environment.</w:t>
      </w:r>
    </w:p>
    <w:p w14:paraId="211D644D" w14:textId="77777777" w:rsidR="00160E7F" w:rsidRDefault="002B0299">
      <w:pPr>
        <w:pStyle w:val="BodyText"/>
        <w:spacing w:before="115" w:line="280" w:lineRule="auto"/>
        <w:ind w:left="134" w:right="1433"/>
        <w:rPr>
          <w:sz w:val="11"/>
        </w:rPr>
      </w:pPr>
      <w:r>
        <w:rPr>
          <w:color w:val="58595B"/>
        </w:rPr>
        <w:t>Importantly,</w:t>
      </w:r>
      <w:r>
        <w:rPr>
          <w:color w:val="58595B"/>
          <w:spacing w:val="-12"/>
        </w:rPr>
        <w:t xml:space="preserve"> </w:t>
      </w:r>
      <w:r>
        <w:rPr>
          <w:color w:val="58595B"/>
        </w:rPr>
        <w:t>pollution</w:t>
      </w:r>
      <w:r>
        <w:rPr>
          <w:color w:val="58595B"/>
          <w:spacing w:val="-12"/>
        </w:rPr>
        <w:t xml:space="preserve"> </w:t>
      </w:r>
      <w:r>
        <w:rPr>
          <w:color w:val="58595B"/>
        </w:rPr>
        <w:t>incident</w:t>
      </w:r>
      <w:r>
        <w:rPr>
          <w:color w:val="58595B"/>
          <w:spacing w:val="-12"/>
        </w:rPr>
        <w:t xml:space="preserve"> </w:t>
      </w:r>
      <w:r>
        <w:rPr>
          <w:color w:val="58595B"/>
        </w:rPr>
        <w:t>planning</w:t>
      </w:r>
      <w:r>
        <w:rPr>
          <w:color w:val="58595B"/>
          <w:spacing w:val="-12"/>
        </w:rPr>
        <w:t xml:space="preserve"> </w:t>
      </w:r>
      <w:r>
        <w:rPr>
          <w:color w:val="58595B"/>
        </w:rPr>
        <w:t>should</w:t>
      </w:r>
      <w:r>
        <w:rPr>
          <w:color w:val="58595B"/>
          <w:spacing w:val="-12"/>
        </w:rPr>
        <w:t xml:space="preserve"> </w:t>
      </w:r>
      <w:r>
        <w:rPr>
          <w:color w:val="58595B"/>
          <w:spacing w:val="-3"/>
        </w:rPr>
        <w:t>integrate</w:t>
      </w:r>
      <w:r>
        <w:rPr>
          <w:color w:val="58595B"/>
          <w:spacing w:val="-12"/>
        </w:rPr>
        <w:t xml:space="preserve"> </w:t>
      </w:r>
      <w:r>
        <w:rPr>
          <w:color w:val="58595B"/>
        </w:rPr>
        <w:t>with,</w:t>
      </w:r>
      <w:r>
        <w:rPr>
          <w:color w:val="58595B"/>
          <w:spacing w:val="-12"/>
        </w:rPr>
        <w:t xml:space="preserve"> </w:t>
      </w:r>
      <w:r>
        <w:rPr>
          <w:color w:val="58595B"/>
        </w:rPr>
        <w:t>and</w:t>
      </w:r>
      <w:r>
        <w:rPr>
          <w:color w:val="58595B"/>
          <w:spacing w:val="-12"/>
        </w:rPr>
        <w:t xml:space="preserve"> </w:t>
      </w:r>
      <w:r>
        <w:rPr>
          <w:color w:val="58595B"/>
        </w:rPr>
        <w:t>not</w:t>
      </w:r>
      <w:r>
        <w:rPr>
          <w:color w:val="58595B"/>
          <w:spacing w:val="-12"/>
        </w:rPr>
        <w:t xml:space="preserve"> </w:t>
      </w:r>
      <w:r>
        <w:rPr>
          <w:color w:val="58595B"/>
          <w:spacing w:val="-3"/>
        </w:rPr>
        <w:t>duplicate,</w:t>
      </w:r>
      <w:r>
        <w:rPr>
          <w:color w:val="58595B"/>
          <w:spacing w:val="-12"/>
        </w:rPr>
        <w:t xml:space="preserve"> </w:t>
      </w:r>
      <w:r>
        <w:rPr>
          <w:color w:val="58595B"/>
          <w:spacing w:val="-3"/>
        </w:rPr>
        <w:t>existing</w:t>
      </w:r>
      <w:r>
        <w:rPr>
          <w:color w:val="58595B"/>
          <w:spacing w:val="-12"/>
        </w:rPr>
        <w:t xml:space="preserve"> </w:t>
      </w:r>
      <w:r>
        <w:rPr>
          <w:color w:val="58595B"/>
        </w:rPr>
        <w:t xml:space="preserve">emergency and incident planning under the critical infrastructure and major hazard facility regimes, and the proposed </w:t>
      </w:r>
      <w:r>
        <w:rPr>
          <w:color w:val="58595B"/>
          <w:spacing w:val="-2"/>
        </w:rPr>
        <w:t xml:space="preserve">new </w:t>
      </w:r>
      <w:r>
        <w:rPr>
          <w:color w:val="58595B"/>
        </w:rPr>
        <w:t xml:space="preserve">emergency planning legislation. The reforms are </w:t>
      </w:r>
      <w:r>
        <w:rPr>
          <w:color w:val="58595B"/>
          <w:spacing w:val="-2"/>
        </w:rPr>
        <w:t xml:space="preserve">intended </w:t>
      </w:r>
      <w:r>
        <w:rPr>
          <w:color w:val="58595B"/>
        </w:rPr>
        <w:t xml:space="preserve">to create an </w:t>
      </w:r>
      <w:r>
        <w:rPr>
          <w:color w:val="58595B"/>
          <w:spacing w:val="-2"/>
        </w:rPr>
        <w:t xml:space="preserve">integrated </w:t>
      </w:r>
      <w:r>
        <w:rPr>
          <w:color w:val="58595B"/>
        </w:rPr>
        <w:t>emergency</w:t>
      </w:r>
      <w:r>
        <w:rPr>
          <w:color w:val="58595B"/>
          <w:spacing w:val="-11"/>
        </w:rPr>
        <w:t xml:space="preserve"> </w:t>
      </w:r>
      <w:r>
        <w:rPr>
          <w:color w:val="58595B"/>
        </w:rPr>
        <w:t>management</w:t>
      </w:r>
      <w:r>
        <w:rPr>
          <w:color w:val="58595B"/>
          <w:spacing w:val="-11"/>
        </w:rPr>
        <w:t xml:space="preserve"> </w:t>
      </w:r>
      <w:r>
        <w:rPr>
          <w:color w:val="58595B"/>
        </w:rPr>
        <w:t>planning</w:t>
      </w:r>
      <w:r>
        <w:rPr>
          <w:color w:val="58595B"/>
          <w:spacing w:val="-11"/>
        </w:rPr>
        <w:t xml:space="preserve"> </w:t>
      </w:r>
      <w:r>
        <w:rPr>
          <w:color w:val="58595B"/>
        </w:rPr>
        <w:t>framework</w:t>
      </w:r>
      <w:r>
        <w:rPr>
          <w:color w:val="58595B"/>
          <w:spacing w:val="-11"/>
        </w:rPr>
        <w:t xml:space="preserve"> </w:t>
      </w:r>
      <w:r>
        <w:rPr>
          <w:color w:val="58595B"/>
        </w:rPr>
        <w:t>for</w:t>
      </w:r>
      <w:r>
        <w:rPr>
          <w:color w:val="58595B"/>
          <w:spacing w:val="-11"/>
        </w:rPr>
        <w:t xml:space="preserve"> </w:t>
      </w:r>
      <w:r>
        <w:rPr>
          <w:color w:val="58595B"/>
        </w:rPr>
        <w:t>all</w:t>
      </w:r>
      <w:r>
        <w:rPr>
          <w:color w:val="58595B"/>
          <w:spacing w:val="-11"/>
        </w:rPr>
        <w:t xml:space="preserve"> </w:t>
      </w:r>
      <w:r>
        <w:rPr>
          <w:color w:val="58595B"/>
        </w:rPr>
        <w:t>hazards</w:t>
      </w:r>
      <w:r>
        <w:rPr>
          <w:color w:val="58595B"/>
          <w:spacing w:val="-11"/>
        </w:rPr>
        <w:t xml:space="preserve"> </w:t>
      </w:r>
      <w:r>
        <w:rPr>
          <w:color w:val="58595B"/>
        </w:rPr>
        <w:t>at</w:t>
      </w:r>
      <w:r>
        <w:rPr>
          <w:color w:val="58595B"/>
          <w:spacing w:val="-11"/>
        </w:rPr>
        <w:t xml:space="preserve"> </w:t>
      </w:r>
      <w:r>
        <w:rPr>
          <w:color w:val="58595B"/>
        </w:rPr>
        <w:t>a</w:t>
      </w:r>
      <w:r>
        <w:rPr>
          <w:color w:val="58595B"/>
          <w:spacing w:val="-11"/>
        </w:rPr>
        <w:t xml:space="preserve"> </w:t>
      </w:r>
      <w:r>
        <w:rPr>
          <w:color w:val="58595B"/>
          <w:spacing w:val="-3"/>
        </w:rPr>
        <w:t>state,</w:t>
      </w:r>
      <w:r>
        <w:rPr>
          <w:color w:val="58595B"/>
          <w:spacing w:val="-11"/>
        </w:rPr>
        <w:t xml:space="preserve"> </w:t>
      </w:r>
      <w:r>
        <w:rPr>
          <w:color w:val="58595B"/>
        </w:rPr>
        <w:t>regional</w:t>
      </w:r>
      <w:r>
        <w:rPr>
          <w:color w:val="58595B"/>
          <w:spacing w:val="-11"/>
        </w:rPr>
        <w:t xml:space="preserve"> </w:t>
      </w:r>
      <w:r>
        <w:rPr>
          <w:color w:val="58595B"/>
        </w:rPr>
        <w:t>and</w:t>
      </w:r>
      <w:r>
        <w:rPr>
          <w:color w:val="58595B"/>
          <w:spacing w:val="-11"/>
        </w:rPr>
        <w:t xml:space="preserve"> </w:t>
      </w:r>
      <w:r>
        <w:rPr>
          <w:color w:val="58595B"/>
        </w:rPr>
        <w:t>local</w:t>
      </w:r>
      <w:r>
        <w:rPr>
          <w:color w:val="58595B"/>
          <w:spacing w:val="-11"/>
        </w:rPr>
        <w:t xml:space="preserve"> </w:t>
      </w:r>
      <w:r>
        <w:rPr>
          <w:color w:val="58595B"/>
          <w:spacing w:val="-3"/>
        </w:rPr>
        <w:t>level.</w:t>
      </w:r>
      <w:r>
        <w:rPr>
          <w:color w:val="58595B"/>
          <w:spacing w:val="-3"/>
          <w:position w:val="7"/>
          <w:sz w:val="11"/>
        </w:rPr>
        <w:t>52</w:t>
      </w:r>
    </w:p>
    <w:p w14:paraId="7F9D9484" w14:textId="77777777" w:rsidR="00160E7F" w:rsidRDefault="00160E7F">
      <w:pPr>
        <w:pStyle w:val="BodyText"/>
        <w:spacing w:before="4"/>
        <w:rPr>
          <w:sz w:val="22"/>
        </w:rPr>
      </w:pPr>
    </w:p>
    <w:p w14:paraId="5B579525" w14:textId="77777777" w:rsidR="00160E7F" w:rsidRDefault="002B0299">
      <w:pPr>
        <w:pStyle w:val="ListParagraph"/>
        <w:numPr>
          <w:ilvl w:val="2"/>
          <w:numId w:val="38"/>
        </w:numPr>
        <w:tabs>
          <w:tab w:val="left" w:pos="787"/>
        </w:tabs>
        <w:spacing w:before="0"/>
        <w:ind w:left="786" w:hanging="652"/>
        <w:rPr>
          <w:sz w:val="20"/>
        </w:rPr>
      </w:pPr>
      <w:r>
        <w:rPr>
          <w:color w:val="0095A7"/>
          <w:sz w:val="20"/>
        </w:rPr>
        <w:t>Notification of pollution</w:t>
      </w:r>
      <w:r>
        <w:rPr>
          <w:color w:val="0095A7"/>
          <w:spacing w:val="15"/>
          <w:sz w:val="20"/>
        </w:rPr>
        <w:t xml:space="preserve"> </w:t>
      </w:r>
      <w:r>
        <w:rPr>
          <w:color w:val="0095A7"/>
          <w:sz w:val="20"/>
        </w:rPr>
        <w:t>incidents</w:t>
      </w:r>
    </w:p>
    <w:p w14:paraId="4A019CC2" w14:textId="77777777" w:rsidR="00160E7F" w:rsidRDefault="002B0299">
      <w:pPr>
        <w:pStyle w:val="BodyText"/>
        <w:spacing w:before="153" w:line="280" w:lineRule="auto"/>
        <w:ind w:left="134" w:right="1420"/>
      </w:pPr>
      <w:r>
        <w:rPr>
          <w:color w:val="58595B"/>
        </w:rPr>
        <w:t>EPA licensed premises must notify the EPA of non-compliance with a licence condition, and must notify the EPA about pollution incidents. There is no equivalent requirement for non-licensed premises. For acute pollution events at non-licensed premises, the EPA or local government must rely on voluntary reports or reports from the public. This approach limits opportunities for the EPA or local government to respond quickly to protect public health and minimise the environmental impact of any incident.</w:t>
      </w:r>
    </w:p>
    <w:p w14:paraId="3AE7A308" w14:textId="77777777" w:rsidR="00160E7F" w:rsidRDefault="002B0299">
      <w:pPr>
        <w:pStyle w:val="BodyText"/>
        <w:spacing w:before="115" w:line="280" w:lineRule="auto"/>
        <w:ind w:left="134" w:right="1433"/>
      </w:pPr>
      <w:r>
        <w:rPr>
          <w:color w:val="58595B"/>
        </w:rPr>
        <w:t>We recommend a mandatory requirement for all businesses to notify environmental incidents to the relevant authority (either the EPA or local government).</w:t>
      </w:r>
    </w:p>
    <w:p w14:paraId="63663A9A" w14:textId="77777777" w:rsidR="00160E7F" w:rsidRDefault="002B0299">
      <w:pPr>
        <w:pStyle w:val="BodyText"/>
        <w:spacing w:before="115" w:line="280" w:lineRule="auto"/>
        <w:ind w:left="134" w:right="1433"/>
      </w:pPr>
      <w:r>
        <w:rPr>
          <w:color w:val="58595B"/>
        </w:rPr>
        <w:t>A duty to notify pollution incidents was introduced in New South Wales in response to the independent review of the pollution incident at Kooragang Island.</w:t>
      </w:r>
      <w:r>
        <w:rPr>
          <w:color w:val="58595B"/>
          <w:position w:val="7"/>
          <w:sz w:val="11"/>
        </w:rPr>
        <w:t xml:space="preserve">53 </w:t>
      </w:r>
      <w:r>
        <w:rPr>
          <w:color w:val="58595B"/>
        </w:rPr>
        <w:t>Similar requirements exist in South Australia and Queensland. Victorian OHS laws also require significant health and safety incidents to be reported to Worksafe.</w:t>
      </w:r>
    </w:p>
    <w:p w14:paraId="63E317D6" w14:textId="77777777" w:rsidR="00160E7F" w:rsidRDefault="00160E7F">
      <w:pPr>
        <w:spacing w:line="280" w:lineRule="auto"/>
        <w:sectPr w:rsidR="00160E7F">
          <w:headerReference w:type="even" r:id="rId35"/>
          <w:headerReference w:type="default" r:id="rId36"/>
          <w:pgSz w:w="11910" w:h="16840"/>
          <w:pgMar w:top="980" w:right="0" w:bottom="0" w:left="1680" w:header="788" w:footer="0" w:gutter="0"/>
          <w:pgNumType w:start="233"/>
          <w:cols w:space="720"/>
        </w:sectPr>
      </w:pPr>
    </w:p>
    <w:p w14:paraId="1A164A2E" w14:textId="77777777" w:rsidR="00160E7F" w:rsidRDefault="00160E7F">
      <w:pPr>
        <w:pStyle w:val="BodyText"/>
      </w:pPr>
    </w:p>
    <w:p w14:paraId="64288D97" w14:textId="77777777" w:rsidR="00160E7F" w:rsidRDefault="00160E7F">
      <w:pPr>
        <w:pStyle w:val="BodyText"/>
      </w:pPr>
    </w:p>
    <w:p w14:paraId="02CCD39E" w14:textId="77777777" w:rsidR="00160E7F" w:rsidRDefault="00160E7F">
      <w:pPr>
        <w:pStyle w:val="BodyText"/>
      </w:pPr>
    </w:p>
    <w:p w14:paraId="06DF0E3F" w14:textId="77777777" w:rsidR="00160E7F" w:rsidRDefault="00160E7F">
      <w:pPr>
        <w:pStyle w:val="BodyText"/>
      </w:pPr>
    </w:p>
    <w:p w14:paraId="3632430F" w14:textId="77777777" w:rsidR="00160E7F" w:rsidRDefault="002B0299">
      <w:pPr>
        <w:pStyle w:val="Heading3"/>
        <w:ind w:right="789"/>
      </w:pPr>
      <w:r>
        <w:rPr>
          <w:color w:val="0095A7"/>
        </w:rPr>
        <w:t>Recommendations</w:t>
      </w:r>
    </w:p>
    <w:p w14:paraId="41435B73" w14:textId="77777777" w:rsidR="00160E7F" w:rsidRDefault="000638CB">
      <w:pPr>
        <w:pStyle w:val="BodyText"/>
        <w:rPr>
          <w:sz w:val="23"/>
        </w:rPr>
      </w:pPr>
      <w:r>
        <w:pict w14:anchorId="3A634FCB">
          <v:shape id="_x0000_s1111" type="#_x0000_t202" style="position:absolute;margin-left:70.85pt;margin-top:14.45pt;width:432.7pt;height:261.5pt;z-index:1336;mso-wrap-distance-left:0;mso-wrap-distance-right:0;mso-position-horizontal-relative:page" fillcolor="#eff6f0" stroked="f">
            <v:textbox inset="0,0,0,0">
              <w:txbxContent>
                <w:p w14:paraId="30E08395" w14:textId="77777777" w:rsidR="00804E46" w:rsidRDefault="00804E46">
                  <w:pPr>
                    <w:spacing w:before="128"/>
                    <w:ind w:left="170" w:right="567"/>
                    <w:rPr>
                      <w:b/>
                      <w:sz w:val="20"/>
                    </w:rPr>
                  </w:pPr>
                  <w:r>
                    <w:rPr>
                      <w:b/>
                      <w:color w:val="808285"/>
                      <w:sz w:val="20"/>
                    </w:rPr>
                    <w:t>RECOMMENDATION 12.1</w:t>
                  </w:r>
                </w:p>
                <w:p w14:paraId="3024AB32" w14:textId="77777777" w:rsidR="00804E46" w:rsidRDefault="00804E46">
                  <w:pPr>
                    <w:pStyle w:val="BodyText"/>
                    <w:spacing w:before="153" w:line="280" w:lineRule="auto"/>
                    <w:ind w:left="170" w:right="177"/>
                  </w:pPr>
                  <w:r>
                    <w:rPr>
                      <w:color w:val="58595B"/>
                    </w:rPr>
                    <w:t>Introduce a general duty to minimise risks of harm to human health and the environment,</w:t>
                  </w:r>
                  <w:r>
                    <w:rPr>
                      <w:color w:val="58595B"/>
                    </w:rPr>
                    <w:br/>
                    <w:t>as the cornerstone of a preventative focus for the EPA. Specifically:</w:t>
                  </w:r>
                </w:p>
                <w:p w14:paraId="09C85C42" w14:textId="77777777" w:rsidR="00804E46" w:rsidRDefault="00804E46">
                  <w:pPr>
                    <w:pStyle w:val="ListParagraph"/>
                    <w:numPr>
                      <w:ilvl w:val="0"/>
                      <w:numId w:val="37"/>
                    </w:numPr>
                    <w:tabs>
                      <w:tab w:val="left" w:pos="511"/>
                    </w:tabs>
                    <w:spacing w:before="172" w:line="280" w:lineRule="auto"/>
                    <w:ind w:right="307" w:hanging="340"/>
                    <w:rPr>
                      <w:sz w:val="20"/>
                    </w:rPr>
                  </w:pPr>
                  <w:r>
                    <w:rPr>
                      <w:color w:val="58595B"/>
                      <w:sz w:val="20"/>
                    </w:rPr>
                    <w:t>the duty would require a person to take reasonably practicable steps to minimise risks</w:t>
                  </w:r>
                  <w:r>
                    <w:rPr>
                      <w:color w:val="58595B"/>
                      <w:sz w:val="20"/>
                    </w:rPr>
                    <w:br/>
                    <w:t>of harm from pollution and</w:t>
                  </w:r>
                  <w:r>
                    <w:rPr>
                      <w:color w:val="58595B"/>
                      <w:spacing w:val="3"/>
                      <w:sz w:val="20"/>
                    </w:rPr>
                    <w:t xml:space="preserve"> </w:t>
                  </w:r>
                  <w:r>
                    <w:rPr>
                      <w:color w:val="58595B"/>
                      <w:sz w:val="20"/>
                    </w:rPr>
                    <w:t>waste</w:t>
                  </w:r>
                </w:p>
                <w:p w14:paraId="66880134" w14:textId="77777777" w:rsidR="00804E46" w:rsidRDefault="00804E46">
                  <w:pPr>
                    <w:pStyle w:val="ListParagraph"/>
                    <w:numPr>
                      <w:ilvl w:val="0"/>
                      <w:numId w:val="37"/>
                    </w:numPr>
                    <w:tabs>
                      <w:tab w:val="left" w:pos="511"/>
                    </w:tabs>
                    <w:spacing w:before="172" w:line="280" w:lineRule="auto"/>
                    <w:ind w:right="573" w:hanging="340"/>
                    <w:rPr>
                      <w:sz w:val="20"/>
                    </w:rPr>
                  </w:pPr>
                  <w:r>
                    <w:rPr>
                      <w:color w:val="58595B"/>
                      <w:sz w:val="20"/>
                    </w:rPr>
                    <w:t xml:space="preserve">introduction of the duty would be staged, with its application limited initially to those entities which operate under </w:t>
                  </w:r>
                  <w:r>
                    <w:rPr>
                      <w:color w:val="58595B"/>
                      <w:spacing w:val="-4"/>
                      <w:sz w:val="20"/>
                    </w:rPr>
                    <w:t xml:space="preserve">EPA </w:t>
                  </w:r>
                  <w:r>
                    <w:rPr>
                      <w:color w:val="58595B"/>
                      <w:sz w:val="20"/>
                    </w:rPr>
                    <w:t>licences or works approvals, and entities registered under a new registration scheme to be based on WorkSafe’s dangerous goods notification</w:t>
                  </w:r>
                </w:p>
                <w:p w14:paraId="0AA30EB2" w14:textId="77777777" w:rsidR="00804E46" w:rsidRDefault="00804E46">
                  <w:pPr>
                    <w:pStyle w:val="ListParagraph"/>
                    <w:numPr>
                      <w:ilvl w:val="0"/>
                      <w:numId w:val="37"/>
                    </w:numPr>
                    <w:tabs>
                      <w:tab w:val="left" w:pos="511"/>
                    </w:tabs>
                    <w:spacing w:before="172" w:line="280" w:lineRule="auto"/>
                    <w:ind w:right="989" w:hanging="340"/>
                    <w:rPr>
                      <w:sz w:val="20"/>
                    </w:rPr>
                  </w:pPr>
                  <w:r>
                    <w:rPr>
                      <w:color w:val="58595B"/>
                      <w:sz w:val="20"/>
                    </w:rPr>
                    <w:t>breach of the duty would give rise to criminal penalties, civil penalties and/or civil remedies</w:t>
                  </w:r>
                </w:p>
                <w:p w14:paraId="2C777E3C" w14:textId="77777777" w:rsidR="00804E46" w:rsidRDefault="00804E46">
                  <w:pPr>
                    <w:pStyle w:val="ListParagraph"/>
                    <w:numPr>
                      <w:ilvl w:val="0"/>
                      <w:numId w:val="37"/>
                    </w:numPr>
                    <w:tabs>
                      <w:tab w:val="left" w:pos="511"/>
                    </w:tabs>
                    <w:spacing w:before="172" w:line="280" w:lineRule="auto"/>
                    <w:ind w:right="643" w:hanging="340"/>
                    <w:rPr>
                      <w:sz w:val="20"/>
                    </w:rPr>
                  </w:pPr>
                  <w:r>
                    <w:rPr>
                      <w:color w:val="58595B"/>
                      <w:sz w:val="20"/>
                    </w:rPr>
                    <w:t>breach or threatened breach of the duty would provide a uniform trigger for the issue of remedial</w:t>
                  </w:r>
                  <w:r>
                    <w:rPr>
                      <w:color w:val="58595B"/>
                      <w:spacing w:val="3"/>
                      <w:sz w:val="20"/>
                    </w:rPr>
                    <w:t xml:space="preserve"> </w:t>
                  </w:r>
                  <w:r>
                    <w:rPr>
                      <w:color w:val="58595B"/>
                      <w:sz w:val="20"/>
                    </w:rPr>
                    <w:t>notices</w:t>
                  </w:r>
                </w:p>
                <w:p w14:paraId="7F3286C7" w14:textId="77777777" w:rsidR="00804E46" w:rsidRDefault="00804E46">
                  <w:pPr>
                    <w:pStyle w:val="ListParagraph"/>
                    <w:numPr>
                      <w:ilvl w:val="0"/>
                      <w:numId w:val="37"/>
                    </w:numPr>
                    <w:tabs>
                      <w:tab w:val="left" w:pos="511"/>
                    </w:tabs>
                    <w:spacing w:before="172" w:line="280" w:lineRule="auto"/>
                    <w:ind w:right="778" w:hanging="340"/>
                    <w:rPr>
                      <w:sz w:val="20"/>
                    </w:rPr>
                  </w:pPr>
                  <w:r>
                    <w:rPr>
                      <w:color w:val="58595B"/>
                      <w:sz w:val="20"/>
                    </w:rPr>
                    <w:t>compliance with the duty would be underpinned by statutory codes of practice, and advice from the EPA.</w:t>
                  </w:r>
                </w:p>
              </w:txbxContent>
            </v:textbox>
            <w10:wrap type="topAndBottom" anchorx="page"/>
          </v:shape>
        </w:pict>
      </w:r>
      <w:r>
        <w:pict w14:anchorId="0EF8E448">
          <v:shape id="_x0000_s1110" type="#_x0000_t202" style="position:absolute;margin-left:70.85pt;margin-top:287.25pt;width:432.7pt;height:70.5pt;z-index:1360;mso-wrap-distance-left:0;mso-wrap-distance-right:0;mso-position-horizontal-relative:page" fillcolor="#eff6f0" stroked="f">
            <v:textbox inset="0,0,0,0">
              <w:txbxContent>
                <w:p w14:paraId="7CAC8046" w14:textId="77777777" w:rsidR="00804E46" w:rsidRDefault="00804E46">
                  <w:pPr>
                    <w:spacing w:before="128"/>
                    <w:ind w:left="170" w:right="567"/>
                    <w:rPr>
                      <w:b/>
                      <w:sz w:val="20"/>
                    </w:rPr>
                  </w:pPr>
                  <w:r>
                    <w:rPr>
                      <w:b/>
                      <w:color w:val="808285"/>
                      <w:sz w:val="20"/>
                    </w:rPr>
                    <w:t>RECOMMENDATION 12.2</w:t>
                  </w:r>
                </w:p>
                <w:p w14:paraId="00C1F9D1" w14:textId="77777777" w:rsidR="00804E46" w:rsidRDefault="00804E46">
                  <w:pPr>
                    <w:pStyle w:val="BodyText"/>
                    <w:spacing w:before="153" w:line="280" w:lineRule="auto"/>
                    <w:ind w:left="170" w:right="177"/>
                  </w:pPr>
                  <w:r>
                    <w:rPr>
                      <w:color w:val="58595B"/>
                    </w:rPr>
                    <w:t>Expand the cohort of activities requiring a works approval or licence to include all activities with significant impacts on human health or the environment, regardless of the type of hazard posed.</w:t>
                  </w:r>
                </w:p>
              </w:txbxContent>
            </v:textbox>
            <w10:wrap type="topAndBottom" anchorx="page"/>
          </v:shape>
        </w:pict>
      </w:r>
      <w:r>
        <w:pict w14:anchorId="7D5A6735">
          <v:shape id="_x0000_s1109" type="#_x0000_t202" style="position:absolute;margin-left:70.85pt;margin-top:369.05pt;width:432.7pt;height:158.5pt;z-index:1384;mso-wrap-distance-left:0;mso-wrap-distance-right:0;mso-position-horizontal-relative:page" fillcolor="#eff6f0" stroked="f">
            <v:textbox inset="0,0,0,0">
              <w:txbxContent>
                <w:p w14:paraId="143C32A6" w14:textId="77777777" w:rsidR="00804E46" w:rsidRDefault="00804E46">
                  <w:pPr>
                    <w:spacing w:before="128"/>
                    <w:ind w:left="170" w:right="567"/>
                    <w:rPr>
                      <w:b/>
                      <w:sz w:val="20"/>
                    </w:rPr>
                  </w:pPr>
                  <w:r>
                    <w:rPr>
                      <w:b/>
                      <w:color w:val="808285"/>
                      <w:sz w:val="20"/>
                    </w:rPr>
                    <w:t>RECOMMENDATION 12.3</w:t>
                  </w:r>
                </w:p>
                <w:p w14:paraId="646FD0EC" w14:textId="77777777" w:rsidR="00804E46" w:rsidRDefault="00804E46">
                  <w:pPr>
                    <w:pStyle w:val="BodyText"/>
                    <w:spacing w:before="153"/>
                    <w:ind w:left="170" w:right="567"/>
                  </w:pPr>
                  <w:r>
                    <w:rPr>
                      <w:color w:val="58595B"/>
                    </w:rPr>
                    <w:t>Introduce new tools, including:</w:t>
                  </w:r>
                </w:p>
                <w:p w14:paraId="30AEE249" w14:textId="77777777" w:rsidR="00804E46" w:rsidRDefault="00804E46">
                  <w:pPr>
                    <w:pStyle w:val="BodyText"/>
                    <w:spacing w:before="3"/>
                    <w:rPr>
                      <w:sz w:val="18"/>
                    </w:rPr>
                  </w:pPr>
                </w:p>
                <w:p w14:paraId="402BE5EF" w14:textId="77777777" w:rsidR="00804E46" w:rsidRDefault="00804E46">
                  <w:pPr>
                    <w:pStyle w:val="ListParagraph"/>
                    <w:numPr>
                      <w:ilvl w:val="0"/>
                      <w:numId w:val="36"/>
                    </w:numPr>
                    <w:tabs>
                      <w:tab w:val="left" w:pos="511"/>
                    </w:tabs>
                    <w:spacing w:before="0"/>
                    <w:ind w:hanging="340"/>
                    <w:rPr>
                      <w:sz w:val="20"/>
                    </w:rPr>
                  </w:pPr>
                  <w:r>
                    <w:rPr>
                      <w:color w:val="58595B"/>
                      <w:sz w:val="20"/>
                    </w:rPr>
                    <w:t>fixed terms for new licences and a statutory mechanism for regular</w:t>
                  </w:r>
                  <w:r>
                    <w:rPr>
                      <w:color w:val="58595B"/>
                      <w:spacing w:val="14"/>
                      <w:sz w:val="20"/>
                    </w:rPr>
                    <w:t xml:space="preserve"> </w:t>
                  </w:r>
                  <w:r>
                    <w:rPr>
                      <w:color w:val="58595B"/>
                      <w:sz w:val="20"/>
                    </w:rPr>
                    <w:t>reviews</w:t>
                  </w:r>
                </w:p>
                <w:p w14:paraId="6F20CC60" w14:textId="77777777" w:rsidR="00804E46" w:rsidRDefault="00804E46">
                  <w:pPr>
                    <w:pStyle w:val="BodyText"/>
                    <w:spacing w:before="3"/>
                    <w:rPr>
                      <w:sz w:val="18"/>
                    </w:rPr>
                  </w:pPr>
                </w:p>
                <w:p w14:paraId="584D74D0" w14:textId="77777777" w:rsidR="00804E46" w:rsidRDefault="00804E46">
                  <w:pPr>
                    <w:pStyle w:val="ListParagraph"/>
                    <w:numPr>
                      <w:ilvl w:val="0"/>
                      <w:numId w:val="36"/>
                    </w:numPr>
                    <w:tabs>
                      <w:tab w:val="left" w:pos="511"/>
                    </w:tabs>
                    <w:spacing w:before="0" w:line="280" w:lineRule="auto"/>
                    <w:ind w:right="879" w:hanging="340"/>
                    <w:rPr>
                      <w:sz w:val="20"/>
                    </w:rPr>
                  </w:pPr>
                  <w:r>
                    <w:rPr>
                      <w:color w:val="58595B"/>
                      <w:sz w:val="20"/>
                    </w:rPr>
                    <w:t xml:space="preserve">a new post-closure licence category </w:t>
                  </w:r>
                  <w:r>
                    <w:rPr>
                      <w:color w:val="58595B"/>
                      <w:spacing w:val="-3"/>
                      <w:sz w:val="20"/>
                    </w:rPr>
                    <w:t xml:space="preserve">(or </w:t>
                  </w:r>
                  <w:r>
                    <w:rPr>
                      <w:color w:val="58595B"/>
                      <w:sz w:val="20"/>
                    </w:rPr>
                    <w:t>a new form of post closure instrument) for landfills and high risk contaminating</w:t>
                  </w:r>
                  <w:r>
                    <w:rPr>
                      <w:color w:val="58595B"/>
                      <w:spacing w:val="16"/>
                      <w:sz w:val="20"/>
                    </w:rPr>
                    <w:t xml:space="preserve"> </w:t>
                  </w:r>
                  <w:r>
                    <w:rPr>
                      <w:color w:val="58595B"/>
                      <w:sz w:val="20"/>
                    </w:rPr>
                    <w:t>activities</w:t>
                  </w:r>
                </w:p>
                <w:p w14:paraId="2E8725CE" w14:textId="77777777" w:rsidR="00804E46" w:rsidRDefault="00804E46">
                  <w:pPr>
                    <w:pStyle w:val="ListParagraph"/>
                    <w:numPr>
                      <w:ilvl w:val="0"/>
                      <w:numId w:val="36"/>
                    </w:numPr>
                    <w:tabs>
                      <w:tab w:val="left" w:pos="511"/>
                    </w:tabs>
                    <w:spacing w:before="172"/>
                    <w:ind w:hanging="340"/>
                    <w:rPr>
                      <w:sz w:val="20"/>
                    </w:rPr>
                  </w:pPr>
                  <w:r>
                    <w:rPr>
                      <w:color w:val="58595B"/>
                      <w:sz w:val="20"/>
                    </w:rPr>
                    <w:t xml:space="preserve">a requirement for </w:t>
                  </w:r>
                  <w:r>
                    <w:rPr>
                      <w:color w:val="58595B"/>
                      <w:spacing w:val="-4"/>
                      <w:sz w:val="20"/>
                    </w:rPr>
                    <w:t xml:space="preserve">EPA </w:t>
                  </w:r>
                  <w:r>
                    <w:rPr>
                      <w:color w:val="58595B"/>
                      <w:sz w:val="20"/>
                    </w:rPr>
                    <w:t>licensees to prepare and implement pollution incident</w:t>
                  </w:r>
                  <w:r>
                    <w:rPr>
                      <w:color w:val="58595B"/>
                      <w:spacing w:val="3"/>
                      <w:sz w:val="20"/>
                    </w:rPr>
                    <w:t xml:space="preserve"> </w:t>
                  </w:r>
                  <w:r>
                    <w:rPr>
                      <w:color w:val="58595B"/>
                      <w:sz w:val="20"/>
                    </w:rPr>
                    <w:t>plans</w:t>
                  </w:r>
                </w:p>
                <w:p w14:paraId="11C22C4D" w14:textId="77777777" w:rsidR="00804E46" w:rsidRDefault="00804E46">
                  <w:pPr>
                    <w:pStyle w:val="BodyText"/>
                    <w:spacing w:before="3"/>
                    <w:rPr>
                      <w:sz w:val="18"/>
                    </w:rPr>
                  </w:pPr>
                </w:p>
                <w:p w14:paraId="612A3EFE" w14:textId="77777777" w:rsidR="00804E46" w:rsidRDefault="00804E46">
                  <w:pPr>
                    <w:pStyle w:val="ListParagraph"/>
                    <w:numPr>
                      <w:ilvl w:val="0"/>
                      <w:numId w:val="36"/>
                    </w:numPr>
                    <w:tabs>
                      <w:tab w:val="left" w:pos="511"/>
                    </w:tabs>
                    <w:spacing w:before="0" w:line="280" w:lineRule="auto"/>
                    <w:ind w:right="723" w:hanging="340"/>
                    <w:rPr>
                      <w:sz w:val="20"/>
                    </w:rPr>
                  </w:pPr>
                  <w:r>
                    <w:rPr>
                      <w:color w:val="58595B"/>
                      <w:sz w:val="20"/>
                    </w:rPr>
                    <w:t xml:space="preserve">a requirement for all businesses to notify pollution incidents to the relevant authority (either the </w:t>
                  </w:r>
                  <w:r>
                    <w:rPr>
                      <w:color w:val="58595B"/>
                      <w:spacing w:val="-4"/>
                      <w:sz w:val="20"/>
                    </w:rPr>
                    <w:t xml:space="preserve">EPA </w:t>
                  </w:r>
                  <w:r>
                    <w:rPr>
                      <w:color w:val="58595B"/>
                      <w:sz w:val="20"/>
                    </w:rPr>
                    <w:t>or local</w:t>
                  </w:r>
                  <w:r>
                    <w:rPr>
                      <w:color w:val="58595B"/>
                      <w:spacing w:val="-10"/>
                      <w:sz w:val="20"/>
                    </w:rPr>
                    <w:t xml:space="preserve"> </w:t>
                  </w:r>
                  <w:r>
                    <w:rPr>
                      <w:color w:val="58595B"/>
                      <w:sz w:val="20"/>
                    </w:rPr>
                    <w:t>government).</w:t>
                  </w:r>
                </w:p>
              </w:txbxContent>
            </v:textbox>
            <w10:wrap type="topAndBottom" anchorx="page"/>
          </v:shape>
        </w:pict>
      </w:r>
    </w:p>
    <w:p w14:paraId="5018207F" w14:textId="77777777" w:rsidR="00160E7F" w:rsidRDefault="00160E7F">
      <w:pPr>
        <w:pStyle w:val="BodyText"/>
        <w:spacing w:before="3"/>
        <w:rPr>
          <w:sz w:val="16"/>
        </w:rPr>
      </w:pPr>
    </w:p>
    <w:p w14:paraId="48A37A2F" w14:textId="77777777" w:rsidR="00160E7F" w:rsidRDefault="00160E7F">
      <w:pPr>
        <w:pStyle w:val="BodyText"/>
        <w:spacing w:before="3"/>
        <w:rPr>
          <w:sz w:val="16"/>
        </w:rPr>
      </w:pPr>
    </w:p>
    <w:p w14:paraId="429332F1" w14:textId="77777777" w:rsidR="00160E7F" w:rsidRDefault="00160E7F">
      <w:pPr>
        <w:rPr>
          <w:sz w:val="16"/>
        </w:rPr>
        <w:sectPr w:rsidR="00160E7F">
          <w:pgSz w:w="11910" w:h="16840"/>
          <w:pgMar w:top="980" w:right="1680" w:bottom="280" w:left="0" w:header="788" w:footer="0" w:gutter="0"/>
          <w:cols w:space="720"/>
        </w:sectPr>
      </w:pPr>
    </w:p>
    <w:p w14:paraId="24162789" w14:textId="77777777" w:rsidR="00160E7F" w:rsidRDefault="00160E7F">
      <w:pPr>
        <w:pStyle w:val="BodyText"/>
      </w:pPr>
    </w:p>
    <w:p w14:paraId="00F78066" w14:textId="77777777" w:rsidR="00160E7F" w:rsidRDefault="00160E7F">
      <w:pPr>
        <w:pStyle w:val="BodyText"/>
      </w:pPr>
    </w:p>
    <w:p w14:paraId="3205836D" w14:textId="77777777" w:rsidR="00160E7F" w:rsidRDefault="00160E7F">
      <w:pPr>
        <w:pStyle w:val="BodyText"/>
      </w:pPr>
    </w:p>
    <w:p w14:paraId="188FB32F" w14:textId="77777777" w:rsidR="00160E7F" w:rsidRDefault="00160E7F">
      <w:pPr>
        <w:pStyle w:val="BodyText"/>
      </w:pPr>
    </w:p>
    <w:p w14:paraId="5BD9D519" w14:textId="77777777" w:rsidR="00160E7F" w:rsidRDefault="00160E7F">
      <w:pPr>
        <w:pStyle w:val="BodyText"/>
        <w:spacing w:before="4"/>
        <w:rPr>
          <w:sz w:val="13"/>
        </w:rPr>
      </w:pPr>
    </w:p>
    <w:p w14:paraId="4ED0F90F" w14:textId="77777777" w:rsidR="00160E7F" w:rsidRDefault="000638CB">
      <w:pPr>
        <w:pStyle w:val="BodyText"/>
        <w:spacing w:line="20" w:lineRule="exact"/>
        <w:ind w:left="129"/>
        <w:rPr>
          <w:sz w:val="2"/>
        </w:rPr>
      </w:pPr>
      <w:r>
        <w:rPr>
          <w:sz w:val="2"/>
        </w:rPr>
      </w:r>
      <w:r>
        <w:rPr>
          <w:sz w:val="2"/>
        </w:rPr>
        <w:pict w14:anchorId="11185FBC">
          <v:group id="_x0000_s1107" style="width:434.25pt;height:.5pt;mso-position-horizontal-relative:char;mso-position-vertical-relative:line" coordsize="8685,10">
            <v:line id="_x0000_s1108" style="position:absolute" from="5,5" to="8679,5" strokecolor="#58595b" strokeweight=".5pt"/>
            <w10:wrap type="none"/>
            <w10:anchorlock/>
          </v:group>
        </w:pict>
      </w:r>
    </w:p>
    <w:p w14:paraId="41EF95DB" w14:textId="77777777" w:rsidR="00160E7F" w:rsidRDefault="00160E7F">
      <w:pPr>
        <w:spacing w:line="20" w:lineRule="exact"/>
        <w:rPr>
          <w:sz w:val="2"/>
        </w:rPr>
        <w:sectPr w:rsidR="00160E7F">
          <w:pgSz w:w="11910" w:h="16840"/>
          <w:pgMar w:top="980" w:right="0" w:bottom="280" w:left="1680" w:header="788" w:footer="0" w:gutter="0"/>
          <w:cols w:space="720"/>
        </w:sectPr>
      </w:pPr>
    </w:p>
    <w:p w14:paraId="1F54D17F" w14:textId="77777777" w:rsidR="00160E7F" w:rsidRDefault="002B0299">
      <w:pPr>
        <w:pStyle w:val="ListParagraph"/>
        <w:numPr>
          <w:ilvl w:val="0"/>
          <w:numId w:val="35"/>
        </w:numPr>
        <w:tabs>
          <w:tab w:val="left" w:pos="418"/>
        </w:tabs>
        <w:spacing w:before="47" w:line="242" w:lineRule="auto"/>
        <w:ind w:right="105" w:hanging="283"/>
        <w:rPr>
          <w:sz w:val="12"/>
        </w:rPr>
      </w:pPr>
      <w:r>
        <w:rPr>
          <w:color w:val="58595B"/>
          <w:sz w:val="12"/>
        </w:rPr>
        <w:lastRenderedPageBreak/>
        <w:t xml:space="preserve">Bates G 2001, </w:t>
      </w:r>
      <w:r>
        <w:rPr>
          <w:i/>
          <w:color w:val="58595B"/>
          <w:sz w:val="12"/>
        </w:rPr>
        <w:t>A duty of care for the protection of biodiversity on land</w:t>
      </w:r>
      <w:r>
        <w:rPr>
          <w:color w:val="58595B"/>
          <w:sz w:val="12"/>
        </w:rPr>
        <w:t xml:space="preserve">, </w:t>
      </w:r>
      <w:r>
        <w:rPr>
          <w:color w:val="58595B"/>
          <w:spacing w:val="2"/>
          <w:sz w:val="12"/>
        </w:rPr>
        <w:t xml:space="preserve">Productivity </w:t>
      </w:r>
      <w:r>
        <w:rPr>
          <w:color w:val="58595B"/>
          <w:sz w:val="12"/>
        </w:rPr>
        <w:t>Commission, p.</w:t>
      </w:r>
      <w:r>
        <w:rPr>
          <w:color w:val="58595B"/>
          <w:spacing w:val="23"/>
          <w:sz w:val="12"/>
        </w:rPr>
        <w:t xml:space="preserve"> </w:t>
      </w:r>
      <w:r>
        <w:rPr>
          <w:color w:val="58595B"/>
          <w:sz w:val="12"/>
        </w:rPr>
        <w:t>26.</w:t>
      </w:r>
    </w:p>
    <w:p w14:paraId="13F5ADEF" w14:textId="77777777" w:rsidR="00160E7F" w:rsidRDefault="002B0299">
      <w:pPr>
        <w:pStyle w:val="ListParagraph"/>
        <w:numPr>
          <w:ilvl w:val="0"/>
          <w:numId w:val="35"/>
        </w:numPr>
        <w:tabs>
          <w:tab w:val="left" w:pos="418"/>
        </w:tabs>
        <w:spacing w:line="242" w:lineRule="auto"/>
        <w:ind w:right="534"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Melbourne, March, p.</w:t>
      </w:r>
      <w:r>
        <w:rPr>
          <w:color w:val="58595B"/>
          <w:spacing w:val="31"/>
          <w:sz w:val="12"/>
        </w:rPr>
        <w:t xml:space="preserve"> </w:t>
      </w:r>
      <w:r>
        <w:rPr>
          <w:color w:val="58595B"/>
          <w:spacing w:val="2"/>
          <w:sz w:val="12"/>
        </w:rPr>
        <w:t>96.</w:t>
      </w:r>
    </w:p>
    <w:p w14:paraId="531E7786" w14:textId="77777777" w:rsidR="00160E7F" w:rsidRDefault="002B0299">
      <w:pPr>
        <w:pStyle w:val="ListParagraph"/>
        <w:numPr>
          <w:ilvl w:val="0"/>
          <w:numId w:val="35"/>
        </w:numPr>
        <w:tabs>
          <w:tab w:val="left" w:pos="418"/>
        </w:tabs>
        <w:ind w:hanging="283"/>
        <w:rPr>
          <w:sz w:val="12"/>
        </w:rPr>
      </w:pPr>
      <w:r>
        <w:rPr>
          <w:color w:val="58595B"/>
          <w:sz w:val="12"/>
        </w:rPr>
        <w:t xml:space="preserve">Section </w:t>
      </w:r>
      <w:r>
        <w:rPr>
          <w:color w:val="58595B"/>
          <w:spacing w:val="-3"/>
          <w:sz w:val="12"/>
        </w:rPr>
        <w:t xml:space="preserve">21(1), </w:t>
      </w:r>
      <w:r>
        <w:rPr>
          <w:i/>
          <w:color w:val="58595B"/>
          <w:sz w:val="12"/>
        </w:rPr>
        <w:t xml:space="preserve">Occupational Health and Safety Act </w:t>
      </w:r>
      <w:r>
        <w:rPr>
          <w:i/>
          <w:color w:val="58595B"/>
          <w:spacing w:val="2"/>
          <w:sz w:val="12"/>
        </w:rPr>
        <w:t>2004</w:t>
      </w:r>
      <w:r>
        <w:rPr>
          <w:color w:val="58595B"/>
          <w:spacing w:val="2"/>
          <w:sz w:val="12"/>
        </w:rPr>
        <w:t>.</w:t>
      </w:r>
    </w:p>
    <w:p w14:paraId="52DC3761"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20(1), </w:t>
      </w:r>
      <w:r>
        <w:rPr>
          <w:i/>
          <w:color w:val="58595B"/>
          <w:sz w:val="12"/>
        </w:rPr>
        <w:t>Occupational Health and Safety Act</w:t>
      </w:r>
      <w:r w:rsidR="00404168">
        <w:rPr>
          <w:i/>
          <w:color w:val="58595B"/>
          <w:sz w:val="12"/>
        </w:rPr>
        <w:t xml:space="preserve"> </w:t>
      </w:r>
      <w:r>
        <w:rPr>
          <w:i/>
          <w:color w:val="58595B"/>
          <w:spacing w:val="2"/>
          <w:sz w:val="12"/>
        </w:rPr>
        <w:t>2004</w:t>
      </w:r>
      <w:r>
        <w:rPr>
          <w:color w:val="58595B"/>
          <w:spacing w:val="2"/>
          <w:sz w:val="12"/>
        </w:rPr>
        <w:t>.</w:t>
      </w:r>
    </w:p>
    <w:p w14:paraId="65456D10" w14:textId="77777777" w:rsidR="00160E7F" w:rsidRDefault="002B0299">
      <w:pPr>
        <w:pStyle w:val="ListParagraph"/>
        <w:numPr>
          <w:ilvl w:val="0"/>
          <w:numId w:val="35"/>
        </w:numPr>
        <w:tabs>
          <w:tab w:val="left" w:pos="418"/>
        </w:tabs>
        <w:spacing w:before="30" w:line="242" w:lineRule="auto"/>
        <w:ind w:right="195" w:hanging="283"/>
        <w:rPr>
          <w:sz w:val="12"/>
        </w:rPr>
      </w:pPr>
      <w:r>
        <w:rPr>
          <w:color w:val="58595B"/>
          <w:sz w:val="12"/>
        </w:rPr>
        <w:t xml:space="preserve">R v Commercial Industrial </w:t>
      </w:r>
      <w:r>
        <w:rPr>
          <w:color w:val="58595B"/>
          <w:spacing w:val="2"/>
          <w:sz w:val="12"/>
        </w:rPr>
        <w:t xml:space="preserve">Construction </w:t>
      </w:r>
      <w:r>
        <w:rPr>
          <w:color w:val="58595B"/>
          <w:sz w:val="12"/>
        </w:rPr>
        <w:t xml:space="preserve">Group </w:t>
      </w:r>
      <w:r>
        <w:rPr>
          <w:color w:val="58595B"/>
          <w:spacing w:val="2"/>
          <w:sz w:val="12"/>
        </w:rPr>
        <w:t xml:space="preserve">Pty </w:t>
      </w:r>
      <w:r>
        <w:rPr>
          <w:color w:val="58595B"/>
          <w:sz w:val="12"/>
        </w:rPr>
        <w:t>Ltd (2006) 14 VR 321 326</w:t>
      </w:r>
      <w:r>
        <w:rPr>
          <w:color w:val="58595B"/>
          <w:spacing w:val="9"/>
          <w:sz w:val="12"/>
        </w:rPr>
        <w:t xml:space="preserve"> </w:t>
      </w:r>
      <w:r>
        <w:rPr>
          <w:color w:val="58595B"/>
          <w:sz w:val="12"/>
        </w:rPr>
        <w:t>[24].</w:t>
      </w:r>
    </w:p>
    <w:p w14:paraId="3375DD13" w14:textId="77777777" w:rsidR="00160E7F" w:rsidRDefault="002B0299">
      <w:pPr>
        <w:pStyle w:val="ListParagraph"/>
        <w:numPr>
          <w:ilvl w:val="0"/>
          <w:numId w:val="35"/>
        </w:numPr>
        <w:tabs>
          <w:tab w:val="left" w:pos="418"/>
        </w:tabs>
        <w:spacing w:line="242" w:lineRule="auto"/>
        <w:ind w:right="195" w:hanging="283"/>
        <w:rPr>
          <w:sz w:val="12"/>
        </w:rPr>
      </w:pPr>
      <w:r>
        <w:rPr>
          <w:color w:val="58595B"/>
          <w:sz w:val="12"/>
        </w:rPr>
        <w:t xml:space="preserve">R v Commercial Industrial </w:t>
      </w:r>
      <w:r>
        <w:rPr>
          <w:color w:val="58595B"/>
          <w:spacing w:val="2"/>
          <w:sz w:val="12"/>
        </w:rPr>
        <w:t xml:space="preserve">Construction </w:t>
      </w:r>
      <w:r>
        <w:rPr>
          <w:color w:val="58595B"/>
          <w:sz w:val="12"/>
        </w:rPr>
        <w:t xml:space="preserve">Group </w:t>
      </w:r>
      <w:r>
        <w:rPr>
          <w:color w:val="58595B"/>
          <w:spacing w:val="2"/>
          <w:sz w:val="12"/>
        </w:rPr>
        <w:t xml:space="preserve">Pty </w:t>
      </w:r>
      <w:r>
        <w:rPr>
          <w:color w:val="58595B"/>
          <w:sz w:val="12"/>
        </w:rPr>
        <w:t>Ltd (2006) 14 VR 321 326</w:t>
      </w:r>
      <w:r>
        <w:rPr>
          <w:color w:val="58595B"/>
          <w:spacing w:val="11"/>
          <w:sz w:val="12"/>
        </w:rPr>
        <w:t xml:space="preserve"> </w:t>
      </w:r>
      <w:r>
        <w:rPr>
          <w:color w:val="58595B"/>
          <w:sz w:val="12"/>
        </w:rPr>
        <w:t>[27-28].</w:t>
      </w:r>
    </w:p>
    <w:p w14:paraId="4BAEE8B6" w14:textId="77777777" w:rsidR="00160E7F" w:rsidRDefault="002B0299">
      <w:pPr>
        <w:pStyle w:val="ListParagraph"/>
        <w:numPr>
          <w:ilvl w:val="0"/>
          <w:numId w:val="35"/>
        </w:numPr>
        <w:tabs>
          <w:tab w:val="left" w:pos="418"/>
        </w:tabs>
        <w:spacing w:line="242" w:lineRule="auto"/>
        <w:ind w:right="275" w:hanging="283"/>
        <w:rPr>
          <w:sz w:val="12"/>
        </w:rPr>
      </w:pPr>
      <w:r>
        <w:rPr>
          <w:color w:val="58595B"/>
          <w:sz w:val="12"/>
        </w:rPr>
        <w:t xml:space="preserve">The </w:t>
      </w:r>
      <w:r>
        <w:rPr>
          <w:color w:val="58595B"/>
          <w:spacing w:val="2"/>
          <w:sz w:val="12"/>
        </w:rPr>
        <w:t xml:space="preserve">predecessor </w:t>
      </w:r>
      <w:r>
        <w:rPr>
          <w:color w:val="58595B"/>
          <w:sz w:val="12"/>
        </w:rPr>
        <w:t xml:space="preserve">of the OHS Act was the </w:t>
      </w:r>
      <w:r>
        <w:rPr>
          <w:i/>
          <w:color w:val="58595B"/>
          <w:sz w:val="12"/>
        </w:rPr>
        <w:t>Occupational Health and Safety Act</w:t>
      </w:r>
      <w:r>
        <w:rPr>
          <w:i/>
          <w:color w:val="58595B"/>
          <w:spacing w:val="20"/>
          <w:sz w:val="12"/>
        </w:rPr>
        <w:t xml:space="preserve"> </w:t>
      </w:r>
      <w:r>
        <w:rPr>
          <w:i/>
          <w:color w:val="58595B"/>
          <w:sz w:val="12"/>
        </w:rPr>
        <w:t>1985</w:t>
      </w:r>
      <w:r>
        <w:rPr>
          <w:color w:val="58595B"/>
          <w:sz w:val="12"/>
        </w:rPr>
        <w:t>.</w:t>
      </w:r>
    </w:p>
    <w:p w14:paraId="10225A8C" w14:textId="77777777" w:rsidR="00160E7F" w:rsidRDefault="002B0299">
      <w:pPr>
        <w:pStyle w:val="ListParagraph"/>
        <w:numPr>
          <w:ilvl w:val="0"/>
          <w:numId w:val="35"/>
        </w:numPr>
        <w:tabs>
          <w:tab w:val="left" w:pos="418"/>
        </w:tabs>
        <w:ind w:hanging="283"/>
        <w:rPr>
          <w:sz w:val="12"/>
        </w:rPr>
      </w:pPr>
      <w:r>
        <w:rPr>
          <w:color w:val="58595B"/>
          <w:sz w:val="12"/>
        </w:rPr>
        <w:t xml:space="preserve">Section 25(1), </w:t>
      </w:r>
      <w:r>
        <w:rPr>
          <w:i/>
          <w:color w:val="58595B"/>
          <w:sz w:val="12"/>
        </w:rPr>
        <w:t xml:space="preserve">Environment Protection Act 1993 </w:t>
      </w:r>
      <w:r>
        <w:rPr>
          <w:i/>
          <w:color w:val="58595B"/>
          <w:spacing w:val="18"/>
          <w:sz w:val="12"/>
        </w:rPr>
        <w:t xml:space="preserve"> </w:t>
      </w:r>
      <w:r>
        <w:rPr>
          <w:color w:val="58595B"/>
          <w:sz w:val="12"/>
        </w:rPr>
        <w:t>(SA).</w:t>
      </w:r>
    </w:p>
    <w:p w14:paraId="10F86AD4"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319(1), </w:t>
      </w:r>
      <w:r>
        <w:rPr>
          <w:i/>
          <w:color w:val="58595B"/>
          <w:sz w:val="12"/>
        </w:rPr>
        <w:t xml:space="preserve">Environment Protection Act 1994 </w:t>
      </w:r>
      <w:r>
        <w:rPr>
          <w:i/>
          <w:color w:val="58595B"/>
          <w:spacing w:val="17"/>
          <w:sz w:val="12"/>
        </w:rPr>
        <w:t xml:space="preserve"> </w:t>
      </w:r>
      <w:r>
        <w:rPr>
          <w:color w:val="58595B"/>
          <w:sz w:val="12"/>
        </w:rPr>
        <w:t>(Qld).</w:t>
      </w:r>
    </w:p>
    <w:p w14:paraId="252702CF"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22(1), </w:t>
      </w:r>
      <w:r>
        <w:rPr>
          <w:i/>
          <w:color w:val="58595B"/>
          <w:sz w:val="12"/>
        </w:rPr>
        <w:t xml:space="preserve">Environment Protection Act 1997 </w:t>
      </w:r>
      <w:r>
        <w:rPr>
          <w:i/>
          <w:color w:val="58595B"/>
          <w:spacing w:val="21"/>
          <w:sz w:val="12"/>
        </w:rPr>
        <w:t xml:space="preserve"> </w:t>
      </w:r>
      <w:r>
        <w:rPr>
          <w:color w:val="58595B"/>
          <w:sz w:val="12"/>
        </w:rPr>
        <w:t>(ACT).</w:t>
      </w:r>
    </w:p>
    <w:p w14:paraId="64A39717"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w:t>
      </w:r>
      <w:r>
        <w:rPr>
          <w:color w:val="58595B"/>
          <w:spacing w:val="-3"/>
          <w:sz w:val="12"/>
        </w:rPr>
        <w:t xml:space="preserve">12(1), </w:t>
      </w:r>
      <w:r>
        <w:rPr>
          <w:i/>
          <w:color w:val="58595B"/>
          <w:sz w:val="12"/>
        </w:rPr>
        <w:t xml:space="preserve">Waste Management and Pollution </w:t>
      </w:r>
      <w:r>
        <w:rPr>
          <w:i/>
          <w:color w:val="58595B"/>
          <w:spacing w:val="2"/>
          <w:sz w:val="12"/>
        </w:rPr>
        <w:t xml:space="preserve">Control </w:t>
      </w:r>
      <w:r>
        <w:rPr>
          <w:i/>
          <w:color w:val="58595B"/>
          <w:sz w:val="12"/>
        </w:rPr>
        <w:t xml:space="preserve">Act 1998  </w:t>
      </w:r>
      <w:r>
        <w:rPr>
          <w:i/>
          <w:color w:val="58595B"/>
          <w:spacing w:val="12"/>
          <w:sz w:val="12"/>
        </w:rPr>
        <w:t xml:space="preserve"> </w:t>
      </w:r>
      <w:r>
        <w:rPr>
          <w:color w:val="58595B"/>
          <w:sz w:val="12"/>
        </w:rPr>
        <w:t>(NT).</w:t>
      </w:r>
    </w:p>
    <w:p w14:paraId="72E829AA" w14:textId="77777777" w:rsidR="00160E7F" w:rsidRDefault="002B0299">
      <w:pPr>
        <w:pStyle w:val="ListParagraph"/>
        <w:numPr>
          <w:ilvl w:val="0"/>
          <w:numId w:val="35"/>
        </w:numPr>
        <w:tabs>
          <w:tab w:val="left" w:pos="418"/>
        </w:tabs>
        <w:spacing w:before="30" w:line="242" w:lineRule="auto"/>
        <w:ind w:right="220" w:hanging="283"/>
        <w:rPr>
          <w:sz w:val="12"/>
        </w:rPr>
      </w:pPr>
      <w:r>
        <w:rPr>
          <w:color w:val="58595B"/>
          <w:sz w:val="12"/>
        </w:rPr>
        <w:t xml:space="preserve">Section </w:t>
      </w:r>
      <w:r>
        <w:rPr>
          <w:color w:val="58595B"/>
          <w:spacing w:val="2"/>
          <w:sz w:val="12"/>
        </w:rPr>
        <w:t xml:space="preserve">23A, </w:t>
      </w:r>
      <w:r>
        <w:rPr>
          <w:i/>
          <w:color w:val="58595B"/>
          <w:sz w:val="12"/>
        </w:rPr>
        <w:t xml:space="preserve">Environmental Management and Pollution </w:t>
      </w:r>
      <w:r>
        <w:rPr>
          <w:i/>
          <w:color w:val="58595B"/>
          <w:spacing w:val="2"/>
          <w:sz w:val="12"/>
        </w:rPr>
        <w:t xml:space="preserve">Control </w:t>
      </w:r>
      <w:r>
        <w:rPr>
          <w:i/>
          <w:color w:val="58595B"/>
          <w:sz w:val="12"/>
        </w:rPr>
        <w:t xml:space="preserve">Act 1994 </w:t>
      </w:r>
      <w:r>
        <w:rPr>
          <w:color w:val="58595B"/>
          <w:sz w:val="12"/>
        </w:rPr>
        <w:t>(Tas).</w:t>
      </w:r>
    </w:p>
    <w:p w14:paraId="4F935691" w14:textId="77777777" w:rsidR="00160E7F" w:rsidRDefault="002B0299">
      <w:pPr>
        <w:pStyle w:val="ListParagraph"/>
        <w:numPr>
          <w:ilvl w:val="0"/>
          <w:numId w:val="35"/>
        </w:numPr>
        <w:tabs>
          <w:tab w:val="left" w:pos="418"/>
        </w:tabs>
        <w:spacing w:line="242" w:lineRule="auto"/>
        <w:ind w:right="493" w:hanging="283"/>
        <w:rPr>
          <w:sz w:val="12"/>
        </w:rPr>
      </w:pPr>
      <w:r>
        <w:rPr>
          <w:color w:val="58595B"/>
          <w:sz w:val="12"/>
        </w:rPr>
        <w:t xml:space="preserve">Sections 27A, 39(1), </w:t>
      </w:r>
      <w:r>
        <w:rPr>
          <w:color w:val="58595B"/>
          <w:spacing w:val="-4"/>
          <w:sz w:val="12"/>
        </w:rPr>
        <w:t xml:space="preserve">41(1), </w:t>
      </w:r>
      <w:r>
        <w:rPr>
          <w:color w:val="58595B"/>
          <w:sz w:val="12"/>
        </w:rPr>
        <w:t xml:space="preserve">45(1) of the </w:t>
      </w:r>
      <w:r>
        <w:rPr>
          <w:i/>
          <w:color w:val="58595B"/>
          <w:sz w:val="12"/>
        </w:rPr>
        <w:t>Environment Protection Act</w:t>
      </w:r>
      <w:r>
        <w:rPr>
          <w:i/>
          <w:color w:val="58595B"/>
          <w:spacing w:val="2"/>
          <w:sz w:val="12"/>
        </w:rPr>
        <w:t xml:space="preserve"> </w:t>
      </w:r>
      <w:r>
        <w:rPr>
          <w:i/>
          <w:color w:val="58595B"/>
          <w:sz w:val="12"/>
        </w:rPr>
        <w:t>1970</w:t>
      </w:r>
      <w:r>
        <w:rPr>
          <w:color w:val="58595B"/>
          <w:sz w:val="12"/>
        </w:rPr>
        <w:t>.</w:t>
      </w:r>
    </w:p>
    <w:p w14:paraId="626CE399" w14:textId="77777777" w:rsidR="00160E7F" w:rsidRDefault="002B0299">
      <w:pPr>
        <w:pStyle w:val="ListParagraph"/>
        <w:numPr>
          <w:ilvl w:val="0"/>
          <w:numId w:val="35"/>
        </w:numPr>
        <w:tabs>
          <w:tab w:val="left" w:pos="418"/>
        </w:tabs>
        <w:spacing w:line="242" w:lineRule="auto"/>
        <w:ind w:right="105" w:hanging="283"/>
        <w:rPr>
          <w:sz w:val="12"/>
        </w:rPr>
      </w:pPr>
      <w:r>
        <w:rPr>
          <w:color w:val="58595B"/>
          <w:sz w:val="12"/>
        </w:rPr>
        <w:t xml:space="preserve">Bates G 2001, </w:t>
      </w:r>
      <w:r>
        <w:rPr>
          <w:i/>
          <w:color w:val="58595B"/>
          <w:sz w:val="12"/>
        </w:rPr>
        <w:t>A duty of care for the protection of biodiversity on land</w:t>
      </w:r>
      <w:r>
        <w:rPr>
          <w:color w:val="58595B"/>
          <w:sz w:val="12"/>
        </w:rPr>
        <w:t xml:space="preserve">, </w:t>
      </w:r>
      <w:r>
        <w:rPr>
          <w:color w:val="58595B"/>
          <w:spacing w:val="2"/>
          <w:sz w:val="12"/>
        </w:rPr>
        <w:t xml:space="preserve">Productivity </w:t>
      </w:r>
      <w:r>
        <w:rPr>
          <w:color w:val="58595B"/>
          <w:sz w:val="12"/>
        </w:rPr>
        <w:t>Commission, p.</w:t>
      </w:r>
      <w:r>
        <w:rPr>
          <w:color w:val="58595B"/>
          <w:spacing w:val="24"/>
          <w:sz w:val="12"/>
        </w:rPr>
        <w:t xml:space="preserve"> </w:t>
      </w:r>
      <w:r>
        <w:rPr>
          <w:color w:val="58595B"/>
          <w:sz w:val="12"/>
        </w:rPr>
        <w:t>35.</w:t>
      </w:r>
    </w:p>
    <w:p w14:paraId="06644624" w14:textId="77777777" w:rsidR="00160E7F" w:rsidRDefault="002B0299">
      <w:pPr>
        <w:pStyle w:val="ListParagraph"/>
        <w:numPr>
          <w:ilvl w:val="0"/>
          <w:numId w:val="35"/>
        </w:numPr>
        <w:tabs>
          <w:tab w:val="left" w:pos="418"/>
        </w:tabs>
        <w:spacing w:line="242" w:lineRule="auto"/>
        <w:ind w:right="341" w:hanging="283"/>
        <w:rPr>
          <w:sz w:val="12"/>
        </w:rPr>
      </w:pPr>
      <w:r>
        <w:rPr>
          <w:color w:val="58595B"/>
          <w:sz w:val="12"/>
        </w:rPr>
        <w:t xml:space="preserve">EPA </w:t>
      </w:r>
      <w:r>
        <w:rPr>
          <w:color w:val="58595B"/>
          <w:spacing w:val="2"/>
          <w:sz w:val="12"/>
        </w:rPr>
        <w:t xml:space="preserve">Victoria </w:t>
      </w:r>
      <w:r>
        <w:rPr>
          <w:color w:val="58595B"/>
          <w:sz w:val="12"/>
        </w:rPr>
        <w:t xml:space="preserve">and CSIRO 2013, </w:t>
      </w:r>
      <w:r>
        <w:rPr>
          <w:i/>
          <w:color w:val="58595B"/>
          <w:sz w:val="12"/>
        </w:rPr>
        <w:t>Future air quality in Victoria</w:t>
      </w:r>
      <w:r>
        <w:rPr>
          <w:color w:val="58595B"/>
          <w:sz w:val="12"/>
        </w:rPr>
        <w:t xml:space="preserve">, Final </w:t>
      </w:r>
      <w:r>
        <w:rPr>
          <w:color w:val="58595B"/>
          <w:spacing w:val="2"/>
          <w:sz w:val="12"/>
        </w:rPr>
        <w:t xml:space="preserve">report, </w:t>
      </w:r>
      <w:r>
        <w:rPr>
          <w:color w:val="58595B"/>
          <w:sz w:val="12"/>
        </w:rPr>
        <w:t>Melbourne, July, p.</w:t>
      </w:r>
      <w:r>
        <w:rPr>
          <w:color w:val="58595B"/>
          <w:spacing w:val="26"/>
          <w:sz w:val="12"/>
        </w:rPr>
        <w:t xml:space="preserve"> </w:t>
      </w:r>
      <w:r>
        <w:rPr>
          <w:color w:val="58595B"/>
          <w:sz w:val="12"/>
        </w:rPr>
        <w:t>33.</w:t>
      </w:r>
    </w:p>
    <w:p w14:paraId="4FE39996" w14:textId="77777777" w:rsidR="00160E7F" w:rsidRDefault="002B0299">
      <w:pPr>
        <w:pStyle w:val="ListParagraph"/>
        <w:numPr>
          <w:ilvl w:val="0"/>
          <w:numId w:val="35"/>
        </w:numPr>
        <w:tabs>
          <w:tab w:val="left" w:pos="418"/>
        </w:tabs>
        <w:spacing w:line="242" w:lineRule="auto"/>
        <w:ind w:right="101"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1"/>
          <w:sz w:val="12"/>
        </w:rPr>
        <w:t xml:space="preserve"> </w:t>
      </w:r>
      <w:r>
        <w:rPr>
          <w:color w:val="58595B"/>
          <w:sz w:val="12"/>
        </w:rPr>
        <w:t>314.</w:t>
      </w:r>
    </w:p>
    <w:p w14:paraId="6987E668" w14:textId="77777777" w:rsidR="00160E7F" w:rsidRDefault="002B0299">
      <w:pPr>
        <w:pStyle w:val="ListParagraph"/>
        <w:numPr>
          <w:ilvl w:val="0"/>
          <w:numId w:val="35"/>
        </w:numPr>
        <w:tabs>
          <w:tab w:val="left" w:pos="418"/>
        </w:tabs>
        <w:ind w:hanging="283"/>
        <w:rPr>
          <w:sz w:val="12"/>
        </w:rPr>
      </w:pPr>
      <w:r>
        <w:rPr>
          <w:color w:val="58595B"/>
          <w:sz w:val="12"/>
        </w:rPr>
        <w:t xml:space="preserve">Section 20(2), </w:t>
      </w:r>
      <w:r>
        <w:rPr>
          <w:i/>
          <w:color w:val="58595B"/>
          <w:sz w:val="12"/>
        </w:rPr>
        <w:t xml:space="preserve">Occupational Health and Safety Act  </w:t>
      </w:r>
      <w:r>
        <w:rPr>
          <w:i/>
          <w:color w:val="58595B"/>
          <w:spacing w:val="4"/>
          <w:sz w:val="12"/>
        </w:rPr>
        <w:t xml:space="preserve"> </w:t>
      </w:r>
      <w:r>
        <w:rPr>
          <w:i/>
          <w:color w:val="58595B"/>
          <w:spacing w:val="2"/>
          <w:sz w:val="12"/>
        </w:rPr>
        <w:t>2004</w:t>
      </w:r>
      <w:r>
        <w:rPr>
          <w:color w:val="58595B"/>
          <w:spacing w:val="2"/>
          <w:sz w:val="12"/>
        </w:rPr>
        <w:t>.</w:t>
      </w:r>
    </w:p>
    <w:p w14:paraId="1D9F1899"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25(1), </w:t>
      </w:r>
      <w:r>
        <w:rPr>
          <w:i/>
          <w:color w:val="58595B"/>
          <w:sz w:val="12"/>
        </w:rPr>
        <w:t>Environment Protection Act 1993</w:t>
      </w:r>
      <w:r>
        <w:rPr>
          <w:color w:val="58595B"/>
          <w:sz w:val="12"/>
        </w:rPr>
        <w:t>.</w:t>
      </w:r>
    </w:p>
    <w:p w14:paraId="7B7F5FDF"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25(2), </w:t>
      </w:r>
      <w:r>
        <w:rPr>
          <w:i/>
          <w:color w:val="58595B"/>
          <w:sz w:val="12"/>
        </w:rPr>
        <w:t xml:space="preserve">Environment Protection Act 1993 </w:t>
      </w:r>
      <w:r>
        <w:rPr>
          <w:color w:val="58595B"/>
          <w:sz w:val="12"/>
        </w:rPr>
        <w:t xml:space="preserve">(emphasis  </w:t>
      </w:r>
      <w:r>
        <w:rPr>
          <w:color w:val="58595B"/>
          <w:spacing w:val="11"/>
          <w:sz w:val="12"/>
        </w:rPr>
        <w:t xml:space="preserve"> </w:t>
      </w:r>
      <w:r>
        <w:rPr>
          <w:color w:val="58595B"/>
          <w:sz w:val="12"/>
        </w:rPr>
        <w:t>added).</w:t>
      </w:r>
    </w:p>
    <w:p w14:paraId="608DFA5A" w14:textId="77777777" w:rsidR="00160E7F" w:rsidRDefault="002B0299">
      <w:pPr>
        <w:pStyle w:val="ListParagraph"/>
        <w:numPr>
          <w:ilvl w:val="0"/>
          <w:numId w:val="35"/>
        </w:numPr>
        <w:tabs>
          <w:tab w:val="left" w:pos="418"/>
        </w:tabs>
        <w:spacing w:before="30" w:line="242" w:lineRule="auto"/>
        <w:ind w:right="534"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xml:space="preserve">, Melbourne, March, p. </w:t>
      </w:r>
      <w:r>
        <w:rPr>
          <w:color w:val="58595B"/>
          <w:spacing w:val="5"/>
          <w:sz w:val="12"/>
        </w:rPr>
        <w:t xml:space="preserve"> </w:t>
      </w:r>
      <w:r>
        <w:rPr>
          <w:color w:val="58595B"/>
          <w:sz w:val="12"/>
        </w:rPr>
        <w:t>284.</w:t>
      </w:r>
    </w:p>
    <w:p w14:paraId="41CA30C7" w14:textId="77777777" w:rsidR="00160E7F" w:rsidRDefault="002B0299">
      <w:pPr>
        <w:pStyle w:val="ListParagraph"/>
        <w:numPr>
          <w:ilvl w:val="0"/>
          <w:numId w:val="35"/>
        </w:numPr>
        <w:tabs>
          <w:tab w:val="left" w:pos="418"/>
        </w:tabs>
        <w:spacing w:line="242" w:lineRule="auto"/>
        <w:ind w:right="534"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xml:space="preserve">, Melbourne, March, p. </w:t>
      </w:r>
      <w:r>
        <w:rPr>
          <w:color w:val="58595B"/>
          <w:spacing w:val="5"/>
          <w:sz w:val="12"/>
        </w:rPr>
        <w:t xml:space="preserve"> </w:t>
      </w:r>
      <w:r>
        <w:rPr>
          <w:color w:val="58595B"/>
          <w:sz w:val="12"/>
        </w:rPr>
        <w:t>264.</w:t>
      </w:r>
    </w:p>
    <w:p w14:paraId="04BE1338" w14:textId="77777777" w:rsidR="00160E7F" w:rsidRDefault="002B0299">
      <w:pPr>
        <w:pStyle w:val="ListParagraph"/>
        <w:numPr>
          <w:ilvl w:val="0"/>
          <w:numId w:val="35"/>
        </w:numPr>
        <w:tabs>
          <w:tab w:val="left" w:pos="418"/>
        </w:tabs>
        <w:spacing w:line="242" w:lineRule="auto"/>
        <w:ind w:right="101"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6"/>
          <w:sz w:val="12"/>
        </w:rPr>
        <w:t xml:space="preserve"> </w:t>
      </w:r>
      <w:r>
        <w:rPr>
          <w:color w:val="58595B"/>
          <w:sz w:val="12"/>
        </w:rPr>
        <w:t>70.</w:t>
      </w:r>
    </w:p>
    <w:p w14:paraId="0AF4056B" w14:textId="77777777" w:rsidR="00160E7F" w:rsidRDefault="002B0299">
      <w:pPr>
        <w:pStyle w:val="ListParagraph"/>
        <w:numPr>
          <w:ilvl w:val="0"/>
          <w:numId w:val="35"/>
        </w:numPr>
        <w:tabs>
          <w:tab w:val="left" w:pos="418"/>
        </w:tabs>
        <w:spacing w:line="242" w:lineRule="auto"/>
        <w:ind w:right="534"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xml:space="preserve">, Melbourne, March, p. </w:t>
      </w:r>
      <w:r>
        <w:rPr>
          <w:color w:val="58595B"/>
          <w:spacing w:val="5"/>
          <w:sz w:val="12"/>
        </w:rPr>
        <w:t xml:space="preserve"> </w:t>
      </w:r>
      <w:r>
        <w:rPr>
          <w:color w:val="58595B"/>
          <w:sz w:val="12"/>
        </w:rPr>
        <w:t>264.</w:t>
      </w:r>
    </w:p>
    <w:p w14:paraId="4E808494" w14:textId="77777777" w:rsidR="00160E7F" w:rsidRDefault="002B0299">
      <w:pPr>
        <w:pStyle w:val="ListParagraph"/>
        <w:numPr>
          <w:ilvl w:val="0"/>
          <w:numId w:val="35"/>
        </w:numPr>
        <w:tabs>
          <w:tab w:val="left" w:pos="418"/>
        </w:tabs>
        <w:spacing w:line="242" w:lineRule="auto"/>
        <w:ind w:right="79" w:hanging="283"/>
        <w:rPr>
          <w:sz w:val="12"/>
        </w:rPr>
      </w:pPr>
      <w:r>
        <w:rPr>
          <w:color w:val="58595B"/>
          <w:sz w:val="12"/>
        </w:rPr>
        <w:t xml:space="preserve">Gunningham N 2015 a, </w:t>
      </w:r>
      <w:r>
        <w:rPr>
          <w:i/>
          <w:color w:val="58595B"/>
          <w:sz w:val="12"/>
        </w:rPr>
        <w:t>Should a general ‘duty of care’ for the environment become a centrepiece of a ‘next generation’ environment protection statute?</w:t>
      </w:r>
      <w:r>
        <w:rPr>
          <w:color w:val="58595B"/>
          <w:sz w:val="12"/>
        </w:rPr>
        <w:t xml:space="preserve">, Paper 1, Melbourne, p. </w:t>
      </w:r>
      <w:r>
        <w:rPr>
          <w:color w:val="58595B"/>
          <w:spacing w:val="4"/>
          <w:sz w:val="12"/>
        </w:rPr>
        <w:t xml:space="preserve"> </w:t>
      </w:r>
      <w:r>
        <w:rPr>
          <w:color w:val="58595B"/>
          <w:sz w:val="12"/>
        </w:rPr>
        <w:t>21.</w:t>
      </w:r>
    </w:p>
    <w:p w14:paraId="336B1023" w14:textId="77777777" w:rsidR="00160E7F" w:rsidRDefault="002B0299">
      <w:pPr>
        <w:pStyle w:val="ListParagraph"/>
        <w:numPr>
          <w:ilvl w:val="0"/>
          <w:numId w:val="35"/>
        </w:numPr>
        <w:tabs>
          <w:tab w:val="left" w:pos="418"/>
        </w:tabs>
        <w:spacing w:line="242" w:lineRule="auto"/>
        <w:ind w:right="105" w:hanging="283"/>
        <w:rPr>
          <w:sz w:val="12"/>
        </w:rPr>
      </w:pPr>
      <w:r>
        <w:rPr>
          <w:color w:val="58595B"/>
          <w:sz w:val="12"/>
        </w:rPr>
        <w:t xml:space="preserve">Bates G 2001, </w:t>
      </w:r>
      <w:r>
        <w:rPr>
          <w:i/>
          <w:color w:val="58595B"/>
          <w:sz w:val="12"/>
        </w:rPr>
        <w:t>A duty of care for the protection of biodiversity on land</w:t>
      </w:r>
      <w:r>
        <w:rPr>
          <w:color w:val="58595B"/>
          <w:sz w:val="12"/>
        </w:rPr>
        <w:t xml:space="preserve">, </w:t>
      </w:r>
      <w:r>
        <w:rPr>
          <w:color w:val="58595B"/>
          <w:spacing w:val="2"/>
          <w:sz w:val="12"/>
        </w:rPr>
        <w:t xml:space="preserve">Productivity </w:t>
      </w:r>
      <w:r>
        <w:rPr>
          <w:color w:val="58595B"/>
          <w:sz w:val="12"/>
        </w:rPr>
        <w:t>Commission, p.</w:t>
      </w:r>
      <w:r>
        <w:rPr>
          <w:color w:val="58595B"/>
          <w:spacing w:val="18"/>
          <w:sz w:val="12"/>
        </w:rPr>
        <w:t xml:space="preserve"> </w:t>
      </w:r>
      <w:r>
        <w:rPr>
          <w:color w:val="58595B"/>
          <w:spacing w:val="2"/>
          <w:sz w:val="12"/>
        </w:rPr>
        <w:t>23.</w:t>
      </w:r>
    </w:p>
    <w:p w14:paraId="2D56D78C" w14:textId="77777777" w:rsidR="00160E7F" w:rsidRDefault="002B0299">
      <w:pPr>
        <w:pStyle w:val="ListParagraph"/>
        <w:numPr>
          <w:ilvl w:val="0"/>
          <w:numId w:val="35"/>
        </w:numPr>
        <w:tabs>
          <w:tab w:val="left" w:pos="418"/>
        </w:tabs>
        <w:ind w:hanging="283"/>
        <w:rPr>
          <w:sz w:val="12"/>
        </w:rPr>
      </w:pPr>
      <w:r>
        <w:rPr>
          <w:color w:val="58595B"/>
          <w:sz w:val="12"/>
        </w:rPr>
        <w:t xml:space="preserve">Section 149(1), </w:t>
      </w:r>
      <w:r>
        <w:rPr>
          <w:i/>
          <w:color w:val="58595B"/>
          <w:sz w:val="12"/>
        </w:rPr>
        <w:t xml:space="preserve">Occupational Health and Safety Act </w:t>
      </w:r>
      <w:r>
        <w:rPr>
          <w:i/>
          <w:color w:val="58595B"/>
          <w:spacing w:val="2"/>
          <w:sz w:val="12"/>
        </w:rPr>
        <w:t>2004</w:t>
      </w:r>
      <w:r>
        <w:rPr>
          <w:color w:val="58595B"/>
          <w:spacing w:val="2"/>
          <w:sz w:val="12"/>
        </w:rPr>
        <w:t>.</w:t>
      </w:r>
    </w:p>
    <w:p w14:paraId="7797DE9D"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152, </w:t>
      </w:r>
      <w:r>
        <w:rPr>
          <w:i/>
          <w:color w:val="58595B"/>
          <w:sz w:val="12"/>
        </w:rPr>
        <w:t xml:space="preserve">Occupational Health and Safety Act </w:t>
      </w:r>
      <w:r>
        <w:rPr>
          <w:i/>
          <w:color w:val="58595B"/>
          <w:spacing w:val="2"/>
          <w:sz w:val="12"/>
        </w:rPr>
        <w:t>2004</w:t>
      </w:r>
      <w:r>
        <w:rPr>
          <w:color w:val="58595B"/>
          <w:spacing w:val="2"/>
          <w:sz w:val="12"/>
        </w:rPr>
        <w:t>.</w:t>
      </w:r>
    </w:p>
    <w:p w14:paraId="18441530" w14:textId="77777777" w:rsidR="00160E7F" w:rsidRPr="00404168" w:rsidRDefault="002B0299" w:rsidP="00404168">
      <w:pPr>
        <w:pStyle w:val="ListParagraph"/>
        <w:numPr>
          <w:ilvl w:val="0"/>
          <w:numId w:val="35"/>
        </w:numPr>
        <w:tabs>
          <w:tab w:val="left" w:pos="418"/>
        </w:tabs>
        <w:spacing w:before="30" w:line="242" w:lineRule="auto"/>
        <w:ind w:right="311" w:hanging="283"/>
        <w:rPr>
          <w:sz w:val="12"/>
        </w:rPr>
      </w:pPr>
      <w:r>
        <w:rPr>
          <w:color w:val="58595B"/>
          <w:sz w:val="12"/>
        </w:rPr>
        <w:t xml:space="preserve">Section 150, </w:t>
      </w:r>
      <w:r>
        <w:rPr>
          <w:i/>
          <w:color w:val="58595B"/>
          <w:sz w:val="12"/>
        </w:rPr>
        <w:t xml:space="preserve">Occupational Health and Safety Act </w:t>
      </w:r>
      <w:r>
        <w:rPr>
          <w:i/>
          <w:color w:val="58595B"/>
          <w:spacing w:val="3"/>
          <w:sz w:val="12"/>
        </w:rPr>
        <w:t xml:space="preserve">2004 </w:t>
      </w:r>
      <w:r>
        <w:rPr>
          <w:color w:val="58595B"/>
          <w:sz w:val="12"/>
        </w:rPr>
        <w:t>states that failure</w:t>
      </w:r>
      <w:r w:rsidR="00404168">
        <w:rPr>
          <w:color w:val="58595B"/>
          <w:sz w:val="12"/>
        </w:rPr>
        <w:t xml:space="preserve"> </w:t>
      </w:r>
      <w:r w:rsidRPr="00404168">
        <w:rPr>
          <w:color w:val="58595B"/>
          <w:sz w:val="12"/>
        </w:rPr>
        <w:t>to comply with a compliance code does not give rise to any civil or criminal liability.</w:t>
      </w:r>
    </w:p>
    <w:p w14:paraId="06ED9880" w14:textId="77777777" w:rsidR="00160E7F" w:rsidRDefault="002B0299">
      <w:pPr>
        <w:pStyle w:val="ListParagraph"/>
        <w:numPr>
          <w:ilvl w:val="0"/>
          <w:numId w:val="35"/>
        </w:numPr>
        <w:tabs>
          <w:tab w:val="left" w:pos="418"/>
        </w:tabs>
        <w:spacing w:line="242" w:lineRule="auto"/>
        <w:ind w:right="79" w:hanging="283"/>
        <w:rPr>
          <w:sz w:val="12"/>
        </w:rPr>
      </w:pPr>
      <w:r>
        <w:rPr>
          <w:color w:val="58595B"/>
          <w:sz w:val="12"/>
        </w:rPr>
        <w:t xml:space="preserve">Gunningham N 2015 a, </w:t>
      </w:r>
      <w:r>
        <w:rPr>
          <w:i/>
          <w:color w:val="58595B"/>
          <w:sz w:val="12"/>
        </w:rPr>
        <w:t>Should a general ‘duty of care’ for the environment become a centrepiece of a ‘next generation’ environment protection statute?</w:t>
      </w:r>
      <w:r>
        <w:rPr>
          <w:color w:val="58595B"/>
          <w:sz w:val="12"/>
        </w:rPr>
        <w:t xml:space="preserve">, Paper 1, Melbourne, p. </w:t>
      </w:r>
      <w:r>
        <w:rPr>
          <w:color w:val="58595B"/>
          <w:spacing w:val="10"/>
          <w:sz w:val="12"/>
        </w:rPr>
        <w:t xml:space="preserve"> </w:t>
      </w:r>
      <w:r>
        <w:rPr>
          <w:color w:val="58595B"/>
          <w:sz w:val="12"/>
        </w:rPr>
        <w:t>5.</w:t>
      </w:r>
    </w:p>
    <w:p w14:paraId="6400139B" w14:textId="77777777" w:rsidR="00160E7F" w:rsidRDefault="002B0299">
      <w:pPr>
        <w:pStyle w:val="ListParagraph"/>
        <w:numPr>
          <w:ilvl w:val="0"/>
          <w:numId w:val="35"/>
        </w:numPr>
        <w:tabs>
          <w:tab w:val="left" w:pos="418"/>
        </w:tabs>
        <w:spacing w:line="242" w:lineRule="auto"/>
        <w:ind w:right="68" w:hanging="283"/>
        <w:rPr>
          <w:sz w:val="12"/>
        </w:rPr>
      </w:pPr>
      <w:r>
        <w:rPr>
          <w:color w:val="58595B"/>
          <w:sz w:val="12"/>
        </w:rPr>
        <w:t xml:space="preserve">Under regulation 66 of the Dangerous </w:t>
      </w:r>
      <w:r>
        <w:rPr>
          <w:color w:val="58595B"/>
          <w:spacing w:val="2"/>
          <w:sz w:val="12"/>
        </w:rPr>
        <w:t xml:space="preserve">Goods </w:t>
      </w:r>
      <w:r>
        <w:rPr>
          <w:color w:val="58595B"/>
          <w:sz w:val="12"/>
        </w:rPr>
        <w:t>(Storage and Handling) Regulations 2012</w:t>
      </w:r>
      <w:hyperlink r:id="rId37">
        <w:r>
          <w:rPr>
            <w:color w:val="58595B"/>
            <w:sz w:val="12"/>
          </w:rPr>
          <w:t>. http://www.worksafe.vic.gov.au/forms-and-</w:t>
        </w:r>
      </w:hyperlink>
      <w:r>
        <w:rPr>
          <w:color w:val="58595B"/>
          <w:sz w:val="12"/>
        </w:rPr>
        <w:t xml:space="preserve"> </w:t>
      </w:r>
      <w:r>
        <w:rPr>
          <w:color w:val="58595B"/>
          <w:spacing w:val="2"/>
          <w:sz w:val="12"/>
        </w:rPr>
        <w:t xml:space="preserve">publications/forms-and-publications/notification-of-dangerous-goods- storage-and-handling </w:t>
      </w:r>
      <w:r>
        <w:rPr>
          <w:color w:val="58595B"/>
          <w:sz w:val="12"/>
        </w:rPr>
        <w:t>(accessed 20 March</w:t>
      </w:r>
      <w:r>
        <w:rPr>
          <w:color w:val="58595B"/>
          <w:spacing w:val="27"/>
          <w:sz w:val="12"/>
        </w:rPr>
        <w:t xml:space="preserve"> </w:t>
      </w:r>
      <w:r>
        <w:rPr>
          <w:color w:val="58595B"/>
          <w:sz w:val="12"/>
        </w:rPr>
        <w:t>2016).</w:t>
      </w:r>
    </w:p>
    <w:p w14:paraId="71FD087B" w14:textId="77777777" w:rsidR="00160E7F" w:rsidRDefault="002B0299">
      <w:pPr>
        <w:pStyle w:val="ListParagraph"/>
        <w:numPr>
          <w:ilvl w:val="0"/>
          <w:numId w:val="35"/>
        </w:numPr>
        <w:tabs>
          <w:tab w:val="left" w:pos="418"/>
        </w:tabs>
        <w:ind w:hanging="283"/>
        <w:rPr>
          <w:sz w:val="12"/>
        </w:rPr>
      </w:pPr>
      <w:r>
        <w:rPr>
          <w:color w:val="58595B"/>
          <w:sz w:val="12"/>
        </w:rPr>
        <w:t xml:space="preserve">Eamonn Moran QC, </w:t>
      </w:r>
      <w:r>
        <w:rPr>
          <w:color w:val="58595B"/>
          <w:spacing w:val="2"/>
          <w:sz w:val="12"/>
        </w:rPr>
        <w:t xml:space="preserve">‘Third </w:t>
      </w:r>
      <w:r>
        <w:rPr>
          <w:color w:val="58595B"/>
          <w:sz w:val="12"/>
        </w:rPr>
        <w:t xml:space="preserve">Memorandum of Advice’, p. </w:t>
      </w:r>
      <w:r>
        <w:rPr>
          <w:color w:val="58595B"/>
          <w:spacing w:val="16"/>
          <w:sz w:val="12"/>
        </w:rPr>
        <w:t xml:space="preserve"> </w:t>
      </w:r>
      <w:r>
        <w:rPr>
          <w:color w:val="58595B"/>
          <w:sz w:val="12"/>
        </w:rPr>
        <w:t>3.</w:t>
      </w:r>
    </w:p>
    <w:p w14:paraId="133B5B76"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45Z(3), 66C(2) </w:t>
      </w:r>
      <w:r>
        <w:rPr>
          <w:i/>
          <w:color w:val="58595B"/>
          <w:sz w:val="12"/>
        </w:rPr>
        <w:t>Environment Protection Act 1970</w:t>
      </w:r>
      <w:r>
        <w:rPr>
          <w:color w:val="58595B"/>
          <w:sz w:val="12"/>
        </w:rPr>
        <w:t>.</w:t>
      </w:r>
    </w:p>
    <w:p w14:paraId="67306C3F" w14:textId="77777777" w:rsidR="00160E7F" w:rsidRPr="00404168" w:rsidRDefault="002B0299" w:rsidP="00404168">
      <w:pPr>
        <w:pStyle w:val="ListParagraph"/>
        <w:numPr>
          <w:ilvl w:val="0"/>
          <w:numId w:val="35"/>
        </w:numPr>
        <w:tabs>
          <w:tab w:val="left" w:pos="418"/>
        </w:tabs>
        <w:spacing w:before="30" w:line="242" w:lineRule="auto"/>
        <w:ind w:right="183" w:hanging="283"/>
        <w:rPr>
          <w:sz w:val="12"/>
        </w:rPr>
      </w:pPr>
      <w:r>
        <w:rPr>
          <w:color w:val="58595B"/>
          <w:sz w:val="12"/>
        </w:rPr>
        <w:t xml:space="preserve">The </w:t>
      </w:r>
      <w:r>
        <w:rPr>
          <w:color w:val="58595B"/>
          <w:spacing w:val="2"/>
          <w:sz w:val="12"/>
        </w:rPr>
        <w:t xml:space="preserve">court can </w:t>
      </w:r>
      <w:r>
        <w:rPr>
          <w:color w:val="58595B"/>
          <w:sz w:val="12"/>
        </w:rPr>
        <w:t xml:space="preserve">grant </w:t>
      </w:r>
      <w:r>
        <w:rPr>
          <w:color w:val="58595B"/>
          <w:spacing w:val="2"/>
          <w:sz w:val="12"/>
        </w:rPr>
        <w:t xml:space="preserve">permission </w:t>
      </w:r>
      <w:r>
        <w:rPr>
          <w:color w:val="58595B"/>
          <w:sz w:val="12"/>
        </w:rPr>
        <w:t>only if satisfied that the proceedings are</w:t>
      </w:r>
      <w:r w:rsidR="00404168">
        <w:rPr>
          <w:color w:val="58595B"/>
          <w:sz w:val="12"/>
        </w:rPr>
        <w:t xml:space="preserve"> </w:t>
      </w:r>
      <w:r w:rsidRPr="00404168">
        <w:rPr>
          <w:color w:val="58595B"/>
          <w:sz w:val="12"/>
        </w:rPr>
        <w:t xml:space="preserve">not an abuse of </w:t>
      </w:r>
      <w:r w:rsidRPr="00404168">
        <w:rPr>
          <w:color w:val="58595B"/>
          <w:spacing w:val="2"/>
          <w:sz w:val="12"/>
        </w:rPr>
        <w:t xml:space="preserve">process, </w:t>
      </w:r>
      <w:r w:rsidRPr="00404168">
        <w:rPr>
          <w:color w:val="58595B"/>
          <w:sz w:val="12"/>
        </w:rPr>
        <w:t xml:space="preserve">that there is a real or </w:t>
      </w:r>
      <w:r w:rsidRPr="00404168">
        <w:rPr>
          <w:color w:val="58595B"/>
          <w:spacing w:val="2"/>
          <w:sz w:val="12"/>
        </w:rPr>
        <w:t xml:space="preserve">significant </w:t>
      </w:r>
      <w:r w:rsidRPr="00404168">
        <w:rPr>
          <w:color w:val="58595B"/>
          <w:sz w:val="12"/>
        </w:rPr>
        <w:t xml:space="preserve">likelihood that the requirements for the making of the order would be </w:t>
      </w:r>
      <w:r w:rsidRPr="00404168">
        <w:rPr>
          <w:color w:val="58595B"/>
          <w:spacing w:val="2"/>
          <w:sz w:val="12"/>
        </w:rPr>
        <w:t xml:space="preserve">satisfied </w:t>
      </w:r>
      <w:r w:rsidRPr="00404168">
        <w:rPr>
          <w:color w:val="58595B"/>
          <w:sz w:val="12"/>
        </w:rPr>
        <w:t xml:space="preserve">and that   it is in the public interest that the proceedings be  </w:t>
      </w:r>
      <w:r w:rsidRPr="00404168">
        <w:rPr>
          <w:color w:val="58595B"/>
          <w:spacing w:val="10"/>
          <w:sz w:val="12"/>
        </w:rPr>
        <w:t xml:space="preserve"> </w:t>
      </w:r>
      <w:r w:rsidRPr="00404168">
        <w:rPr>
          <w:color w:val="58595B"/>
          <w:sz w:val="12"/>
        </w:rPr>
        <w:t>brought.</w:t>
      </w:r>
    </w:p>
    <w:p w14:paraId="47B5976F" w14:textId="77777777" w:rsidR="00160E7F" w:rsidRDefault="002B0299">
      <w:pPr>
        <w:pStyle w:val="ListParagraph"/>
        <w:numPr>
          <w:ilvl w:val="0"/>
          <w:numId w:val="35"/>
        </w:numPr>
        <w:tabs>
          <w:tab w:val="left" w:pos="418"/>
        </w:tabs>
        <w:ind w:hanging="283"/>
        <w:rPr>
          <w:sz w:val="12"/>
        </w:rPr>
      </w:pPr>
      <w:r>
        <w:rPr>
          <w:color w:val="58595B"/>
          <w:sz w:val="12"/>
        </w:rPr>
        <w:t xml:space="preserve">Section 25(3), </w:t>
      </w:r>
      <w:r>
        <w:rPr>
          <w:i/>
          <w:color w:val="58595B"/>
          <w:sz w:val="12"/>
        </w:rPr>
        <w:t xml:space="preserve">Environment Protection Act 1993 </w:t>
      </w:r>
      <w:r>
        <w:rPr>
          <w:color w:val="58595B"/>
          <w:sz w:val="12"/>
        </w:rPr>
        <w:t>(SA).</w:t>
      </w:r>
    </w:p>
    <w:p w14:paraId="1C7F6268"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21(2), </w:t>
      </w:r>
      <w:r>
        <w:rPr>
          <w:i/>
          <w:color w:val="58595B"/>
          <w:sz w:val="12"/>
        </w:rPr>
        <w:t xml:space="preserve">Occupational Health and Safety Act </w:t>
      </w:r>
      <w:r>
        <w:rPr>
          <w:i/>
          <w:color w:val="58595B"/>
          <w:spacing w:val="2"/>
          <w:sz w:val="12"/>
        </w:rPr>
        <w:t>2004</w:t>
      </w:r>
      <w:r>
        <w:rPr>
          <w:color w:val="58595B"/>
          <w:spacing w:val="2"/>
          <w:sz w:val="12"/>
        </w:rPr>
        <w:t>.</w:t>
      </w:r>
    </w:p>
    <w:p w14:paraId="5DEEE487"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31A, </w:t>
      </w:r>
      <w:r>
        <w:rPr>
          <w:i/>
          <w:color w:val="58595B"/>
          <w:sz w:val="12"/>
        </w:rPr>
        <w:t>Environment Protection Act 1970</w:t>
      </w:r>
      <w:r>
        <w:rPr>
          <w:color w:val="58595B"/>
          <w:sz w:val="12"/>
        </w:rPr>
        <w:t>.</w:t>
      </w:r>
    </w:p>
    <w:p w14:paraId="30C20A73"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w:t>
      </w:r>
      <w:r>
        <w:rPr>
          <w:color w:val="58595B"/>
          <w:spacing w:val="2"/>
          <w:sz w:val="12"/>
        </w:rPr>
        <w:t xml:space="preserve">52A, </w:t>
      </w:r>
      <w:r>
        <w:rPr>
          <w:i/>
          <w:color w:val="58595B"/>
          <w:sz w:val="12"/>
        </w:rPr>
        <w:t>Environment Protection Act 1970</w:t>
      </w:r>
      <w:r>
        <w:rPr>
          <w:color w:val="58595B"/>
          <w:sz w:val="12"/>
        </w:rPr>
        <w:t>.</w:t>
      </w:r>
    </w:p>
    <w:p w14:paraId="1F17BDD6" w14:textId="4A53C169" w:rsidR="00160E7F" w:rsidRDefault="002B0299">
      <w:pPr>
        <w:pStyle w:val="ListParagraph"/>
        <w:numPr>
          <w:ilvl w:val="0"/>
          <w:numId w:val="35"/>
        </w:numPr>
        <w:tabs>
          <w:tab w:val="left" w:pos="418"/>
        </w:tabs>
        <w:spacing w:before="30"/>
        <w:ind w:hanging="283"/>
        <w:rPr>
          <w:sz w:val="12"/>
        </w:rPr>
      </w:pPr>
      <w:r>
        <w:rPr>
          <w:color w:val="58595B"/>
          <w:sz w:val="12"/>
        </w:rPr>
        <w:t xml:space="preserve">Section </w:t>
      </w:r>
      <w:r>
        <w:rPr>
          <w:color w:val="58595B"/>
          <w:spacing w:val="-5"/>
          <w:sz w:val="12"/>
        </w:rPr>
        <w:t xml:space="preserve">111, </w:t>
      </w:r>
      <w:r>
        <w:rPr>
          <w:i/>
          <w:color w:val="58595B"/>
          <w:sz w:val="12"/>
        </w:rPr>
        <w:t xml:space="preserve">Occupational Health and Safety Act </w:t>
      </w:r>
      <w:r>
        <w:rPr>
          <w:i/>
          <w:color w:val="58595B"/>
          <w:spacing w:val="2"/>
          <w:sz w:val="12"/>
        </w:rPr>
        <w:t>2004</w:t>
      </w:r>
      <w:r>
        <w:rPr>
          <w:color w:val="58595B"/>
          <w:spacing w:val="2"/>
          <w:sz w:val="12"/>
        </w:rPr>
        <w:t>.</w:t>
      </w:r>
    </w:p>
    <w:p w14:paraId="6CDA8F55"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31A(2)(a), </w:t>
      </w:r>
      <w:r>
        <w:rPr>
          <w:i/>
          <w:color w:val="58595B"/>
          <w:sz w:val="12"/>
        </w:rPr>
        <w:t>Environment Protection Act 1970</w:t>
      </w:r>
      <w:r>
        <w:rPr>
          <w:color w:val="58595B"/>
          <w:sz w:val="12"/>
        </w:rPr>
        <w:t>.</w:t>
      </w:r>
    </w:p>
    <w:p w14:paraId="17B9B2DB" w14:textId="77777777" w:rsidR="00160E7F" w:rsidRDefault="002B0299">
      <w:pPr>
        <w:pStyle w:val="ListParagraph"/>
        <w:numPr>
          <w:ilvl w:val="0"/>
          <w:numId w:val="35"/>
        </w:numPr>
        <w:tabs>
          <w:tab w:val="left" w:pos="418"/>
        </w:tabs>
        <w:spacing w:before="30"/>
        <w:ind w:hanging="283"/>
        <w:rPr>
          <w:sz w:val="12"/>
        </w:rPr>
      </w:pPr>
      <w:r>
        <w:rPr>
          <w:color w:val="58595B"/>
          <w:sz w:val="12"/>
        </w:rPr>
        <w:t xml:space="preserve">Section </w:t>
      </w:r>
      <w:r>
        <w:rPr>
          <w:color w:val="58595B"/>
          <w:spacing w:val="-3"/>
          <w:sz w:val="12"/>
        </w:rPr>
        <w:t xml:space="preserve">112, </w:t>
      </w:r>
      <w:r>
        <w:rPr>
          <w:i/>
          <w:color w:val="58595B"/>
          <w:sz w:val="12"/>
        </w:rPr>
        <w:t xml:space="preserve">Occupational Health and Safety Act  </w:t>
      </w:r>
      <w:r>
        <w:rPr>
          <w:i/>
          <w:color w:val="58595B"/>
          <w:spacing w:val="7"/>
          <w:sz w:val="12"/>
        </w:rPr>
        <w:t xml:space="preserve"> </w:t>
      </w:r>
      <w:r>
        <w:rPr>
          <w:i/>
          <w:color w:val="58595B"/>
          <w:spacing w:val="2"/>
          <w:sz w:val="12"/>
        </w:rPr>
        <w:t>2004</w:t>
      </w:r>
      <w:r>
        <w:rPr>
          <w:color w:val="58595B"/>
          <w:spacing w:val="2"/>
          <w:sz w:val="12"/>
        </w:rPr>
        <w:t>.</w:t>
      </w:r>
    </w:p>
    <w:p w14:paraId="4A0F4284" w14:textId="77777777" w:rsidR="00160E7F" w:rsidRDefault="002B0299">
      <w:pPr>
        <w:pStyle w:val="ListParagraph"/>
        <w:numPr>
          <w:ilvl w:val="0"/>
          <w:numId w:val="35"/>
        </w:numPr>
        <w:tabs>
          <w:tab w:val="left" w:pos="418"/>
        </w:tabs>
        <w:spacing w:before="30" w:line="242" w:lineRule="auto"/>
        <w:ind w:right="174" w:hanging="283"/>
        <w:rPr>
          <w:sz w:val="12"/>
        </w:rPr>
      </w:pPr>
      <w:r>
        <w:rPr>
          <w:color w:val="58595B"/>
          <w:sz w:val="12"/>
        </w:rPr>
        <w:t>https://</w:t>
      </w:r>
      <w:hyperlink r:id="rId38">
        <w:r>
          <w:rPr>
            <w:color w:val="58595B"/>
            <w:sz w:val="12"/>
          </w:rPr>
          <w:t>www.consumer.vic.gov.au/businesses/registered-businesses</w:t>
        </w:r>
      </w:hyperlink>
      <w:r>
        <w:rPr>
          <w:color w:val="58595B"/>
          <w:sz w:val="12"/>
        </w:rPr>
        <w:t xml:space="preserve"> (accessed 21 March</w:t>
      </w:r>
      <w:r>
        <w:rPr>
          <w:color w:val="58595B"/>
          <w:spacing w:val="21"/>
          <w:sz w:val="12"/>
        </w:rPr>
        <w:t xml:space="preserve"> </w:t>
      </w:r>
      <w:r>
        <w:rPr>
          <w:color w:val="58595B"/>
          <w:sz w:val="12"/>
        </w:rPr>
        <w:t>2016).</w:t>
      </w:r>
    </w:p>
    <w:p w14:paraId="46779C51" w14:textId="77777777" w:rsidR="00160E7F" w:rsidRDefault="000638CB">
      <w:pPr>
        <w:pStyle w:val="ListParagraph"/>
        <w:numPr>
          <w:ilvl w:val="0"/>
          <w:numId w:val="35"/>
        </w:numPr>
        <w:tabs>
          <w:tab w:val="left" w:pos="418"/>
        </w:tabs>
        <w:spacing w:line="242" w:lineRule="auto"/>
        <w:ind w:right="212" w:hanging="283"/>
        <w:rPr>
          <w:sz w:val="12"/>
        </w:rPr>
      </w:pPr>
      <w:hyperlink r:id="rId39">
        <w:r w:rsidR="002B0299">
          <w:rPr>
            <w:color w:val="58595B"/>
            <w:sz w:val="12"/>
          </w:rPr>
          <w:t>http://www.worksafe.vic.gov.au/__data/assets/pdf_file/0015/10482/</w:t>
        </w:r>
      </w:hyperlink>
      <w:r w:rsidR="002B0299">
        <w:rPr>
          <w:color w:val="58595B"/>
          <w:sz w:val="12"/>
        </w:rPr>
        <w:t xml:space="preserve"> </w:t>
      </w:r>
      <w:r w:rsidR="002B0299">
        <w:rPr>
          <w:color w:val="58595B"/>
          <w:spacing w:val="2"/>
          <w:sz w:val="12"/>
        </w:rPr>
        <w:t xml:space="preserve">FOR521-pdf-of-Notification-of-Dangerous-Goods-Storage-and- Handling-WOG-Standards-PMG.pdf </w:t>
      </w:r>
      <w:r w:rsidR="002B0299">
        <w:rPr>
          <w:color w:val="58595B"/>
          <w:sz w:val="12"/>
        </w:rPr>
        <w:t>(accessed 25 March 2016).</w:t>
      </w:r>
    </w:p>
    <w:p w14:paraId="75B4AB82" w14:textId="77777777" w:rsidR="00160E7F" w:rsidRDefault="002B0299">
      <w:pPr>
        <w:pStyle w:val="ListParagraph"/>
        <w:numPr>
          <w:ilvl w:val="0"/>
          <w:numId w:val="35"/>
        </w:numPr>
        <w:tabs>
          <w:tab w:val="left" w:pos="418"/>
        </w:tabs>
        <w:ind w:hanging="283"/>
        <w:rPr>
          <w:sz w:val="12"/>
        </w:rPr>
      </w:pPr>
      <w:r>
        <w:rPr>
          <w:color w:val="58595B"/>
          <w:spacing w:val="2"/>
          <w:sz w:val="12"/>
        </w:rPr>
        <w:t xml:space="preserve">Advice </w:t>
      </w:r>
      <w:r>
        <w:rPr>
          <w:color w:val="58595B"/>
          <w:sz w:val="12"/>
        </w:rPr>
        <w:t>from WorkSafe, 18 March</w:t>
      </w:r>
      <w:r>
        <w:rPr>
          <w:color w:val="58595B"/>
          <w:spacing w:val="27"/>
          <w:sz w:val="12"/>
        </w:rPr>
        <w:t xml:space="preserve"> </w:t>
      </w:r>
      <w:r>
        <w:rPr>
          <w:color w:val="58595B"/>
          <w:sz w:val="12"/>
        </w:rPr>
        <w:t>2016.</w:t>
      </w:r>
    </w:p>
    <w:p w14:paraId="2F24A37F" w14:textId="77777777" w:rsidR="00160E7F" w:rsidRDefault="002B0299">
      <w:pPr>
        <w:pStyle w:val="ListParagraph"/>
        <w:numPr>
          <w:ilvl w:val="0"/>
          <w:numId w:val="35"/>
        </w:numPr>
        <w:tabs>
          <w:tab w:val="left" w:pos="418"/>
        </w:tabs>
        <w:spacing w:before="30" w:line="242" w:lineRule="auto"/>
        <w:ind w:right="128" w:hanging="283"/>
        <w:rPr>
          <w:sz w:val="12"/>
        </w:rPr>
      </w:pPr>
      <w:r>
        <w:rPr>
          <w:color w:val="58595B"/>
          <w:spacing w:val="2"/>
          <w:sz w:val="12"/>
        </w:rPr>
        <w:t xml:space="preserve">Department </w:t>
      </w:r>
      <w:r>
        <w:rPr>
          <w:color w:val="58595B"/>
          <w:sz w:val="12"/>
        </w:rPr>
        <w:t xml:space="preserve">of Environment, Land, Water and Planning and EPA </w:t>
      </w:r>
      <w:r>
        <w:rPr>
          <w:color w:val="58595B"/>
          <w:spacing w:val="2"/>
          <w:sz w:val="12"/>
        </w:rPr>
        <w:t xml:space="preserve">Victoria, </w:t>
      </w:r>
      <w:r>
        <w:rPr>
          <w:color w:val="58595B"/>
          <w:sz w:val="12"/>
        </w:rPr>
        <w:t xml:space="preserve">Scheduled Premises Regulations Review </w:t>
      </w:r>
      <w:r>
        <w:rPr>
          <w:color w:val="58595B"/>
          <w:spacing w:val="2"/>
          <w:sz w:val="12"/>
        </w:rPr>
        <w:t xml:space="preserve">Discussion </w:t>
      </w:r>
      <w:r>
        <w:rPr>
          <w:color w:val="58595B"/>
          <w:sz w:val="12"/>
        </w:rPr>
        <w:t>Paper, Melbourne, pp.</w:t>
      </w:r>
      <w:r>
        <w:rPr>
          <w:color w:val="58595B"/>
          <w:spacing w:val="21"/>
          <w:sz w:val="12"/>
        </w:rPr>
        <w:t xml:space="preserve"> </w:t>
      </w:r>
      <w:r>
        <w:rPr>
          <w:color w:val="58595B"/>
          <w:spacing w:val="2"/>
          <w:sz w:val="12"/>
        </w:rPr>
        <w:t>2–3.</w:t>
      </w:r>
    </w:p>
    <w:p w14:paraId="2BA10FFC" w14:textId="77777777" w:rsidR="00160E7F" w:rsidRDefault="002B0299">
      <w:pPr>
        <w:pStyle w:val="ListParagraph"/>
        <w:numPr>
          <w:ilvl w:val="0"/>
          <w:numId w:val="35"/>
        </w:numPr>
        <w:tabs>
          <w:tab w:val="left" w:pos="418"/>
        </w:tabs>
        <w:spacing w:line="242" w:lineRule="auto"/>
        <w:ind w:right="133" w:hanging="283"/>
        <w:rPr>
          <w:sz w:val="12"/>
        </w:rPr>
      </w:pPr>
      <w:r>
        <w:rPr>
          <w:color w:val="58595B"/>
          <w:spacing w:val="2"/>
          <w:sz w:val="12"/>
        </w:rPr>
        <w:t xml:space="preserve">Department </w:t>
      </w:r>
      <w:r>
        <w:rPr>
          <w:color w:val="58595B"/>
          <w:sz w:val="12"/>
        </w:rPr>
        <w:t xml:space="preserve">of Environment, Land, Water and Planning and EPA </w:t>
      </w:r>
      <w:r>
        <w:rPr>
          <w:color w:val="58595B"/>
          <w:spacing w:val="2"/>
          <w:sz w:val="12"/>
        </w:rPr>
        <w:t xml:space="preserve">Victoria, </w:t>
      </w:r>
      <w:r>
        <w:rPr>
          <w:i/>
          <w:color w:val="58595B"/>
          <w:spacing w:val="2"/>
          <w:sz w:val="12"/>
        </w:rPr>
        <w:t xml:space="preserve">Scheduled </w:t>
      </w:r>
      <w:r>
        <w:rPr>
          <w:i/>
          <w:color w:val="58595B"/>
          <w:sz w:val="12"/>
        </w:rPr>
        <w:t>Premises Regulations Review Discussion Paper</w:t>
      </w:r>
      <w:r>
        <w:rPr>
          <w:color w:val="58595B"/>
          <w:sz w:val="12"/>
        </w:rPr>
        <w:t>, Melbourne, pp.</w:t>
      </w:r>
      <w:r>
        <w:rPr>
          <w:color w:val="58595B"/>
          <w:spacing w:val="23"/>
          <w:sz w:val="12"/>
        </w:rPr>
        <w:t xml:space="preserve"> </w:t>
      </w:r>
      <w:r>
        <w:rPr>
          <w:color w:val="58595B"/>
          <w:spacing w:val="4"/>
          <w:sz w:val="12"/>
        </w:rPr>
        <w:t>4–6.</w:t>
      </w:r>
    </w:p>
    <w:p w14:paraId="5CEF1003" w14:textId="77777777" w:rsidR="00160E7F" w:rsidRDefault="002B0299">
      <w:pPr>
        <w:pStyle w:val="ListParagraph"/>
        <w:numPr>
          <w:ilvl w:val="0"/>
          <w:numId w:val="35"/>
        </w:numPr>
        <w:tabs>
          <w:tab w:val="left" w:pos="418"/>
        </w:tabs>
        <w:spacing w:line="242" w:lineRule="auto"/>
        <w:ind w:right="133" w:hanging="283"/>
        <w:rPr>
          <w:sz w:val="12"/>
        </w:rPr>
      </w:pPr>
      <w:r>
        <w:rPr>
          <w:color w:val="58595B"/>
          <w:spacing w:val="2"/>
          <w:sz w:val="12"/>
        </w:rPr>
        <w:t xml:space="preserve">Department </w:t>
      </w:r>
      <w:r>
        <w:rPr>
          <w:color w:val="58595B"/>
          <w:sz w:val="12"/>
        </w:rPr>
        <w:t xml:space="preserve">of Environment, Land, Water and Planning and EPA </w:t>
      </w:r>
      <w:r>
        <w:rPr>
          <w:color w:val="58595B"/>
          <w:spacing w:val="2"/>
          <w:sz w:val="12"/>
        </w:rPr>
        <w:t xml:space="preserve">Victoria, </w:t>
      </w:r>
      <w:r>
        <w:rPr>
          <w:i/>
          <w:color w:val="58595B"/>
          <w:spacing w:val="2"/>
          <w:sz w:val="12"/>
        </w:rPr>
        <w:t xml:space="preserve">Scheduled </w:t>
      </w:r>
      <w:r>
        <w:rPr>
          <w:i/>
          <w:color w:val="58595B"/>
          <w:sz w:val="12"/>
        </w:rPr>
        <w:t>Premises Regulations Review Discussion Paper</w:t>
      </w:r>
      <w:r>
        <w:rPr>
          <w:color w:val="58595B"/>
          <w:sz w:val="12"/>
        </w:rPr>
        <w:t>, Melbourne, p.</w:t>
      </w:r>
      <w:r>
        <w:rPr>
          <w:color w:val="58595B"/>
          <w:spacing w:val="20"/>
          <w:sz w:val="12"/>
        </w:rPr>
        <w:t xml:space="preserve"> </w:t>
      </w:r>
      <w:r>
        <w:rPr>
          <w:color w:val="58595B"/>
          <w:sz w:val="12"/>
        </w:rPr>
        <w:t>4.</w:t>
      </w:r>
    </w:p>
    <w:p w14:paraId="5A461848" w14:textId="77777777" w:rsidR="00160E7F" w:rsidRDefault="002B0299">
      <w:pPr>
        <w:pStyle w:val="ListParagraph"/>
        <w:numPr>
          <w:ilvl w:val="0"/>
          <w:numId w:val="35"/>
        </w:numPr>
        <w:tabs>
          <w:tab w:val="left" w:pos="418"/>
        </w:tabs>
        <w:spacing w:line="242" w:lineRule="auto"/>
        <w:ind w:right="101"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5"/>
          <w:sz w:val="12"/>
        </w:rPr>
        <w:t xml:space="preserve"> </w:t>
      </w:r>
      <w:r>
        <w:rPr>
          <w:color w:val="58595B"/>
          <w:spacing w:val="2"/>
          <w:sz w:val="12"/>
        </w:rPr>
        <w:t>36.</w:t>
      </w:r>
    </w:p>
    <w:p w14:paraId="4E1E7027" w14:textId="77777777" w:rsidR="00160E7F" w:rsidRDefault="002B0299">
      <w:pPr>
        <w:pStyle w:val="ListParagraph"/>
        <w:numPr>
          <w:ilvl w:val="0"/>
          <w:numId w:val="35"/>
        </w:numPr>
        <w:tabs>
          <w:tab w:val="left" w:pos="418"/>
        </w:tabs>
        <w:spacing w:before="47" w:line="242" w:lineRule="auto"/>
        <w:ind w:right="1538" w:hanging="283"/>
        <w:rPr>
          <w:sz w:val="12"/>
        </w:rPr>
      </w:pPr>
      <w:r>
        <w:rPr>
          <w:color w:val="58595B"/>
          <w:spacing w:val="4"/>
          <w:sz w:val="12"/>
        </w:rPr>
        <w:br w:type="column"/>
      </w:r>
      <w:r>
        <w:rPr>
          <w:color w:val="58595B"/>
          <w:spacing w:val="2"/>
          <w:sz w:val="12"/>
        </w:rPr>
        <w:lastRenderedPageBreak/>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5"/>
          <w:sz w:val="12"/>
        </w:rPr>
        <w:t xml:space="preserve"> </w:t>
      </w:r>
      <w:r>
        <w:rPr>
          <w:color w:val="58595B"/>
          <w:spacing w:val="2"/>
          <w:sz w:val="12"/>
        </w:rPr>
        <w:t>36.</w:t>
      </w:r>
    </w:p>
    <w:p w14:paraId="00C15486" w14:textId="77777777" w:rsidR="00160E7F" w:rsidRDefault="002B0299">
      <w:pPr>
        <w:pStyle w:val="ListParagraph"/>
        <w:numPr>
          <w:ilvl w:val="0"/>
          <w:numId w:val="35"/>
        </w:numPr>
        <w:tabs>
          <w:tab w:val="left" w:pos="418"/>
        </w:tabs>
        <w:spacing w:line="242" w:lineRule="auto"/>
        <w:ind w:right="1534" w:hanging="283"/>
        <w:rPr>
          <w:sz w:val="12"/>
        </w:rPr>
      </w:pPr>
      <w:r>
        <w:rPr>
          <w:color w:val="58595B"/>
          <w:sz w:val="12"/>
        </w:rPr>
        <w:t>NSW Environmental Protection Authority</w:t>
      </w:r>
      <w:hyperlink r:id="rId40">
        <w:r>
          <w:rPr>
            <w:color w:val="58595B"/>
            <w:sz w:val="12"/>
          </w:rPr>
          <w:t>, http://www.epa.nsw.gov.au/</w:t>
        </w:r>
      </w:hyperlink>
      <w:r>
        <w:rPr>
          <w:color w:val="58595B"/>
          <w:sz w:val="12"/>
        </w:rPr>
        <w:t xml:space="preserve"> (accessed 10 March</w:t>
      </w:r>
      <w:r>
        <w:rPr>
          <w:color w:val="58595B"/>
          <w:spacing w:val="21"/>
          <w:sz w:val="12"/>
        </w:rPr>
        <w:t xml:space="preserve"> </w:t>
      </w:r>
      <w:r>
        <w:rPr>
          <w:color w:val="58595B"/>
          <w:sz w:val="12"/>
        </w:rPr>
        <w:t>2016).</w:t>
      </w:r>
    </w:p>
    <w:p w14:paraId="13D44FAE" w14:textId="77777777" w:rsidR="00160E7F" w:rsidRDefault="002B0299">
      <w:pPr>
        <w:pStyle w:val="ListParagraph"/>
        <w:numPr>
          <w:ilvl w:val="0"/>
          <w:numId w:val="35"/>
        </w:numPr>
        <w:tabs>
          <w:tab w:val="left" w:pos="418"/>
        </w:tabs>
        <w:spacing w:line="242" w:lineRule="auto"/>
        <w:ind w:right="1495" w:hanging="283"/>
        <w:rPr>
          <w:sz w:val="12"/>
        </w:rPr>
      </w:pPr>
      <w:r>
        <w:rPr>
          <w:color w:val="58595B"/>
          <w:sz w:val="12"/>
        </w:rPr>
        <w:t xml:space="preserve">For example, discharge limits </w:t>
      </w:r>
      <w:r>
        <w:rPr>
          <w:color w:val="58595B"/>
          <w:spacing w:val="2"/>
          <w:sz w:val="12"/>
        </w:rPr>
        <w:t xml:space="preserve">can </w:t>
      </w:r>
      <w:r>
        <w:rPr>
          <w:color w:val="58595B"/>
          <w:sz w:val="12"/>
        </w:rPr>
        <w:t xml:space="preserve">be set for pollutants such as sulphur dioxide, </w:t>
      </w:r>
      <w:r>
        <w:rPr>
          <w:color w:val="58595B"/>
          <w:spacing w:val="2"/>
          <w:sz w:val="12"/>
        </w:rPr>
        <w:t xml:space="preserve">particles, </w:t>
      </w:r>
      <w:r>
        <w:rPr>
          <w:color w:val="58595B"/>
          <w:sz w:val="12"/>
        </w:rPr>
        <w:t xml:space="preserve">volatile organic compounds, </w:t>
      </w:r>
      <w:r>
        <w:rPr>
          <w:color w:val="58595B"/>
          <w:spacing w:val="2"/>
          <w:sz w:val="12"/>
        </w:rPr>
        <w:t xml:space="preserve">carbon </w:t>
      </w:r>
      <w:r>
        <w:rPr>
          <w:color w:val="58595B"/>
          <w:sz w:val="12"/>
        </w:rPr>
        <w:t xml:space="preserve">monoxide, </w:t>
      </w:r>
      <w:r>
        <w:rPr>
          <w:color w:val="58595B"/>
          <w:spacing w:val="2"/>
          <w:sz w:val="12"/>
        </w:rPr>
        <w:t xml:space="preserve">phosphorus, </w:t>
      </w:r>
      <w:r>
        <w:rPr>
          <w:color w:val="58595B"/>
          <w:sz w:val="12"/>
        </w:rPr>
        <w:t>nitrogen, heavy metals.</w:t>
      </w:r>
    </w:p>
    <w:p w14:paraId="53018620" w14:textId="77777777" w:rsidR="00160E7F" w:rsidRDefault="002B0299">
      <w:pPr>
        <w:pStyle w:val="ListParagraph"/>
        <w:numPr>
          <w:ilvl w:val="0"/>
          <w:numId w:val="35"/>
        </w:numPr>
        <w:tabs>
          <w:tab w:val="left" w:pos="418"/>
        </w:tabs>
        <w:ind w:hanging="283"/>
        <w:rPr>
          <w:sz w:val="12"/>
        </w:rPr>
      </w:pPr>
      <w:r>
        <w:rPr>
          <w:color w:val="58595B"/>
          <w:spacing w:val="2"/>
          <w:sz w:val="12"/>
        </w:rPr>
        <w:t xml:space="preserve">Part </w:t>
      </w:r>
      <w:r>
        <w:rPr>
          <w:color w:val="58595B"/>
          <w:sz w:val="12"/>
        </w:rPr>
        <w:t xml:space="preserve">5.7A, </w:t>
      </w:r>
      <w:r>
        <w:rPr>
          <w:i/>
          <w:color w:val="58595B"/>
          <w:sz w:val="12"/>
        </w:rPr>
        <w:t>Protection of the Environment Operations Act 1997</w:t>
      </w:r>
      <w:r>
        <w:rPr>
          <w:color w:val="58595B"/>
          <w:sz w:val="12"/>
        </w:rPr>
        <w:t>.</w:t>
      </w:r>
    </w:p>
    <w:p w14:paraId="7C835CA4" w14:textId="77777777" w:rsidR="00160E7F" w:rsidRDefault="002B0299">
      <w:pPr>
        <w:pStyle w:val="ListParagraph"/>
        <w:numPr>
          <w:ilvl w:val="0"/>
          <w:numId w:val="35"/>
        </w:numPr>
        <w:tabs>
          <w:tab w:val="left" w:pos="418"/>
        </w:tabs>
        <w:spacing w:before="30" w:line="242" w:lineRule="auto"/>
        <w:ind w:right="1685" w:hanging="283"/>
        <w:rPr>
          <w:sz w:val="12"/>
        </w:rPr>
      </w:pPr>
      <w:r>
        <w:rPr>
          <w:color w:val="58595B"/>
          <w:sz w:val="12"/>
        </w:rPr>
        <w:t xml:space="preserve">Hazelwood Mine Fire </w:t>
      </w:r>
      <w:r>
        <w:rPr>
          <w:color w:val="58595B"/>
          <w:spacing w:val="2"/>
          <w:sz w:val="12"/>
        </w:rPr>
        <w:t xml:space="preserve">Inquiry </w:t>
      </w:r>
      <w:r>
        <w:rPr>
          <w:color w:val="58595B"/>
          <w:sz w:val="12"/>
        </w:rPr>
        <w:t xml:space="preserve">Implementation Monitor 2015, </w:t>
      </w:r>
      <w:r>
        <w:rPr>
          <w:i/>
          <w:color w:val="58595B"/>
          <w:sz w:val="12"/>
        </w:rPr>
        <w:t xml:space="preserve">Annual </w:t>
      </w:r>
      <w:r>
        <w:rPr>
          <w:i/>
          <w:color w:val="58595B"/>
          <w:spacing w:val="2"/>
          <w:sz w:val="12"/>
        </w:rPr>
        <w:t>Report</w:t>
      </w:r>
      <w:r>
        <w:rPr>
          <w:color w:val="58595B"/>
          <w:spacing w:val="2"/>
          <w:sz w:val="12"/>
        </w:rPr>
        <w:t xml:space="preserve">, </w:t>
      </w:r>
      <w:r>
        <w:rPr>
          <w:color w:val="58595B"/>
          <w:sz w:val="12"/>
        </w:rPr>
        <w:t>Melbourne, October, p.</w:t>
      </w:r>
      <w:r>
        <w:rPr>
          <w:color w:val="58595B"/>
          <w:spacing w:val="29"/>
          <w:sz w:val="12"/>
        </w:rPr>
        <w:t xml:space="preserve"> </w:t>
      </w:r>
      <w:r>
        <w:rPr>
          <w:color w:val="58595B"/>
          <w:spacing w:val="-3"/>
          <w:sz w:val="12"/>
        </w:rPr>
        <w:t>112.</w:t>
      </w:r>
    </w:p>
    <w:p w14:paraId="5685EE05" w14:textId="77777777" w:rsidR="00160E7F" w:rsidRDefault="002B0299">
      <w:pPr>
        <w:pStyle w:val="ListParagraph"/>
        <w:numPr>
          <w:ilvl w:val="0"/>
          <w:numId w:val="35"/>
        </w:numPr>
        <w:tabs>
          <w:tab w:val="left" w:pos="418"/>
        </w:tabs>
        <w:spacing w:line="242" w:lineRule="auto"/>
        <w:ind w:right="1605" w:hanging="283"/>
        <w:rPr>
          <w:sz w:val="12"/>
        </w:rPr>
      </w:pPr>
      <w:r>
        <w:rPr>
          <w:color w:val="58595B"/>
          <w:sz w:val="12"/>
        </w:rPr>
        <w:t xml:space="preserve">O’Reilly B 2011, </w:t>
      </w:r>
      <w:r>
        <w:rPr>
          <w:i/>
          <w:color w:val="58595B"/>
          <w:sz w:val="12"/>
        </w:rPr>
        <w:t xml:space="preserve">‘A review into the response to the serious pollution incident at </w:t>
      </w:r>
      <w:r>
        <w:rPr>
          <w:i/>
          <w:color w:val="58595B"/>
          <w:spacing w:val="2"/>
          <w:sz w:val="12"/>
        </w:rPr>
        <w:t xml:space="preserve">Orica </w:t>
      </w:r>
      <w:r>
        <w:rPr>
          <w:i/>
          <w:color w:val="58595B"/>
          <w:sz w:val="12"/>
        </w:rPr>
        <w:t xml:space="preserve">Australia Pty. Ltd. ammonium nitrate plant at Walsh Point, Kooragang Island on August 8, 2011’, </w:t>
      </w:r>
      <w:r>
        <w:rPr>
          <w:color w:val="58595B"/>
          <w:sz w:val="12"/>
        </w:rPr>
        <w:t>September.</w:t>
      </w:r>
    </w:p>
    <w:p w14:paraId="6B092C20" w14:textId="77777777" w:rsidR="00160E7F" w:rsidRDefault="00160E7F">
      <w:pPr>
        <w:spacing w:line="242" w:lineRule="auto"/>
        <w:rPr>
          <w:sz w:val="12"/>
        </w:rPr>
        <w:sectPr w:rsidR="00160E7F">
          <w:type w:val="continuous"/>
          <w:pgSz w:w="11910" w:h="16840"/>
          <w:pgMar w:top="0" w:right="0" w:bottom="0" w:left="1680" w:header="720" w:footer="720" w:gutter="0"/>
          <w:cols w:num="2" w:space="720" w:equalWidth="0">
            <w:col w:w="4332" w:space="125"/>
            <w:col w:w="5773"/>
          </w:cols>
        </w:sectPr>
      </w:pPr>
    </w:p>
    <w:p w14:paraId="59EEC08F" w14:textId="77777777" w:rsidR="00160E7F" w:rsidRDefault="002B0299">
      <w:pPr>
        <w:pStyle w:val="BodyText"/>
        <w:spacing w:before="4"/>
        <w:rPr>
          <w:rFonts w:ascii="Times New Roman"/>
          <w:sz w:val="17"/>
        </w:rPr>
      </w:pPr>
      <w:r>
        <w:rPr>
          <w:noProof/>
        </w:rPr>
        <w:lastRenderedPageBreak/>
        <w:drawing>
          <wp:anchor distT="0" distB="0" distL="0" distR="0" simplePos="0" relativeHeight="268344791" behindDoc="1" locked="0" layoutInCell="1" allowOverlap="1" wp14:anchorId="6F1D5DE6" wp14:editId="10FB4022">
            <wp:simplePos x="0" y="0"/>
            <wp:positionH relativeFrom="page">
              <wp:posOffset>0</wp:posOffset>
            </wp:positionH>
            <wp:positionV relativeFrom="page">
              <wp:posOffset>0</wp:posOffset>
            </wp:positionV>
            <wp:extent cx="7560268" cy="10692384"/>
            <wp:effectExtent l="0" t="0" r="0" b="0"/>
            <wp:wrapNone/>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png"/>
                    <pic:cNvPicPr/>
                  </pic:nvPicPr>
                  <pic:blipFill>
                    <a:blip r:embed="rId11"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375E0E62" w14:textId="77777777" w:rsidR="00160E7F" w:rsidRDefault="00160E7F">
      <w:pPr>
        <w:rPr>
          <w:rFonts w:ascii="Times New Roman"/>
          <w:sz w:val="17"/>
        </w:rPr>
        <w:sectPr w:rsidR="00160E7F">
          <w:headerReference w:type="default" r:id="rId41"/>
          <w:pgSz w:w="11910" w:h="16840"/>
          <w:pgMar w:top="0" w:right="0" w:bottom="0" w:left="0" w:header="0" w:footer="0" w:gutter="0"/>
          <w:cols w:space="720"/>
        </w:sectPr>
      </w:pPr>
    </w:p>
    <w:p w14:paraId="2E5A96AD" w14:textId="77777777" w:rsidR="00160E7F" w:rsidRDefault="000638CB">
      <w:pPr>
        <w:spacing w:before="61"/>
        <w:ind w:right="116"/>
        <w:jc w:val="right"/>
        <w:rPr>
          <w:sz w:val="15"/>
        </w:rPr>
      </w:pPr>
      <w:r>
        <w:lastRenderedPageBreak/>
        <w:pict w14:anchorId="55AC6584">
          <v:group id="_x0000_s1104" style="position:absolute;left:0;text-align:left;margin-left:0;margin-top:0;width:598.8pt;height:841.9pt;z-index:-90640;mso-position-horizontal-relative:page;mso-position-vertical-relative:page" coordsize="11976,16838">
            <v:shape id="_x0000_s1106" type="#_x0000_t75" style="position:absolute;width:11906;height:16838">
              <v:imagedata r:id="rId42" o:title=""/>
            </v:shape>
            <v:line id="_x0000_s1105" style="position:absolute" from="10700,917" to="11906,917" strokecolor="#0095a7" strokeweight="7pt"/>
            <w10:wrap anchorx="page" anchory="page"/>
          </v:group>
        </w:pict>
      </w:r>
      <w:r w:rsidR="002B0299">
        <w:rPr>
          <w:color w:val="58595B"/>
          <w:sz w:val="15"/>
        </w:rPr>
        <w:t>237</w:t>
      </w:r>
    </w:p>
    <w:p w14:paraId="645332DA" w14:textId="77777777" w:rsidR="00160E7F" w:rsidRDefault="00160E7F">
      <w:pPr>
        <w:pStyle w:val="BodyText"/>
      </w:pPr>
    </w:p>
    <w:p w14:paraId="66D2C463" w14:textId="77777777" w:rsidR="00160E7F" w:rsidRDefault="00160E7F">
      <w:pPr>
        <w:pStyle w:val="BodyText"/>
      </w:pPr>
    </w:p>
    <w:p w14:paraId="3EC4F915" w14:textId="77777777" w:rsidR="00160E7F" w:rsidRDefault="00160E7F">
      <w:pPr>
        <w:pStyle w:val="BodyText"/>
      </w:pPr>
    </w:p>
    <w:p w14:paraId="259482C8" w14:textId="77777777" w:rsidR="00160E7F" w:rsidRDefault="00160E7F">
      <w:pPr>
        <w:pStyle w:val="BodyText"/>
      </w:pPr>
    </w:p>
    <w:p w14:paraId="4D69F890" w14:textId="77777777" w:rsidR="00160E7F" w:rsidRDefault="00160E7F">
      <w:pPr>
        <w:pStyle w:val="BodyText"/>
        <w:spacing w:before="5"/>
        <w:rPr>
          <w:sz w:val="17"/>
        </w:rPr>
      </w:pPr>
    </w:p>
    <w:p w14:paraId="75719835" w14:textId="77777777" w:rsidR="00160E7F" w:rsidRDefault="002B0299">
      <w:pPr>
        <w:pStyle w:val="Heading4"/>
        <w:spacing w:before="0"/>
        <w:ind w:left="134" w:right="822"/>
      </w:pPr>
      <w:r>
        <w:rPr>
          <w:color w:val="0095A7"/>
        </w:rPr>
        <w:t>CHAPTER 13</w:t>
      </w:r>
    </w:p>
    <w:p w14:paraId="21E918AD" w14:textId="77777777" w:rsidR="00160E7F" w:rsidRDefault="002B0299">
      <w:pPr>
        <w:spacing w:before="79"/>
        <w:ind w:left="134" w:right="822"/>
        <w:rPr>
          <w:sz w:val="40"/>
        </w:rPr>
      </w:pPr>
      <w:r>
        <w:rPr>
          <w:color w:val="58595B"/>
          <w:sz w:val="40"/>
        </w:rPr>
        <w:t>HOLDING POLLUTERS TO ACCOUNT</w:t>
      </w:r>
    </w:p>
    <w:p w14:paraId="06645C39" w14:textId="77777777" w:rsidR="00160E7F" w:rsidRDefault="00160E7F">
      <w:pPr>
        <w:rPr>
          <w:sz w:val="40"/>
        </w:rPr>
        <w:sectPr w:rsidR="00160E7F">
          <w:headerReference w:type="even" r:id="rId43"/>
          <w:pgSz w:w="11910" w:h="16840"/>
          <w:pgMar w:top="740" w:right="1300" w:bottom="280" w:left="1680" w:header="0" w:footer="0" w:gutter="0"/>
          <w:cols w:space="720"/>
        </w:sectPr>
      </w:pPr>
    </w:p>
    <w:p w14:paraId="5332B319" w14:textId="77777777" w:rsidR="00160E7F" w:rsidRDefault="00160E7F">
      <w:pPr>
        <w:pStyle w:val="BodyText"/>
      </w:pPr>
    </w:p>
    <w:p w14:paraId="5B0DAF5B" w14:textId="77777777" w:rsidR="00160E7F" w:rsidRDefault="00160E7F">
      <w:pPr>
        <w:pStyle w:val="BodyText"/>
      </w:pPr>
    </w:p>
    <w:p w14:paraId="370D17C4" w14:textId="77777777" w:rsidR="00160E7F" w:rsidRDefault="00160E7F">
      <w:pPr>
        <w:pStyle w:val="BodyText"/>
      </w:pPr>
    </w:p>
    <w:p w14:paraId="0C558EA7" w14:textId="77777777" w:rsidR="00160E7F" w:rsidRDefault="00160E7F">
      <w:pPr>
        <w:pStyle w:val="BodyText"/>
      </w:pPr>
    </w:p>
    <w:p w14:paraId="494E44FB" w14:textId="77777777" w:rsidR="00160E7F" w:rsidRDefault="002B0299">
      <w:pPr>
        <w:pStyle w:val="Heading2"/>
      </w:pPr>
      <w:r>
        <w:rPr>
          <w:color w:val="0095A7"/>
        </w:rPr>
        <w:t>HOLDING POLLUTERS TO ACCOUNT</w:t>
      </w:r>
    </w:p>
    <w:p w14:paraId="5AB92062" w14:textId="77777777" w:rsidR="00160E7F" w:rsidRDefault="000638CB">
      <w:pPr>
        <w:pStyle w:val="BodyText"/>
        <w:spacing w:before="4"/>
        <w:rPr>
          <w:sz w:val="17"/>
        </w:rPr>
      </w:pPr>
      <w:r>
        <w:pict w14:anchorId="51BF5C28">
          <v:shape id="_x0000_s1103" type="#_x0000_t202" style="position:absolute;margin-left:70.85pt;margin-top:11.2pt;width:433.7pt;height:150pt;z-index:1480;mso-wrap-distance-left:0;mso-wrap-distance-right:0;mso-position-horizontal-relative:page" fillcolor="#eff6f0" stroked="f">
            <v:textbox inset="0,0,0,0">
              <w:txbxContent>
                <w:p w14:paraId="488D2B13" w14:textId="77777777" w:rsidR="00804E46" w:rsidRDefault="00804E46">
                  <w:pPr>
                    <w:spacing w:before="128"/>
                    <w:ind w:left="170" w:right="165"/>
                    <w:rPr>
                      <w:b/>
                      <w:sz w:val="20"/>
                    </w:rPr>
                  </w:pPr>
                  <w:r>
                    <w:rPr>
                      <w:b/>
                      <w:color w:val="0095A7"/>
                      <w:sz w:val="20"/>
                    </w:rPr>
                    <w:t>KEY MESSAGES</w:t>
                  </w:r>
                </w:p>
                <w:p w14:paraId="6ABA61D9" w14:textId="77777777" w:rsidR="00804E46" w:rsidRDefault="00804E46">
                  <w:pPr>
                    <w:pStyle w:val="BodyText"/>
                    <w:spacing w:before="153" w:line="280" w:lineRule="auto"/>
                    <w:ind w:left="170" w:right="165"/>
                  </w:pPr>
                  <w:r>
                    <w:rPr>
                      <w:color w:val="58595B"/>
                    </w:rPr>
                    <w:t>The EPA must be willing to take timely and decisive action to hold polluters to account. This should include taking strategic prosecutions to both hold polluters to account and to deter the offender or others from committing the same or similar offences.</w:t>
                  </w:r>
                </w:p>
                <w:p w14:paraId="0B48BBE5" w14:textId="77777777" w:rsidR="00804E46" w:rsidRDefault="00804E46">
                  <w:pPr>
                    <w:pStyle w:val="BodyText"/>
                    <w:spacing w:before="172"/>
                    <w:ind w:left="170" w:right="165"/>
                  </w:pPr>
                  <w:r>
                    <w:rPr>
                      <w:color w:val="58595B"/>
                    </w:rPr>
                    <w:t>The range of sanctions available to the EPA should be strengthened and expanded by:</w:t>
                  </w:r>
                </w:p>
                <w:p w14:paraId="005CEF8D" w14:textId="77777777" w:rsidR="00804E46" w:rsidRDefault="00804E46">
                  <w:pPr>
                    <w:pStyle w:val="ListParagraph"/>
                    <w:numPr>
                      <w:ilvl w:val="0"/>
                      <w:numId w:val="34"/>
                    </w:numPr>
                    <w:tabs>
                      <w:tab w:val="left" w:pos="341"/>
                    </w:tabs>
                    <w:spacing w:before="153"/>
                    <w:ind w:hanging="170"/>
                    <w:rPr>
                      <w:sz w:val="20"/>
                    </w:rPr>
                  </w:pPr>
                  <w:r>
                    <w:rPr>
                      <w:color w:val="58595B"/>
                      <w:sz w:val="20"/>
                    </w:rPr>
                    <w:t>increasing maximum criminal</w:t>
                  </w:r>
                  <w:r>
                    <w:rPr>
                      <w:color w:val="58595B"/>
                      <w:spacing w:val="11"/>
                      <w:sz w:val="20"/>
                    </w:rPr>
                    <w:t xml:space="preserve"> </w:t>
                  </w:r>
                  <w:r>
                    <w:rPr>
                      <w:color w:val="58595B"/>
                      <w:sz w:val="20"/>
                    </w:rPr>
                    <w:t>penalties</w:t>
                  </w:r>
                </w:p>
                <w:p w14:paraId="085E9FE9" w14:textId="77777777" w:rsidR="00804E46" w:rsidRDefault="00804E46">
                  <w:pPr>
                    <w:pStyle w:val="ListParagraph"/>
                    <w:numPr>
                      <w:ilvl w:val="0"/>
                      <w:numId w:val="34"/>
                    </w:numPr>
                    <w:tabs>
                      <w:tab w:val="left" w:pos="341"/>
                    </w:tabs>
                    <w:spacing w:before="153"/>
                    <w:ind w:hanging="170"/>
                    <w:rPr>
                      <w:sz w:val="20"/>
                    </w:rPr>
                  </w:pPr>
                  <w:r>
                    <w:rPr>
                      <w:color w:val="58595B"/>
                      <w:sz w:val="20"/>
                    </w:rPr>
                    <w:t>introducing civil</w:t>
                  </w:r>
                  <w:r>
                    <w:rPr>
                      <w:color w:val="58595B"/>
                      <w:spacing w:val="5"/>
                      <w:sz w:val="20"/>
                    </w:rPr>
                    <w:t xml:space="preserve"> </w:t>
                  </w:r>
                  <w:r>
                    <w:rPr>
                      <w:color w:val="58595B"/>
                      <w:sz w:val="20"/>
                    </w:rPr>
                    <w:t>penalties</w:t>
                  </w:r>
                </w:p>
                <w:p w14:paraId="31295D27" w14:textId="77777777" w:rsidR="00804E46" w:rsidRDefault="00804E46">
                  <w:pPr>
                    <w:pStyle w:val="ListParagraph"/>
                    <w:numPr>
                      <w:ilvl w:val="0"/>
                      <w:numId w:val="34"/>
                    </w:numPr>
                    <w:tabs>
                      <w:tab w:val="left" w:pos="341"/>
                    </w:tabs>
                    <w:spacing w:before="153"/>
                    <w:ind w:hanging="170"/>
                    <w:rPr>
                      <w:sz w:val="20"/>
                    </w:rPr>
                  </w:pPr>
                  <w:r>
                    <w:rPr>
                      <w:color w:val="58595B"/>
                      <w:sz w:val="20"/>
                    </w:rPr>
                    <w:t>providing a statutory basis for monetary benefits</w:t>
                  </w:r>
                  <w:r>
                    <w:rPr>
                      <w:color w:val="58595B"/>
                      <w:spacing w:val="17"/>
                      <w:sz w:val="20"/>
                    </w:rPr>
                    <w:t xml:space="preserve"> </w:t>
                  </w:r>
                  <w:r>
                    <w:rPr>
                      <w:color w:val="58595B"/>
                      <w:sz w:val="20"/>
                    </w:rPr>
                    <w:t>orders.</w:t>
                  </w:r>
                </w:p>
              </w:txbxContent>
            </v:textbox>
            <w10:wrap type="topAndBottom" anchorx="page"/>
          </v:shape>
        </w:pict>
      </w:r>
    </w:p>
    <w:p w14:paraId="0B1C2938" w14:textId="77777777" w:rsidR="00160E7F" w:rsidRDefault="00160E7F">
      <w:pPr>
        <w:pStyle w:val="BodyText"/>
        <w:spacing w:before="7"/>
        <w:rPr>
          <w:sz w:val="28"/>
        </w:rPr>
      </w:pPr>
    </w:p>
    <w:p w14:paraId="5266061C" w14:textId="77777777" w:rsidR="00160E7F" w:rsidRDefault="002B0299">
      <w:pPr>
        <w:pStyle w:val="ListParagraph"/>
        <w:numPr>
          <w:ilvl w:val="1"/>
          <w:numId w:val="33"/>
        </w:numPr>
        <w:tabs>
          <w:tab w:val="left" w:pos="1977"/>
        </w:tabs>
        <w:spacing w:before="69"/>
        <w:jc w:val="left"/>
        <w:rPr>
          <w:sz w:val="24"/>
        </w:rPr>
      </w:pPr>
      <w:r>
        <w:rPr>
          <w:color w:val="0095A7"/>
          <w:sz w:val="24"/>
        </w:rPr>
        <w:t>Introduction</w:t>
      </w:r>
    </w:p>
    <w:p w14:paraId="2F0545ED" w14:textId="77777777" w:rsidR="00160E7F" w:rsidRDefault="002B0299">
      <w:pPr>
        <w:pStyle w:val="BodyText"/>
        <w:spacing w:before="145" w:line="280" w:lineRule="auto"/>
        <w:ind w:left="1417" w:right="350"/>
      </w:pPr>
      <w:r>
        <w:rPr>
          <w:color w:val="58595B"/>
        </w:rPr>
        <w:t>A key theme from our public consultations was stakeholders wanting the EPA to hold polluters to account. Many inquiry participants stated that the EPA needed ‘more teeth, and more power’ and that it ‘needs a big stick’.</w:t>
      </w:r>
    </w:p>
    <w:p w14:paraId="78586232" w14:textId="77777777" w:rsidR="00160E7F" w:rsidRDefault="002B0299">
      <w:pPr>
        <w:pStyle w:val="BodyText"/>
        <w:spacing w:before="172" w:line="280" w:lineRule="auto"/>
        <w:ind w:left="1417" w:right="436"/>
      </w:pPr>
      <w:r>
        <w:rPr>
          <w:color w:val="58595B"/>
        </w:rPr>
        <w:t xml:space="preserve">The </w:t>
      </w:r>
      <w:r>
        <w:rPr>
          <w:color w:val="58595B"/>
          <w:spacing w:val="-4"/>
        </w:rPr>
        <w:t xml:space="preserve">EPA </w:t>
      </w:r>
      <w:r>
        <w:rPr>
          <w:color w:val="58595B"/>
        </w:rPr>
        <w:t xml:space="preserve">has a broad range of sanctions that it can apply in response to non compliance, and we consider the </w:t>
      </w:r>
      <w:r>
        <w:rPr>
          <w:color w:val="58595B"/>
          <w:spacing w:val="-4"/>
        </w:rPr>
        <w:t xml:space="preserve">EPA </w:t>
      </w:r>
      <w:r>
        <w:rPr>
          <w:color w:val="58595B"/>
        </w:rPr>
        <w:t xml:space="preserve">must be more assertive, timely and confident in using these sanctions. </w:t>
      </w:r>
      <w:r>
        <w:rPr>
          <w:color w:val="58595B"/>
          <w:spacing w:val="-3"/>
        </w:rPr>
        <w:t xml:space="preserve">However, </w:t>
      </w:r>
      <w:r>
        <w:rPr>
          <w:color w:val="58595B"/>
        </w:rPr>
        <w:t xml:space="preserve">we also propose strengthening and expanding the </w:t>
      </w:r>
      <w:r>
        <w:rPr>
          <w:color w:val="58595B"/>
          <w:spacing w:val="-7"/>
        </w:rPr>
        <w:t xml:space="preserve">EPA’s </w:t>
      </w:r>
      <w:r>
        <w:rPr>
          <w:color w:val="58595B"/>
        </w:rPr>
        <w:t xml:space="preserve">range of sanctions, to allow for more proportionate and timely action. The </w:t>
      </w:r>
      <w:r>
        <w:rPr>
          <w:color w:val="58595B"/>
          <w:spacing w:val="-4"/>
        </w:rPr>
        <w:t xml:space="preserve">EPA </w:t>
      </w:r>
      <w:r>
        <w:rPr>
          <w:color w:val="58595B"/>
        </w:rPr>
        <w:t>must become better practised at using some</w:t>
      </w:r>
      <w:r>
        <w:rPr>
          <w:color w:val="58595B"/>
          <w:spacing w:val="5"/>
        </w:rPr>
        <w:t xml:space="preserve"> </w:t>
      </w:r>
      <w:r>
        <w:rPr>
          <w:color w:val="58595B"/>
        </w:rPr>
        <w:t>sanctions.</w:t>
      </w:r>
    </w:p>
    <w:p w14:paraId="71BC14D8" w14:textId="77777777" w:rsidR="00160E7F" w:rsidRDefault="002B0299">
      <w:pPr>
        <w:pStyle w:val="BodyText"/>
        <w:spacing w:before="172" w:line="280" w:lineRule="auto"/>
        <w:ind w:left="1417" w:right="789"/>
      </w:pPr>
      <w:r>
        <w:rPr>
          <w:color w:val="58595B"/>
        </w:rPr>
        <w:t>Further, the inspection and enquiry powers for authorised officers are out of date and lack appropriate checks and balances. We also propose addressing these weaknesses.</w:t>
      </w:r>
    </w:p>
    <w:p w14:paraId="577885E6" w14:textId="77777777" w:rsidR="00160E7F" w:rsidRDefault="002B0299">
      <w:pPr>
        <w:pStyle w:val="BodyText"/>
        <w:spacing w:before="172"/>
        <w:ind w:left="1417" w:right="789"/>
      </w:pPr>
      <w:r>
        <w:rPr>
          <w:color w:val="58595B"/>
        </w:rPr>
        <w:t>We propose the following enhancements so the EPA can better hold polluters to account:</w:t>
      </w:r>
    </w:p>
    <w:p w14:paraId="45B5A3E4" w14:textId="77777777" w:rsidR="00160E7F" w:rsidRDefault="002B0299">
      <w:pPr>
        <w:pStyle w:val="ListParagraph"/>
        <w:numPr>
          <w:ilvl w:val="1"/>
          <w:numId w:val="35"/>
        </w:numPr>
        <w:tabs>
          <w:tab w:val="left" w:pos="1588"/>
        </w:tabs>
        <w:spacing w:before="153"/>
        <w:ind w:hanging="170"/>
        <w:rPr>
          <w:sz w:val="20"/>
        </w:rPr>
      </w:pPr>
      <w:r>
        <w:rPr>
          <w:color w:val="58595B"/>
          <w:sz w:val="20"/>
        </w:rPr>
        <w:t>enhanced sanctioning of</w:t>
      </w:r>
      <w:r>
        <w:rPr>
          <w:color w:val="58595B"/>
          <w:spacing w:val="12"/>
          <w:sz w:val="20"/>
        </w:rPr>
        <w:t xml:space="preserve"> </w:t>
      </w:r>
      <w:r>
        <w:rPr>
          <w:color w:val="58595B"/>
          <w:sz w:val="20"/>
        </w:rPr>
        <w:t>offenders</w:t>
      </w:r>
    </w:p>
    <w:p w14:paraId="645D4BC6" w14:textId="77777777" w:rsidR="00160E7F" w:rsidRDefault="002B0299">
      <w:pPr>
        <w:pStyle w:val="ListParagraph"/>
        <w:numPr>
          <w:ilvl w:val="1"/>
          <w:numId w:val="35"/>
        </w:numPr>
        <w:tabs>
          <w:tab w:val="left" w:pos="1588"/>
        </w:tabs>
        <w:spacing w:before="153"/>
        <w:ind w:hanging="170"/>
        <w:rPr>
          <w:sz w:val="20"/>
        </w:rPr>
      </w:pPr>
      <w:r>
        <w:rPr>
          <w:color w:val="58595B"/>
          <w:sz w:val="20"/>
        </w:rPr>
        <w:t xml:space="preserve">third </w:t>
      </w:r>
      <w:r>
        <w:rPr>
          <w:color w:val="58595B"/>
          <w:spacing w:val="2"/>
          <w:sz w:val="20"/>
        </w:rPr>
        <w:t xml:space="preserve">party </w:t>
      </w:r>
      <w:r>
        <w:rPr>
          <w:color w:val="58595B"/>
          <w:sz w:val="20"/>
        </w:rPr>
        <w:t>rights to seek civil</w:t>
      </w:r>
      <w:r>
        <w:rPr>
          <w:color w:val="58595B"/>
          <w:spacing w:val="5"/>
          <w:sz w:val="20"/>
        </w:rPr>
        <w:t xml:space="preserve"> </w:t>
      </w:r>
      <w:r>
        <w:rPr>
          <w:color w:val="58595B"/>
          <w:sz w:val="20"/>
        </w:rPr>
        <w:t>remedies</w:t>
      </w:r>
    </w:p>
    <w:p w14:paraId="6A30E4FC" w14:textId="77777777" w:rsidR="00160E7F" w:rsidRDefault="002B0299">
      <w:pPr>
        <w:pStyle w:val="ListParagraph"/>
        <w:numPr>
          <w:ilvl w:val="1"/>
          <w:numId w:val="35"/>
        </w:numPr>
        <w:tabs>
          <w:tab w:val="left" w:pos="1588"/>
        </w:tabs>
        <w:spacing w:before="153"/>
        <w:ind w:hanging="170"/>
        <w:rPr>
          <w:sz w:val="20"/>
        </w:rPr>
      </w:pPr>
      <w:r>
        <w:rPr>
          <w:color w:val="58595B"/>
          <w:sz w:val="20"/>
        </w:rPr>
        <w:t>improved inspection and enquiry</w:t>
      </w:r>
      <w:r>
        <w:rPr>
          <w:color w:val="58595B"/>
          <w:spacing w:val="5"/>
          <w:sz w:val="20"/>
        </w:rPr>
        <w:t xml:space="preserve"> </w:t>
      </w:r>
      <w:r>
        <w:rPr>
          <w:color w:val="58595B"/>
          <w:sz w:val="20"/>
        </w:rPr>
        <w:t>powers.</w:t>
      </w:r>
    </w:p>
    <w:p w14:paraId="70CD93A0" w14:textId="77777777" w:rsidR="00160E7F" w:rsidRDefault="00160E7F">
      <w:pPr>
        <w:rPr>
          <w:sz w:val="20"/>
        </w:rPr>
        <w:sectPr w:rsidR="00160E7F">
          <w:headerReference w:type="even" r:id="rId44"/>
          <w:headerReference w:type="default" r:id="rId45"/>
          <w:pgSz w:w="11910" w:h="16840"/>
          <w:pgMar w:top="980" w:right="1680" w:bottom="280" w:left="0" w:header="788" w:footer="0" w:gutter="0"/>
          <w:pgNumType w:start="238"/>
          <w:cols w:space="720"/>
        </w:sectPr>
      </w:pPr>
    </w:p>
    <w:p w14:paraId="19A5598A" w14:textId="77777777" w:rsidR="00160E7F" w:rsidRDefault="00160E7F">
      <w:pPr>
        <w:pStyle w:val="BodyText"/>
      </w:pPr>
    </w:p>
    <w:p w14:paraId="7768B2B6" w14:textId="77777777" w:rsidR="00160E7F" w:rsidRDefault="00160E7F">
      <w:pPr>
        <w:pStyle w:val="BodyText"/>
      </w:pPr>
    </w:p>
    <w:p w14:paraId="069CD713" w14:textId="77777777" w:rsidR="00160E7F" w:rsidRDefault="00160E7F">
      <w:pPr>
        <w:pStyle w:val="BodyText"/>
      </w:pPr>
    </w:p>
    <w:p w14:paraId="49F39731" w14:textId="77777777" w:rsidR="00160E7F" w:rsidRDefault="00160E7F">
      <w:pPr>
        <w:pStyle w:val="BodyText"/>
      </w:pPr>
    </w:p>
    <w:p w14:paraId="20FC21D9" w14:textId="77777777" w:rsidR="00160E7F" w:rsidRDefault="002B0299">
      <w:pPr>
        <w:pStyle w:val="Heading3"/>
        <w:numPr>
          <w:ilvl w:val="1"/>
          <w:numId w:val="33"/>
        </w:numPr>
        <w:tabs>
          <w:tab w:val="left" w:pos="723"/>
        </w:tabs>
        <w:ind w:left="722" w:hanging="588"/>
        <w:jc w:val="left"/>
      </w:pPr>
      <w:r>
        <w:rPr>
          <w:color w:val="0095A7"/>
        </w:rPr>
        <w:t>Prosecutions and enforceable</w:t>
      </w:r>
      <w:r>
        <w:rPr>
          <w:color w:val="0095A7"/>
          <w:spacing w:val="50"/>
        </w:rPr>
        <w:t xml:space="preserve"> </w:t>
      </w:r>
      <w:r>
        <w:rPr>
          <w:color w:val="0095A7"/>
        </w:rPr>
        <w:t>undertakings</w:t>
      </w:r>
    </w:p>
    <w:p w14:paraId="03AB3CA8" w14:textId="77777777" w:rsidR="00160E7F" w:rsidRDefault="002B0299">
      <w:pPr>
        <w:pStyle w:val="BodyText"/>
        <w:spacing w:before="145" w:line="280" w:lineRule="auto"/>
        <w:ind w:left="134" w:right="1526"/>
      </w:pPr>
      <w:r>
        <w:rPr>
          <w:color w:val="58595B"/>
        </w:rPr>
        <w:t>We recommend the EPA strengthen its processes, procedures and resourcing for prosecutions by developing and implementing a prosecution strategy. This change will need commitment from the whole organisation. It should involve measures to facilitate timely prosecutions, including using strategic prosecutions to hold polluters to account and to deter offenders and others from committing similar offences.</w:t>
      </w:r>
    </w:p>
    <w:p w14:paraId="5B429CB2" w14:textId="77777777" w:rsidR="00160E7F" w:rsidRDefault="002B0299">
      <w:pPr>
        <w:pStyle w:val="BodyText"/>
        <w:spacing w:before="172" w:line="280" w:lineRule="auto"/>
        <w:ind w:left="134" w:right="1476"/>
      </w:pPr>
      <w:r>
        <w:rPr>
          <w:color w:val="58595B"/>
        </w:rPr>
        <w:t xml:space="preserve">Prosecutions are important because it is in the public </w:t>
      </w:r>
      <w:r>
        <w:rPr>
          <w:color w:val="58595B"/>
          <w:spacing w:val="-3"/>
        </w:rPr>
        <w:t xml:space="preserve">interest </w:t>
      </w:r>
      <w:r>
        <w:rPr>
          <w:color w:val="58595B"/>
        </w:rPr>
        <w:t xml:space="preserve">to seek justice for a criminal act that harms individuals or the </w:t>
      </w:r>
      <w:r>
        <w:rPr>
          <w:color w:val="58595B"/>
          <w:spacing w:val="-3"/>
        </w:rPr>
        <w:t>community.</w:t>
      </w:r>
      <w:r>
        <w:rPr>
          <w:color w:val="58595B"/>
          <w:spacing w:val="-3"/>
          <w:position w:val="7"/>
          <w:sz w:val="11"/>
        </w:rPr>
        <w:t xml:space="preserve">1 </w:t>
      </w:r>
      <w:r>
        <w:rPr>
          <w:color w:val="58595B"/>
        </w:rPr>
        <w:t>Undertaken on behalf of society, prosecutions by public authorities give the public confidence that offenders will be penalised for their actions (that is, receive just punishment). Prosecutions also discourage offenders and others from committing the same or similar offences. This deterrence function is especially important for serious offences  and where the offence is prevalent, the deterrent message can have a large impact on</w:t>
      </w:r>
      <w:r>
        <w:rPr>
          <w:color w:val="58595B"/>
          <w:spacing w:val="4"/>
        </w:rPr>
        <w:t xml:space="preserve"> </w:t>
      </w:r>
      <w:r>
        <w:rPr>
          <w:color w:val="58595B"/>
        </w:rPr>
        <w:t>others.</w:t>
      </w:r>
    </w:p>
    <w:p w14:paraId="25824430" w14:textId="77777777" w:rsidR="00160E7F" w:rsidRDefault="002B0299">
      <w:pPr>
        <w:pStyle w:val="BodyText"/>
        <w:spacing w:before="172" w:line="280" w:lineRule="auto"/>
        <w:ind w:left="134" w:right="1604"/>
      </w:pPr>
      <w:r>
        <w:rPr>
          <w:color w:val="58595B"/>
        </w:rPr>
        <w:t>Prosecutions use the power of the criminal justice system to signal that the EPA (acting on the community’s behalf) will not tolerate actions that cause serious harm to the environment or human health.</w:t>
      </w:r>
      <w:r>
        <w:rPr>
          <w:color w:val="58595B"/>
          <w:position w:val="7"/>
          <w:sz w:val="11"/>
        </w:rPr>
        <w:t xml:space="preserve">2 </w:t>
      </w:r>
      <w:r>
        <w:rPr>
          <w:color w:val="58595B"/>
        </w:rPr>
        <w:t>However, the EPA pursues fewer prosecutions and enforceable undertakings, compared with EPAs in other states (recognising comparisons can be difficult given definitional and reporting differences) (figures 13.1 and 13.2). These results provide support for stakeholder perceptions that the EPA is risk averse and tentative in using its higher end sanctions.</w:t>
      </w:r>
    </w:p>
    <w:p w14:paraId="117EB204" w14:textId="77777777" w:rsidR="00160E7F" w:rsidRDefault="00160E7F">
      <w:pPr>
        <w:pStyle w:val="BodyText"/>
        <w:spacing w:before="4"/>
        <w:rPr>
          <w:sz w:val="17"/>
        </w:rPr>
      </w:pPr>
    </w:p>
    <w:p w14:paraId="44800F5B" w14:textId="77777777" w:rsidR="00160E7F" w:rsidRDefault="002B0299">
      <w:pPr>
        <w:spacing w:before="1"/>
        <w:ind w:left="134" w:right="789"/>
        <w:rPr>
          <w:sz w:val="20"/>
        </w:rPr>
      </w:pPr>
      <w:r>
        <w:rPr>
          <w:b/>
          <w:color w:val="0095A7"/>
          <w:sz w:val="20"/>
        </w:rPr>
        <w:t xml:space="preserve">FIGURE 13.1  </w:t>
      </w:r>
      <w:r>
        <w:rPr>
          <w:color w:val="0095A7"/>
          <w:sz w:val="20"/>
        </w:rPr>
        <w:t>NUMBER OF PROSECUTIONS</w:t>
      </w:r>
    </w:p>
    <w:p w14:paraId="7FD9EFF8" w14:textId="77777777" w:rsidR="00160E7F" w:rsidRDefault="002B0299">
      <w:pPr>
        <w:pStyle w:val="BodyText"/>
        <w:rPr>
          <w:sz w:val="21"/>
        </w:rPr>
      </w:pPr>
      <w:r>
        <w:rPr>
          <w:noProof/>
        </w:rPr>
        <w:drawing>
          <wp:anchor distT="0" distB="0" distL="0" distR="0" simplePos="0" relativeHeight="1504" behindDoc="0" locked="0" layoutInCell="1" allowOverlap="1" wp14:anchorId="353F5741" wp14:editId="5A032198">
            <wp:simplePos x="0" y="0"/>
            <wp:positionH relativeFrom="page">
              <wp:posOffset>1151991</wp:posOffset>
            </wp:positionH>
            <wp:positionV relativeFrom="paragraph">
              <wp:posOffset>178490</wp:posOffset>
            </wp:positionV>
            <wp:extent cx="5506117" cy="3905250"/>
            <wp:effectExtent l="0" t="0" r="0" b="0"/>
            <wp:wrapTopAndBottom/>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0.png"/>
                    <pic:cNvPicPr/>
                  </pic:nvPicPr>
                  <pic:blipFill>
                    <a:blip r:embed="rId46" cstate="print"/>
                    <a:stretch>
                      <a:fillRect/>
                    </a:stretch>
                  </pic:blipFill>
                  <pic:spPr>
                    <a:xfrm>
                      <a:off x="0" y="0"/>
                      <a:ext cx="5506117" cy="3905250"/>
                    </a:xfrm>
                    <a:prstGeom prst="rect">
                      <a:avLst/>
                    </a:prstGeom>
                  </pic:spPr>
                </pic:pic>
              </a:graphicData>
            </a:graphic>
          </wp:anchor>
        </w:drawing>
      </w:r>
    </w:p>
    <w:p w14:paraId="66D7FC18" w14:textId="77777777" w:rsidR="00160E7F" w:rsidRDefault="00160E7F">
      <w:pPr>
        <w:rPr>
          <w:sz w:val="21"/>
        </w:rPr>
        <w:sectPr w:rsidR="00160E7F">
          <w:pgSz w:w="11910" w:h="16840"/>
          <w:pgMar w:top="980" w:right="0" w:bottom="280" w:left="1680" w:header="788" w:footer="0" w:gutter="0"/>
          <w:cols w:space="720"/>
        </w:sectPr>
      </w:pPr>
    </w:p>
    <w:p w14:paraId="06EF206E" w14:textId="77777777" w:rsidR="00160E7F" w:rsidRDefault="00160E7F">
      <w:pPr>
        <w:pStyle w:val="BodyText"/>
      </w:pPr>
    </w:p>
    <w:p w14:paraId="1EBBCB2B" w14:textId="77777777" w:rsidR="00160E7F" w:rsidRDefault="00160E7F">
      <w:pPr>
        <w:pStyle w:val="BodyText"/>
      </w:pPr>
    </w:p>
    <w:p w14:paraId="256DF4BC" w14:textId="77777777" w:rsidR="00160E7F" w:rsidRDefault="00160E7F">
      <w:pPr>
        <w:pStyle w:val="BodyText"/>
      </w:pPr>
    </w:p>
    <w:p w14:paraId="0652880C" w14:textId="77777777" w:rsidR="00160E7F" w:rsidRDefault="00160E7F">
      <w:pPr>
        <w:pStyle w:val="BodyText"/>
      </w:pPr>
    </w:p>
    <w:p w14:paraId="2739ED3B" w14:textId="77777777" w:rsidR="00160E7F" w:rsidRDefault="00160E7F">
      <w:pPr>
        <w:pStyle w:val="BodyText"/>
        <w:spacing w:before="8"/>
        <w:rPr>
          <w:sz w:val="17"/>
        </w:rPr>
      </w:pPr>
    </w:p>
    <w:p w14:paraId="744EC51A" w14:textId="77777777" w:rsidR="00160E7F" w:rsidRDefault="002B0299">
      <w:pPr>
        <w:spacing w:before="1"/>
        <w:ind w:left="1417" w:right="789"/>
        <w:rPr>
          <w:sz w:val="20"/>
        </w:rPr>
      </w:pPr>
      <w:r>
        <w:rPr>
          <w:b/>
          <w:color w:val="0095A7"/>
          <w:sz w:val="20"/>
        </w:rPr>
        <w:t xml:space="preserve">FIGURE 13.2 </w:t>
      </w:r>
      <w:r>
        <w:rPr>
          <w:color w:val="0095A7"/>
          <w:sz w:val="20"/>
        </w:rPr>
        <w:t>NUMBER OF ENFORCEABLE UNDERTAKINGS</w:t>
      </w:r>
    </w:p>
    <w:p w14:paraId="0CEC5A07" w14:textId="77777777" w:rsidR="00160E7F" w:rsidRDefault="002B0299">
      <w:pPr>
        <w:pStyle w:val="BodyText"/>
        <w:rPr>
          <w:sz w:val="21"/>
        </w:rPr>
      </w:pPr>
      <w:r>
        <w:rPr>
          <w:noProof/>
        </w:rPr>
        <w:drawing>
          <wp:anchor distT="0" distB="0" distL="0" distR="0" simplePos="0" relativeHeight="1528" behindDoc="0" locked="0" layoutInCell="1" allowOverlap="1" wp14:anchorId="452C9AE9" wp14:editId="5B3FBC8D">
            <wp:simplePos x="0" y="0"/>
            <wp:positionH relativeFrom="page">
              <wp:posOffset>899998</wp:posOffset>
            </wp:positionH>
            <wp:positionV relativeFrom="paragraph">
              <wp:posOffset>178495</wp:posOffset>
            </wp:positionV>
            <wp:extent cx="5522073" cy="4590288"/>
            <wp:effectExtent l="0" t="0" r="0" b="0"/>
            <wp:wrapTopAndBottom/>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47" cstate="print"/>
                    <a:stretch>
                      <a:fillRect/>
                    </a:stretch>
                  </pic:blipFill>
                  <pic:spPr>
                    <a:xfrm>
                      <a:off x="0" y="0"/>
                      <a:ext cx="5522073" cy="4590288"/>
                    </a:xfrm>
                    <a:prstGeom prst="rect">
                      <a:avLst/>
                    </a:prstGeom>
                  </pic:spPr>
                </pic:pic>
              </a:graphicData>
            </a:graphic>
          </wp:anchor>
        </w:drawing>
      </w:r>
    </w:p>
    <w:p w14:paraId="62468174" w14:textId="77777777" w:rsidR="00160E7F" w:rsidRDefault="00160E7F">
      <w:pPr>
        <w:pStyle w:val="BodyText"/>
        <w:spacing w:before="9"/>
        <w:rPr>
          <w:sz w:val="17"/>
        </w:rPr>
      </w:pPr>
    </w:p>
    <w:p w14:paraId="45E120D9" w14:textId="77777777" w:rsidR="00160E7F" w:rsidRDefault="002B0299">
      <w:pPr>
        <w:pStyle w:val="BodyText"/>
        <w:spacing w:line="280" w:lineRule="auto"/>
        <w:ind w:left="1417" w:right="642"/>
      </w:pPr>
      <w:r>
        <w:rPr>
          <w:color w:val="58595B"/>
        </w:rPr>
        <w:t>We share concerns about the extent and timeliness of EPA enforcement action, particularly in light of events such as the Hazelwood mine fire (box 13.1). The 2011 Krpan Review</w:t>
      </w:r>
    </w:p>
    <w:p w14:paraId="68B5F946" w14:textId="77777777" w:rsidR="00160E7F" w:rsidRDefault="002B0299">
      <w:pPr>
        <w:pStyle w:val="BodyText"/>
        <w:spacing w:before="2" w:line="280" w:lineRule="auto"/>
        <w:ind w:left="1417" w:right="278"/>
        <w:rPr>
          <w:sz w:val="11"/>
        </w:rPr>
      </w:pPr>
      <w:r>
        <w:rPr>
          <w:color w:val="58595B"/>
        </w:rPr>
        <w:t>recommended that the EPA increase the level of prosecutions, to ensure that serious offences under the EP Act attract appropriate consequences.</w:t>
      </w:r>
      <w:r>
        <w:rPr>
          <w:color w:val="58595B"/>
          <w:position w:val="7"/>
          <w:sz w:val="11"/>
        </w:rPr>
        <w:t xml:space="preserve">3 </w:t>
      </w:r>
      <w:r>
        <w:rPr>
          <w:color w:val="58595B"/>
        </w:rPr>
        <w:t>It is concerning, however, that the number of EPA prosecutions per year has fallen since the Krpan Review (notwithstanding some recently completed contested prosecutions).</w:t>
      </w:r>
      <w:r>
        <w:rPr>
          <w:color w:val="58595B"/>
          <w:position w:val="7"/>
          <w:sz w:val="11"/>
        </w:rPr>
        <w:t>4</w:t>
      </w:r>
    </w:p>
    <w:p w14:paraId="2828E778" w14:textId="77777777" w:rsidR="00160E7F" w:rsidRDefault="002B0299">
      <w:pPr>
        <w:pStyle w:val="BodyText"/>
        <w:spacing w:before="172" w:line="280" w:lineRule="auto"/>
        <w:ind w:left="1417" w:right="405"/>
      </w:pPr>
      <w:r>
        <w:rPr>
          <w:color w:val="58595B"/>
        </w:rPr>
        <w:t>The numbers of prosecutions can be an indicator of the EPA’s willingness to test its powers. A willingness to risk failure, and to adapt and learn, can improve the EPA’s effectiveness over time. Failure can also help make the case for change if it highlights unnecessary constraint or lack of power.</w:t>
      </w:r>
    </w:p>
    <w:p w14:paraId="4444B5CB" w14:textId="77777777" w:rsidR="00160E7F" w:rsidRDefault="002B0299">
      <w:pPr>
        <w:pStyle w:val="BodyText"/>
        <w:spacing w:before="172" w:line="280" w:lineRule="auto"/>
        <w:ind w:left="1417" w:right="185"/>
      </w:pPr>
      <w:r>
        <w:rPr>
          <w:color w:val="58595B"/>
        </w:rPr>
        <w:t>Our recommendations in other areas will support the necessary change in the EPA’s prosecution approach. Introducing a Board for the EPA can strengthen the oversight of key regulatory</w:t>
      </w:r>
    </w:p>
    <w:p w14:paraId="1AFF065D" w14:textId="77777777" w:rsidR="00160E7F" w:rsidRDefault="002B0299">
      <w:pPr>
        <w:pStyle w:val="BodyText"/>
        <w:spacing w:before="2" w:line="280" w:lineRule="auto"/>
        <w:ind w:left="1417" w:right="223"/>
      </w:pPr>
      <w:r>
        <w:rPr>
          <w:color w:val="58595B"/>
        </w:rPr>
        <w:t xml:space="preserve">actions and scrutiny of agency performance reporting </w:t>
      </w:r>
      <w:r>
        <w:rPr>
          <w:color w:val="58595B"/>
          <w:spacing w:val="-3"/>
        </w:rPr>
        <w:t xml:space="preserve">(chapter </w:t>
      </w:r>
      <w:r>
        <w:rPr>
          <w:color w:val="58595B"/>
          <w:spacing w:val="-6"/>
        </w:rPr>
        <w:t xml:space="preserve">19). </w:t>
      </w:r>
      <w:r>
        <w:rPr>
          <w:color w:val="58595B"/>
          <w:spacing w:val="-3"/>
        </w:rPr>
        <w:t xml:space="preserve">Similarly, </w:t>
      </w:r>
      <w:r>
        <w:rPr>
          <w:color w:val="58595B"/>
        </w:rPr>
        <w:t xml:space="preserve">introducing a directly enforceable general duty </w:t>
      </w:r>
      <w:r>
        <w:rPr>
          <w:color w:val="58595B"/>
          <w:spacing w:val="-3"/>
        </w:rPr>
        <w:t xml:space="preserve">(chapter </w:t>
      </w:r>
      <w:r>
        <w:rPr>
          <w:color w:val="58595B"/>
          <w:spacing w:val="-7"/>
        </w:rPr>
        <w:t xml:space="preserve">12) </w:t>
      </w:r>
      <w:r>
        <w:rPr>
          <w:color w:val="58595B"/>
        </w:rPr>
        <w:t xml:space="preserve">and civil penalties </w:t>
      </w:r>
      <w:r>
        <w:rPr>
          <w:color w:val="58595B"/>
          <w:spacing w:val="-4"/>
        </w:rPr>
        <w:t xml:space="preserve">(see </w:t>
      </w:r>
      <w:r>
        <w:rPr>
          <w:color w:val="58595B"/>
          <w:spacing w:val="-3"/>
        </w:rPr>
        <w:t xml:space="preserve">below) </w:t>
      </w:r>
      <w:r>
        <w:rPr>
          <w:color w:val="58595B"/>
        </w:rPr>
        <w:t xml:space="preserve">will help the </w:t>
      </w:r>
      <w:r>
        <w:rPr>
          <w:color w:val="58595B"/>
          <w:spacing w:val="-5"/>
        </w:rPr>
        <w:t xml:space="preserve">EPA </w:t>
      </w:r>
      <w:r>
        <w:rPr>
          <w:color w:val="58595B"/>
        </w:rPr>
        <w:t xml:space="preserve">to </w:t>
      </w:r>
      <w:r>
        <w:rPr>
          <w:color w:val="58595B"/>
          <w:spacing w:val="-3"/>
        </w:rPr>
        <w:t xml:space="preserve">take </w:t>
      </w:r>
      <w:r>
        <w:rPr>
          <w:color w:val="58595B"/>
        </w:rPr>
        <w:t>more timely enforcement action. Breach of the general duty will be a criminal offence, as well as providing a basis for civil remedies.</w:t>
      </w:r>
    </w:p>
    <w:p w14:paraId="44A3DA8D" w14:textId="77777777" w:rsidR="00160E7F" w:rsidRDefault="00160E7F">
      <w:pPr>
        <w:spacing w:line="280" w:lineRule="auto"/>
        <w:sectPr w:rsidR="00160E7F">
          <w:headerReference w:type="even" r:id="rId48"/>
          <w:headerReference w:type="default" r:id="rId49"/>
          <w:pgSz w:w="11910" w:h="16840"/>
          <w:pgMar w:top="980" w:right="1680" w:bottom="280" w:left="0" w:header="788" w:footer="0" w:gutter="0"/>
          <w:pgNumType w:start="240"/>
          <w:cols w:space="720"/>
        </w:sectPr>
      </w:pPr>
    </w:p>
    <w:p w14:paraId="5D0438F9" w14:textId="77777777" w:rsidR="00160E7F" w:rsidRDefault="00160E7F">
      <w:pPr>
        <w:pStyle w:val="BodyText"/>
      </w:pPr>
    </w:p>
    <w:p w14:paraId="060A9BED" w14:textId="77777777" w:rsidR="00160E7F" w:rsidRDefault="00160E7F">
      <w:pPr>
        <w:pStyle w:val="BodyText"/>
      </w:pPr>
    </w:p>
    <w:p w14:paraId="600C830D" w14:textId="77777777" w:rsidR="00160E7F" w:rsidRDefault="00160E7F">
      <w:pPr>
        <w:pStyle w:val="BodyText"/>
      </w:pPr>
    </w:p>
    <w:p w14:paraId="5B0C6D27" w14:textId="77777777" w:rsidR="00160E7F" w:rsidRDefault="00160E7F">
      <w:pPr>
        <w:pStyle w:val="BodyText"/>
      </w:pPr>
    </w:p>
    <w:p w14:paraId="06C44C6F" w14:textId="77777777" w:rsidR="00160E7F" w:rsidRDefault="000638CB">
      <w:pPr>
        <w:pStyle w:val="BodyText"/>
        <w:spacing w:before="1"/>
        <w:rPr>
          <w:sz w:val="26"/>
        </w:rPr>
      </w:pPr>
      <w:r>
        <w:pict w14:anchorId="37315A3F">
          <v:rect id="_x0000_s1102" style="position:absolute;margin-left:90.7pt;margin-top:12.3pt;width:432.7pt;height:400.7pt;z-index:-90544;mso-position-horizontal-relative:page" fillcolor="#eaf2f3" stroked="f">
            <o:lock v:ext="edit" aspectratio="t"/>
            <w10:wrap anchorx="page"/>
          </v:rect>
        </w:pict>
      </w:r>
    </w:p>
    <w:p w14:paraId="33B4FAF1" w14:textId="77777777" w:rsidR="00160E7F" w:rsidRDefault="002B0299">
      <w:pPr>
        <w:pStyle w:val="BodyText"/>
        <w:spacing w:before="74"/>
        <w:ind w:left="304" w:right="789"/>
      </w:pPr>
      <w:r>
        <w:rPr>
          <w:b/>
          <w:color w:val="0095A7"/>
        </w:rPr>
        <w:t xml:space="preserve">BOX 13.1 </w:t>
      </w:r>
      <w:r>
        <w:rPr>
          <w:color w:val="0095A7"/>
        </w:rPr>
        <w:t>DELAYS IN ENFORCEMENT FOLLOWING THE HAZELWOOD MINE FIRE</w:t>
      </w:r>
    </w:p>
    <w:p w14:paraId="410BC75E" w14:textId="77777777" w:rsidR="00160E7F" w:rsidRDefault="002B0299">
      <w:pPr>
        <w:pStyle w:val="BodyText"/>
        <w:spacing w:before="153" w:line="280" w:lineRule="auto"/>
        <w:ind w:left="304" w:right="1900"/>
        <w:rPr>
          <w:sz w:val="11"/>
        </w:rPr>
      </w:pPr>
      <w:r>
        <w:rPr>
          <w:color w:val="58595B"/>
        </w:rPr>
        <w:t>The Hazelwood mine fire burned for 45 days from 9 February 2014. For much of that time, it sent smoke and ash over the town of Morwell and the surrounding area. The community experienced adverse health impacts and may be affected for an indeterminate period into the future.</w:t>
      </w:r>
      <w:r>
        <w:rPr>
          <w:color w:val="58595B"/>
          <w:position w:val="7"/>
          <w:sz w:val="11"/>
        </w:rPr>
        <w:t>5</w:t>
      </w:r>
    </w:p>
    <w:p w14:paraId="7BEC367D" w14:textId="77777777" w:rsidR="00160E7F" w:rsidRDefault="002B0299">
      <w:pPr>
        <w:pStyle w:val="BodyText"/>
        <w:spacing w:before="172" w:line="280" w:lineRule="auto"/>
        <w:ind w:left="304" w:right="1746"/>
        <w:rPr>
          <w:sz w:val="11"/>
        </w:rPr>
      </w:pPr>
      <w:r>
        <w:rPr>
          <w:color w:val="58595B"/>
        </w:rPr>
        <w:t>Pollutants emitted during the Hazelwood mine fire included carbon monoxide, particulate matter (both PM10 and PM2.5), volatile organic compounds, dioxins and furans, and metals. Significantly elevated levels of pollution (primarily PM2.5 and carbon monoxide) were recorded over three key time periods in February 2014.</w:t>
      </w:r>
      <w:r>
        <w:rPr>
          <w:color w:val="58595B"/>
          <w:position w:val="7"/>
          <w:sz w:val="11"/>
        </w:rPr>
        <w:t>6</w:t>
      </w:r>
    </w:p>
    <w:p w14:paraId="2FF35558" w14:textId="77777777" w:rsidR="00160E7F" w:rsidRDefault="002B0299">
      <w:pPr>
        <w:pStyle w:val="BodyText"/>
        <w:spacing w:before="172" w:line="280" w:lineRule="auto"/>
        <w:ind w:left="304" w:right="2193"/>
      </w:pPr>
      <w:r>
        <w:rPr>
          <w:color w:val="58595B"/>
        </w:rPr>
        <w:t>Given the significance of the Hazelwood mine fire and the impact on the community, successive Victorian Governments have:</w:t>
      </w:r>
    </w:p>
    <w:p w14:paraId="251DD53B" w14:textId="77777777" w:rsidR="00160E7F" w:rsidRDefault="002B0299">
      <w:pPr>
        <w:pStyle w:val="ListParagraph"/>
        <w:numPr>
          <w:ilvl w:val="0"/>
          <w:numId w:val="32"/>
        </w:numPr>
        <w:tabs>
          <w:tab w:val="left" w:pos="475"/>
        </w:tabs>
        <w:spacing w:before="115" w:line="280" w:lineRule="auto"/>
        <w:ind w:right="1863" w:hanging="170"/>
        <w:rPr>
          <w:sz w:val="20"/>
        </w:rPr>
      </w:pPr>
      <w:r>
        <w:rPr>
          <w:color w:val="58595B"/>
          <w:sz w:val="20"/>
        </w:rPr>
        <w:t xml:space="preserve">established the Hazelwood Mine Fire Inquiry in </w:t>
      </w:r>
      <w:r>
        <w:rPr>
          <w:color w:val="58595B"/>
          <w:spacing w:val="-4"/>
          <w:sz w:val="20"/>
        </w:rPr>
        <w:t xml:space="preserve">2014, </w:t>
      </w:r>
      <w:r>
        <w:rPr>
          <w:color w:val="58595B"/>
          <w:sz w:val="20"/>
        </w:rPr>
        <w:t>which was then reopened with new terms of reference in</w:t>
      </w:r>
      <w:r>
        <w:rPr>
          <w:color w:val="58595B"/>
          <w:spacing w:val="4"/>
          <w:sz w:val="20"/>
        </w:rPr>
        <w:t xml:space="preserve"> </w:t>
      </w:r>
      <w:r>
        <w:rPr>
          <w:color w:val="58595B"/>
          <w:spacing w:val="-4"/>
          <w:sz w:val="20"/>
        </w:rPr>
        <w:t>2015</w:t>
      </w:r>
    </w:p>
    <w:p w14:paraId="0489FE1F" w14:textId="77777777" w:rsidR="00160E7F" w:rsidRDefault="002B0299">
      <w:pPr>
        <w:pStyle w:val="ListParagraph"/>
        <w:numPr>
          <w:ilvl w:val="0"/>
          <w:numId w:val="32"/>
        </w:numPr>
        <w:tabs>
          <w:tab w:val="left" w:pos="475"/>
        </w:tabs>
        <w:spacing w:before="115" w:line="280" w:lineRule="auto"/>
        <w:ind w:right="2551" w:hanging="170"/>
        <w:rPr>
          <w:sz w:val="20"/>
        </w:rPr>
      </w:pPr>
      <w:r>
        <w:rPr>
          <w:color w:val="58595B"/>
          <w:sz w:val="20"/>
        </w:rPr>
        <w:t>appointed</w:t>
      </w:r>
      <w:r>
        <w:rPr>
          <w:color w:val="58595B"/>
          <w:spacing w:val="-10"/>
          <w:sz w:val="20"/>
        </w:rPr>
        <w:t xml:space="preserve"> </w:t>
      </w:r>
      <w:r>
        <w:rPr>
          <w:color w:val="58595B"/>
          <w:sz w:val="20"/>
        </w:rPr>
        <w:t>Mr</w:t>
      </w:r>
      <w:r>
        <w:rPr>
          <w:color w:val="58595B"/>
          <w:spacing w:val="-10"/>
          <w:sz w:val="20"/>
        </w:rPr>
        <w:t xml:space="preserve"> </w:t>
      </w:r>
      <w:r>
        <w:rPr>
          <w:color w:val="58595B"/>
          <w:sz w:val="20"/>
        </w:rPr>
        <w:t>Neil</w:t>
      </w:r>
      <w:r>
        <w:rPr>
          <w:color w:val="58595B"/>
          <w:spacing w:val="-10"/>
          <w:sz w:val="20"/>
        </w:rPr>
        <w:t xml:space="preserve"> </w:t>
      </w:r>
      <w:r>
        <w:rPr>
          <w:color w:val="58595B"/>
          <w:sz w:val="20"/>
        </w:rPr>
        <w:t>Comrie</w:t>
      </w:r>
      <w:r>
        <w:rPr>
          <w:color w:val="58595B"/>
          <w:spacing w:val="-10"/>
          <w:sz w:val="20"/>
        </w:rPr>
        <w:t xml:space="preserve"> </w:t>
      </w:r>
      <w:r>
        <w:rPr>
          <w:color w:val="58595B"/>
          <w:spacing w:val="-5"/>
          <w:sz w:val="20"/>
        </w:rPr>
        <w:t>AO,</w:t>
      </w:r>
      <w:r>
        <w:rPr>
          <w:color w:val="58595B"/>
          <w:spacing w:val="-10"/>
          <w:sz w:val="20"/>
        </w:rPr>
        <w:t xml:space="preserve"> </w:t>
      </w:r>
      <w:r>
        <w:rPr>
          <w:color w:val="58595B"/>
          <w:sz w:val="20"/>
        </w:rPr>
        <w:t>APM</w:t>
      </w:r>
      <w:r>
        <w:rPr>
          <w:color w:val="58595B"/>
          <w:spacing w:val="-10"/>
          <w:sz w:val="20"/>
        </w:rPr>
        <w:t xml:space="preserve"> </w:t>
      </w:r>
      <w:r>
        <w:rPr>
          <w:color w:val="58595B"/>
          <w:sz w:val="20"/>
        </w:rPr>
        <w:t>as</w:t>
      </w:r>
      <w:r>
        <w:rPr>
          <w:color w:val="58595B"/>
          <w:spacing w:val="-10"/>
          <w:sz w:val="20"/>
        </w:rPr>
        <w:t xml:space="preserve"> </w:t>
      </w:r>
      <w:r>
        <w:rPr>
          <w:color w:val="58595B"/>
          <w:sz w:val="20"/>
        </w:rPr>
        <w:t>the</w:t>
      </w:r>
      <w:r>
        <w:rPr>
          <w:color w:val="58595B"/>
          <w:spacing w:val="-10"/>
          <w:sz w:val="20"/>
        </w:rPr>
        <w:t xml:space="preserve"> </w:t>
      </w:r>
      <w:r>
        <w:rPr>
          <w:color w:val="58595B"/>
          <w:sz w:val="20"/>
        </w:rPr>
        <w:t>Implementation</w:t>
      </w:r>
      <w:r>
        <w:rPr>
          <w:color w:val="58595B"/>
          <w:spacing w:val="-10"/>
          <w:sz w:val="20"/>
        </w:rPr>
        <w:t xml:space="preserve"> </w:t>
      </w:r>
      <w:r>
        <w:rPr>
          <w:color w:val="58595B"/>
          <w:sz w:val="20"/>
        </w:rPr>
        <w:t>Monitor</w:t>
      </w:r>
      <w:r>
        <w:rPr>
          <w:color w:val="58595B"/>
          <w:spacing w:val="-10"/>
          <w:sz w:val="20"/>
        </w:rPr>
        <w:t xml:space="preserve"> </w:t>
      </w:r>
      <w:r>
        <w:rPr>
          <w:color w:val="58595B"/>
          <w:sz w:val="20"/>
        </w:rPr>
        <w:t>for</w:t>
      </w:r>
      <w:r>
        <w:rPr>
          <w:color w:val="58595B"/>
          <w:spacing w:val="-10"/>
          <w:sz w:val="20"/>
        </w:rPr>
        <w:t xml:space="preserve"> </w:t>
      </w:r>
      <w:r>
        <w:rPr>
          <w:color w:val="58595B"/>
          <w:sz w:val="20"/>
        </w:rPr>
        <w:t>reporting</w:t>
      </w:r>
      <w:r>
        <w:rPr>
          <w:color w:val="58595B"/>
          <w:spacing w:val="-10"/>
          <w:sz w:val="20"/>
        </w:rPr>
        <w:t xml:space="preserve"> </w:t>
      </w:r>
      <w:r>
        <w:rPr>
          <w:color w:val="58595B"/>
          <w:sz w:val="20"/>
        </w:rPr>
        <w:t>on implementation of inquiry recommendations and government</w:t>
      </w:r>
      <w:r>
        <w:rPr>
          <w:color w:val="58595B"/>
          <w:spacing w:val="-18"/>
          <w:sz w:val="20"/>
        </w:rPr>
        <w:t xml:space="preserve"> </w:t>
      </w:r>
      <w:r>
        <w:rPr>
          <w:color w:val="58595B"/>
          <w:sz w:val="20"/>
        </w:rPr>
        <w:t>commitments</w:t>
      </w:r>
    </w:p>
    <w:p w14:paraId="3CE69BE4" w14:textId="77777777" w:rsidR="00160E7F" w:rsidRDefault="002B0299">
      <w:pPr>
        <w:pStyle w:val="ListParagraph"/>
        <w:numPr>
          <w:ilvl w:val="0"/>
          <w:numId w:val="32"/>
        </w:numPr>
        <w:tabs>
          <w:tab w:val="left" w:pos="475"/>
        </w:tabs>
        <w:spacing w:before="115" w:line="280" w:lineRule="auto"/>
        <w:ind w:right="1685" w:hanging="170"/>
        <w:rPr>
          <w:sz w:val="20"/>
        </w:rPr>
      </w:pPr>
      <w:r>
        <w:rPr>
          <w:color w:val="58595B"/>
          <w:sz w:val="20"/>
        </w:rPr>
        <w:t>commissioned a long term health study to investigate the health impacts of exposure to the Hazelwood mine</w:t>
      </w:r>
      <w:r>
        <w:rPr>
          <w:color w:val="58595B"/>
          <w:spacing w:val="5"/>
          <w:sz w:val="20"/>
        </w:rPr>
        <w:t xml:space="preserve"> </w:t>
      </w:r>
      <w:r>
        <w:rPr>
          <w:color w:val="58595B"/>
          <w:sz w:val="20"/>
        </w:rPr>
        <w:t>fire.</w:t>
      </w:r>
    </w:p>
    <w:p w14:paraId="75F74F3E" w14:textId="77777777" w:rsidR="00160E7F" w:rsidRDefault="002B0299">
      <w:pPr>
        <w:spacing w:before="172" w:line="280" w:lineRule="auto"/>
        <w:ind w:left="304" w:right="1967"/>
        <w:rPr>
          <w:sz w:val="11"/>
        </w:rPr>
      </w:pPr>
      <w:r>
        <w:rPr>
          <w:color w:val="58595B"/>
          <w:sz w:val="20"/>
        </w:rPr>
        <w:t xml:space="preserve">On 4 February </w:t>
      </w:r>
      <w:r>
        <w:rPr>
          <w:color w:val="58595B"/>
          <w:spacing w:val="-3"/>
          <w:sz w:val="20"/>
        </w:rPr>
        <w:t xml:space="preserve">2016, </w:t>
      </w:r>
      <w:r>
        <w:rPr>
          <w:color w:val="58595B"/>
          <w:sz w:val="20"/>
        </w:rPr>
        <w:t xml:space="preserve">WorkSafe charged the Hazelwood Power Corporation </w:t>
      </w:r>
      <w:r>
        <w:rPr>
          <w:color w:val="58595B"/>
          <w:spacing w:val="2"/>
          <w:sz w:val="20"/>
        </w:rPr>
        <w:t xml:space="preserve">Pty </w:t>
      </w:r>
      <w:r>
        <w:rPr>
          <w:color w:val="58595B"/>
          <w:sz w:val="20"/>
        </w:rPr>
        <w:t xml:space="preserve">Ltd with </w:t>
      </w:r>
      <w:r>
        <w:rPr>
          <w:color w:val="58595B"/>
          <w:spacing w:val="-3"/>
          <w:sz w:val="20"/>
        </w:rPr>
        <w:t xml:space="preserve">10 </w:t>
      </w:r>
      <w:r>
        <w:rPr>
          <w:color w:val="58595B"/>
          <w:sz w:val="20"/>
        </w:rPr>
        <w:t xml:space="preserve">breaches of the </w:t>
      </w:r>
      <w:r>
        <w:rPr>
          <w:i/>
          <w:color w:val="58595B"/>
          <w:sz w:val="20"/>
        </w:rPr>
        <w:t>Occupational Health and Safety Act 2004</w:t>
      </w:r>
      <w:r>
        <w:rPr>
          <w:color w:val="58595B"/>
          <w:sz w:val="20"/>
        </w:rPr>
        <w:t>, relating to preparedness for the Hazelwood mine</w:t>
      </w:r>
      <w:r>
        <w:rPr>
          <w:color w:val="58595B"/>
          <w:spacing w:val="3"/>
          <w:sz w:val="20"/>
        </w:rPr>
        <w:t xml:space="preserve"> </w:t>
      </w:r>
      <w:r>
        <w:rPr>
          <w:color w:val="58595B"/>
          <w:sz w:val="20"/>
        </w:rPr>
        <w:t>fire.</w:t>
      </w:r>
      <w:r>
        <w:rPr>
          <w:color w:val="58595B"/>
          <w:position w:val="7"/>
          <w:sz w:val="11"/>
        </w:rPr>
        <w:t>7</w:t>
      </w:r>
    </w:p>
    <w:p w14:paraId="2BA8006D" w14:textId="77777777" w:rsidR="00160E7F" w:rsidRDefault="002B0299">
      <w:pPr>
        <w:pStyle w:val="BodyText"/>
        <w:spacing w:before="172" w:line="280" w:lineRule="auto"/>
        <w:ind w:left="304" w:right="1433"/>
        <w:rPr>
          <w:sz w:val="11"/>
        </w:rPr>
      </w:pPr>
      <w:r>
        <w:rPr>
          <w:color w:val="58595B"/>
        </w:rPr>
        <w:t>On</w:t>
      </w:r>
      <w:r>
        <w:rPr>
          <w:color w:val="58595B"/>
          <w:spacing w:val="-9"/>
        </w:rPr>
        <w:t xml:space="preserve"> </w:t>
      </w:r>
      <w:r>
        <w:rPr>
          <w:color w:val="58595B"/>
          <w:spacing w:val="-5"/>
        </w:rPr>
        <w:t>15</w:t>
      </w:r>
      <w:r>
        <w:rPr>
          <w:color w:val="58595B"/>
          <w:spacing w:val="-9"/>
        </w:rPr>
        <w:t xml:space="preserve"> </w:t>
      </w:r>
      <w:r>
        <w:rPr>
          <w:color w:val="58595B"/>
        </w:rPr>
        <w:t>March</w:t>
      </w:r>
      <w:r>
        <w:rPr>
          <w:color w:val="58595B"/>
          <w:spacing w:val="-9"/>
        </w:rPr>
        <w:t xml:space="preserve"> </w:t>
      </w:r>
      <w:r>
        <w:rPr>
          <w:color w:val="58595B"/>
          <w:spacing w:val="-4"/>
        </w:rPr>
        <w:t>2016,</w:t>
      </w:r>
      <w:r>
        <w:rPr>
          <w:color w:val="58595B"/>
          <w:spacing w:val="-9"/>
        </w:rPr>
        <w:t xml:space="preserve"> </w:t>
      </w:r>
      <w:r>
        <w:rPr>
          <w:color w:val="58595B"/>
        </w:rPr>
        <w:t>the</w:t>
      </w:r>
      <w:r>
        <w:rPr>
          <w:color w:val="58595B"/>
          <w:spacing w:val="-9"/>
        </w:rPr>
        <w:t xml:space="preserve"> </w:t>
      </w:r>
      <w:r>
        <w:rPr>
          <w:color w:val="58595B"/>
          <w:spacing w:val="-5"/>
        </w:rPr>
        <w:t>EPA</w:t>
      </w:r>
      <w:r>
        <w:rPr>
          <w:color w:val="58595B"/>
          <w:spacing w:val="-9"/>
        </w:rPr>
        <w:t xml:space="preserve"> </w:t>
      </w:r>
      <w:r>
        <w:rPr>
          <w:color w:val="58595B"/>
        </w:rPr>
        <w:t>laid</w:t>
      </w:r>
      <w:r>
        <w:rPr>
          <w:color w:val="58595B"/>
          <w:spacing w:val="-9"/>
        </w:rPr>
        <w:t xml:space="preserve"> </w:t>
      </w:r>
      <w:r>
        <w:rPr>
          <w:color w:val="58595B"/>
          <w:spacing w:val="-6"/>
        </w:rPr>
        <w:t>12</w:t>
      </w:r>
      <w:r>
        <w:rPr>
          <w:color w:val="58595B"/>
          <w:spacing w:val="-9"/>
        </w:rPr>
        <w:t xml:space="preserve"> </w:t>
      </w:r>
      <w:r>
        <w:rPr>
          <w:color w:val="58595B"/>
        </w:rPr>
        <w:t>charges</w:t>
      </w:r>
      <w:r>
        <w:rPr>
          <w:color w:val="58595B"/>
          <w:spacing w:val="-9"/>
        </w:rPr>
        <w:t xml:space="preserve"> </w:t>
      </w:r>
      <w:r>
        <w:rPr>
          <w:color w:val="58595B"/>
        </w:rPr>
        <w:t>relating</w:t>
      </w:r>
      <w:r>
        <w:rPr>
          <w:color w:val="58595B"/>
          <w:spacing w:val="-9"/>
        </w:rPr>
        <w:t xml:space="preserve"> </w:t>
      </w:r>
      <w:r>
        <w:rPr>
          <w:color w:val="58595B"/>
        </w:rPr>
        <w:t>to</w:t>
      </w:r>
      <w:r>
        <w:rPr>
          <w:color w:val="58595B"/>
          <w:spacing w:val="-9"/>
        </w:rPr>
        <w:t xml:space="preserve"> </w:t>
      </w:r>
      <w:r>
        <w:rPr>
          <w:color w:val="58595B"/>
        </w:rPr>
        <w:t>the</w:t>
      </w:r>
      <w:r>
        <w:rPr>
          <w:color w:val="58595B"/>
          <w:spacing w:val="-9"/>
        </w:rPr>
        <w:t xml:space="preserve"> </w:t>
      </w:r>
      <w:r>
        <w:rPr>
          <w:color w:val="58595B"/>
        </w:rPr>
        <w:t>Hazelwood</w:t>
      </w:r>
      <w:r>
        <w:rPr>
          <w:color w:val="58595B"/>
          <w:spacing w:val="-9"/>
        </w:rPr>
        <w:t xml:space="preserve"> </w:t>
      </w:r>
      <w:r>
        <w:rPr>
          <w:color w:val="58595B"/>
        </w:rPr>
        <w:t>mine</w:t>
      </w:r>
      <w:r>
        <w:rPr>
          <w:color w:val="58595B"/>
          <w:spacing w:val="-9"/>
        </w:rPr>
        <w:t xml:space="preserve"> </w:t>
      </w:r>
      <w:r>
        <w:rPr>
          <w:color w:val="58595B"/>
        </w:rPr>
        <w:t>fire,</w:t>
      </w:r>
      <w:r>
        <w:rPr>
          <w:color w:val="58595B"/>
          <w:spacing w:val="-9"/>
        </w:rPr>
        <w:t xml:space="preserve"> </w:t>
      </w:r>
      <w:r>
        <w:rPr>
          <w:color w:val="58595B"/>
        </w:rPr>
        <w:t>more</w:t>
      </w:r>
      <w:r>
        <w:rPr>
          <w:color w:val="58595B"/>
          <w:spacing w:val="-9"/>
        </w:rPr>
        <w:t xml:space="preserve"> </w:t>
      </w:r>
      <w:r>
        <w:rPr>
          <w:color w:val="58595B"/>
        </w:rPr>
        <w:t>than</w:t>
      </w:r>
      <w:r>
        <w:rPr>
          <w:color w:val="58595B"/>
          <w:spacing w:val="-9"/>
        </w:rPr>
        <w:t xml:space="preserve"> </w:t>
      </w:r>
      <w:r>
        <w:rPr>
          <w:color w:val="58595B"/>
        </w:rPr>
        <w:t>two years after the fire started.</w:t>
      </w:r>
      <w:r>
        <w:rPr>
          <w:color w:val="58595B"/>
          <w:position w:val="7"/>
          <w:sz w:val="11"/>
        </w:rPr>
        <w:t xml:space="preserve">8 </w:t>
      </w:r>
      <w:r>
        <w:rPr>
          <w:color w:val="58595B"/>
        </w:rPr>
        <w:t xml:space="preserve">In its submission to our inquiry </w:t>
      </w:r>
      <w:r>
        <w:rPr>
          <w:color w:val="58595B"/>
          <w:spacing w:val="-3"/>
        </w:rPr>
        <w:t xml:space="preserve">(which </w:t>
      </w:r>
      <w:r>
        <w:rPr>
          <w:color w:val="58595B"/>
        </w:rPr>
        <w:t xml:space="preserve">came before the </w:t>
      </w:r>
      <w:r>
        <w:rPr>
          <w:color w:val="58595B"/>
          <w:spacing w:val="-5"/>
        </w:rPr>
        <w:t xml:space="preserve">EPA </w:t>
      </w:r>
      <w:r>
        <w:rPr>
          <w:color w:val="58595B"/>
        </w:rPr>
        <w:t xml:space="preserve">laid </w:t>
      </w:r>
      <w:r>
        <w:rPr>
          <w:color w:val="58595B"/>
          <w:spacing w:val="-3"/>
        </w:rPr>
        <w:t xml:space="preserve">charges), Environment </w:t>
      </w:r>
      <w:r>
        <w:rPr>
          <w:color w:val="58595B"/>
        </w:rPr>
        <w:t xml:space="preserve">Victoria stated that </w:t>
      </w:r>
      <w:r>
        <w:rPr>
          <w:color w:val="58595B"/>
          <w:spacing w:val="-8"/>
        </w:rPr>
        <w:t xml:space="preserve">‘… </w:t>
      </w:r>
      <w:r>
        <w:rPr>
          <w:color w:val="58595B"/>
          <w:spacing w:val="-3"/>
        </w:rPr>
        <w:t xml:space="preserve">[s]uch lengthy delays </w:t>
      </w:r>
      <w:r>
        <w:rPr>
          <w:color w:val="58595B"/>
        </w:rPr>
        <w:t xml:space="preserve">reduce public trust in the </w:t>
      </w:r>
      <w:r>
        <w:rPr>
          <w:color w:val="58595B"/>
          <w:spacing w:val="-8"/>
        </w:rPr>
        <w:t>EPA’s</w:t>
      </w:r>
      <w:r>
        <w:rPr>
          <w:color w:val="58595B"/>
          <w:spacing w:val="-12"/>
        </w:rPr>
        <w:t xml:space="preserve"> </w:t>
      </w:r>
      <w:r>
        <w:rPr>
          <w:color w:val="58595B"/>
        </w:rPr>
        <w:t>ability</w:t>
      </w:r>
      <w:r>
        <w:rPr>
          <w:color w:val="58595B"/>
          <w:spacing w:val="-12"/>
        </w:rPr>
        <w:t xml:space="preserve"> </w:t>
      </w:r>
      <w:r>
        <w:rPr>
          <w:color w:val="58595B"/>
        </w:rPr>
        <w:t>to</w:t>
      </w:r>
      <w:r>
        <w:rPr>
          <w:color w:val="58595B"/>
          <w:spacing w:val="-12"/>
        </w:rPr>
        <w:t xml:space="preserve"> </w:t>
      </w:r>
      <w:r>
        <w:rPr>
          <w:color w:val="58595B"/>
        </w:rPr>
        <w:t>effectively</w:t>
      </w:r>
      <w:r>
        <w:rPr>
          <w:color w:val="58595B"/>
          <w:spacing w:val="-12"/>
        </w:rPr>
        <w:t xml:space="preserve"> </w:t>
      </w:r>
      <w:r>
        <w:rPr>
          <w:color w:val="58595B"/>
        </w:rPr>
        <w:t>regulate</w:t>
      </w:r>
      <w:r>
        <w:rPr>
          <w:color w:val="58595B"/>
          <w:spacing w:val="-12"/>
        </w:rPr>
        <w:t xml:space="preserve"> </w:t>
      </w:r>
      <w:r>
        <w:rPr>
          <w:color w:val="58595B"/>
        </w:rPr>
        <w:t>pollution</w:t>
      </w:r>
      <w:r>
        <w:rPr>
          <w:color w:val="58595B"/>
          <w:spacing w:val="-12"/>
        </w:rPr>
        <w:t xml:space="preserve"> </w:t>
      </w:r>
      <w:r>
        <w:rPr>
          <w:color w:val="58595B"/>
        </w:rPr>
        <w:t>and</w:t>
      </w:r>
      <w:r>
        <w:rPr>
          <w:color w:val="58595B"/>
          <w:spacing w:val="-12"/>
        </w:rPr>
        <w:t xml:space="preserve"> </w:t>
      </w:r>
      <w:r>
        <w:rPr>
          <w:color w:val="58595B"/>
        </w:rPr>
        <w:t>respond</w:t>
      </w:r>
      <w:r>
        <w:rPr>
          <w:color w:val="58595B"/>
          <w:spacing w:val="-12"/>
        </w:rPr>
        <w:t xml:space="preserve"> </w:t>
      </w:r>
      <w:r>
        <w:rPr>
          <w:color w:val="58595B"/>
        </w:rPr>
        <w:t>quickly</w:t>
      </w:r>
      <w:r>
        <w:rPr>
          <w:color w:val="58595B"/>
          <w:spacing w:val="-12"/>
        </w:rPr>
        <w:t xml:space="preserve"> </w:t>
      </w:r>
      <w:r>
        <w:rPr>
          <w:color w:val="58595B"/>
        </w:rPr>
        <w:t>to</w:t>
      </w:r>
      <w:r>
        <w:rPr>
          <w:color w:val="58595B"/>
          <w:spacing w:val="-12"/>
        </w:rPr>
        <w:t xml:space="preserve"> </w:t>
      </w:r>
      <w:r>
        <w:rPr>
          <w:color w:val="58595B"/>
        </w:rPr>
        <w:t>major</w:t>
      </w:r>
      <w:r>
        <w:rPr>
          <w:color w:val="58595B"/>
          <w:spacing w:val="-12"/>
        </w:rPr>
        <w:t xml:space="preserve"> </w:t>
      </w:r>
      <w:r>
        <w:rPr>
          <w:color w:val="58595B"/>
        </w:rPr>
        <w:t>breaches</w:t>
      </w:r>
      <w:r>
        <w:rPr>
          <w:color w:val="58595B"/>
          <w:spacing w:val="-12"/>
        </w:rPr>
        <w:t xml:space="preserve"> </w:t>
      </w:r>
      <w:r>
        <w:rPr>
          <w:color w:val="58595B"/>
        </w:rPr>
        <w:t>of</w:t>
      </w:r>
      <w:r>
        <w:rPr>
          <w:color w:val="58595B"/>
          <w:spacing w:val="-12"/>
        </w:rPr>
        <w:t xml:space="preserve"> </w:t>
      </w:r>
      <w:r>
        <w:rPr>
          <w:color w:val="58595B"/>
        </w:rPr>
        <w:t>the</w:t>
      </w:r>
      <w:r>
        <w:rPr>
          <w:color w:val="58595B"/>
          <w:spacing w:val="-12"/>
        </w:rPr>
        <w:t xml:space="preserve"> </w:t>
      </w:r>
      <w:r>
        <w:rPr>
          <w:color w:val="58595B"/>
          <w:spacing w:val="-3"/>
        </w:rPr>
        <w:t>Act’.</w:t>
      </w:r>
      <w:r>
        <w:rPr>
          <w:color w:val="58595B"/>
          <w:spacing w:val="-3"/>
          <w:position w:val="7"/>
          <w:sz w:val="11"/>
        </w:rPr>
        <w:t>9</w:t>
      </w:r>
    </w:p>
    <w:p w14:paraId="672515A9" w14:textId="77777777" w:rsidR="00160E7F" w:rsidRDefault="00160E7F">
      <w:pPr>
        <w:pStyle w:val="BodyText"/>
      </w:pPr>
    </w:p>
    <w:p w14:paraId="14BCD9DA" w14:textId="77777777" w:rsidR="00160E7F" w:rsidRDefault="00160E7F">
      <w:pPr>
        <w:pStyle w:val="BodyText"/>
        <w:rPr>
          <w:sz w:val="27"/>
        </w:rPr>
      </w:pPr>
    </w:p>
    <w:p w14:paraId="2BFE316D" w14:textId="77777777" w:rsidR="00160E7F" w:rsidRDefault="002B0299">
      <w:pPr>
        <w:pStyle w:val="ListParagraph"/>
        <w:numPr>
          <w:ilvl w:val="2"/>
          <w:numId w:val="33"/>
        </w:numPr>
        <w:tabs>
          <w:tab w:val="left" w:pos="770"/>
        </w:tabs>
        <w:spacing w:before="0"/>
        <w:rPr>
          <w:sz w:val="20"/>
        </w:rPr>
      </w:pPr>
      <w:r>
        <w:rPr>
          <w:color w:val="0095A7"/>
          <w:sz w:val="20"/>
        </w:rPr>
        <w:t>Enforceable</w:t>
      </w:r>
      <w:r>
        <w:rPr>
          <w:color w:val="0095A7"/>
          <w:spacing w:val="10"/>
          <w:sz w:val="20"/>
        </w:rPr>
        <w:t xml:space="preserve"> </w:t>
      </w:r>
      <w:r>
        <w:rPr>
          <w:color w:val="0095A7"/>
          <w:sz w:val="20"/>
        </w:rPr>
        <w:t>undertakings</w:t>
      </w:r>
    </w:p>
    <w:p w14:paraId="51BAE309" w14:textId="59B6E50B" w:rsidR="00160E7F" w:rsidRDefault="002B0299">
      <w:pPr>
        <w:pStyle w:val="BodyText"/>
        <w:spacing w:before="153" w:line="280" w:lineRule="auto"/>
        <w:ind w:left="134" w:right="1463"/>
        <w:rPr>
          <w:sz w:val="11"/>
        </w:rPr>
      </w:pPr>
      <w:r>
        <w:rPr>
          <w:color w:val="58595B"/>
        </w:rPr>
        <w:t>An enforceable undertaking is a negotiated, binding agreement between the regulator and an alleged offender where the offender agrees to take specific action</w:t>
      </w:r>
      <w:r w:rsidR="00B546EF">
        <w:rPr>
          <w:color w:val="58595B"/>
        </w:rPr>
        <w:t>s to settle a contravention of</w:t>
      </w:r>
      <w:r w:rsidR="00B546EF">
        <w:rPr>
          <w:color w:val="58595B"/>
        </w:rPr>
        <w:br/>
      </w:r>
      <w:r>
        <w:rPr>
          <w:color w:val="58595B"/>
        </w:rPr>
        <w:t xml:space="preserve">the </w:t>
      </w:r>
      <w:r>
        <w:rPr>
          <w:color w:val="58595B"/>
          <w:spacing w:val="-3"/>
        </w:rPr>
        <w:t xml:space="preserve">law. </w:t>
      </w:r>
      <w:r>
        <w:rPr>
          <w:color w:val="58595B"/>
        </w:rPr>
        <w:t xml:space="preserve">The </w:t>
      </w:r>
      <w:r>
        <w:rPr>
          <w:color w:val="58595B"/>
          <w:spacing w:val="-4"/>
        </w:rPr>
        <w:t xml:space="preserve">EPA </w:t>
      </w:r>
      <w:r>
        <w:rPr>
          <w:color w:val="58595B"/>
        </w:rPr>
        <w:t xml:space="preserve">has the power to accept an enforceable undertaking from a person who has contravened, or allegedly contravened, a provision of the EP Act where the contravention attracts a criminal penalty. The </w:t>
      </w:r>
      <w:r>
        <w:rPr>
          <w:color w:val="58595B"/>
          <w:spacing w:val="-4"/>
        </w:rPr>
        <w:t xml:space="preserve">EPA </w:t>
      </w:r>
      <w:r>
        <w:rPr>
          <w:color w:val="58595B"/>
        </w:rPr>
        <w:t xml:space="preserve">must be satisfied that an undertaking is ‘an appropriate enforcement </w:t>
      </w:r>
      <w:r>
        <w:rPr>
          <w:color w:val="58595B"/>
          <w:spacing w:val="-3"/>
        </w:rPr>
        <w:t>mechanism’.</w:t>
      </w:r>
      <w:r>
        <w:rPr>
          <w:color w:val="58595B"/>
          <w:spacing w:val="-3"/>
          <w:position w:val="7"/>
          <w:sz w:val="11"/>
        </w:rPr>
        <w:t>10</w:t>
      </w:r>
    </w:p>
    <w:p w14:paraId="09A4B234" w14:textId="77777777" w:rsidR="00160E7F" w:rsidRDefault="002B0299">
      <w:pPr>
        <w:pStyle w:val="BodyText"/>
        <w:spacing w:before="172" w:line="280" w:lineRule="auto"/>
        <w:ind w:left="134" w:right="1433"/>
      </w:pPr>
      <w:r>
        <w:rPr>
          <w:color w:val="58595B"/>
        </w:rPr>
        <w:t>This power has been used only occasionally since it was introduced in 2006. In our view, the EPA should use enforceable undertakings more often, particularly where they can make a tangible contribution to restorative justice. An enforceable undertaking has advantages over a prosecution because the alleged offender takes active responsibility for the offence, for rectifying its consequences and preventing a repetition.</w:t>
      </w:r>
    </w:p>
    <w:p w14:paraId="0E5537E1" w14:textId="77777777" w:rsidR="00160E7F" w:rsidRDefault="002B0299">
      <w:pPr>
        <w:pStyle w:val="BodyText"/>
        <w:spacing w:before="172" w:line="280" w:lineRule="auto"/>
        <w:ind w:left="134" w:right="1569"/>
      </w:pPr>
      <w:r>
        <w:rPr>
          <w:color w:val="58595B"/>
        </w:rPr>
        <w:t xml:space="preserve">Since, </w:t>
      </w:r>
      <w:r>
        <w:rPr>
          <w:color w:val="58595B"/>
          <w:spacing w:val="-3"/>
        </w:rPr>
        <w:t xml:space="preserve">however, </w:t>
      </w:r>
      <w:r>
        <w:rPr>
          <w:color w:val="58595B"/>
        </w:rPr>
        <w:t>the alleged offender avoids having a convictio</w:t>
      </w:r>
      <w:r w:rsidR="00404168">
        <w:rPr>
          <w:color w:val="58595B"/>
        </w:rPr>
        <w:t xml:space="preserve">n recorded, the monetary value </w:t>
      </w:r>
      <w:r>
        <w:rPr>
          <w:color w:val="58595B"/>
        </w:rPr>
        <w:t>of works required to be carried out under an enforceable undertaking should be greater than the penalty that is likely to have been imposed following</w:t>
      </w:r>
      <w:r>
        <w:rPr>
          <w:color w:val="58595B"/>
          <w:spacing w:val="-2"/>
        </w:rPr>
        <w:t xml:space="preserve"> </w:t>
      </w:r>
      <w:r>
        <w:rPr>
          <w:color w:val="58595B"/>
        </w:rPr>
        <w:t>prosecution.</w:t>
      </w:r>
    </w:p>
    <w:p w14:paraId="764D750C" w14:textId="77777777" w:rsidR="00160E7F" w:rsidRDefault="00160E7F">
      <w:pPr>
        <w:spacing w:line="280" w:lineRule="auto"/>
        <w:sectPr w:rsidR="00160E7F">
          <w:pgSz w:w="11910" w:h="16840"/>
          <w:pgMar w:top="980" w:right="0" w:bottom="280" w:left="1680" w:header="788" w:footer="0" w:gutter="0"/>
          <w:cols w:space="720"/>
        </w:sectPr>
      </w:pPr>
    </w:p>
    <w:p w14:paraId="1490440C" w14:textId="77777777" w:rsidR="00160E7F" w:rsidRDefault="00160E7F">
      <w:pPr>
        <w:pStyle w:val="BodyText"/>
      </w:pPr>
    </w:p>
    <w:p w14:paraId="7D8F4F68" w14:textId="77777777" w:rsidR="00160E7F" w:rsidRDefault="00160E7F">
      <w:pPr>
        <w:pStyle w:val="BodyText"/>
      </w:pPr>
    </w:p>
    <w:p w14:paraId="7DE63AD2" w14:textId="77777777" w:rsidR="00160E7F" w:rsidRDefault="00160E7F">
      <w:pPr>
        <w:pStyle w:val="BodyText"/>
      </w:pPr>
    </w:p>
    <w:p w14:paraId="046B75D1" w14:textId="77777777" w:rsidR="00160E7F" w:rsidRDefault="00160E7F">
      <w:pPr>
        <w:pStyle w:val="BodyText"/>
      </w:pPr>
    </w:p>
    <w:p w14:paraId="29937937" w14:textId="77777777" w:rsidR="00160E7F" w:rsidRDefault="00160E7F">
      <w:pPr>
        <w:pStyle w:val="BodyText"/>
        <w:spacing w:before="8"/>
        <w:rPr>
          <w:sz w:val="17"/>
        </w:rPr>
      </w:pPr>
    </w:p>
    <w:p w14:paraId="199E05DB" w14:textId="77777777" w:rsidR="00160E7F" w:rsidRDefault="002B0299">
      <w:pPr>
        <w:pStyle w:val="BodyText"/>
        <w:spacing w:before="1" w:line="280" w:lineRule="auto"/>
        <w:ind w:left="1417" w:right="185"/>
      </w:pPr>
      <w:r>
        <w:rPr>
          <w:color w:val="58595B"/>
        </w:rPr>
        <w:t>Enforceable undertakings are flexible, and can be formulated to address the specific circumstances and impacts of the offence and the affected community. They can also go beyond just complying with the law, and require action to restore the environment, change business practices and publicise the offender’s actions. They can also contribute to environmental justice outcomes by requiring:</w:t>
      </w:r>
    </w:p>
    <w:p w14:paraId="5E5351FD" w14:textId="77777777" w:rsidR="00160E7F" w:rsidRDefault="002B0299">
      <w:pPr>
        <w:pStyle w:val="ListParagraph"/>
        <w:numPr>
          <w:ilvl w:val="3"/>
          <w:numId w:val="33"/>
        </w:numPr>
        <w:tabs>
          <w:tab w:val="left" w:pos="1588"/>
        </w:tabs>
        <w:spacing w:before="115" w:line="280" w:lineRule="auto"/>
        <w:ind w:right="482" w:hanging="170"/>
        <w:rPr>
          <w:sz w:val="20"/>
        </w:rPr>
      </w:pPr>
      <w:r>
        <w:rPr>
          <w:color w:val="58595B"/>
          <w:sz w:val="20"/>
        </w:rPr>
        <w:t>a restorative justice conference, which is a structured meeting between the alleged offender and the affected community to discuss the consequences and restitution of the</w:t>
      </w:r>
      <w:r>
        <w:rPr>
          <w:color w:val="58595B"/>
          <w:spacing w:val="31"/>
          <w:sz w:val="20"/>
        </w:rPr>
        <w:t xml:space="preserve"> </w:t>
      </w:r>
      <w:r>
        <w:rPr>
          <w:color w:val="58595B"/>
          <w:sz w:val="20"/>
        </w:rPr>
        <w:t>offence</w:t>
      </w:r>
    </w:p>
    <w:p w14:paraId="3D7D2FED" w14:textId="77777777" w:rsidR="00160E7F" w:rsidRDefault="002B0299">
      <w:pPr>
        <w:pStyle w:val="ListParagraph"/>
        <w:numPr>
          <w:ilvl w:val="3"/>
          <w:numId w:val="33"/>
        </w:numPr>
        <w:tabs>
          <w:tab w:val="left" w:pos="1588"/>
        </w:tabs>
        <w:spacing w:before="115"/>
        <w:ind w:hanging="170"/>
        <w:rPr>
          <w:sz w:val="20"/>
        </w:rPr>
      </w:pPr>
      <w:r>
        <w:rPr>
          <w:color w:val="58595B"/>
          <w:sz w:val="20"/>
        </w:rPr>
        <w:t>a public</w:t>
      </w:r>
      <w:r>
        <w:rPr>
          <w:color w:val="58595B"/>
          <w:spacing w:val="2"/>
          <w:sz w:val="20"/>
        </w:rPr>
        <w:t xml:space="preserve"> </w:t>
      </w:r>
      <w:r>
        <w:rPr>
          <w:color w:val="58595B"/>
          <w:sz w:val="20"/>
        </w:rPr>
        <w:t>apology</w:t>
      </w:r>
    </w:p>
    <w:p w14:paraId="06A468D9" w14:textId="77777777" w:rsidR="00160E7F" w:rsidRDefault="002B0299">
      <w:pPr>
        <w:pStyle w:val="ListParagraph"/>
        <w:numPr>
          <w:ilvl w:val="3"/>
          <w:numId w:val="33"/>
        </w:numPr>
        <w:tabs>
          <w:tab w:val="left" w:pos="1588"/>
        </w:tabs>
        <w:spacing w:before="153"/>
        <w:ind w:hanging="170"/>
        <w:rPr>
          <w:sz w:val="20"/>
        </w:rPr>
      </w:pPr>
      <w:r>
        <w:rPr>
          <w:color w:val="58595B"/>
          <w:sz w:val="20"/>
        </w:rPr>
        <w:t>funding for projects that improve the local environment and</w:t>
      </w:r>
      <w:r>
        <w:rPr>
          <w:color w:val="58595B"/>
          <w:spacing w:val="-9"/>
          <w:sz w:val="20"/>
        </w:rPr>
        <w:t xml:space="preserve"> </w:t>
      </w:r>
      <w:r>
        <w:rPr>
          <w:color w:val="58595B"/>
          <w:sz w:val="20"/>
        </w:rPr>
        <w:t>community.</w:t>
      </w:r>
    </w:p>
    <w:p w14:paraId="6C5706D3" w14:textId="77777777" w:rsidR="00160E7F" w:rsidRDefault="00160E7F">
      <w:pPr>
        <w:pStyle w:val="BodyText"/>
        <w:spacing w:before="3"/>
        <w:rPr>
          <w:sz w:val="18"/>
        </w:rPr>
      </w:pPr>
    </w:p>
    <w:p w14:paraId="61ADBD1E" w14:textId="77777777" w:rsidR="00160E7F" w:rsidRDefault="002B0299">
      <w:pPr>
        <w:pStyle w:val="BodyText"/>
        <w:spacing w:line="280" w:lineRule="auto"/>
        <w:ind w:left="1417" w:right="405"/>
      </w:pPr>
      <w:r>
        <w:rPr>
          <w:color w:val="58595B"/>
        </w:rPr>
        <w:t xml:space="preserve">Because enforceable undertakings have been used so little, the EPA has developed limited capability in this area, and has had little experience of how undertakings can be used. The </w:t>
      </w:r>
      <w:r>
        <w:rPr>
          <w:i/>
          <w:color w:val="58595B"/>
        </w:rPr>
        <w:t>Enforceable undertaking guidelines</w:t>
      </w:r>
      <w:r>
        <w:rPr>
          <w:color w:val="58595B"/>
        </w:rPr>
        <w:t>,</w:t>
      </w:r>
      <w:r>
        <w:rPr>
          <w:color w:val="58595B"/>
          <w:position w:val="7"/>
          <w:sz w:val="11"/>
        </w:rPr>
        <w:t xml:space="preserve">11 </w:t>
      </w:r>
      <w:r>
        <w:rPr>
          <w:color w:val="58595B"/>
        </w:rPr>
        <w:t>which the EP Act requires the EPA to publish, are prescriptive about when an undertaking can be entered into and what must be included. Other regulators, such as the Fair Work Ombudsman, use enforceable undertakings extensively and can provide valuable insights which may assist the EPA in the future.</w:t>
      </w:r>
    </w:p>
    <w:p w14:paraId="613D1A76" w14:textId="77777777" w:rsidR="00160E7F" w:rsidRDefault="002B0299">
      <w:pPr>
        <w:pStyle w:val="BodyText"/>
        <w:spacing w:before="172"/>
        <w:ind w:left="1417" w:right="405"/>
      </w:pPr>
      <w:r>
        <w:rPr>
          <w:color w:val="58595B"/>
        </w:rPr>
        <w:t>The EPA should amend the guidelines to make clear that it can, and will, use undertakings in</w:t>
      </w:r>
    </w:p>
    <w:p w14:paraId="002D16A9" w14:textId="77777777" w:rsidR="00160E7F" w:rsidRDefault="002B0299">
      <w:pPr>
        <w:pStyle w:val="BodyText"/>
        <w:spacing w:before="40" w:line="280" w:lineRule="auto"/>
        <w:ind w:left="1417" w:right="177"/>
      </w:pPr>
      <w:r>
        <w:rPr>
          <w:color w:val="58595B"/>
        </w:rPr>
        <w:t>a wider range of circumstances, particularly to pursue restorative justice outcomes. Consideration should be given to tiers of enforceable undertakings, with different requirements depending on  the culpability of the alleged offender and the risk of harm to human health and the</w:t>
      </w:r>
      <w:r>
        <w:rPr>
          <w:color w:val="58595B"/>
          <w:spacing w:val="10"/>
        </w:rPr>
        <w:t xml:space="preserve"> </w:t>
      </w:r>
      <w:r>
        <w:rPr>
          <w:color w:val="58595B"/>
        </w:rPr>
        <w:t>environment.</w:t>
      </w:r>
    </w:p>
    <w:p w14:paraId="5CCAF330" w14:textId="77777777" w:rsidR="00160E7F" w:rsidRDefault="00160E7F">
      <w:pPr>
        <w:pStyle w:val="BodyText"/>
        <w:spacing w:before="1"/>
        <w:rPr>
          <w:sz w:val="19"/>
        </w:rPr>
      </w:pPr>
    </w:p>
    <w:p w14:paraId="70E04F34" w14:textId="77777777" w:rsidR="00160E7F" w:rsidRDefault="002B0299">
      <w:pPr>
        <w:pStyle w:val="Heading3"/>
        <w:numPr>
          <w:ilvl w:val="1"/>
          <w:numId w:val="31"/>
        </w:numPr>
        <w:tabs>
          <w:tab w:val="left" w:pos="2002"/>
        </w:tabs>
        <w:spacing w:before="0"/>
        <w:ind w:hanging="584"/>
        <w:jc w:val="left"/>
      </w:pPr>
      <w:r>
        <w:rPr>
          <w:color w:val="0095A7"/>
        </w:rPr>
        <w:t>Civil</w:t>
      </w:r>
      <w:r>
        <w:rPr>
          <w:color w:val="0095A7"/>
          <w:spacing w:val="10"/>
        </w:rPr>
        <w:t xml:space="preserve"> </w:t>
      </w:r>
      <w:r>
        <w:rPr>
          <w:color w:val="0095A7"/>
        </w:rPr>
        <w:t>penalties</w:t>
      </w:r>
    </w:p>
    <w:p w14:paraId="684B7327" w14:textId="77777777" w:rsidR="00160E7F" w:rsidRDefault="002B0299">
      <w:pPr>
        <w:pStyle w:val="BodyText"/>
        <w:spacing w:before="145" w:line="280" w:lineRule="auto"/>
        <w:ind w:left="1417" w:right="278"/>
        <w:rPr>
          <w:sz w:val="11"/>
        </w:rPr>
      </w:pPr>
      <w:r>
        <w:rPr>
          <w:color w:val="58595B"/>
        </w:rPr>
        <w:t xml:space="preserve">In South Australia, the </w:t>
      </w:r>
      <w:r>
        <w:rPr>
          <w:color w:val="58595B"/>
          <w:spacing w:val="-4"/>
        </w:rPr>
        <w:t xml:space="preserve">EPA </w:t>
      </w:r>
      <w:r>
        <w:rPr>
          <w:color w:val="58595B"/>
        </w:rPr>
        <w:t>can pursue civil penalties as an alternative to criminal prosecution.  It can either negotiate civil penalties directly with the person in breach or proceed directly to court to seek an order that the offender pay an amount as a civil penalty. A person may decline to negotiate a civil penalty with the EPA, or they may choose to be prosecuted in which case the criminal burden of proof applies. A publicly available policy sets out the method for calculating civil</w:t>
      </w:r>
      <w:r>
        <w:rPr>
          <w:color w:val="58595B"/>
          <w:spacing w:val="-15"/>
        </w:rPr>
        <w:t xml:space="preserve"> </w:t>
      </w:r>
      <w:r>
        <w:rPr>
          <w:color w:val="58595B"/>
        </w:rPr>
        <w:t>penalties.</w:t>
      </w:r>
      <w:r>
        <w:rPr>
          <w:color w:val="58595B"/>
          <w:position w:val="7"/>
          <w:sz w:val="11"/>
        </w:rPr>
        <w:t>12</w:t>
      </w:r>
    </w:p>
    <w:p w14:paraId="318D8359" w14:textId="77777777" w:rsidR="00160E7F" w:rsidRDefault="002B0299">
      <w:pPr>
        <w:pStyle w:val="BodyText"/>
        <w:spacing w:before="172" w:line="280" w:lineRule="auto"/>
        <w:ind w:left="1417" w:right="588"/>
      </w:pPr>
      <w:r>
        <w:rPr>
          <w:color w:val="58595B"/>
        </w:rPr>
        <w:t>The key differences between criminal and civil penalties were described by the High Court in a December 2015 decision,</w:t>
      </w:r>
      <w:r>
        <w:rPr>
          <w:color w:val="58595B"/>
          <w:position w:val="7"/>
          <w:sz w:val="11"/>
        </w:rPr>
        <w:t xml:space="preserve">13  </w:t>
      </w:r>
      <w:r>
        <w:rPr>
          <w:color w:val="58595B"/>
        </w:rPr>
        <w:t>as follows:</w:t>
      </w:r>
    </w:p>
    <w:p w14:paraId="1CF4C18E" w14:textId="77777777" w:rsidR="00160E7F" w:rsidRDefault="002B0299">
      <w:pPr>
        <w:pStyle w:val="ListParagraph"/>
        <w:numPr>
          <w:ilvl w:val="3"/>
          <w:numId w:val="33"/>
        </w:numPr>
        <w:tabs>
          <w:tab w:val="left" w:pos="1588"/>
        </w:tabs>
        <w:spacing w:before="115" w:line="280" w:lineRule="auto"/>
        <w:ind w:right="977" w:hanging="170"/>
        <w:rPr>
          <w:sz w:val="20"/>
        </w:rPr>
      </w:pPr>
      <w:r>
        <w:rPr>
          <w:color w:val="58595B"/>
          <w:sz w:val="20"/>
        </w:rPr>
        <w:t>criminal prosecutions are aimed at securing criminal convictions, whereas civil penalty proceedings are calculated to avoid any notion of</w:t>
      </w:r>
      <w:r>
        <w:rPr>
          <w:color w:val="58595B"/>
          <w:spacing w:val="5"/>
          <w:sz w:val="20"/>
        </w:rPr>
        <w:t xml:space="preserve"> </w:t>
      </w:r>
      <w:r>
        <w:rPr>
          <w:color w:val="58595B"/>
          <w:sz w:val="20"/>
        </w:rPr>
        <w:t>criminality</w:t>
      </w:r>
    </w:p>
    <w:p w14:paraId="74B21E5A" w14:textId="77777777" w:rsidR="00160E7F" w:rsidRDefault="002B0299">
      <w:pPr>
        <w:pStyle w:val="ListParagraph"/>
        <w:numPr>
          <w:ilvl w:val="3"/>
          <w:numId w:val="33"/>
        </w:numPr>
        <w:tabs>
          <w:tab w:val="left" w:pos="1588"/>
        </w:tabs>
        <w:spacing w:before="115" w:line="280" w:lineRule="auto"/>
        <w:ind w:right="263" w:hanging="170"/>
        <w:rPr>
          <w:sz w:val="20"/>
        </w:rPr>
      </w:pPr>
      <w:r>
        <w:rPr>
          <w:color w:val="58595B"/>
          <w:sz w:val="20"/>
        </w:rPr>
        <w:t>criminal penalties are based on notions of retribution and rehabilitation, whereas civil penalties are primarily, if not wholly, protective in nature and aimed at promoting the public interest in regulatory</w:t>
      </w:r>
      <w:r>
        <w:rPr>
          <w:color w:val="58595B"/>
          <w:spacing w:val="11"/>
          <w:sz w:val="20"/>
        </w:rPr>
        <w:t xml:space="preserve"> </w:t>
      </w:r>
      <w:r>
        <w:rPr>
          <w:color w:val="58595B"/>
          <w:sz w:val="20"/>
        </w:rPr>
        <w:t>compliance</w:t>
      </w:r>
    </w:p>
    <w:p w14:paraId="7043649E" w14:textId="77777777" w:rsidR="00160E7F" w:rsidRDefault="002B0299">
      <w:pPr>
        <w:pStyle w:val="ListParagraph"/>
        <w:numPr>
          <w:ilvl w:val="3"/>
          <w:numId w:val="33"/>
        </w:numPr>
        <w:tabs>
          <w:tab w:val="left" w:pos="1588"/>
        </w:tabs>
        <w:spacing w:before="115" w:line="280" w:lineRule="auto"/>
        <w:ind w:right="263" w:hanging="170"/>
        <w:rPr>
          <w:sz w:val="20"/>
        </w:rPr>
      </w:pPr>
      <w:r>
        <w:rPr>
          <w:color w:val="58595B"/>
          <w:sz w:val="20"/>
        </w:rPr>
        <w:t>the objective of civil penalties is to ‘put a price on contravention that is sufficiently high to deter repetition by the contravener and by other who might be tempted to</w:t>
      </w:r>
      <w:r>
        <w:rPr>
          <w:color w:val="58595B"/>
          <w:spacing w:val="-31"/>
          <w:sz w:val="20"/>
        </w:rPr>
        <w:t xml:space="preserve"> </w:t>
      </w:r>
      <w:r>
        <w:rPr>
          <w:color w:val="58595B"/>
          <w:sz w:val="20"/>
        </w:rPr>
        <w:t>contravene’.</w:t>
      </w:r>
    </w:p>
    <w:p w14:paraId="64780066" w14:textId="77777777" w:rsidR="00160E7F" w:rsidRDefault="002B0299">
      <w:pPr>
        <w:pStyle w:val="BodyText"/>
        <w:spacing w:before="172" w:line="280" w:lineRule="auto"/>
        <w:ind w:left="1417" w:right="405"/>
      </w:pPr>
      <w:r>
        <w:rPr>
          <w:color w:val="58595B"/>
        </w:rPr>
        <w:t>We recommend that civil penalties be introduced into the EP Act to give the EPA an alternative to criminal prosecutions. They can be used in a timely way to deal with the middle ground of contraventions. The standard of proof is on the balance of probabilities.</w:t>
      </w:r>
    </w:p>
    <w:p w14:paraId="6AB444C2" w14:textId="77777777" w:rsidR="00160E7F" w:rsidRDefault="002B0299">
      <w:pPr>
        <w:pStyle w:val="BodyText"/>
        <w:spacing w:before="172" w:line="280" w:lineRule="auto"/>
        <w:ind w:left="1417" w:right="405"/>
      </w:pPr>
      <w:r>
        <w:rPr>
          <w:color w:val="58595B"/>
        </w:rPr>
        <w:t>The most serious contraventions should continue to be prosecuted in criminal courts, with low level non-compliance addressed by infringement notices or other lower level sanctions.</w:t>
      </w:r>
    </w:p>
    <w:p w14:paraId="20BEC269" w14:textId="77777777" w:rsidR="00160E7F" w:rsidRDefault="00160E7F">
      <w:pPr>
        <w:spacing w:line="280" w:lineRule="auto"/>
        <w:sectPr w:rsidR="00160E7F">
          <w:pgSz w:w="11910" w:h="16840"/>
          <w:pgMar w:top="980" w:right="1680" w:bottom="280" w:left="0" w:header="788" w:footer="0" w:gutter="0"/>
          <w:cols w:space="720"/>
        </w:sectPr>
      </w:pPr>
    </w:p>
    <w:p w14:paraId="5134FA41" w14:textId="77777777" w:rsidR="00160E7F" w:rsidRDefault="00160E7F">
      <w:pPr>
        <w:pStyle w:val="BodyText"/>
      </w:pPr>
    </w:p>
    <w:p w14:paraId="78716DB8" w14:textId="77777777" w:rsidR="00160E7F" w:rsidRDefault="00160E7F">
      <w:pPr>
        <w:pStyle w:val="BodyText"/>
      </w:pPr>
    </w:p>
    <w:p w14:paraId="328B3171" w14:textId="77777777" w:rsidR="00160E7F" w:rsidRDefault="00160E7F">
      <w:pPr>
        <w:pStyle w:val="BodyText"/>
      </w:pPr>
    </w:p>
    <w:p w14:paraId="20F490CC" w14:textId="77777777" w:rsidR="00160E7F" w:rsidRDefault="00160E7F">
      <w:pPr>
        <w:pStyle w:val="BodyText"/>
      </w:pPr>
    </w:p>
    <w:p w14:paraId="6163A64B" w14:textId="77777777" w:rsidR="00160E7F" w:rsidRDefault="002B0299">
      <w:pPr>
        <w:pStyle w:val="Heading3"/>
        <w:numPr>
          <w:ilvl w:val="1"/>
          <w:numId w:val="31"/>
        </w:numPr>
        <w:tabs>
          <w:tab w:val="left" w:pos="718"/>
        </w:tabs>
        <w:ind w:left="717" w:hanging="583"/>
        <w:jc w:val="left"/>
      </w:pPr>
      <w:r>
        <w:rPr>
          <w:color w:val="0095A7"/>
        </w:rPr>
        <w:t>Monetary benefits</w:t>
      </w:r>
      <w:r>
        <w:rPr>
          <w:color w:val="0095A7"/>
          <w:spacing w:val="36"/>
        </w:rPr>
        <w:t xml:space="preserve"> </w:t>
      </w:r>
      <w:r>
        <w:rPr>
          <w:color w:val="0095A7"/>
        </w:rPr>
        <w:t>orders</w:t>
      </w:r>
    </w:p>
    <w:p w14:paraId="46EF7053" w14:textId="77777777" w:rsidR="00160E7F" w:rsidRDefault="002B0299">
      <w:pPr>
        <w:pStyle w:val="BodyText"/>
        <w:spacing w:before="145" w:line="280" w:lineRule="auto"/>
        <w:ind w:left="134" w:right="1433"/>
      </w:pPr>
      <w:r>
        <w:rPr>
          <w:color w:val="58595B"/>
        </w:rPr>
        <w:t>Those who contravene environment protection laws generally obtain an economic benefit from their non-compliance. For example, a business which produces waste products can obtain</w:t>
      </w:r>
    </w:p>
    <w:p w14:paraId="6AB4FB43" w14:textId="75FF08F3" w:rsidR="00160E7F" w:rsidRDefault="002B0299">
      <w:pPr>
        <w:pStyle w:val="BodyText"/>
        <w:spacing w:before="2" w:line="280" w:lineRule="auto"/>
        <w:ind w:left="134" w:right="1414"/>
      </w:pPr>
      <w:r>
        <w:rPr>
          <w:color w:val="58595B"/>
        </w:rPr>
        <w:t xml:space="preserve">a substantial financial benefit by postponing, or avoiding altogether, the costs of appropriate treatment and disposal of waste. These economic benefits of non-compliance are, </w:t>
      </w:r>
      <w:r>
        <w:rPr>
          <w:color w:val="58595B"/>
          <w:spacing w:val="-3"/>
        </w:rPr>
        <w:t>however,</w:t>
      </w:r>
      <w:r w:rsidR="00BB1B55">
        <w:rPr>
          <w:color w:val="58595B"/>
          <w:spacing w:val="-3"/>
        </w:rPr>
        <w:br/>
      </w:r>
      <w:r>
        <w:rPr>
          <w:color w:val="58595B"/>
        </w:rPr>
        <w:t>rarely considered by Victorian courts. By contrast, courts in New South Wales, Western Australia, South Australia and Queensland can impose an additional penalty reflecting the economic benefit to the offender of</w:t>
      </w:r>
      <w:r>
        <w:rPr>
          <w:color w:val="58595B"/>
          <w:spacing w:val="17"/>
        </w:rPr>
        <w:t xml:space="preserve"> </w:t>
      </w:r>
      <w:r>
        <w:rPr>
          <w:color w:val="58595B"/>
        </w:rPr>
        <w:t>non-compliance.</w:t>
      </w:r>
    </w:p>
    <w:p w14:paraId="3C1834BF" w14:textId="77777777" w:rsidR="00160E7F" w:rsidRDefault="002B0299">
      <w:pPr>
        <w:pStyle w:val="BodyText"/>
        <w:spacing w:before="172"/>
        <w:ind w:left="134" w:right="789"/>
      </w:pPr>
      <w:r>
        <w:rPr>
          <w:color w:val="58595B"/>
        </w:rPr>
        <w:t>The EPA (with the NSW EPA) has developed a model for calculating avoided or delayed costs</w:t>
      </w:r>
    </w:p>
    <w:p w14:paraId="07AC6373" w14:textId="77777777" w:rsidR="00160E7F" w:rsidRDefault="002B0299">
      <w:pPr>
        <w:pStyle w:val="BodyText"/>
        <w:spacing w:before="40" w:line="280" w:lineRule="auto"/>
        <w:ind w:left="134" w:right="789"/>
      </w:pPr>
      <w:r>
        <w:rPr>
          <w:color w:val="58595B"/>
        </w:rPr>
        <w:t>of non-compliance, based on the United States EPA model but adapted to account for Australian accounting and tax laws. We recommend that the EP Act be amended to:</w:t>
      </w:r>
    </w:p>
    <w:p w14:paraId="7B6FE101" w14:textId="77777777" w:rsidR="00160E7F" w:rsidRDefault="002B0299">
      <w:pPr>
        <w:pStyle w:val="ListParagraph"/>
        <w:numPr>
          <w:ilvl w:val="0"/>
          <w:numId w:val="47"/>
        </w:numPr>
        <w:tabs>
          <w:tab w:val="left" w:pos="305"/>
        </w:tabs>
        <w:spacing w:before="115" w:line="280" w:lineRule="auto"/>
        <w:ind w:right="1443" w:hanging="170"/>
        <w:rPr>
          <w:sz w:val="20"/>
        </w:rPr>
      </w:pPr>
      <w:r>
        <w:rPr>
          <w:color w:val="58595B"/>
          <w:sz w:val="20"/>
        </w:rPr>
        <w:t>give sentencing courts express power to impose penalties which reflect the (estimated) benefits to the offender of the</w:t>
      </w:r>
      <w:r>
        <w:rPr>
          <w:color w:val="58595B"/>
          <w:spacing w:val="21"/>
          <w:sz w:val="20"/>
        </w:rPr>
        <w:t xml:space="preserve"> </w:t>
      </w:r>
      <w:r>
        <w:rPr>
          <w:color w:val="58595B"/>
          <w:sz w:val="20"/>
        </w:rPr>
        <w:t>non-compliance</w:t>
      </w:r>
    </w:p>
    <w:p w14:paraId="0E17E657" w14:textId="77777777" w:rsidR="00160E7F" w:rsidRDefault="002B0299">
      <w:pPr>
        <w:pStyle w:val="ListParagraph"/>
        <w:numPr>
          <w:ilvl w:val="0"/>
          <w:numId w:val="47"/>
        </w:numPr>
        <w:tabs>
          <w:tab w:val="left" w:pos="305"/>
        </w:tabs>
        <w:spacing w:before="115" w:line="280" w:lineRule="auto"/>
        <w:ind w:right="2583" w:hanging="170"/>
        <w:rPr>
          <w:sz w:val="20"/>
        </w:rPr>
      </w:pPr>
      <w:r>
        <w:rPr>
          <w:color w:val="58595B"/>
          <w:spacing w:val="-3"/>
          <w:sz w:val="20"/>
        </w:rPr>
        <w:t>empower</w:t>
      </w:r>
      <w:r>
        <w:rPr>
          <w:color w:val="58595B"/>
          <w:spacing w:val="-8"/>
          <w:sz w:val="20"/>
        </w:rPr>
        <w:t xml:space="preserve"> </w:t>
      </w:r>
      <w:r>
        <w:rPr>
          <w:color w:val="58595B"/>
          <w:sz w:val="20"/>
        </w:rPr>
        <w:t>the</w:t>
      </w:r>
      <w:r>
        <w:rPr>
          <w:color w:val="58595B"/>
          <w:spacing w:val="-8"/>
          <w:sz w:val="20"/>
        </w:rPr>
        <w:t xml:space="preserve"> </w:t>
      </w:r>
      <w:r>
        <w:rPr>
          <w:color w:val="58595B"/>
          <w:spacing w:val="-6"/>
          <w:sz w:val="20"/>
        </w:rPr>
        <w:t>EPA</w:t>
      </w:r>
      <w:r>
        <w:rPr>
          <w:color w:val="58595B"/>
          <w:spacing w:val="-8"/>
          <w:sz w:val="20"/>
        </w:rPr>
        <w:t xml:space="preserve"> </w:t>
      </w:r>
      <w:r>
        <w:rPr>
          <w:color w:val="58595B"/>
          <w:sz w:val="20"/>
        </w:rPr>
        <w:t>to</w:t>
      </w:r>
      <w:r>
        <w:rPr>
          <w:color w:val="58595B"/>
          <w:spacing w:val="-8"/>
          <w:sz w:val="20"/>
        </w:rPr>
        <w:t xml:space="preserve"> </w:t>
      </w:r>
      <w:r>
        <w:rPr>
          <w:color w:val="58595B"/>
          <w:spacing w:val="-3"/>
          <w:sz w:val="20"/>
        </w:rPr>
        <w:t>estimate</w:t>
      </w:r>
      <w:r>
        <w:rPr>
          <w:color w:val="58595B"/>
          <w:spacing w:val="-8"/>
          <w:sz w:val="20"/>
        </w:rPr>
        <w:t xml:space="preserve"> </w:t>
      </w:r>
      <w:r>
        <w:rPr>
          <w:color w:val="58595B"/>
          <w:sz w:val="20"/>
        </w:rPr>
        <w:t>such</w:t>
      </w:r>
      <w:r>
        <w:rPr>
          <w:color w:val="58595B"/>
          <w:spacing w:val="-8"/>
          <w:sz w:val="20"/>
        </w:rPr>
        <w:t xml:space="preserve"> </w:t>
      </w:r>
      <w:r>
        <w:rPr>
          <w:color w:val="58595B"/>
          <w:spacing w:val="-3"/>
          <w:sz w:val="20"/>
        </w:rPr>
        <w:t>benefits</w:t>
      </w:r>
      <w:r>
        <w:rPr>
          <w:color w:val="58595B"/>
          <w:spacing w:val="-8"/>
          <w:sz w:val="20"/>
        </w:rPr>
        <w:t xml:space="preserve"> </w:t>
      </w:r>
      <w:r>
        <w:rPr>
          <w:color w:val="58595B"/>
          <w:sz w:val="20"/>
        </w:rPr>
        <w:t>and</w:t>
      </w:r>
      <w:r>
        <w:rPr>
          <w:color w:val="58595B"/>
          <w:spacing w:val="-8"/>
          <w:sz w:val="20"/>
        </w:rPr>
        <w:t xml:space="preserve"> </w:t>
      </w:r>
      <w:r>
        <w:rPr>
          <w:color w:val="58595B"/>
          <w:spacing w:val="-3"/>
          <w:sz w:val="20"/>
        </w:rPr>
        <w:t>provide</w:t>
      </w:r>
      <w:r>
        <w:rPr>
          <w:color w:val="58595B"/>
          <w:spacing w:val="-8"/>
          <w:sz w:val="20"/>
        </w:rPr>
        <w:t xml:space="preserve"> </w:t>
      </w:r>
      <w:r>
        <w:rPr>
          <w:color w:val="58595B"/>
          <w:sz w:val="20"/>
        </w:rPr>
        <w:t>the</w:t>
      </w:r>
      <w:r>
        <w:rPr>
          <w:color w:val="58595B"/>
          <w:spacing w:val="-8"/>
          <w:sz w:val="20"/>
        </w:rPr>
        <w:t xml:space="preserve"> </w:t>
      </w:r>
      <w:r>
        <w:rPr>
          <w:color w:val="58595B"/>
          <w:sz w:val="20"/>
        </w:rPr>
        <w:t>necessary</w:t>
      </w:r>
      <w:r>
        <w:rPr>
          <w:color w:val="58595B"/>
          <w:spacing w:val="-8"/>
          <w:sz w:val="20"/>
        </w:rPr>
        <w:t xml:space="preserve"> </w:t>
      </w:r>
      <w:r>
        <w:rPr>
          <w:color w:val="58595B"/>
          <w:spacing w:val="-3"/>
          <w:sz w:val="20"/>
        </w:rPr>
        <w:t>information</w:t>
      </w:r>
      <w:r>
        <w:rPr>
          <w:color w:val="58595B"/>
          <w:spacing w:val="-8"/>
          <w:sz w:val="20"/>
        </w:rPr>
        <w:t xml:space="preserve"> </w:t>
      </w:r>
      <w:r>
        <w:rPr>
          <w:color w:val="58595B"/>
          <w:sz w:val="20"/>
        </w:rPr>
        <w:t xml:space="preserve">to </w:t>
      </w:r>
      <w:r>
        <w:rPr>
          <w:color w:val="58595B"/>
          <w:spacing w:val="-3"/>
          <w:sz w:val="20"/>
        </w:rPr>
        <w:t>sentencing</w:t>
      </w:r>
      <w:r>
        <w:rPr>
          <w:color w:val="58595B"/>
          <w:spacing w:val="-13"/>
          <w:sz w:val="20"/>
        </w:rPr>
        <w:t xml:space="preserve"> </w:t>
      </w:r>
      <w:r>
        <w:rPr>
          <w:color w:val="58595B"/>
          <w:sz w:val="20"/>
        </w:rPr>
        <w:t>courts.</w:t>
      </w:r>
    </w:p>
    <w:p w14:paraId="45EC5E90" w14:textId="77777777" w:rsidR="00160E7F" w:rsidRDefault="00160E7F">
      <w:pPr>
        <w:pStyle w:val="BodyText"/>
        <w:spacing w:before="1"/>
        <w:rPr>
          <w:sz w:val="19"/>
        </w:rPr>
      </w:pPr>
    </w:p>
    <w:p w14:paraId="17F494AE" w14:textId="77777777" w:rsidR="00160E7F" w:rsidRDefault="002B0299">
      <w:pPr>
        <w:pStyle w:val="Heading3"/>
        <w:numPr>
          <w:ilvl w:val="1"/>
          <w:numId w:val="31"/>
        </w:numPr>
        <w:tabs>
          <w:tab w:val="left" w:pos="719"/>
        </w:tabs>
        <w:spacing w:before="0"/>
        <w:ind w:left="718" w:hanging="584"/>
        <w:jc w:val="left"/>
      </w:pPr>
      <w:r>
        <w:rPr>
          <w:color w:val="0095A7"/>
        </w:rPr>
        <w:t>Higher criminal</w:t>
      </w:r>
      <w:r>
        <w:rPr>
          <w:color w:val="0095A7"/>
          <w:spacing w:val="24"/>
        </w:rPr>
        <w:t xml:space="preserve"> </w:t>
      </w:r>
      <w:r>
        <w:rPr>
          <w:color w:val="0095A7"/>
        </w:rPr>
        <w:t>penalties</w:t>
      </w:r>
    </w:p>
    <w:p w14:paraId="1CF88CF0" w14:textId="77777777" w:rsidR="00160E7F" w:rsidRDefault="002B0299">
      <w:pPr>
        <w:pStyle w:val="BodyText"/>
        <w:spacing w:before="145" w:line="280" w:lineRule="auto"/>
        <w:ind w:left="134" w:right="1565"/>
        <w:rPr>
          <w:sz w:val="11"/>
        </w:rPr>
      </w:pPr>
      <w:r>
        <w:rPr>
          <w:color w:val="58595B"/>
        </w:rPr>
        <w:t>The maximum penalties for offences under the EP Act have not been reviewed since 2000. Increases since then have been through annual indexation of penalties. The maximum penalties under the EP Act are generally lower than in other jurisdictions and for commensurate offences in Victoria.</w:t>
      </w:r>
      <w:r>
        <w:rPr>
          <w:color w:val="58595B"/>
          <w:position w:val="7"/>
          <w:sz w:val="11"/>
        </w:rPr>
        <w:t>14</w:t>
      </w:r>
    </w:p>
    <w:p w14:paraId="06438FBC" w14:textId="77777777" w:rsidR="00160E7F" w:rsidRDefault="002B0299">
      <w:pPr>
        <w:pStyle w:val="BodyText"/>
        <w:spacing w:before="172" w:line="280" w:lineRule="auto"/>
        <w:ind w:left="134" w:right="1433"/>
      </w:pPr>
      <w:r>
        <w:rPr>
          <w:color w:val="58595B"/>
        </w:rPr>
        <w:t xml:space="preserve">The substantive pollution offences carry a maximum court penalty of 2,400 penalty units, which currently equates to approximately $360,000. By way of comparison, the maximum court penalty for breach of the general safety duty under the </w:t>
      </w:r>
      <w:r>
        <w:rPr>
          <w:i/>
          <w:color w:val="58595B"/>
        </w:rPr>
        <w:t xml:space="preserve">Occupational Health and Safety Act 2004 </w:t>
      </w:r>
      <w:r>
        <w:rPr>
          <w:color w:val="58595B"/>
        </w:rPr>
        <w:t>is</w:t>
      </w:r>
    </w:p>
    <w:p w14:paraId="68EDC9C7" w14:textId="77777777" w:rsidR="00160E7F" w:rsidRDefault="002B0299">
      <w:pPr>
        <w:pStyle w:val="BodyText"/>
        <w:spacing w:before="2"/>
        <w:ind w:left="134" w:right="789"/>
      </w:pPr>
      <w:r>
        <w:rPr>
          <w:color w:val="58595B"/>
        </w:rPr>
        <w:t>$1.35 million.</w:t>
      </w:r>
    </w:p>
    <w:p w14:paraId="0562D720" w14:textId="77777777" w:rsidR="00160E7F" w:rsidRDefault="00160E7F">
      <w:pPr>
        <w:pStyle w:val="BodyText"/>
        <w:spacing w:before="3"/>
        <w:rPr>
          <w:sz w:val="18"/>
        </w:rPr>
      </w:pPr>
    </w:p>
    <w:p w14:paraId="3BE39575" w14:textId="77777777" w:rsidR="00160E7F" w:rsidRDefault="002B0299">
      <w:pPr>
        <w:pStyle w:val="BodyText"/>
        <w:spacing w:line="280" w:lineRule="auto"/>
        <w:ind w:left="134" w:right="1559"/>
        <w:rPr>
          <w:sz w:val="11"/>
        </w:rPr>
      </w:pPr>
      <w:r>
        <w:rPr>
          <w:color w:val="58595B"/>
        </w:rPr>
        <w:t>It is conventional for an offence provision to differentiate between the maximum penalties applicable respectively to an individual and a corporation (body corporate). Thus, the general duty safety provision in the Occupational Health and Safety Act specifies a maximum penalty for a corporation of 9,000 penalty units and, for an individual, of 1,800 penalty units. The ratio of 5:1 between maximum penalties for corporations and individuals is standard in Victoria.</w:t>
      </w:r>
      <w:r>
        <w:rPr>
          <w:color w:val="58595B"/>
          <w:position w:val="7"/>
          <w:sz w:val="11"/>
        </w:rPr>
        <w:t>15</w:t>
      </w:r>
    </w:p>
    <w:p w14:paraId="24E97123" w14:textId="77777777" w:rsidR="00160E7F" w:rsidRDefault="002B0299">
      <w:pPr>
        <w:pStyle w:val="BodyText"/>
        <w:spacing w:before="172" w:line="280" w:lineRule="auto"/>
        <w:ind w:left="134" w:right="1734"/>
        <w:jc w:val="both"/>
      </w:pPr>
      <w:r>
        <w:rPr>
          <w:color w:val="58595B"/>
        </w:rPr>
        <w:t>Anomalously, the EP Act offence provisions do not (with the exception of aggravated pollution) make this distinction, meaning that maximum penalties for corporations are inadequate.</w:t>
      </w:r>
      <w:r>
        <w:rPr>
          <w:color w:val="58595B"/>
          <w:position w:val="7"/>
          <w:sz w:val="11"/>
        </w:rPr>
        <w:t xml:space="preserve">16 </w:t>
      </w:r>
      <w:r>
        <w:rPr>
          <w:color w:val="58595B"/>
        </w:rPr>
        <w:t>This should be remedied as a matter of urgency.</w:t>
      </w:r>
    </w:p>
    <w:p w14:paraId="2AA61812" w14:textId="77777777" w:rsidR="00160E7F" w:rsidRDefault="002B0299">
      <w:pPr>
        <w:pStyle w:val="BodyText"/>
        <w:spacing w:before="172" w:line="280" w:lineRule="auto"/>
        <w:ind w:left="134" w:right="1716"/>
      </w:pPr>
      <w:r>
        <w:rPr>
          <w:color w:val="58595B"/>
        </w:rPr>
        <w:t>Figures 13.3 and 13.4 compare the maximum court penalties for pollution offences in Victoria and NSW.</w:t>
      </w:r>
    </w:p>
    <w:p w14:paraId="40F62189" w14:textId="77777777" w:rsidR="00160E7F" w:rsidRDefault="002B0299">
      <w:pPr>
        <w:pStyle w:val="BodyText"/>
        <w:spacing w:before="172"/>
        <w:ind w:left="134" w:right="789"/>
      </w:pPr>
      <w:r>
        <w:rPr>
          <w:color w:val="58595B"/>
        </w:rPr>
        <w:t>We recommend that:</w:t>
      </w:r>
    </w:p>
    <w:p w14:paraId="3D716B0C" w14:textId="77777777" w:rsidR="00160E7F" w:rsidRDefault="002B0299">
      <w:pPr>
        <w:pStyle w:val="ListParagraph"/>
        <w:numPr>
          <w:ilvl w:val="0"/>
          <w:numId w:val="47"/>
        </w:numPr>
        <w:tabs>
          <w:tab w:val="left" w:pos="305"/>
        </w:tabs>
        <w:spacing w:before="153" w:line="280" w:lineRule="auto"/>
        <w:ind w:right="1570" w:hanging="170"/>
        <w:rPr>
          <w:sz w:val="20"/>
        </w:rPr>
      </w:pPr>
      <w:r>
        <w:rPr>
          <w:color w:val="58595B"/>
          <w:sz w:val="20"/>
        </w:rPr>
        <w:t>the maximum penalties for offences under the EP Act be increased to bring them into line with those applicable to equivalent offences in New South</w:t>
      </w:r>
      <w:r>
        <w:rPr>
          <w:color w:val="58595B"/>
          <w:spacing w:val="2"/>
          <w:sz w:val="20"/>
        </w:rPr>
        <w:t xml:space="preserve"> </w:t>
      </w:r>
      <w:r>
        <w:rPr>
          <w:color w:val="58595B"/>
          <w:sz w:val="20"/>
        </w:rPr>
        <w:t>Wales</w:t>
      </w:r>
    </w:p>
    <w:p w14:paraId="432482E0" w14:textId="77777777" w:rsidR="00160E7F" w:rsidRDefault="002B0299">
      <w:pPr>
        <w:pStyle w:val="ListParagraph"/>
        <w:numPr>
          <w:ilvl w:val="0"/>
          <w:numId w:val="47"/>
        </w:numPr>
        <w:tabs>
          <w:tab w:val="left" w:pos="305"/>
        </w:tabs>
        <w:spacing w:before="115" w:line="280" w:lineRule="auto"/>
        <w:ind w:right="1949" w:hanging="170"/>
        <w:rPr>
          <w:sz w:val="20"/>
        </w:rPr>
      </w:pPr>
      <w:r>
        <w:rPr>
          <w:color w:val="58595B"/>
          <w:sz w:val="20"/>
        </w:rPr>
        <w:t xml:space="preserve">separate maximum penalties be specified for offences by individuals and corporations, on a </w:t>
      </w:r>
      <w:r>
        <w:rPr>
          <w:color w:val="58595B"/>
          <w:spacing w:val="-5"/>
          <w:sz w:val="20"/>
        </w:rPr>
        <w:t>5:1</w:t>
      </w:r>
      <w:r>
        <w:rPr>
          <w:color w:val="58595B"/>
          <w:sz w:val="20"/>
        </w:rPr>
        <w:t xml:space="preserve"> ratio.</w:t>
      </w:r>
    </w:p>
    <w:p w14:paraId="6ABDAB35" w14:textId="77777777" w:rsidR="00160E7F" w:rsidRDefault="00160E7F">
      <w:pPr>
        <w:spacing w:line="280" w:lineRule="auto"/>
        <w:rPr>
          <w:sz w:val="20"/>
        </w:rPr>
        <w:sectPr w:rsidR="00160E7F">
          <w:pgSz w:w="11910" w:h="16840"/>
          <w:pgMar w:top="980" w:right="0" w:bottom="280" w:left="1680" w:header="788" w:footer="0" w:gutter="0"/>
          <w:cols w:space="720"/>
        </w:sectPr>
      </w:pPr>
    </w:p>
    <w:p w14:paraId="095DF64F" w14:textId="77777777" w:rsidR="00160E7F" w:rsidRDefault="00160E7F">
      <w:pPr>
        <w:pStyle w:val="BodyText"/>
      </w:pPr>
    </w:p>
    <w:p w14:paraId="74BEF74F" w14:textId="77777777" w:rsidR="00160E7F" w:rsidRDefault="00160E7F">
      <w:pPr>
        <w:pStyle w:val="BodyText"/>
      </w:pPr>
    </w:p>
    <w:p w14:paraId="5D227DE5" w14:textId="77777777" w:rsidR="00160E7F" w:rsidRDefault="00160E7F">
      <w:pPr>
        <w:pStyle w:val="BodyText"/>
      </w:pPr>
    </w:p>
    <w:p w14:paraId="0F449F20" w14:textId="77777777" w:rsidR="00160E7F" w:rsidRDefault="00160E7F">
      <w:pPr>
        <w:pStyle w:val="BodyText"/>
      </w:pPr>
    </w:p>
    <w:p w14:paraId="56993570" w14:textId="77777777" w:rsidR="00160E7F" w:rsidRDefault="00160E7F">
      <w:pPr>
        <w:pStyle w:val="BodyText"/>
        <w:spacing w:before="8"/>
        <w:rPr>
          <w:sz w:val="17"/>
        </w:rPr>
      </w:pPr>
    </w:p>
    <w:p w14:paraId="4EA3E6F9" w14:textId="77777777" w:rsidR="00160E7F" w:rsidRDefault="002B0299">
      <w:pPr>
        <w:pStyle w:val="BodyText"/>
        <w:spacing w:before="1"/>
        <w:ind w:left="1417" w:right="405"/>
      </w:pPr>
      <w:r>
        <w:rPr>
          <w:b/>
          <w:color w:val="0095A7"/>
        </w:rPr>
        <w:t xml:space="preserve">FIGURE 13.3 </w:t>
      </w:r>
      <w:r>
        <w:rPr>
          <w:color w:val="0095A7"/>
        </w:rPr>
        <w:t>MAXIMUM PENALTIES IN VICTORIA AND NSW – OFFENCE OF POLLUTION</w:t>
      </w:r>
    </w:p>
    <w:p w14:paraId="00E0BDC5" w14:textId="77777777" w:rsidR="00160E7F" w:rsidRDefault="002B0299">
      <w:pPr>
        <w:pStyle w:val="BodyText"/>
        <w:rPr>
          <w:sz w:val="21"/>
        </w:rPr>
      </w:pPr>
      <w:r>
        <w:rPr>
          <w:noProof/>
        </w:rPr>
        <w:drawing>
          <wp:anchor distT="0" distB="0" distL="0" distR="0" simplePos="0" relativeHeight="1576" behindDoc="0" locked="0" layoutInCell="1" allowOverlap="1" wp14:anchorId="7B5FE160" wp14:editId="28560C73">
            <wp:simplePos x="0" y="0"/>
            <wp:positionH relativeFrom="page">
              <wp:posOffset>899998</wp:posOffset>
            </wp:positionH>
            <wp:positionV relativeFrom="paragraph">
              <wp:posOffset>178482</wp:posOffset>
            </wp:positionV>
            <wp:extent cx="5509020" cy="3023616"/>
            <wp:effectExtent l="0" t="0" r="0" b="0"/>
            <wp:wrapTopAndBottom/>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50" cstate="print"/>
                    <a:stretch>
                      <a:fillRect/>
                    </a:stretch>
                  </pic:blipFill>
                  <pic:spPr>
                    <a:xfrm>
                      <a:off x="0" y="0"/>
                      <a:ext cx="5509020" cy="3023616"/>
                    </a:xfrm>
                    <a:prstGeom prst="rect">
                      <a:avLst/>
                    </a:prstGeom>
                  </pic:spPr>
                </pic:pic>
              </a:graphicData>
            </a:graphic>
          </wp:anchor>
        </w:drawing>
      </w:r>
    </w:p>
    <w:p w14:paraId="48DCE3D7" w14:textId="77777777" w:rsidR="00160E7F" w:rsidRDefault="00160E7F">
      <w:pPr>
        <w:pStyle w:val="BodyText"/>
        <w:spacing w:before="8"/>
        <w:rPr>
          <w:sz w:val="26"/>
        </w:rPr>
      </w:pPr>
    </w:p>
    <w:p w14:paraId="5D1D8E90" w14:textId="77777777" w:rsidR="00160E7F" w:rsidRDefault="002B0299">
      <w:pPr>
        <w:pStyle w:val="BodyText"/>
        <w:spacing w:line="280" w:lineRule="auto"/>
        <w:ind w:left="1417" w:right="1980"/>
      </w:pPr>
      <w:r>
        <w:rPr>
          <w:b/>
          <w:color w:val="0095A7"/>
        </w:rPr>
        <w:t xml:space="preserve">FIGURE 13.4 </w:t>
      </w:r>
      <w:r>
        <w:rPr>
          <w:color w:val="0095A7"/>
        </w:rPr>
        <w:t>MAXIMUM PENALTIES IN VICTORIA AND NSW – OFFENCE OF AGGRAVATED POLLUTION</w:t>
      </w:r>
    </w:p>
    <w:p w14:paraId="51F31F5A" w14:textId="77777777" w:rsidR="00160E7F" w:rsidRDefault="002B0299">
      <w:pPr>
        <w:pStyle w:val="BodyText"/>
        <w:spacing w:before="8"/>
        <w:rPr>
          <w:sz w:val="17"/>
        </w:rPr>
      </w:pPr>
      <w:r>
        <w:rPr>
          <w:noProof/>
        </w:rPr>
        <w:drawing>
          <wp:anchor distT="0" distB="0" distL="0" distR="0" simplePos="0" relativeHeight="1600" behindDoc="0" locked="0" layoutInCell="1" allowOverlap="1" wp14:anchorId="082852E6" wp14:editId="0E010119">
            <wp:simplePos x="0" y="0"/>
            <wp:positionH relativeFrom="page">
              <wp:posOffset>899998</wp:posOffset>
            </wp:positionH>
            <wp:positionV relativeFrom="paragraph">
              <wp:posOffset>154361</wp:posOffset>
            </wp:positionV>
            <wp:extent cx="5433694" cy="3912489"/>
            <wp:effectExtent l="0" t="0" r="0" b="0"/>
            <wp:wrapTopAndBottom/>
            <wp:docPr id="1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3.jpeg"/>
                    <pic:cNvPicPr/>
                  </pic:nvPicPr>
                  <pic:blipFill>
                    <a:blip r:embed="rId51" cstate="print"/>
                    <a:stretch>
                      <a:fillRect/>
                    </a:stretch>
                  </pic:blipFill>
                  <pic:spPr>
                    <a:xfrm>
                      <a:off x="0" y="0"/>
                      <a:ext cx="5433694" cy="3912489"/>
                    </a:xfrm>
                    <a:prstGeom prst="rect">
                      <a:avLst/>
                    </a:prstGeom>
                  </pic:spPr>
                </pic:pic>
              </a:graphicData>
            </a:graphic>
          </wp:anchor>
        </w:drawing>
      </w:r>
    </w:p>
    <w:p w14:paraId="77068EE4" w14:textId="77777777" w:rsidR="00160E7F" w:rsidRDefault="00160E7F">
      <w:pPr>
        <w:rPr>
          <w:sz w:val="17"/>
        </w:rPr>
        <w:sectPr w:rsidR="00160E7F">
          <w:pgSz w:w="11910" w:h="16840"/>
          <w:pgMar w:top="980" w:right="1680" w:bottom="280" w:left="0" w:header="788" w:footer="0" w:gutter="0"/>
          <w:cols w:space="720"/>
        </w:sectPr>
      </w:pPr>
    </w:p>
    <w:p w14:paraId="51A4C0CE" w14:textId="77777777" w:rsidR="00160E7F" w:rsidRDefault="00160E7F">
      <w:pPr>
        <w:pStyle w:val="BodyText"/>
      </w:pPr>
    </w:p>
    <w:p w14:paraId="388581F8" w14:textId="77777777" w:rsidR="00160E7F" w:rsidRDefault="00160E7F">
      <w:pPr>
        <w:pStyle w:val="BodyText"/>
      </w:pPr>
    </w:p>
    <w:p w14:paraId="74D7C67B" w14:textId="77777777" w:rsidR="00160E7F" w:rsidRDefault="00160E7F">
      <w:pPr>
        <w:pStyle w:val="BodyText"/>
      </w:pPr>
    </w:p>
    <w:p w14:paraId="14E65027" w14:textId="77777777" w:rsidR="00160E7F" w:rsidRDefault="00160E7F">
      <w:pPr>
        <w:pStyle w:val="BodyText"/>
      </w:pPr>
    </w:p>
    <w:p w14:paraId="629D9832" w14:textId="77777777" w:rsidR="00160E7F" w:rsidRDefault="002B0299">
      <w:pPr>
        <w:pStyle w:val="Heading3"/>
        <w:numPr>
          <w:ilvl w:val="1"/>
          <w:numId w:val="31"/>
        </w:numPr>
        <w:tabs>
          <w:tab w:val="left" w:pos="717"/>
        </w:tabs>
        <w:ind w:left="716" w:hanging="582"/>
        <w:jc w:val="left"/>
      </w:pPr>
      <w:r>
        <w:rPr>
          <w:color w:val="0095A7"/>
        </w:rPr>
        <w:t>Inspection and enquiry</w:t>
      </w:r>
      <w:r>
        <w:rPr>
          <w:color w:val="0095A7"/>
          <w:spacing w:val="35"/>
        </w:rPr>
        <w:t xml:space="preserve"> </w:t>
      </w:r>
      <w:r>
        <w:rPr>
          <w:color w:val="0095A7"/>
        </w:rPr>
        <w:t>powers</w:t>
      </w:r>
    </w:p>
    <w:p w14:paraId="52E4A090" w14:textId="77777777" w:rsidR="00160E7F" w:rsidRDefault="002B0299">
      <w:pPr>
        <w:pStyle w:val="BodyText"/>
        <w:spacing w:before="145" w:line="280" w:lineRule="auto"/>
        <w:ind w:left="134" w:right="1762"/>
      </w:pPr>
      <w:r>
        <w:rPr>
          <w:color w:val="58595B"/>
        </w:rPr>
        <w:t xml:space="preserve">We recommend modernising the inspection and enquiry powers of </w:t>
      </w:r>
      <w:r>
        <w:rPr>
          <w:color w:val="58595B"/>
          <w:spacing w:val="-4"/>
        </w:rPr>
        <w:t xml:space="preserve">EPA </w:t>
      </w:r>
      <w:r>
        <w:rPr>
          <w:color w:val="58595B"/>
        </w:rPr>
        <w:t xml:space="preserve">officers (including local government environment protection officers, as outlined in chapter </w:t>
      </w:r>
      <w:r>
        <w:rPr>
          <w:color w:val="58595B"/>
          <w:spacing w:val="-4"/>
        </w:rPr>
        <w:t xml:space="preserve">18). </w:t>
      </w:r>
      <w:r>
        <w:rPr>
          <w:color w:val="58595B"/>
        </w:rPr>
        <w:t>We concur with the findings of the Krpan Review, that there are significant gaps in the provisions which confer these</w:t>
      </w:r>
      <w:r>
        <w:rPr>
          <w:color w:val="58595B"/>
          <w:spacing w:val="-3"/>
        </w:rPr>
        <w:t xml:space="preserve"> </w:t>
      </w:r>
      <w:r>
        <w:rPr>
          <w:color w:val="58595B"/>
        </w:rPr>
        <w:t>powers:</w:t>
      </w:r>
    </w:p>
    <w:p w14:paraId="27F08B75" w14:textId="77777777" w:rsidR="00160E7F" w:rsidRDefault="002B0299">
      <w:pPr>
        <w:spacing w:before="172" w:line="280" w:lineRule="auto"/>
        <w:ind w:left="701" w:right="2071"/>
        <w:rPr>
          <w:sz w:val="11"/>
        </w:rPr>
      </w:pPr>
      <w:r>
        <w:rPr>
          <w:i/>
          <w:color w:val="231F20"/>
          <w:sz w:val="20"/>
        </w:rPr>
        <w:t>The provisions rely on implication, as opposed to express powers, for critical functions of authorised officers. For instance, there is currently no express provision for making verbal enquiries or for requiring answers to questions.</w:t>
      </w:r>
      <w:r>
        <w:rPr>
          <w:color w:val="231F20"/>
          <w:position w:val="7"/>
          <w:sz w:val="11"/>
        </w:rPr>
        <w:t>17</w:t>
      </w:r>
    </w:p>
    <w:p w14:paraId="5222C47F" w14:textId="77777777" w:rsidR="00160E7F" w:rsidRDefault="002B0299">
      <w:pPr>
        <w:pStyle w:val="BodyText"/>
        <w:spacing w:before="172"/>
        <w:ind w:left="134" w:right="789"/>
      </w:pPr>
      <w:r>
        <w:rPr>
          <w:color w:val="58595B"/>
        </w:rPr>
        <w:t>There are a number of serious deficiencies:</w:t>
      </w:r>
    </w:p>
    <w:p w14:paraId="1AD9106F" w14:textId="77777777" w:rsidR="00160E7F" w:rsidRDefault="002B0299">
      <w:pPr>
        <w:pStyle w:val="ListParagraph"/>
        <w:numPr>
          <w:ilvl w:val="0"/>
          <w:numId w:val="47"/>
        </w:numPr>
        <w:tabs>
          <w:tab w:val="left" w:pos="305"/>
        </w:tabs>
        <w:spacing w:before="153" w:line="280" w:lineRule="auto"/>
        <w:ind w:right="1868" w:hanging="170"/>
        <w:rPr>
          <w:sz w:val="20"/>
        </w:rPr>
      </w:pPr>
      <w:r>
        <w:rPr>
          <w:color w:val="58595B"/>
          <w:sz w:val="20"/>
        </w:rPr>
        <w:t>the powers of inspection and enquiry in the EP Act fall short of equivalent powers available to safety</w:t>
      </w:r>
      <w:r>
        <w:rPr>
          <w:color w:val="58595B"/>
          <w:spacing w:val="1"/>
          <w:sz w:val="20"/>
        </w:rPr>
        <w:t xml:space="preserve"> </w:t>
      </w:r>
      <w:r>
        <w:rPr>
          <w:color w:val="58595B"/>
          <w:sz w:val="20"/>
        </w:rPr>
        <w:t>regulators</w:t>
      </w:r>
    </w:p>
    <w:p w14:paraId="14583311" w14:textId="77777777" w:rsidR="00160E7F" w:rsidRDefault="002B0299">
      <w:pPr>
        <w:pStyle w:val="ListParagraph"/>
        <w:numPr>
          <w:ilvl w:val="0"/>
          <w:numId w:val="47"/>
        </w:numPr>
        <w:tabs>
          <w:tab w:val="left" w:pos="305"/>
        </w:tabs>
        <w:spacing w:before="115"/>
        <w:ind w:hanging="170"/>
        <w:rPr>
          <w:sz w:val="20"/>
        </w:rPr>
      </w:pPr>
      <w:r>
        <w:rPr>
          <w:color w:val="58595B"/>
          <w:sz w:val="20"/>
        </w:rPr>
        <w:t>the powers are unnecessarily confined, complex and susceptible to</w:t>
      </w:r>
      <w:r>
        <w:rPr>
          <w:color w:val="58595B"/>
          <w:spacing w:val="15"/>
          <w:sz w:val="20"/>
        </w:rPr>
        <w:t xml:space="preserve"> </w:t>
      </w:r>
      <w:r>
        <w:rPr>
          <w:color w:val="58595B"/>
          <w:sz w:val="20"/>
        </w:rPr>
        <w:t>challenge</w:t>
      </w:r>
    </w:p>
    <w:p w14:paraId="16ABC442" w14:textId="77777777" w:rsidR="00160E7F" w:rsidRDefault="002B0299">
      <w:pPr>
        <w:pStyle w:val="ListParagraph"/>
        <w:numPr>
          <w:ilvl w:val="0"/>
          <w:numId w:val="47"/>
        </w:numPr>
        <w:tabs>
          <w:tab w:val="left" w:pos="305"/>
        </w:tabs>
        <w:spacing w:before="153" w:line="280" w:lineRule="auto"/>
        <w:ind w:right="1655" w:hanging="170"/>
        <w:rPr>
          <w:sz w:val="20"/>
        </w:rPr>
      </w:pPr>
      <w:r>
        <w:rPr>
          <w:color w:val="58595B"/>
          <w:spacing w:val="-4"/>
          <w:sz w:val="20"/>
        </w:rPr>
        <w:t xml:space="preserve">EPA </w:t>
      </w:r>
      <w:r>
        <w:rPr>
          <w:color w:val="58595B"/>
          <w:sz w:val="20"/>
        </w:rPr>
        <w:t>authorised officers lack powers to obtain search warrants, require answers to questions, require assistance or seize documents or other</w:t>
      </w:r>
      <w:r>
        <w:rPr>
          <w:color w:val="58595B"/>
          <w:spacing w:val="3"/>
          <w:sz w:val="20"/>
        </w:rPr>
        <w:t xml:space="preserve"> </w:t>
      </w:r>
      <w:r>
        <w:rPr>
          <w:color w:val="58595B"/>
          <w:sz w:val="20"/>
        </w:rPr>
        <w:t>evidence</w:t>
      </w:r>
    </w:p>
    <w:p w14:paraId="5694CA7A" w14:textId="77777777" w:rsidR="00160E7F" w:rsidRDefault="002B0299">
      <w:pPr>
        <w:pStyle w:val="ListParagraph"/>
        <w:numPr>
          <w:ilvl w:val="0"/>
          <w:numId w:val="47"/>
        </w:numPr>
        <w:tabs>
          <w:tab w:val="left" w:pos="305"/>
        </w:tabs>
        <w:spacing w:before="115"/>
        <w:ind w:hanging="170"/>
        <w:rPr>
          <w:sz w:val="20"/>
        </w:rPr>
      </w:pPr>
      <w:r>
        <w:rPr>
          <w:color w:val="58595B"/>
          <w:spacing w:val="-4"/>
          <w:sz w:val="20"/>
        </w:rPr>
        <w:t xml:space="preserve">EPA </w:t>
      </w:r>
      <w:r>
        <w:rPr>
          <w:color w:val="58595B"/>
          <w:sz w:val="20"/>
        </w:rPr>
        <w:t>authorised officers lack the capacity to seek a court warrant to use a surveillance</w:t>
      </w:r>
      <w:r>
        <w:rPr>
          <w:color w:val="58595B"/>
          <w:spacing w:val="47"/>
          <w:sz w:val="20"/>
        </w:rPr>
        <w:t xml:space="preserve"> </w:t>
      </w:r>
      <w:r>
        <w:rPr>
          <w:color w:val="58595B"/>
          <w:sz w:val="20"/>
        </w:rPr>
        <w:t>device</w:t>
      </w:r>
    </w:p>
    <w:p w14:paraId="2528947F" w14:textId="77777777" w:rsidR="00160E7F" w:rsidRDefault="002B0299">
      <w:pPr>
        <w:pStyle w:val="ListParagraph"/>
        <w:numPr>
          <w:ilvl w:val="0"/>
          <w:numId w:val="47"/>
        </w:numPr>
        <w:tabs>
          <w:tab w:val="left" w:pos="305"/>
        </w:tabs>
        <w:spacing w:before="153" w:line="280" w:lineRule="auto"/>
        <w:ind w:right="1816" w:hanging="170"/>
        <w:rPr>
          <w:sz w:val="20"/>
        </w:rPr>
      </w:pPr>
      <w:r>
        <w:rPr>
          <w:color w:val="58595B"/>
          <w:sz w:val="20"/>
        </w:rPr>
        <w:t xml:space="preserve">the current offence of obstructing an authorised officer is deficient and does not adequately protect </w:t>
      </w:r>
      <w:r>
        <w:rPr>
          <w:color w:val="58595B"/>
          <w:spacing w:val="-4"/>
          <w:sz w:val="20"/>
        </w:rPr>
        <w:t xml:space="preserve">EPA </w:t>
      </w:r>
      <w:r>
        <w:rPr>
          <w:color w:val="58595B"/>
          <w:sz w:val="20"/>
        </w:rPr>
        <w:t>staff in the discharge of their</w:t>
      </w:r>
      <w:r>
        <w:rPr>
          <w:color w:val="58595B"/>
          <w:spacing w:val="16"/>
          <w:sz w:val="20"/>
        </w:rPr>
        <w:t xml:space="preserve"> </w:t>
      </w:r>
      <w:r>
        <w:rPr>
          <w:color w:val="58595B"/>
          <w:sz w:val="20"/>
        </w:rPr>
        <w:t>duties</w:t>
      </w:r>
    </w:p>
    <w:p w14:paraId="20D58E60" w14:textId="77777777" w:rsidR="00160E7F" w:rsidRDefault="002B0299">
      <w:pPr>
        <w:pStyle w:val="ListParagraph"/>
        <w:numPr>
          <w:ilvl w:val="0"/>
          <w:numId w:val="47"/>
        </w:numPr>
        <w:tabs>
          <w:tab w:val="left" w:pos="305"/>
        </w:tabs>
        <w:spacing w:before="115" w:line="280" w:lineRule="auto"/>
        <w:ind w:right="2617" w:hanging="170"/>
        <w:rPr>
          <w:sz w:val="20"/>
        </w:rPr>
      </w:pPr>
      <w:r>
        <w:rPr>
          <w:color w:val="58595B"/>
          <w:sz w:val="20"/>
        </w:rPr>
        <w:t>the inspection and enquiry provisions lack standard checks and balances, such as announcement on entry and production of</w:t>
      </w:r>
      <w:r>
        <w:rPr>
          <w:color w:val="58595B"/>
          <w:spacing w:val="17"/>
          <w:sz w:val="20"/>
        </w:rPr>
        <w:t xml:space="preserve"> </w:t>
      </w:r>
      <w:r>
        <w:rPr>
          <w:color w:val="58595B"/>
          <w:sz w:val="20"/>
        </w:rPr>
        <w:t>identification.</w:t>
      </w:r>
    </w:p>
    <w:p w14:paraId="3BC3C23B" w14:textId="77777777" w:rsidR="00160E7F" w:rsidRDefault="002B0299">
      <w:pPr>
        <w:pStyle w:val="BodyText"/>
        <w:spacing w:before="172" w:line="280" w:lineRule="auto"/>
        <w:ind w:left="134" w:right="1716"/>
      </w:pPr>
      <w:r>
        <w:rPr>
          <w:color w:val="58595B"/>
        </w:rPr>
        <w:t>We recommend that the provisions conferring these powers be overhauled, and that each of these deficiencies be remedied.</w:t>
      </w:r>
    </w:p>
    <w:p w14:paraId="5FFF249A" w14:textId="77777777" w:rsidR="00160E7F" w:rsidRDefault="00160E7F">
      <w:pPr>
        <w:spacing w:line="280" w:lineRule="auto"/>
        <w:sectPr w:rsidR="00160E7F">
          <w:pgSz w:w="11910" w:h="16840"/>
          <w:pgMar w:top="980" w:right="0" w:bottom="280" w:left="1680" w:header="788" w:footer="0" w:gutter="0"/>
          <w:cols w:space="720"/>
        </w:sectPr>
      </w:pPr>
    </w:p>
    <w:p w14:paraId="5A2C199C" w14:textId="77777777" w:rsidR="00160E7F" w:rsidRDefault="00160E7F">
      <w:pPr>
        <w:pStyle w:val="BodyText"/>
      </w:pPr>
    </w:p>
    <w:p w14:paraId="68DF6490" w14:textId="77777777" w:rsidR="00160E7F" w:rsidRDefault="00160E7F">
      <w:pPr>
        <w:pStyle w:val="BodyText"/>
      </w:pPr>
    </w:p>
    <w:p w14:paraId="5D21E1EB" w14:textId="77777777" w:rsidR="00160E7F" w:rsidRDefault="00160E7F">
      <w:pPr>
        <w:pStyle w:val="BodyText"/>
      </w:pPr>
    </w:p>
    <w:p w14:paraId="77E4ED01" w14:textId="77777777" w:rsidR="00160E7F" w:rsidRDefault="00160E7F">
      <w:pPr>
        <w:pStyle w:val="BodyText"/>
      </w:pPr>
    </w:p>
    <w:p w14:paraId="24652A23" w14:textId="77777777" w:rsidR="00160E7F" w:rsidRDefault="002B0299">
      <w:pPr>
        <w:pStyle w:val="Heading3"/>
        <w:ind w:right="789"/>
      </w:pPr>
      <w:r>
        <w:rPr>
          <w:color w:val="0095A7"/>
        </w:rPr>
        <w:t>Recommendations</w:t>
      </w:r>
    </w:p>
    <w:p w14:paraId="580E5469" w14:textId="77777777" w:rsidR="00160E7F" w:rsidRDefault="000638CB">
      <w:pPr>
        <w:pStyle w:val="BodyText"/>
        <w:rPr>
          <w:sz w:val="23"/>
        </w:rPr>
      </w:pPr>
      <w:r>
        <w:pict w14:anchorId="5793D0C1">
          <v:shape id="_x0000_s1101" type="#_x0000_t202" style="position:absolute;margin-left:70.85pt;margin-top:14.45pt;width:432.7pt;height:57pt;z-index:1624;mso-wrap-distance-left:0;mso-wrap-distance-right:0;mso-position-horizontal-relative:page" fillcolor="#eff6f0" stroked="f">
            <v:textbox inset="0,0,0,0">
              <w:txbxContent>
                <w:p w14:paraId="3ABA5034" w14:textId="77777777" w:rsidR="00804E46" w:rsidRDefault="00804E46">
                  <w:pPr>
                    <w:spacing w:before="128"/>
                    <w:ind w:left="170" w:right="567"/>
                    <w:rPr>
                      <w:b/>
                      <w:sz w:val="20"/>
                    </w:rPr>
                  </w:pPr>
                  <w:r>
                    <w:rPr>
                      <w:b/>
                      <w:color w:val="808285"/>
                      <w:sz w:val="20"/>
                    </w:rPr>
                    <w:t>RECOMMENDATION 13.1</w:t>
                  </w:r>
                </w:p>
                <w:p w14:paraId="18A3B837" w14:textId="77777777" w:rsidR="00804E46" w:rsidRDefault="00804E46">
                  <w:pPr>
                    <w:pStyle w:val="BodyText"/>
                    <w:spacing w:before="153" w:line="280" w:lineRule="auto"/>
                    <w:ind w:left="170" w:right="567"/>
                  </w:pPr>
                  <w:r>
                    <w:rPr>
                      <w:color w:val="58595B"/>
                    </w:rPr>
                    <w:t>The EPA develop an overarching prosecution strategy to strengthen its processes, procedures and resourcing to facilitate timely prosecution.</w:t>
                  </w:r>
                </w:p>
              </w:txbxContent>
            </v:textbox>
            <w10:wrap type="topAndBottom" anchorx="page"/>
          </v:shape>
        </w:pict>
      </w:r>
      <w:r>
        <w:pict w14:anchorId="5CBC708D">
          <v:shape id="_x0000_s1100" type="#_x0000_t202" style="position:absolute;margin-left:70.85pt;margin-top:82.75pt;width:432.7pt;height:57pt;z-index:1648;mso-wrap-distance-left:0;mso-wrap-distance-right:0;mso-position-horizontal-relative:page" fillcolor="#eff6f0" stroked="f">
            <v:textbox inset="0,0,0,0">
              <w:txbxContent>
                <w:p w14:paraId="11194EAF" w14:textId="77777777" w:rsidR="00804E46" w:rsidRDefault="00804E46">
                  <w:pPr>
                    <w:spacing w:before="128"/>
                    <w:ind w:left="170" w:right="567"/>
                    <w:rPr>
                      <w:b/>
                      <w:sz w:val="20"/>
                    </w:rPr>
                  </w:pPr>
                  <w:r>
                    <w:rPr>
                      <w:b/>
                      <w:color w:val="808285"/>
                      <w:sz w:val="20"/>
                    </w:rPr>
                    <w:t>RECOMMENDATION 13.2</w:t>
                  </w:r>
                </w:p>
                <w:p w14:paraId="12EC37BD" w14:textId="77777777" w:rsidR="00804E46" w:rsidRDefault="00804E46">
                  <w:pPr>
                    <w:pStyle w:val="BodyText"/>
                    <w:spacing w:before="153" w:line="280" w:lineRule="auto"/>
                    <w:ind w:left="170" w:right="567"/>
                  </w:pPr>
                  <w:r>
                    <w:rPr>
                      <w:color w:val="58595B"/>
                    </w:rPr>
                    <w:t>The EPA review how it applies enforceable undertakings, taking account of best practice by other regulators.</w:t>
                  </w:r>
                </w:p>
              </w:txbxContent>
            </v:textbox>
            <w10:wrap type="topAndBottom" anchorx="page"/>
          </v:shape>
        </w:pict>
      </w:r>
      <w:r>
        <w:pict w14:anchorId="4436B567">
          <v:shape id="_x0000_s1099" type="#_x0000_t202" style="position:absolute;margin-left:70.85pt;margin-top:151.05pt;width:432.7pt;height:145pt;z-index:1672;mso-wrap-distance-left:0;mso-wrap-distance-right:0;mso-position-horizontal-relative:page" fillcolor="#eff6f0" stroked="f">
            <v:textbox inset="0,0,0,0">
              <w:txbxContent>
                <w:p w14:paraId="5B005597" w14:textId="77777777" w:rsidR="00804E46" w:rsidRDefault="00804E46">
                  <w:pPr>
                    <w:spacing w:before="128"/>
                    <w:ind w:left="170" w:right="567"/>
                    <w:rPr>
                      <w:b/>
                      <w:sz w:val="20"/>
                    </w:rPr>
                  </w:pPr>
                  <w:r>
                    <w:rPr>
                      <w:b/>
                      <w:color w:val="808285"/>
                      <w:sz w:val="20"/>
                    </w:rPr>
                    <w:t>RECOMMENDATION 13.3</w:t>
                  </w:r>
                </w:p>
                <w:p w14:paraId="36E0643D" w14:textId="77777777" w:rsidR="00804E46" w:rsidRDefault="00804E46">
                  <w:pPr>
                    <w:pStyle w:val="BodyText"/>
                    <w:spacing w:before="153"/>
                    <w:ind w:left="170" w:right="567"/>
                  </w:pPr>
                  <w:r>
                    <w:rPr>
                      <w:color w:val="58595B"/>
                    </w:rPr>
                    <w:t>Expand the range, and increase the severity, of sanctions by:</w:t>
                  </w:r>
                </w:p>
                <w:p w14:paraId="59723E97" w14:textId="77777777" w:rsidR="00804E46" w:rsidRDefault="00804E46">
                  <w:pPr>
                    <w:pStyle w:val="BodyText"/>
                    <w:spacing w:before="3"/>
                    <w:rPr>
                      <w:sz w:val="18"/>
                    </w:rPr>
                  </w:pPr>
                </w:p>
                <w:p w14:paraId="0ED81D2C" w14:textId="77777777" w:rsidR="00804E46" w:rsidRDefault="00804E46">
                  <w:pPr>
                    <w:pStyle w:val="ListParagraph"/>
                    <w:numPr>
                      <w:ilvl w:val="0"/>
                      <w:numId w:val="30"/>
                    </w:numPr>
                    <w:tabs>
                      <w:tab w:val="left" w:pos="511"/>
                    </w:tabs>
                    <w:spacing w:before="0"/>
                    <w:ind w:hanging="340"/>
                    <w:rPr>
                      <w:sz w:val="20"/>
                    </w:rPr>
                  </w:pPr>
                  <w:r>
                    <w:rPr>
                      <w:color w:val="58595B"/>
                      <w:sz w:val="20"/>
                    </w:rPr>
                    <w:t>increasing the maximum penalties for criminal</w:t>
                  </w:r>
                  <w:r>
                    <w:rPr>
                      <w:color w:val="58595B"/>
                      <w:spacing w:val="21"/>
                      <w:sz w:val="20"/>
                    </w:rPr>
                    <w:t xml:space="preserve"> </w:t>
                  </w:r>
                  <w:r>
                    <w:rPr>
                      <w:color w:val="58595B"/>
                      <w:sz w:val="20"/>
                    </w:rPr>
                    <w:t>offences</w:t>
                  </w:r>
                </w:p>
                <w:p w14:paraId="13E3CD32" w14:textId="77777777" w:rsidR="00804E46" w:rsidRDefault="00804E46">
                  <w:pPr>
                    <w:pStyle w:val="BodyText"/>
                    <w:spacing w:before="3"/>
                    <w:rPr>
                      <w:sz w:val="18"/>
                    </w:rPr>
                  </w:pPr>
                </w:p>
                <w:p w14:paraId="2543B116" w14:textId="77777777" w:rsidR="00804E46" w:rsidRDefault="00804E46">
                  <w:pPr>
                    <w:pStyle w:val="ListParagraph"/>
                    <w:numPr>
                      <w:ilvl w:val="0"/>
                      <w:numId w:val="30"/>
                    </w:numPr>
                    <w:tabs>
                      <w:tab w:val="left" w:pos="511"/>
                    </w:tabs>
                    <w:spacing w:before="0"/>
                    <w:ind w:hanging="340"/>
                    <w:rPr>
                      <w:sz w:val="20"/>
                    </w:rPr>
                  </w:pPr>
                  <w:r>
                    <w:rPr>
                      <w:color w:val="58595B"/>
                      <w:sz w:val="20"/>
                    </w:rPr>
                    <w:t>fixing separate maximum penalties for individuals and</w:t>
                  </w:r>
                  <w:r>
                    <w:rPr>
                      <w:color w:val="58595B"/>
                      <w:spacing w:val="21"/>
                      <w:sz w:val="20"/>
                    </w:rPr>
                    <w:t xml:space="preserve"> </w:t>
                  </w:r>
                  <w:r>
                    <w:rPr>
                      <w:color w:val="58595B"/>
                      <w:sz w:val="20"/>
                    </w:rPr>
                    <w:t>corporations</w:t>
                  </w:r>
                </w:p>
                <w:p w14:paraId="30ED5C21" w14:textId="77777777" w:rsidR="00804E46" w:rsidRDefault="00804E46">
                  <w:pPr>
                    <w:pStyle w:val="BodyText"/>
                    <w:spacing w:before="3"/>
                    <w:rPr>
                      <w:sz w:val="18"/>
                    </w:rPr>
                  </w:pPr>
                </w:p>
                <w:p w14:paraId="1CF42E3D" w14:textId="77777777" w:rsidR="00804E46" w:rsidRDefault="00804E46">
                  <w:pPr>
                    <w:pStyle w:val="ListParagraph"/>
                    <w:numPr>
                      <w:ilvl w:val="0"/>
                      <w:numId w:val="30"/>
                    </w:numPr>
                    <w:tabs>
                      <w:tab w:val="left" w:pos="511"/>
                    </w:tabs>
                    <w:spacing w:before="0" w:line="280" w:lineRule="auto"/>
                    <w:ind w:right="1236" w:hanging="340"/>
                    <w:rPr>
                      <w:sz w:val="20"/>
                    </w:rPr>
                  </w:pPr>
                  <w:r>
                    <w:rPr>
                      <w:color w:val="58595B"/>
                      <w:sz w:val="20"/>
                    </w:rPr>
                    <w:t>empowering courts to fix fines which take account of the economic benefits of non-compliance</w:t>
                  </w:r>
                </w:p>
                <w:p w14:paraId="5E9EA23D" w14:textId="77777777" w:rsidR="00804E46" w:rsidRDefault="00804E46">
                  <w:pPr>
                    <w:pStyle w:val="ListParagraph"/>
                    <w:numPr>
                      <w:ilvl w:val="0"/>
                      <w:numId w:val="30"/>
                    </w:numPr>
                    <w:tabs>
                      <w:tab w:val="left" w:pos="511"/>
                    </w:tabs>
                    <w:spacing w:before="172"/>
                    <w:ind w:hanging="340"/>
                    <w:rPr>
                      <w:sz w:val="20"/>
                    </w:rPr>
                  </w:pPr>
                  <w:r>
                    <w:rPr>
                      <w:color w:val="58595B"/>
                      <w:sz w:val="20"/>
                    </w:rPr>
                    <w:t>introducing a civil penalty regime as an alternative to</w:t>
                  </w:r>
                  <w:r>
                    <w:rPr>
                      <w:color w:val="58595B"/>
                      <w:spacing w:val="7"/>
                      <w:sz w:val="20"/>
                    </w:rPr>
                    <w:t xml:space="preserve"> </w:t>
                  </w:r>
                  <w:r>
                    <w:rPr>
                      <w:color w:val="58595B"/>
                      <w:sz w:val="20"/>
                    </w:rPr>
                    <w:t>prosecution.</w:t>
                  </w:r>
                </w:p>
              </w:txbxContent>
            </v:textbox>
            <w10:wrap type="topAndBottom" anchorx="page"/>
          </v:shape>
        </w:pict>
      </w:r>
      <w:r>
        <w:pict w14:anchorId="01DA04A4">
          <v:shape id="_x0000_s1098" type="#_x0000_t202" style="position:absolute;margin-left:70.85pt;margin-top:307.35pt;width:432.7pt;height:70.5pt;z-index:1696;mso-wrap-distance-left:0;mso-wrap-distance-right:0;mso-position-horizontal-relative:page" fillcolor="#eff6f0" stroked="f">
            <v:textbox inset="0,0,0,0">
              <w:txbxContent>
                <w:p w14:paraId="0023D8CA" w14:textId="77777777" w:rsidR="00804E46" w:rsidRDefault="00804E46">
                  <w:pPr>
                    <w:spacing w:before="128"/>
                    <w:ind w:left="170" w:right="567"/>
                    <w:rPr>
                      <w:b/>
                      <w:sz w:val="20"/>
                    </w:rPr>
                  </w:pPr>
                  <w:r>
                    <w:rPr>
                      <w:b/>
                      <w:color w:val="808285"/>
                      <w:sz w:val="20"/>
                    </w:rPr>
                    <w:t>RECOMMENDATION 13.4</w:t>
                  </w:r>
                </w:p>
                <w:p w14:paraId="7A407F8B" w14:textId="77777777" w:rsidR="00804E46" w:rsidRDefault="00804E46">
                  <w:pPr>
                    <w:pStyle w:val="BodyText"/>
                    <w:spacing w:before="153" w:line="280" w:lineRule="auto"/>
                    <w:ind w:left="170" w:right="567"/>
                  </w:pPr>
                  <w:r>
                    <w:rPr>
                      <w:color w:val="58595B"/>
                    </w:rPr>
                    <w:t>Modernise</w:t>
                  </w:r>
                  <w:r>
                    <w:rPr>
                      <w:color w:val="58595B"/>
                      <w:spacing w:val="-12"/>
                    </w:rPr>
                    <w:t xml:space="preserve"> </w:t>
                  </w:r>
                  <w:r>
                    <w:rPr>
                      <w:color w:val="58595B"/>
                    </w:rPr>
                    <w:t>the</w:t>
                  </w:r>
                  <w:r>
                    <w:rPr>
                      <w:color w:val="58595B"/>
                      <w:spacing w:val="-12"/>
                    </w:rPr>
                    <w:t xml:space="preserve"> </w:t>
                  </w:r>
                  <w:r>
                    <w:rPr>
                      <w:color w:val="58595B"/>
                    </w:rPr>
                    <w:t>inspection</w:t>
                  </w:r>
                  <w:r>
                    <w:rPr>
                      <w:color w:val="58595B"/>
                      <w:spacing w:val="-12"/>
                    </w:rPr>
                    <w:t xml:space="preserve"> </w:t>
                  </w:r>
                  <w:r>
                    <w:rPr>
                      <w:color w:val="58595B"/>
                    </w:rPr>
                    <w:t>and</w:t>
                  </w:r>
                  <w:r>
                    <w:rPr>
                      <w:color w:val="58595B"/>
                      <w:spacing w:val="-12"/>
                    </w:rPr>
                    <w:t xml:space="preserve"> </w:t>
                  </w:r>
                  <w:r>
                    <w:rPr>
                      <w:color w:val="58595B"/>
                    </w:rPr>
                    <w:t>enquiry</w:t>
                  </w:r>
                  <w:r>
                    <w:rPr>
                      <w:color w:val="58595B"/>
                      <w:spacing w:val="-12"/>
                    </w:rPr>
                    <w:t xml:space="preserve"> </w:t>
                  </w:r>
                  <w:r>
                    <w:rPr>
                      <w:color w:val="58595B"/>
                    </w:rPr>
                    <w:t>powers</w:t>
                  </w:r>
                  <w:r>
                    <w:rPr>
                      <w:color w:val="58595B"/>
                      <w:spacing w:val="-12"/>
                    </w:rPr>
                    <w:t xml:space="preserve"> </w:t>
                  </w:r>
                  <w:r>
                    <w:rPr>
                      <w:color w:val="58595B"/>
                    </w:rPr>
                    <w:t>for</w:t>
                  </w:r>
                  <w:r>
                    <w:rPr>
                      <w:color w:val="58595B"/>
                      <w:spacing w:val="-12"/>
                    </w:rPr>
                    <w:t xml:space="preserve"> </w:t>
                  </w:r>
                  <w:r>
                    <w:rPr>
                      <w:color w:val="58595B"/>
                      <w:spacing w:val="-5"/>
                    </w:rPr>
                    <w:t>EPA</w:t>
                  </w:r>
                  <w:r>
                    <w:rPr>
                      <w:color w:val="58595B"/>
                      <w:spacing w:val="-12"/>
                    </w:rPr>
                    <w:t xml:space="preserve"> </w:t>
                  </w:r>
                  <w:r>
                    <w:rPr>
                      <w:color w:val="58595B"/>
                    </w:rPr>
                    <w:t>authorised</w:t>
                  </w:r>
                  <w:r>
                    <w:rPr>
                      <w:color w:val="58595B"/>
                      <w:spacing w:val="-12"/>
                    </w:rPr>
                    <w:t xml:space="preserve"> </w:t>
                  </w:r>
                  <w:r>
                    <w:rPr>
                      <w:color w:val="58595B"/>
                    </w:rPr>
                    <w:t>officers</w:t>
                  </w:r>
                  <w:r>
                    <w:rPr>
                      <w:color w:val="58595B"/>
                      <w:spacing w:val="-12"/>
                    </w:rPr>
                    <w:t xml:space="preserve"> </w:t>
                  </w:r>
                  <w:r>
                    <w:rPr>
                      <w:color w:val="58595B"/>
                    </w:rPr>
                    <w:t>(including</w:t>
                  </w:r>
                  <w:r>
                    <w:rPr>
                      <w:color w:val="58595B"/>
                      <w:spacing w:val="-12"/>
                    </w:rPr>
                    <w:t xml:space="preserve"> </w:t>
                  </w:r>
                  <w:r>
                    <w:rPr>
                      <w:color w:val="58595B"/>
                    </w:rPr>
                    <w:t xml:space="preserve">local </w:t>
                  </w:r>
                  <w:r>
                    <w:rPr>
                      <w:color w:val="58595B"/>
                      <w:spacing w:val="-3"/>
                    </w:rPr>
                    <w:t xml:space="preserve">government environment </w:t>
                  </w:r>
                  <w:r>
                    <w:rPr>
                      <w:color w:val="58595B"/>
                    </w:rPr>
                    <w:t xml:space="preserve">protection officers) to provide powers </w:t>
                  </w:r>
                  <w:r>
                    <w:rPr>
                      <w:color w:val="58595B"/>
                      <w:spacing w:val="-3"/>
                    </w:rPr>
                    <w:t xml:space="preserve">equivalent </w:t>
                  </w:r>
                  <w:r>
                    <w:rPr>
                      <w:color w:val="58595B"/>
                    </w:rPr>
                    <w:t>to those of safety</w:t>
                  </w:r>
                  <w:r>
                    <w:rPr>
                      <w:color w:val="58595B"/>
                      <w:spacing w:val="-11"/>
                    </w:rPr>
                    <w:t xml:space="preserve"> </w:t>
                  </w:r>
                  <w:r>
                    <w:rPr>
                      <w:color w:val="58595B"/>
                    </w:rPr>
                    <w:t>regulators.</w:t>
                  </w:r>
                </w:p>
              </w:txbxContent>
            </v:textbox>
            <w10:wrap type="topAndBottom" anchorx="page"/>
          </v:shape>
        </w:pict>
      </w:r>
    </w:p>
    <w:p w14:paraId="38C915DD" w14:textId="77777777" w:rsidR="00160E7F" w:rsidRDefault="00160E7F">
      <w:pPr>
        <w:pStyle w:val="BodyText"/>
        <w:spacing w:before="3"/>
        <w:rPr>
          <w:sz w:val="16"/>
        </w:rPr>
      </w:pPr>
    </w:p>
    <w:p w14:paraId="15589156" w14:textId="77777777" w:rsidR="00160E7F" w:rsidRDefault="00160E7F">
      <w:pPr>
        <w:pStyle w:val="BodyText"/>
        <w:spacing w:before="3"/>
        <w:rPr>
          <w:sz w:val="16"/>
        </w:rPr>
      </w:pPr>
    </w:p>
    <w:p w14:paraId="01CC3FC0" w14:textId="77777777" w:rsidR="00160E7F" w:rsidRDefault="00160E7F">
      <w:pPr>
        <w:pStyle w:val="BodyText"/>
        <w:spacing w:before="3"/>
        <w:rPr>
          <w:sz w:val="16"/>
        </w:rPr>
      </w:pPr>
    </w:p>
    <w:p w14:paraId="13B6625F" w14:textId="77777777" w:rsidR="00160E7F" w:rsidRDefault="00160E7F">
      <w:pPr>
        <w:rPr>
          <w:sz w:val="16"/>
        </w:rPr>
        <w:sectPr w:rsidR="00160E7F">
          <w:pgSz w:w="11910" w:h="16840"/>
          <w:pgMar w:top="980" w:right="1680" w:bottom="280" w:left="0" w:header="788" w:footer="0" w:gutter="0"/>
          <w:cols w:space="720"/>
        </w:sectPr>
      </w:pPr>
    </w:p>
    <w:p w14:paraId="56E8A424" w14:textId="77777777" w:rsidR="00160E7F" w:rsidRDefault="00160E7F">
      <w:pPr>
        <w:pStyle w:val="BodyText"/>
      </w:pPr>
    </w:p>
    <w:p w14:paraId="35EDCA74" w14:textId="77777777" w:rsidR="00160E7F" w:rsidRDefault="00160E7F">
      <w:pPr>
        <w:pStyle w:val="BodyText"/>
      </w:pPr>
    </w:p>
    <w:p w14:paraId="7E7C81A7" w14:textId="77777777" w:rsidR="00160E7F" w:rsidRDefault="00160E7F">
      <w:pPr>
        <w:pStyle w:val="BodyText"/>
      </w:pPr>
    </w:p>
    <w:p w14:paraId="0986E8BF" w14:textId="77777777" w:rsidR="00160E7F" w:rsidRDefault="00160E7F">
      <w:pPr>
        <w:pStyle w:val="BodyText"/>
      </w:pPr>
    </w:p>
    <w:p w14:paraId="179B8B48" w14:textId="77777777" w:rsidR="00160E7F" w:rsidRDefault="00160E7F">
      <w:pPr>
        <w:pStyle w:val="BodyText"/>
        <w:spacing w:before="4"/>
        <w:rPr>
          <w:sz w:val="13"/>
        </w:rPr>
      </w:pPr>
    </w:p>
    <w:p w14:paraId="453AFCDB" w14:textId="77777777" w:rsidR="00160E7F" w:rsidRDefault="000638CB">
      <w:pPr>
        <w:pStyle w:val="BodyText"/>
        <w:spacing w:line="20" w:lineRule="exact"/>
        <w:ind w:left="129"/>
        <w:rPr>
          <w:sz w:val="2"/>
        </w:rPr>
      </w:pPr>
      <w:r>
        <w:rPr>
          <w:sz w:val="2"/>
        </w:rPr>
      </w:r>
      <w:r>
        <w:rPr>
          <w:sz w:val="2"/>
        </w:rPr>
        <w:pict w14:anchorId="66364EE5">
          <v:group id="_x0000_s1096" style="width:211.35pt;height:.5pt;mso-position-horizontal-relative:char;mso-position-vertical-relative:line" coordsize="4227,10">
            <v:line id="_x0000_s1097" style="position:absolute" from="5,5" to="4222,5" strokecolor="#58595b" strokeweight=".5pt"/>
            <w10:wrap type="none"/>
            <w10:anchorlock/>
          </v:group>
        </w:pict>
      </w:r>
    </w:p>
    <w:p w14:paraId="03034424" w14:textId="54075613" w:rsidR="00160E7F" w:rsidRDefault="002B0299">
      <w:pPr>
        <w:pStyle w:val="ListParagraph"/>
        <w:numPr>
          <w:ilvl w:val="0"/>
          <w:numId w:val="29"/>
        </w:numPr>
        <w:tabs>
          <w:tab w:val="left" w:pos="418"/>
        </w:tabs>
        <w:spacing w:before="47" w:line="242" w:lineRule="auto"/>
        <w:ind w:right="5888" w:hanging="283"/>
        <w:rPr>
          <w:sz w:val="12"/>
        </w:rPr>
      </w:pPr>
      <w:r>
        <w:rPr>
          <w:color w:val="58595B"/>
          <w:spacing w:val="3"/>
          <w:sz w:val="12"/>
        </w:rPr>
        <w:t xml:space="preserve">Office </w:t>
      </w:r>
      <w:r>
        <w:rPr>
          <w:color w:val="58595B"/>
          <w:sz w:val="12"/>
        </w:rPr>
        <w:t xml:space="preserve">of Public Prosecutions, </w:t>
      </w:r>
      <w:r>
        <w:rPr>
          <w:i/>
          <w:color w:val="58595B"/>
          <w:sz w:val="12"/>
        </w:rPr>
        <w:t>Prosecution guidelines</w:t>
      </w:r>
      <w:r>
        <w:rPr>
          <w:color w:val="58595B"/>
          <w:sz w:val="12"/>
        </w:rPr>
        <w:t xml:space="preserve">, http://www.odpp. nsw.gov.au/prosecution-guidelines (accessed 25 </w:t>
      </w:r>
      <w:r>
        <w:rPr>
          <w:color w:val="58595B"/>
          <w:spacing w:val="2"/>
          <w:sz w:val="12"/>
        </w:rPr>
        <w:t xml:space="preserve">February </w:t>
      </w:r>
      <w:r>
        <w:rPr>
          <w:color w:val="58595B"/>
          <w:sz w:val="12"/>
        </w:rPr>
        <w:t>2016).</w:t>
      </w:r>
    </w:p>
    <w:p w14:paraId="2F59BFBE" w14:textId="77777777" w:rsidR="00160E7F" w:rsidRDefault="002B0299">
      <w:pPr>
        <w:pStyle w:val="ListParagraph"/>
        <w:numPr>
          <w:ilvl w:val="0"/>
          <w:numId w:val="29"/>
        </w:numPr>
        <w:tabs>
          <w:tab w:val="left" w:pos="418"/>
        </w:tabs>
        <w:spacing w:line="242" w:lineRule="auto"/>
        <w:ind w:right="6055"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5"/>
          <w:sz w:val="12"/>
        </w:rPr>
        <w:t xml:space="preserve"> </w:t>
      </w:r>
      <w:r>
        <w:rPr>
          <w:color w:val="58595B"/>
          <w:spacing w:val="-3"/>
          <w:sz w:val="12"/>
        </w:rPr>
        <w:t>171.</w:t>
      </w:r>
    </w:p>
    <w:p w14:paraId="211DAB61" w14:textId="77777777" w:rsidR="00160E7F" w:rsidRDefault="002B0299">
      <w:pPr>
        <w:pStyle w:val="ListParagraph"/>
        <w:numPr>
          <w:ilvl w:val="0"/>
          <w:numId w:val="29"/>
        </w:numPr>
        <w:tabs>
          <w:tab w:val="left" w:pos="418"/>
        </w:tabs>
        <w:spacing w:line="242" w:lineRule="auto"/>
        <w:ind w:right="6055"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20"/>
          <w:sz w:val="12"/>
        </w:rPr>
        <w:t xml:space="preserve"> </w:t>
      </w:r>
      <w:r>
        <w:rPr>
          <w:color w:val="58595B"/>
          <w:sz w:val="12"/>
        </w:rPr>
        <w:t>188.</w:t>
      </w:r>
    </w:p>
    <w:p w14:paraId="0A445A12" w14:textId="356C9682" w:rsidR="00160E7F" w:rsidRDefault="002B0299">
      <w:pPr>
        <w:pStyle w:val="ListParagraph"/>
        <w:numPr>
          <w:ilvl w:val="0"/>
          <w:numId w:val="29"/>
        </w:numPr>
        <w:tabs>
          <w:tab w:val="left" w:pos="418"/>
        </w:tabs>
        <w:spacing w:line="242" w:lineRule="auto"/>
        <w:ind w:right="5962" w:hanging="283"/>
        <w:jc w:val="both"/>
        <w:rPr>
          <w:sz w:val="12"/>
        </w:rPr>
      </w:pPr>
      <w:r>
        <w:rPr>
          <w:color w:val="58595B"/>
          <w:sz w:val="12"/>
        </w:rPr>
        <w:t xml:space="preserve">For example, the prosecutions in </w:t>
      </w:r>
      <w:r>
        <w:rPr>
          <w:color w:val="58595B"/>
          <w:spacing w:val="2"/>
          <w:sz w:val="12"/>
        </w:rPr>
        <w:t xml:space="preserve">December </w:t>
      </w:r>
      <w:r>
        <w:rPr>
          <w:color w:val="58595B"/>
          <w:sz w:val="12"/>
        </w:rPr>
        <w:t xml:space="preserve">2015, of Australian Tallow </w:t>
      </w:r>
      <w:r>
        <w:rPr>
          <w:color w:val="58595B"/>
          <w:spacing w:val="2"/>
          <w:sz w:val="12"/>
        </w:rPr>
        <w:t xml:space="preserve">Producers Pty </w:t>
      </w:r>
      <w:r>
        <w:rPr>
          <w:color w:val="58595B"/>
          <w:sz w:val="12"/>
        </w:rPr>
        <w:t xml:space="preserve">Ltd for air pollution </w:t>
      </w:r>
      <w:r>
        <w:rPr>
          <w:color w:val="58595B"/>
          <w:spacing w:val="2"/>
          <w:sz w:val="12"/>
        </w:rPr>
        <w:t xml:space="preserve">offences </w:t>
      </w:r>
      <w:r>
        <w:rPr>
          <w:color w:val="58595B"/>
          <w:sz w:val="12"/>
        </w:rPr>
        <w:t xml:space="preserve">in Brooklyn and Gippsland Waste </w:t>
      </w:r>
      <w:r>
        <w:rPr>
          <w:color w:val="58595B"/>
          <w:spacing w:val="2"/>
          <w:sz w:val="12"/>
        </w:rPr>
        <w:t xml:space="preserve">Services Pty </w:t>
      </w:r>
      <w:r>
        <w:rPr>
          <w:color w:val="58595B"/>
          <w:sz w:val="12"/>
        </w:rPr>
        <w:t>Ltd for illegal dumping of waste.</w:t>
      </w:r>
    </w:p>
    <w:p w14:paraId="7B400FFF" w14:textId="77777777" w:rsidR="00160E7F" w:rsidRDefault="002B0299">
      <w:pPr>
        <w:pStyle w:val="ListParagraph"/>
        <w:numPr>
          <w:ilvl w:val="0"/>
          <w:numId w:val="29"/>
        </w:numPr>
        <w:tabs>
          <w:tab w:val="left" w:pos="418"/>
        </w:tabs>
        <w:spacing w:line="242" w:lineRule="auto"/>
        <w:ind w:right="5972" w:hanging="283"/>
        <w:rPr>
          <w:sz w:val="12"/>
        </w:rPr>
      </w:pPr>
      <w:r>
        <w:rPr>
          <w:color w:val="58595B"/>
          <w:sz w:val="12"/>
        </w:rPr>
        <w:t xml:space="preserve">Hazelwood Mine Fire </w:t>
      </w:r>
      <w:r>
        <w:rPr>
          <w:color w:val="58595B"/>
          <w:spacing w:val="2"/>
          <w:sz w:val="12"/>
        </w:rPr>
        <w:t xml:space="preserve">Inquiry </w:t>
      </w:r>
      <w:r>
        <w:rPr>
          <w:color w:val="58595B"/>
          <w:sz w:val="12"/>
        </w:rPr>
        <w:t xml:space="preserve">2014, </w:t>
      </w:r>
      <w:r>
        <w:rPr>
          <w:i/>
          <w:color w:val="58595B"/>
          <w:sz w:val="12"/>
        </w:rPr>
        <w:t xml:space="preserve">Hazelwood mine </w:t>
      </w:r>
      <w:r>
        <w:rPr>
          <w:i/>
          <w:color w:val="58595B"/>
          <w:spacing w:val="2"/>
          <w:sz w:val="12"/>
        </w:rPr>
        <w:t xml:space="preserve">fire inquiry report </w:t>
      </w:r>
      <w:r>
        <w:rPr>
          <w:i/>
          <w:color w:val="58595B"/>
          <w:sz w:val="12"/>
        </w:rPr>
        <w:t>2014</w:t>
      </w:r>
      <w:r>
        <w:rPr>
          <w:color w:val="58595B"/>
          <w:sz w:val="12"/>
        </w:rPr>
        <w:t>, Melbourne, August, p.</w:t>
      </w:r>
      <w:r>
        <w:rPr>
          <w:color w:val="58595B"/>
          <w:spacing w:val="29"/>
          <w:sz w:val="12"/>
        </w:rPr>
        <w:t xml:space="preserve"> </w:t>
      </w:r>
      <w:r>
        <w:rPr>
          <w:color w:val="58595B"/>
          <w:sz w:val="12"/>
        </w:rPr>
        <w:t>12.</w:t>
      </w:r>
    </w:p>
    <w:p w14:paraId="63B290F6" w14:textId="77777777" w:rsidR="00160E7F" w:rsidRDefault="002B0299">
      <w:pPr>
        <w:pStyle w:val="ListParagraph"/>
        <w:numPr>
          <w:ilvl w:val="0"/>
          <w:numId w:val="29"/>
        </w:numPr>
        <w:tabs>
          <w:tab w:val="left" w:pos="418"/>
        </w:tabs>
        <w:spacing w:line="242" w:lineRule="auto"/>
        <w:ind w:right="5972" w:hanging="283"/>
        <w:rPr>
          <w:sz w:val="12"/>
        </w:rPr>
      </w:pPr>
      <w:r>
        <w:rPr>
          <w:color w:val="58595B"/>
          <w:sz w:val="12"/>
        </w:rPr>
        <w:t xml:space="preserve">Hazelwood Mine Fire </w:t>
      </w:r>
      <w:r>
        <w:rPr>
          <w:color w:val="58595B"/>
          <w:spacing w:val="2"/>
          <w:sz w:val="12"/>
        </w:rPr>
        <w:t xml:space="preserve">Inquiry </w:t>
      </w:r>
      <w:r>
        <w:rPr>
          <w:color w:val="58595B"/>
          <w:sz w:val="12"/>
        </w:rPr>
        <w:t xml:space="preserve">2014, </w:t>
      </w:r>
      <w:r>
        <w:rPr>
          <w:i/>
          <w:color w:val="58595B"/>
          <w:sz w:val="12"/>
        </w:rPr>
        <w:t xml:space="preserve">Hazelwood mine </w:t>
      </w:r>
      <w:r>
        <w:rPr>
          <w:i/>
          <w:color w:val="58595B"/>
          <w:spacing w:val="2"/>
          <w:sz w:val="12"/>
        </w:rPr>
        <w:t xml:space="preserve">fire inquiry report </w:t>
      </w:r>
      <w:r>
        <w:rPr>
          <w:i/>
          <w:color w:val="58595B"/>
          <w:sz w:val="12"/>
        </w:rPr>
        <w:t>2014</w:t>
      </w:r>
      <w:r>
        <w:rPr>
          <w:color w:val="58595B"/>
          <w:sz w:val="12"/>
        </w:rPr>
        <w:t xml:space="preserve">, Melbourne, August, pp. </w:t>
      </w:r>
      <w:r>
        <w:rPr>
          <w:color w:val="58595B"/>
          <w:spacing w:val="11"/>
          <w:sz w:val="12"/>
        </w:rPr>
        <w:t xml:space="preserve"> </w:t>
      </w:r>
      <w:r>
        <w:rPr>
          <w:color w:val="58595B"/>
          <w:sz w:val="12"/>
        </w:rPr>
        <w:t>22–23.</w:t>
      </w:r>
    </w:p>
    <w:p w14:paraId="547019CA" w14:textId="77777777" w:rsidR="00160E7F" w:rsidRDefault="002B0299">
      <w:pPr>
        <w:pStyle w:val="ListParagraph"/>
        <w:numPr>
          <w:ilvl w:val="0"/>
          <w:numId w:val="29"/>
        </w:numPr>
        <w:tabs>
          <w:tab w:val="left" w:pos="418"/>
        </w:tabs>
        <w:spacing w:line="242" w:lineRule="auto"/>
        <w:ind w:right="6242" w:hanging="283"/>
        <w:rPr>
          <w:sz w:val="12"/>
        </w:rPr>
      </w:pPr>
      <w:r>
        <w:rPr>
          <w:color w:val="58595B"/>
          <w:sz w:val="12"/>
        </w:rPr>
        <w:t xml:space="preserve">WorkSafe </w:t>
      </w:r>
      <w:r>
        <w:rPr>
          <w:color w:val="58595B"/>
          <w:spacing w:val="2"/>
          <w:sz w:val="12"/>
        </w:rPr>
        <w:t xml:space="preserve">Victoria </w:t>
      </w:r>
      <w:r>
        <w:rPr>
          <w:color w:val="58595B"/>
          <w:sz w:val="12"/>
        </w:rPr>
        <w:t xml:space="preserve">2016, </w:t>
      </w:r>
      <w:r>
        <w:rPr>
          <w:i/>
          <w:color w:val="58595B"/>
          <w:sz w:val="12"/>
        </w:rPr>
        <w:t xml:space="preserve">Hazelwood Power </w:t>
      </w:r>
      <w:r>
        <w:rPr>
          <w:i/>
          <w:color w:val="58595B"/>
          <w:spacing w:val="2"/>
          <w:sz w:val="12"/>
        </w:rPr>
        <w:t xml:space="preserve">Corporation </w:t>
      </w:r>
      <w:r>
        <w:rPr>
          <w:i/>
          <w:color w:val="58595B"/>
          <w:sz w:val="12"/>
        </w:rPr>
        <w:t>charged</w:t>
      </w:r>
      <w:r>
        <w:rPr>
          <w:color w:val="58595B"/>
          <w:sz w:val="12"/>
        </w:rPr>
        <w:t xml:space="preserve">, </w:t>
      </w:r>
      <w:hyperlink r:id="rId52">
        <w:r>
          <w:rPr>
            <w:color w:val="58595B"/>
            <w:sz w:val="12"/>
          </w:rPr>
          <w:t>http://worksafenews.com.au/news/item/473-hazelwood-power-</w:t>
        </w:r>
      </w:hyperlink>
      <w:r>
        <w:rPr>
          <w:color w:val="58595B"/>
          <w:sz w:val="12"/>
        </w:rPr>
        <w:t xml:space="preserve"> </w:t>
      </w:r>
      <w:r>
        <w:rPr>
          <w:color w:val="58595B"/>
          <w:spacing w:val="2"/>
          <w:sz w:val="12"/>
        </w:rPr>
        <w:t xml:space="preserve">corporation-charged.html </w:t>
      </w:r>
      <w:r>
        <w:rPr>
          <w:color w:val="58595B"/>
          <w:sz w:val="12"/>
        </w:rPr>
        <w:t>(accessed 7 March</w:t>
      </w:r>
      <w:r>
        <w:rPr>
          <w:color w:val="58595B"/>
          <w:spacing w:val="24"/>
          <w:sz w:val="12"/>
        </w:rPr>
        <w:t xml:space="preserve"> </w:t>
      </w:r>
      <w:r>
        <w:rPr>
          <w:color w:val="58595B"/>
          <w:sz w:val="12"/>
        </w:rPr>
        <w:t>2016).</w:t>
      </w:r>
    </w:p>
    <w:p w14:paraId="6B9A2DDA" w14:textId="77777777" w:rsidR="00160E7F" w:rsidRDefault="002B0299">
      <w:pPr>
        <w:pStyle w:val="ListParagraph"/>
        <w:numPr>
          <w:ilvl w:val="0"/>
          <w:numId w:val="29"/>
        </w:numPr>
        <w:tabs>
          <w:tab w:val="left" w:pos="418"/>
        </w:tabs>
        <w:spacing w:line="242" w:lineRule="auto"/>
        <w:ind w:right="5928" w:hanging="283"/>
        <w:rPr>
          <w:sz w:val="12"/>
        </w:rPr>
      </w:pPr>
      <w:r>
        <w:rPr>
          <w:color w:val="58595B"/>
          <w:sz w:val="12"/>
        </w:rPr>
        <w:t xml:space="preserve">EPA </w:t>
      </w:r>
      <w:r>
        <w:rPr>
          <w:color w:val="58595B"/>
          <w:spacing w:val="2"/>
          <w:sz w:val="12"/>
        </w:rPr>
        <w:t xml:space="preserve">Victoria </w:t>
      </w:r>
      <w:r>
        <w:rPr>
          <w:color w:val="58595B"/>
          <w:sz w:val="12"/>
        </w:rPr>
        <w:t xml:space="preserve">2016, </w:t>
      </w:r>
      <w:r>
        <w:rPr>
          <w:i/>
          <w:color w:val="58595B"/>
          <w:sz w:val="12"/>
        </w:rPr>
        <w:t>Charges laid following EPA investigation into Hazelwood mine fire</w:t>
      </w:r>
      <w:hyperlink r:id="rId53">
        <w:r>
          <w:rPr>
            <w:color w:val="58595B"/>
            <w:sz w:val="12"/>
          </w:rPr>
          <w:t>, http://www.epa.vic.gov.au/about-us/news-centre/</w:t>
        </w:r>
      </w:hyperlink>
      <w:r>
        <w:rPr>
          <w:color w:val="58595B"/>
          <w:sz w:val="12"/>
        </w:rPr>
        <w:t xml:space="preserve"> </w:t>
      </w:r>
      <w:r>
        <w:rPr>
          <w:color w:val="58595B"/>
          <w:spacing w:val="2"/>
          <w:sz w:val="12"/>
        </w:rPr>
        <w:t xml:space="preserve">news-and-updates/news/2016/march/15/charges-laid-following-epa- investigation-into-hazelwood-mine-fire </w:t>
      </w:r>
      <w:r>
        <w:rPr>
          <w:color w:val="58595B"/>
          <w:sz w:val="12"/>
        </w:rPr>
        <w:t>(accessed 16 March</w:t>
      </w:r>
      <w:r>
        <w:rPr>
          <w:color w:val="58595B"/>
          <w:spacing w:val="30"/>
          <w:sz w:val="12"/>
        </w:rPr>
        <w:t xml:space="preserve"> </w:t>
      </w:r>
      <w:r>
        <w:rPr>
          <w:color w:val="58595B"/>
          <w:sz w:val="12"/>
        </w:rPr>
        <w:t>2016).</w:t>
      </w:r>
    </w:p>
    <w:p w14:paraId="14DDEB60" w14:textId="77777777" w:rsidR="00160E7F" w:rsidRDefault="002B0299">
      <w:pPr>
        <w:pStyle w:val="ListParagraph"/>
        <w:numPr>
          <w:ilvl w:val="0"/>
          <w:numId w:val="29"/>
        </w:numPr>
        <w:tabs>
          <w:tab w:val="left" w:pos="418"/>
        </w:tabs>
        <w:ind w:hanging="283"/>
        <w:rPr>
          <w:sz w:val="12"/>
        </w:rPr>
      </w:pPr>
      <w:r>
        <w:rPr>
          <w:color w:val="58595B"/>
          <w:sz w:val="12"/>
        </w:rPr>
        <w:t xml:space="preserve">Environment </w:t>
      </w:r>
      <w:r>
        <w:rPr>
          <w:color w:val="58595B"/>
          <w:spacing w:val="2"/>
          <w:sz w:val="12"/>
        </w:rPr>
        <w:t xml:space="preserve">Victoria </w:t>
      </w:r>
      <w:r>
        <w:rPr>
          <w:color w:val="58595B"/>
          <w:sz w:val="12"/>
        </w:rPr>
        <w:t xml:space="preserve">submission, p. </w:t>
      </w:r>
      <w:r>
        <w:rPr>
          <w:color w:val="58595B"/>
          <w:spacing w:val="1"/>
          <w:sz w:val="12"/>
        </w:rPr>
        <w:t xml:space="preserve"> </w:t>
      </w:r>
      <w:r>
        <w:rPr>
          <w:color w:val="58595B"/>
          <w:spacing w:val="-5"/>
          <w:sz w:val="12"/>
        </w:rPr>
        <w:t>7.</w:t>
      </w:r>
    </w:p>
    <w:p w14:paraId="209B7A00" w14:textId="21D6CFC5" w:rsidR="00160E7F" w:rsidRDefault="002B0299">
      <w:pPr>
        <w:pStyle w:val="ListParagraph"/>
        <w:numPr>
          <w:ilvl w:val="0"/>
          <w:numId w:val="29"/>
        </w:numPr>
        <w:tabs>
          <w:tab w:val="left" w:pos="418"/>
        </w:tabs>
        <w:spacing w:before="30"/>
        <w:ind w:hanging="283"/>
        <w:rPr>
          <w:sz w:val="12"/>
        </w:rPr>
      </w:pPr>
      <w:r>
        <w:rPr>
          <w:color w:val="58595B"/>
          <w:sz w:val="12"/>
        </w:rPr>
        <w:t xml:space="preserve">Section 67D, </w:t>
      </w:r>
      <w:r>
        <w:rPr>
          <w:i/>
          <w:color w:val="58595B"/>
          <w:sz w:val="12"/>
        </w:rPr>
        <w:t>Environment Protection Act 1970</w:t>
      </w:r>
      <w:r>
        <w:rPr>
          <w:color w:val="58595B"/>
          <w:sz w:val="12"/>
        </w:rPr>
        <w:t>.</w:t>
      </w:r>
    </w:p>
    <w:p w14:paraId="07A4075A" w14:textId="48ED8A8A" w:rsidR="00160E7F" w:rsidRDefault="002B0299">
      <w:pPr>
        <w:pStyle w:val="ListParagraph"/>
        <w:numPr>
          <w:ilvl w:val="0"/>
          <w:numId w:val="29"/>
        </w:numPr>
        <w:tabs>
          <w:tab w:val="left" w:pos="418"/>
        </w:tabs>
        <w:spacing w:before="30"/>
        <w:ind w:hanging="283"/>
        <w:rPr>
          <w:sz w:val="12"/>
        </w:rPr>
      </w:pPr>
      <w:r>
        <w:rPr>
          <w:color w:val="58595B"/>
          <w:spacing w:val="2"/>
          <w:sz w:val="12"/>
        </w:rPr>
        <w:t xml:space="preserve">Victorian </w:t>
      </w:r>
      <w:r>
        <w:rPr>
          <w:color w:val="58595B"/>
          <w:sz w:val="12"/>
        </w:rPr>
        <w:t>Government Gazette No S. 142, Tuesday 1 May 2012.</w:t>
      </w:r>
    </w:p>
    <w:p w14:paraId="3ABAC7C2" w14:textId="0629DA04" w:rsidR="00160E7F" w:rsidRDefault="002B0299">
      <w:pPr>
        <w:pStyle w:val="ListParagraph"/>
        <w:numPr>
          <w:ilvl w:val="0"/>
          <w:numId w:val="29"/>
        </w:numPr>
        <w:tabs>
          <w:tab w:val="left" w:pos="418"/>
        </w:tabs>
        <w:spacing w:before="30" w:line="242" w:lineRule="auto"/>
        <w:ind w:right="5978" w:hanging="283"/>
        <w:rPr>
          <w:sz w:val="12"/>
        </w:rPr>
      </w:pPr>
      <w:r>
        <w:rPr>
          <w:color w:val="58595B"/>
          <w:sz w:val="12"/>
        </w:rPr>
        <w:t xml:space="preserve">South Australia EPA 2015, ‘EPA policy for calculation of civil penalties under the </w:t>
      </w:r>
      <w:r>
        <w:rPr>
          <w:i/>
          <w:color w:val="58595B"/>
          <w:sz w:val="12"/>
        </w:rPr>
        <w:t>Environment Protection Act 1993</w:t>
      </w:r>
      <w:r>
        <w:rPr>
          <w:color w:val="58595B"/>
          <w:sz w:val="12"/>
        </w:rPr>
        <w:t>’, August.</w:t>
      </w:r>
    </w:p>
    <w:p w14:paraId="2A8E42EE" w14:textId="77777777" w:rsidR="00160E7F" w:rsidRDefault="002B0299">
      <w:pPr>
        <w:pStyle w:val="ListParagraph"/>
        <w:numPr>
          <w:ilvl w:val="0"/>
          <w:numId w:val="29"/>
        </w:numPr>
        <w:tabs>
          <w:tab w:val="left" w:pos="418"/>
        </w:tabs>
        <w:spacing w:line="242" w:lineRule="auto"/>
        <w:ind w:right="6167" w:hanging="283"/>
        <w:rPr>
          <w:sz w:val="12"/>
        </w:rPr>
      </w:pPr>
      <w:r>
        <w:rPr>
          <w:i/>
          <w:color w:val="58595B"/>
          <w:sz w:val="12"/>
        </w:rPr>
        <w:t xml:space="preserve">Commonwealth of Australia v Director, Fair Work Building </w:t>
      </w:r>
      <w:r>
        <w:rPr>
          <w:i/>
          <w:color w:val="58595B"/>
          <w:spacing w:val="2"/>
          <w:sz w:val="12"/>
        </w:rPr>
        <w:t xml:space="preserve">Industry </w:t>
      </w:r>
      <w:r>
        <w:rPr>
          <w:i/>
          <w:color w:val="58595B"/>
          <w:sz w:val="12"/>
        </w:rPr>
        <w:t xml:space="preserve">Inspectorate &amp; </w:t>
      </w:r>
      <w:r>
        <w:rPr>
          <w:i/>
          <w:color w:val="58595B"/>
          <w:spacing w:val="2"/>
          <w:sz w:val="12"/>
        </w:rPr>
        <w:t xml:space="preserve">Ors </w:t>
      </w:r>
      <w:r>
        <w:rPr>
          <w:color w:val="58595B"/>
          <w:sz w:val="12"/>
        </w:rPr>
        <w:t xml:space="preserve">[2015] HCA 46 [51] – </w:t>
      </w:r>
      <w:r>
        <w:rPr>
          <w:color w:val="58595B"/>
          <w:spacing w:val="2"/>
          <w:sz w:val="12"/>
        </w:rPr>
        <w:t xml:space="preserve"> </w:t>
      </w:r>
      <w:r>
        <w:rPr>
          <w:color w:val="58595B"/>
          <w:sz w:val="12"/>
        </w:rPr>
        <w:t>[64].</w:t>
      </w:r>
    </w:p>
    <w:p w14:paraId="2EAA7C0E" w14:textId="77777777" w:rsidR="00160E7F" w:rsidRDefault="002B0299">
      <w:pPr>
        <w:pStyle w:val="ListParagraph"/>
        <w:numPr>
          <w:ilvl w:val="0"/>
          <w:numId w:val="29"/>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Melbourne, p.  </w:t>
      </w:r>
      <w:r>
        <w:rPr>
          <w:color w:val="58595B"/>
          <w:spacing w:val="2"/>
          <w:sz w:val="12"/>
        </w:rPr>
        <w:t xml:space="preserve"> </w:t>
      </w:r>
      <w:r>
        <w:rPr>
          <w:color w:val="58595B"/>
          <w:sz w:val="12"/>
        </w:rPr>
        <w:t>33.</w:t>
      </w:r>
    </w:p>
    <w:p w14:paraId="5D65E586" w14:textId="0E9D7258" w:rsidR="00160E7F" w:rsidRDefault="002B0299">
      <w:pPr>
        <w:pStyle w:val="ListParagraph"/>
        <w:numPr>
          <w:ilvl w:val="0"/>
          <w:numId w:val="29"/>
        </w:numPr>
        <w:tabs>
          <w:tab w:val="left" w:pos="418"/>
        </w:tabs>
        <w:ind w:hanging="283"/>
        <w:rPr>
          <w:sz w:val="12"/>
        </w:rPr>
      </w:pPr>
      <w:r>
        <w:rPr>
          <w:color w:val="58595B"/>
          <w:sz w:val="12"/>
        </w:rPr>
        <w:t xml:space="preserve">Section </w:t>
      </w:r>
      <w:r>
        <w:rPr>
          <w:color w:val="58595B"/>
          <w:spacing w:val="-3"/>
          <w:sz w:val="12"/>
        </w:rPr>
        <w:t xml:space="preserve">113D(1), </w:t>
      </w:r>
      <w:r>
        <w:rPr>
          <w:i/>
          <w:color w:val="58595B"/>
          <w:sz w:val="12"/>
        </w:rPr>
        <w:t>Sentencing Act 1991</w:t>
      </w:r>
      <w:r>
        <w:rPr>
          <w:color w:val="58595B"/>
          <w:sz w:val="12"/>
        </w:rPr>
        <w:t>.</w:t>
      </w:r>
    </w:p>
    <w:p w14:paraId="2923279D" w14:textId="77777777" w:rsidR="00160E7F" w:rsidRDefault="002B0299">
      <w:pPr>
        <w:pStyle w:val="ListParagraph"/>
        <w:numPr>
          <w:ilvl w:val="0"/>
          <w:numId w:val="29"/>
        </w:numPr>
        <w:tabs>
          <w:tab w:val="left" w:pos="418"/>
        </w:tabs>
        <w:spacing w:before="30" w:line="242" w:lineRule="auto"/>
        <w:ind w:right="6078" w:hanging="283"/>
        <w:rPr>
          <w:sz w:val="12"/>
        </w:rPr>
      </w:pPr>
      <w:r>
        <w:rPr>
          <w:color w:val="58595B"/>
          <w:sz w:val="12"/>
        </w:rPr>
        <w:t xml:space="preserve">The provisions creating the </w:t>
      </w:r>
      <w:r>
        <w:rPr>
          <w:color w:val="58595B"/>
          <w:spacing w:val="2"/>
          <w:sz w:val="12"/>
        </w:rPr>
        <w:t xml:space="preserve">offence </w:t>
      </w:r>
      <w:r>
        <w:rPr>
          <w:color w:val="58595B"/>
          <w:sz w:val="12"/>
        </w:rPr>
        <w:t xml:space="preserve">of aggravated pollution does </w:t>
      </w:r>
      <w:r>
        <w:rPr>
          <w:color w:val="58595B"/>
          <w:spacing w:val="2"/>
          <w:sz w:val="12"/>
        </w:rPr>
        <w:t xml:space="preserve">specify </w:t>
      </w:r>
      <w:r>
        <w:rPr>
          <w:color w:val="58595B"/>
          <w:sz w:val="12"/>
        </w:rPr>
        <w:t xml:space="preserve">different maximum penalties for individuals (2,500 penalty units) </w:t>
      </w:r>
      <w:r>
        <w:rPr>
          <w:color w:val="58595B"/>
          <w:spacing w:val="2"/>
          <w:sz w:val="12"/>
        </w:rPr>
        <w:t xml:space="preserve">corporations </w:t>
      </w:r>
      <w:r>
        <w:rPr>
          <w:color w:val="58595B"/>
          <w:sz w:val="12"/>
        </w:rPr>
        <w:t xml:space="preserve">(10,000 penalty units): section </w:t>
      </w:r>
      <w:r>
        <w:rPr>
          <w:color w:val="58595B"/>
          <w:spacing w:val="2"/>
          <w:sz w:val="12"/>
        </w:rPr>
        <w:t xml:space="preserve">59E, </w:t>
      </w:r>
      <w:r>
        <w:rPr>
          <w:i/>
          <w:color w:val="58595B"/>
          <w:sz w:val="12"/>
        </w:rPr>
        <w:t>Environment Protection Act</w:t>
      </w:r>
      <w:r>
        <w:rPr>
          <w:i/>
          <w:color w:val="58595B"/>
          <w:spacing w:val="18"/>
          <w:sz w:val="12"/>
        </w:rPr>
        <w:t xml:space="preserve"> </w:t>
      </w:r>
      <w:r>
        <w:rPr>
          <w:i/>
          <w:color w:val="58595B"/>
          <w:sz w:val="12"/>
        </w:rPr>
        <w:t>1970</w:t>
      </w:r>
      <w:r>
        <w:rPr>
          <w:color w:val="58595B"/>
          <w:sz w:val="12"/>
        </w:rPr>
        <w:t>.</w:t>
      </w:r>
    </w:p>
    <w:p w14:paraId="44B37505" w14:textId="77777777" w:rsidR="00160E7F" w:rsidRDefault="002B0299">
      <w:pPr>
        <w:pStyle w:val="ListParagraph"/>
        <w:numPr>
          <w:ilvl w:val="0"/>
          <w:numId w:val="29"/>
        </w:numPr>
        <w:tabs>
          <w:tab w:val="left" w:pos="418"/>
        </w:tabs>
        <w:spacing w:line="242" w:lineRule="auto"/>
        <w:ind w:right="6055" w:hanging="283"/>
        <w:rPr>
          <w:sz w:val="12"/>
        </w:rPr>
      </w:pP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xml:space="preserve">, Melbourne, p. </w:t>
      </w:r>
      <w:r>
        <w:rPr>
          <w:color w:val="58595B"/>
          <w:spacing w:val="14"/>
          <w:sz w:val="12"/>
        </w:rPr>
        <w:t xml:space="preserve"> </w:t>
      </w:r>
      <w:r>
        <w:rPr>
          <w:color w:val="58595B"/>
          <w:sz w:val="12"/>
        </w:rPr>
        <w:t>316.</w:t>
      </w:r>
    </w:p>
    <w:p w14:paraId="339D297E" w14:textId="77777777" w:rsidR="00160E7F" w:rsidRDefault="00160E7F">
      <w:pPr>
        <w:spacing w:line="242" w:lineRule="auto"/>
        <w:rPr>
          <w:sz w:val="12"/>
        </w:rPr>
        <w:sectPr w:rsidR="00160E7F">
          <w:pgSz w:w="11910" w:h="16840"/>
          <w:pgMar w:top="980" w:right="0" w:bottom="280" w:left="1680" w:header="788" w:footer="0" w:gutter="0"/>
          <w:cols w:space="720"/>
        </w:sectPr>
      </w:pPr>
    </w:p>
    <w:p w14:paraId="2F4D9719" w14:textId="77777777" w:rsidR="00160E7F" w:rsidRDefault="002B0299">
      <w:pPr>
        <w:pStyle w:val="BodyText"/>
        <w:ind w:right="-39"/>
      </w:pPr>
      <w:r>
        <w:rPr>
          <w:noProof/>
        </w:rPr>
        <w:lastRenderedPageBreak/>
        <w:drawing>
          <wp:inline distT="0" distB="0" distL="0" distR="0" wp14:anchorId="4C7D96AF" wp14:editId="11D800F7">
            <wp:extent cx="7559310" cy="10692384"/>
            <wp:effectExtent l="0" t="0" r="0" b="0"/>
            <wp:docPr id="2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jpeg"/>
                    <pic:cNvPicPr/>
                  </pic:nvPicPr>
                  <pic:blipFill>
                    <a:blip r:embed="rId22"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4EAA6921" w14:textId="77777777" w:rsidR="00160E7F" w:rsidRDefault="00160E7F">
      <w:pPr>
        <w:sectPr w:rsidR="00160E7F">
          <w:headerReference w:type="default" r:id="rId54"/>
          <w:pgSz w:w="11910" w:h="16840"/>
          <w:pgMar w:top="0" w:right="0" w:bottom="0" w:left="0" w:header="0" w:footer="0" w:gutter="0"/>
          <w:cols w:space="720"/>
        </w:sectPr>
      </w:pPr>
    </w:p>
    <w:p w14:paraId="7A900907" w14:textId="77777777" w:rsidR="00160E7F" w:rsidRDefault="000638CB">
      <w:pPr>
        <w:spacing w:before="61"/>
        <w:ind w:right="115"/>
        <w:jc w:val="right"/>
        <w:rPr>
          <w:sz w:val="15"/>
        </w:rPr>
      </w:pPr>
      <w:r>
        <w:lastRenderedPageBreak/>
        <w:pict w14:anchorId="77174E8E">
          <v:group id="_x0000_s1093" style="position:absolute;left:0;text-align:left;margin-left:.05pt;margin-top:0;width:598.7pt;height:841.9pt;z-index:-90352;mso-position-horizontal-relative:page;mso-position-vertical-relative:page" coordorigin="2" coordsize="11974,16838">
            <v:shape id="_x0000_s1095" type="#_x0000_t75" style="position:absolute;left:2;width:11904;height:16838">
              <v:imagedata r:id="rId55" o:title=""/>
            </v:shape>
            <v:line id="_x0000_s1094" style="position:absolute" from="10700,917" to="11906,917" strokecolor="#0095a7" strokeweight="7pt"/>
            <w10:wrap anchorx="page" anchory="page"/>
          </v:group>
        </w:pict>
      </w:r>
      <w:r w:rsidR="002B0299">
        <w:rPr>
          <w:color w:val="58595B"/>
          <w:sz w:val="15"/>
        </w:rPr>
        <w:t>249</w:t>
      </w:r>
    </w:p>
    <w:p w14:paraId="02B73CEB" w14:textId="77777777" w:rsidR="00160E7F" w:rsidRDefault="00160E7F">
      <w:pPr>
        <w:pStyle w:val="BodyText"/>
      </w:pPr>
    </w:p>
    <w:p w14:paraId="4AA8C216" w14:textId="77777777" w:rsidR="00160E7F" w:rsidRDefault="00160E7F">
      <w:pPr>
        <w:pStyle w:val="BodyText"/>
      </w:pPr>
    </w:p>
    <w:p w14:paraId="472AA11B" w14:textId="77777777" w:rsidR="00160E7F" w:rsidRDefault="00160E7F">
      <w:pPr>
        <w:pStyle w:val="BodyText"/>
      </w:pPr>
    </w:p>
    <w:p w14:paraId="497374DB" w14:textId="77777777" w:rsidR="00160E7F" w:rsidRDefault="00160E7F">
      <w:pPr>
        <w:pStyle w:val="BodyText"/>
      </w:pPr>
    </w:p>
    <w:p w14:paraId="6D56CC8C" w14:textId="77777777" w:rsidR="00160E7F" w:rsidRDefault="00160E7F">
      <w:pPr>
        <w:pStyle w:val="BodyText"/>
        <w:spacing w:before="5"/>
        <w:rPr>
          <w:sz w:val="17"/>
        </w:rPr>
      </w:pPr>
    </w:p>
    <w:p w14:paraId="35F212A4" w14:textId="77777777" w:rsidR="00160E7F" w:rsidRDefault="002B0299">
      <w:pPr>
        <w:pStyle w:val="Heading4"/>
        <w:spacing w:before="0"/>
        <w:ind w:left="134" w:right="822"/>
      </w:pPr>
      <w:r>
        <w:rPr>
          <w:color w:val="0095A7"/>
        </w:rPr>
        <w:t>CHAPTER 14</w:t>
      </w:r>
    </w:p>
    <w:p w14:paraId="22C1FA1E" w14:textId="77777777" w:rsidR="00160E7F" w:rsidRDefault="002B0299">
      <w:pPr>
        <w:spacing w:before="79"/>
        <w:ind w:left="134" w:right="822"/>
        <w:rPr>
          <w:sz w:val="40"/>
        </w:rPr>
      </w:pPr>
      <w:r>
        <w:rPr>
          <w:color w:val="58595B"/>
          <w:sz w:val="40"/>
        </w:rPr>
        <w:t>MANAGING LEGACY RISKS</w:t>
      </w:r>
    </w:p>
    <w:p w14:paraId="06A510E4" w14:textId="77777777" w:rsidR="00160E7F" w:rsidRDefault="00160E7F">
      <w:pPr>
        <w:rPr>
          <w:sz w:val="40"/>
        </w:rPr>
        <w:sectPr w:rsidR="00160E7F">
          <w:headerReference w:type="even" r:id="rId56"/>
          <w:pgSz w:w="11910" w:h="16840"/>
          <w:pgMar w:top="740" w:right="1300" w:bottom="280" w:left="1680" w:header="0" w:footer="0" w:gutter="0"/>
          <w:cols w:space="720"/>
        </w:sectPr>
      </w:pPr>
    </w:p>
    <w:p w14:paraId="0585B2F4" w14:textId="77777777" w:rsidR="00160E7F" w:rsidRDefault="00160E7F">
      <w:pPr>
        <w:pStyle w:val="BodyText"/>
      </w:pPr>
    </w:p>
    <w:p w14:paraId="752EEFFD" w14:textId="77777777" w:rsidR="00160E7F" w:rsidRDefault="00160E7F">
      <w:pPr>
        <w:pStyle w:val="BodyText"/>
      </w:pPr>
    </w:p>
    <w:p w14:paraId="24B9A357" w14:textId="77777777" w:rsidR="00160E7F" w:rsidRDefault="00160E7F">
      <w:pPr>
        <w:pStyle w:val="BodyText"/>
      </w:pPr>
    </w:p>
    <w:p w14:paraId="00BBFFC6" w14:textId="77777777" w:rsidR="00160E7F" w:rsidRDefault="00160E7F">
      <w:pPr>
        <w:pStyle w:val="BodyText"/>
      </w:pPr>
    </w:p>
    <w:p w14:paraId="47500720" w14:textId="77777777" w:rsidR="00160E7F" w:rsidRDefault="002B0299">
      <w:pPr>
        <w:pStyle w:val="Heading2"/>
      </w:pPr>
      <w:r>
        <w:rPr>
          <w:color w:val="0095A7"/>
        </w:rPr>
        <w:t>MANAGING LEGACY RISKS</w:t>
      </w:r>
    </w:p>
    <w:p w14:paraId="642E394E" w14:textId="77777777" w:rsidR="00160E7F" w:rsidRDefault="000638CB">
      <w:pPr>
        <w:pStyle w:val="BodyText"/>
        <w:spacing w:before="4"/>
        <w:rPr>
          <w:sz w:val="17"/>
        </w:rPr>
      </w:pPr>
      <w:r>
        <w:pict w14:anchorId="542D8B5B">
          <v:shape id="_x0000_s1092" type="#_x0000_t202" style="position:absolute;margin-left:70.85pt;margin-top:11.2pt;width:433.7pt;height:261.5pt;z-index:1768;mso-wrap-distance-left:0;mso-wrap-distance-right:0;mso-position-horizontal-relative:page" fillcolor="#eff6f0" stroked="f">
            <v:textbox inset="0,0,0,0">
              <w:txbxContent>
                <w:p w14:paraId="53CCB690" w14:textId="77777777" w:rsidR="00804E46" w:rsidRDefault="00804E46">
                  <w:pPr>
                    <w:spacing w:before="128"/>
                    <w:ind w:left="170" w:right="165"/>
                    <w:rPr>
                      <w:b/>
                      <w:sz w:val="20"/>
                    </w:rPr>
                  </w:pPr>
                  <w:r>
                    <w:rPr>
                      <w:b/>
                      <w:color w:val="0095A7"/>
                      <w:sz w:val="20"/>
                    </w:rPr>
                    <w:t>KEY MESSAGES</w:t>
                  </w:r>
                </w:p>
                <w:p w14:paraId="6F849ECE" w14:textId="77777777" w:rsidR="00804E46" w:rsidRDefault="00804E46">
                  <w:pPr>
                    <w:pStyle w:val="BodyText"/>
                    <w:spacing w:before="153" w:line="280" w:lineRule="auto"/>
                    <w:ind w:left="170" w:right="165"/>
                  </w:pPr>
                  <w:r>
                    <w:rPr>
                      <w:color w:val="58595B"/>
                    </w:rPr>
                    <w:t>The harms of pollution are long lived and costly to remediate. As a community, we need to be pragmatic about managing legacy risks – be informed by sound science and account for the costs and risks of clean up or removal.</w:t>
                  </w:r>
                </w:p>
                <w:p w14:paraId="4DCD45A3" w14:textId="77777777" w:rsidR="00804E46" w:rsidRDefault="00804E46">
                  <w:pPr>
                    <w:pStyle w:val="BodyText"/>
                    <w:spacing w:before="172" w:line="280" w:lineRule="auto"/>
                    <w:ind w:left="170" w:right="668"/>
                  </w:pPr>
                  <w:r>
                    <w:rPr>
                      <w:color w:val="58595B"/>
                    </w:rPr>
                    <w:t>For the EPA, this means focusing on safety. Assessment and remediation efforts should focus on human health.</w:t>
                  </w:r>
                </w:p>
                <w:p w14:paraId="56F56158" w14:textId="77777777" w:rsidR="00804E46" w:rsidRDefault="00804E46">
                  <w:pPr>
                    <w:pStyle w:val="BodyText"/>
                    <w:spacing w:before="172" w:line="280" w:lineRule="auto"/>
                    <w:ind w:left="170" w:right="668"/>
                  </w:pPr>
                  <w:r>
                    <w:rPr>
                      <w:color w:val="58595B"/>
                    </w:rPr>
                    <w:t>Environmental regulation needs to work hand in hand with land use planning to manage the safe redevelopment of potentially contaminated land. This approach will recognise that market pressures for land redevelopment should principally drive the clean up of legacy contamination.</w:t>
                  </w:r>
                </w:p>
                <w:p w14:paraId="1EA452B9" w14:textId="77777777" w:rsidR="00804E46" w:rsidRDefault="00804E46">
                  <w:pPr>
                    <w:pStyle w:val="BodyText"/>
                    <w:spacing w:before="172" w:line="280" w:lineRule="auto"/>
                    <w:ind w:left="170" w:right="513"/>
                  </w:pPr>
                  <w:r>
                    <w:rPr>
                      <w:color w:val="58595B"/>
                    </w:rPr>
                    <w:t>The EPA can help to facilitate the ‘voluntary’ remediation and reuse of contaminated land, as well as require clean up by polluters where practicable as activities cease.</w:t>
                  </w:r>
                </w:p>
                <w:p w14:paraId="2106504F" w14:textId="77777777" w:rsidR="00804E46" w:rsidRDefault="00804E46">
                  <w:pPr>
                    <w:pStyle w:val="BodyText"/>
                    <w:spacing w:before="172" w:line="280" w:lineRule="auto"/>
                    <w:ind w:left="170" w:right="165"/>
                  </w:pPr>
                  <w:r>
                    <w:rPr>
                      <w:color w:val="58595B"/>
                    </w:rPr>
                    <w:t>Reliable information on potentially contaminated sites is important to inform regulation and enable the community to manage risks.</w:t>
                  </w:r>
                </w:p>
                <w:p w14:paraId="0A43BD05" w14:textId="77777777" w:rsidR="00804E46" w:rsidRDefault="00804E46">
                  <w:pPr>
                    <w:pStyle w:val="BodyText"/>
                    <w:spacing w:before="172"/>
                    <w:ind w:left="170" w:right="165"/>
                  </w:pPr>
                  <w:r>
                    <w:rPr>
                      <w:color w:val="58595B"/>
                    </w:rPr>
                    <w:t>Illegal dumpling of asbestos requires urgent attention.</w:t>
                  </w:r>
                </w:p>
              </w:txbxContent>
            </v:textbox>
            <w10:wrap type="topAndBottom" anchorx="page"/>
          </v:shape>
        </w:pict>
      </w:r>
    </w:p>
    <w:p w14:paraId="5C59531B" w14:textId="77777777" w:rsidR="00160E7F" w:rsidRDefault="00160E7F">
      <w:pPr>
        <w:pStyle w:val="BodyText"/>
        <w:spacing w:before="7"/>
        <w:rPr>
          <w:sz w:val="28"/>
        </w:rPr>
      </w:pPr>
    </w:p>
    <w:p w14:paraId="69D6109E" w14:textId="77777777" w:rsidR="00160E7F" w:rsidRDefault="002B0299">
      <w:pPr>
        <w:pStyle w:val="ListParagraph"/>
        <w:numPr>
          <w:ilvl w:val="1"/>
          <w:numId w:val="28"/>
        </w:numPr>
        <w:tabs>
          <w:tab w:val="left" w:pos="1976"/>
        </w:tabs>
        <w:spacing w:before="69"/>
        <w:jc w:val="left"/>
        <w:rPr>
          <w:sz w:val="24"/>
        </w:rPr>
      </w:pPr>
      <w:r>
        <w:rPr>
          <w:color w:val="0095A7"/>
          <w:sz w:val="24"/>
        </w:rPr>
        <w:t>Introduction</w:t>
      </w:r>
    </w:p>
    <w:p w14:paraId="5448671F" w14:textId="77777777" w:rsidR="00160E7F" w:rsidRDefault="002B0299">
      <w:pPr>
        <w:pStyle w:val="BodyText"/>
        <w:spacing w:before="145" w:line="280" w:lineRule="auto"/>
        <w:ind w:left="1417" w:right="588"/>
      </w:pPr>
      <w:r>
        <w:rPr>
          <w:color w:val="58595B"/>
        </w:rPr>
        <w:t>Victoria, like other economies with a significant history of settlement and industrial activity, has a legacy of sites that have been contaminated by past pollution and inappropriate waste management practices. It is not practicable to clean up all these sites – the costs of clean up would be very high and many sites pose little risk. However, risks do arise when people are</w:t>
      </w:r>
    </w:p>
    <w:p w14:paraId="78A8F569" w14:textId="77777777" w:rsidR="00160E7F" w:rsidRDefault="002B0299">
      <w:pPr>
        <w:pStyle w:val="BodyText"/>
        <w:spacing w:before="2" w:line="280" w:lineRule="auto"/>
        <w:ind w:left="1417" w:right="142"/>
      </w:pPr>
      <w:r>
        <w:rPr>
          <w:color w:val="58595B"/>
        </w:rPr>
        <w:t>directly exposed to hazardous substances in the soil and dust, and to vapours from contaminated soil and groundwater.</w:t>
      </w:r>
      <w:r>
        <w:rPr>
          <w:color w:val="58595B"/>
          <w:position w:val="7"/>
          <w:sz w:val="11"/>
        </w:rPr>
        <w:t xml:space="preserve">1 </w:t>
      </w:r>
      <w:r>
        <w:rPr>
          <w:color w:val="58595B"/>
        </w:rPr>
        <w:t>A key principle for risk management, therefore, is to manage land use to avoid exposure to potential contamination, and to ensure that land is assessed and remediated before it is used for any sensitive use.</w:t>
      </w:r>
    </w:p>
    <w:p w14:paraId="04DBC598" w14:textId="77777777" w:rsidR="00160E7F" w:rsidRDefault="002B0299">
      <w:pPr>
        <w:pStyle w:val="BodyText"/>
        <w:spacing w:before="172" w:line="280" w:lineRule="auto"/>
        <w:ind w:left="1417" w:right="185"/>
      </w:pPr>
      <w:r>
        <w:rPr>
          <w:color w:val="58595B"/>
        </w:rPr>
        <w:t>Communities across Victoria raised concerns with us about the health risks from legacy contamination, reflecting the wide range of past activities that have created long lasting impacts. These activities include historical mining, agricultural activities, heavy industry and light industrial and retail activities, such as automotive workshops, dry cleaners and service stations. It is also clear that the community seeks greater assurance from the EPA about where there may be risks and how these will be managed.</w:t>
      </w:r>
    </w:p>
    <w:p w14:paraId="7E3802D9" w14:textId="77777777" w:rsidR="00160E7F" w:rsidRDefault="002B0299">
      <w:pPr>
        <w:pStyle w:val="BodyText"/>
        <w:spacing w:before="172" w:line="280" w:lineRule="auto"/>
        <w:ind w:left="1417" w:right="142"/>
        <w:rPr>
          <w:sz w:val="11"/>
        </w:rPr>
      </w:pPr>
      <w:r>
        <w:rPr>
          <w:color w:val="58595B"/>
        </w:rPr>
        <w:t>Legacy contamination has been a focus of regulation in Victoria – through the EPA and the land use planning system – since the late 1980s. Like many other environmental issues, the regulatory framework for legacy contamination has developed incrementally, as we better understand risks and in response to critical incidents and threats to human health.</w:t>
      </w:r>
      <w:r>
        <w:rPr>
          <w:color w:val="58595B"/>
          <w:position w:val="7"/>
          <w:sz w:val="11"/>
        </w:rPr>
        <w:t>2</w:t>
      </w:r>
    </w:p>
    <w:p w14:paraId="45D24C99" w14:textId="77777777" w:rsidR="00160E7F" w:rsidRDefault="002B0299">
      <w:pPr>
        <w:pStyle w:val="BodyText"/>
        <w:spacing w:before="172" w:line="280" w:lineRule="auto"/>
        <w:ind w:left="1417" w:right="185"/>
      </w:pPr>
      <w:r>
        <w:rPr>
          <w:color w:val="58595B"/>
        </w:rPr>
        <w:t>Participants were also concerned about asbestos, which is a more pervasive legacy risk because of its widespread use as a building material and in other industrial and domestic products.</w:t>
      </w:r>
    </w:p>
    <w:p w14:paraId="2FD15689" w14:textId="77777777" w:rsidR="00160E7F" w:rsidRDefault="002B0299">
      <w:pPr>
        <w:pStyle w:val="BodyText"/>
        <w:spacing w:before="2" w:line="280" w:lineRule="auto"/>
        <w:ind w:left="1417" w:right="461"/>
      </w:pPr>
      <w:r>
        <w:rPr>
          <w:color w:val="58595B"/>
        </w:rPr>
        <w:t>Although its use is now prohibited, asbestos may still be found in construction materials in older households such as insulation and cement sheeting,</w:t>
      </w:r>
      <w:r>
        <w:rPr>
          <w:color w:val="58595B"/>
          <w:position w:val="7"/>
          <w:sz w:val="11"/>
        </w:rPr>
        <w:t xml:space="preserve">3 </w:t>
      </w:r>
      <w:r>
        <w:rPr>
          <w:color w:val="58595B"/>
        </w:rPr>
        <w:t>or in illegally imported building and other products.</w:t>
      </w:r>
    </w:p>
    <w:p w14:paraId="0CF18E27" w14:textId="77777777" w:rsidR="00160E7F" w:rsidRDefault="00160E7F">
      <w:pPr>
        <w:spacing w:line="280" w:lineRule="auto"/>
        <w:sectPr w:rsidR="00160E7F">
          <w:headerReference w:type="even" r:id="rId57"/>
          <w:headerReference w:type="default" r:id="rId58"/>
          <w:pgSz w:w="11910" w:h="16840"/>
          <w:pgMar w:top="980" w:right="1680" w:bottom="280" w:left="0" w:header="788" w:footer="0" w:gutter="0"/>
          <w:pgNumType w:start="250"/>
          <w:cols w:space="720"/>
        </w:sectPr>
      </w:pPr>
    </w:p>
    <w:p w14:paraId="29E7337A" w14:textId="77777777" w:rsidR="00160E7F" w:rsidRDefault="00160E7F">
      <w:pPr>
        <w:pStyle w:val="BodyText"/>
      </w:pPr>
    </w:p>
    <w:p w14:paraId="25AEA9D6" w14:textId="77777777" w:rsidR="00160E7F" w:rsidRDefault="00160E7F">
      <w:pPr>
        <w:pStyle w:val="BodyText"/>
      </w:pPr>
    </w:p>
    <w:p w14:paraId="38B63A67" w14:textId="77777777" w:rsidR="00160E7F" w:rsidRDefault="00160E7F">
      <w:pPr>
        <w:pStyle w:val="BodyText"/>
      </w:pPr>
    </w:p>
    <w:p w14:paraId="41EB5C15" w14:textId="77777777" w:rsidR="00160E7F" w:rsidRDefault="00160E7F">
      <w:pPr>
        <w:pStyle w:val="BodyText"/>
      </w:pPr>
    </w:p>
    <w:p w14:paraId="7D386339" w14:textId="77777777" w:rsidR="00160E7F" w:rsidRDefault="00160E7F">
      <w:pPr>
        <w:pStyle w:val="BodyText"/>
        <w:spacing w:before="8"/>
        <w:rPr>
          <w:sz w:val="17"/>
        </w:rPr>
      </w:pPr>
    </w:p>
    <w:p w14:paraId="77437A7D" w14:textId="77777777" w:rsidR="00160E7F" w:rsidRDefault="002B0299">
      <w:pPr>
        <w:pStyle w:val="BodyText"/>
        <w:spacing w:before="1" w:line="280" w:lineRule="auto"/>
        <w:ind w:left="134" w:right="1433"/>
      </w:pPr>
      <w:r>
        <w:rPr>
          <w:color w:val="58595B"/>
        </w:rPr>
        <w:t>The EPA must provide clear information to the community about these risks and how they are being managed. Given we live in proximity to legacy contamination, the EPA needs to proactively scan for potential risks, have rigorous processes for risk screening, and be transparent about providing information about risks to the community. This approach will help to avoid incidents that jeopardise community health – such as the 2008 ‘discovery’ of landfill gas affecting housing at Brookland Greens</w:t>
      </w:r>
      <w:r>
        <w:rPr>
          <w:color w:val="58595B"/>
          <w:position w:val="7"/>
          <w:sz w:val="11"/>
        </w:rPr>
        <w:t xml:space="preserve">4  </w:t>
      </w:r>
      <w:r>
        <w:rPr>
          <w:color w:val="58595B"/>
        </w:rPr>
        <w:t>– and help to build community confidence in the system.</w:t>
      </w:r>
    </w:p>
    <w:p w14:paraId="72BF061E" w14:textId="77777777" w:rsidR="00160E7F" w:rsidRDefault="002B0299">
      <w:pPr>
        <w:pStyle w:val="BodyText"/>
        <w:spacing w:before="172" w:line="280" w:lineRule="auto"/>
        <w:ind w:left="134" w:right="2071"/>
      </w:pPr>
      <w:r>
        <w:rPr>
          <w:color w:val="58595B"/>
        </w:rPr>
        <w:t>However, EPA responses must remain pragmatic and practicable – focusing on safety and recognising its task remains largely about risk management rather than clean up. Market pressures for redeveloping land will continue to drive legacy contamination clean up.</w:t>
      </w:r>
    </w:p>
    <w:p w14:paraId="255A9EB7" w14:textId="77777777" w:rsidR="00160E7F" w:rsidRDefault="002B0299">
      <w:pPr>
        <w:pStyle w:val="BodyText"/>
        <w:spacing w:before="172" w:line="280" w:lineRule="auto"/>
        <w:ind w:left="134" w:right="2572"/>
      </w:pPr>
      <w:r>
        <w:rPr>
          <w:color w:val="58595B"/>
        </w:rPr>
        <w:t>Legacy risks underscore the importance of the EPA’s preventative task. They are the consequence of activities that occurred in the past because there was:</w:t>
      </w:r>
    </w:p>
    <w:p w14:paraId="2087A906" w14:textId="77777777" w:rsidR="00160E7F" w:rsidRDefault="002B0299">
      <w:pPr>
        <w:pStyle w:val="ListParagraph"/>
        <w:numPr>
          <w:ilvl w:val="0"/>
          <w:numId w:val="47"/>
        </w:numPr>
        <w:tabs>
          <w:tab w:val="left" w:pos="305"/>
        </w:tabs>
        <w:spacing w:before="115" w:line="280" w:lineRule="auto"/>
        <w:ind w:right="2093" w:hanging="170"/>
        <w:rPr>
          <w:sz w:val="20"/>
        </w:rPr>
      </w:pPr>
      <w:r>
        <w:rPr>
          <w:color w:val="58595B"/>
          <w:sz w:val="20"/>
        </w:rPr>
        <w:t>limited or ineffective regulation, for example, historical mining and disposal of hazardous materials in</w:t>
      </w:r>
      <w:r>
        <w:rPr>
          <w:color w:val="58595B"/>
          <w:spacing w:val="6"/>
          <w:sz w:val="20"/>
        </w:rPr>
        <w:t xml:space="preserve"> </w:t>
      </w:r>
      <w:r>
        <w:rPr>
          <w:color w:val="58595B"/>
          <w:sz w:val="20"/>
        </w:rPr>
        <w:t>landfills</w:t>
      </w:r>
    </w:p>
    <w:p w14:paraId="0F6C1D28" w14:textId="77777777" w:rsidR="00160E7F" w:rsidRDefault="002B0299">
      <w:pPr>
        <w:pStyle w:val="ListParagraph"/>
        <w:numPr>
          <w:ilvl w:val="0"/>
          <w:numId w:val="47"/>
        </w:numPr>
        <w:tabs>
          <w:tab w:val="left" w:pos="305"/>
        </w:tabs>
        <w:spacing w:before="115" w:line="280" w:lineRule="auto"/>
        <w:ind w:right="1443" w:hanging="170"/>
        <w:rPr>
          <w:sz w:val="20"/>
        </w:rPr>
      </w:pPr>
      <w:r>
        <w:rPr>
          <w:color w:val="58595B"/>
          <w:sz w:val="20"/>
        </w:rPr>
        <w:t>less</w:t>
      </w:r>
      <w:r>
        <w:rPr>
          <w:color w:val="58595B"/>
          <w:spacing w:val="-12"/>
          <w:sz w:val="20"/>
        </w:rPr>
        <w:t xml:space="preserve"> </w:t>
      </w:r>
      <w:r>
        <w:rPr>
          <w:color w:val="58595B"/>
          <w:sz w:val="20"/>
        </w:rPr>
        <w:t>knowledge</w:t>
      </w:r>
      <w:r>
        <w:rPr>
          <w:color w:val="58595B"/>
          <w:spacing w:val="-12"/>
          <w:sz w:val="20"/>
        </w:rPr>
        <w:t xml:space="preserve"> </w:t>
      </w:r>
      <w:r>
        <w:rPr>
          <w:color w:val="58595B"/>
          <w:sz w:val="20"/>
        </w:rPr>
        <w:t>about</w:t>
      </w:r>
      <w:r>
        <w:rPr>
          <w:color w:val="58595B"/>
          <w:spacing w:val="-12"/>
          <w:sz w:val="20"/>
        </w:rPr>
        <w:t xml:space="preserve"> </w:t>
      </w:r>
      <w:r>
        <w:rPr>
          <w:color w:val="58595B"/>
          <w:sz w:val="20"/>
        </w:rPr>
        <w:t>the</w:t>
      </w:r>
      <w:r>
        <w:rPr>
          <w:color w:val="58595B"/>
          <w:spacing w:val="-12"/>
          <w:sz w:val="20"/>
        </w:rPr>
        <w:t xml:space="preserve"> </w:t>
      </w:r>
      <w:r>
        <w:rPr>
          <w:color w:val="58595B"/>
          <w:sz w:val="20"/>
        </w:rPr>
        <w:t>serious</w:t>
      </w:r>
      <w:r>
        <w:rPr>
          <w:color w:val="58595B"/>
          <w:spacing w:val="-12"/>
          <w:sz w:val="20"/>
        </w:rPr>
        <w:t xml:space="preserve"> </w:t>
      </w:r>
      <w:r>
        <w:rPr>
          <w:color w:val="58595B"/>
          <w:sz w:val="20"/>
        </w:rPr>
        <w:t>and</w:t>
      </w:r>
      <w:r>
        <w:rPr>
          <w:color w:val="58595B"/>
          <w:spacing w:val="-12"/>
          <w:sz w:val="20"/>
        </w:rPr>
        <w:t xml:space="preserve"> </w:t>
      </w:r>
      <w:r>
        <w:rPr>
          <w:color w:val="58595B"/>
          <w:sz w:val="20"/>
        </w:rPr>
        <w:t>enduring</w:t>
      </w:r>
      <w:r>
        <w:rPr>
          <w:color w:val="58595B"/>
          <w:spacing w:val="-12"/>
          <w:sz w:val="20"/>
        </w:rPr>
        <w:t xml:space="preserve"> </w:t>
      </w:r>
      <w:r>
        <w:rPr>
          <w:color w:val="58595B"/>
          <w:sz w:val="20"/>
        </w:rPr>
        <w:t>impacts</w:t>
      </w:r>
      <w:r>
        <w:rPr>
          <w:color w:val="58595B"/>
          <w:spacing w:val="-12"/>
          <w:sz w:val="20"/>
        </w:rPr>
        <w:t xml:space="preserve"> </w:t>
      </w:r>
      <w:r>
        <w:rPr>
          <w:color w:val="58595B"/>
          <w:sz w:val="20"/>
        </w:rPr>
        <w:t>of</w:t>
      </w:r>
      <w:r>
        <w:rPr>
          <w:color w:val="58595B"/>
          <w:spacing w:val="-12"/>
          <w:sz w:val="20"/>
        </w:rPr>
        <w:t xml:space="preserve"> </w:t>
      </w:r>
      <w:r>
        <w:rPr>
          <w:color w:val="58595B"/>
          <w:sz w:val="20"/>
        </w:rPr>
        <w:t>various</w:t>
      </w:r>
      <w:r>
        <w:rPr>
          <w:color w:val="58595B"/>
          <w:spacing w:val="-12"/>
          <w:sz w:val="20"/>
        </w:rPr>
        <w:t xml:space="preserve"> </w:t>
      </w:r>
      <w:r>
        <w:rPr>
          <w:color w:val="58595B"/>
          <w:sz w:val="20"/>
        </w:rPr>
        <w:t>activities,</w:t>
      </w:r>
      <w:r>
        <w:rPr>
          <w:color w:val="58595B"/>
          <w:spacing w:val="-12"/>
          <w:sz w:val="20"/>
        </w:rPr>
        <w:t xml:space="preserve"> </w:t>
      </w:r>
      <w:r>
        <w:rPr>
          <w:color w:val="58595B"/>
          <w:sz w:val="20"/>
        </w:rPr>
        <w:t>or</w:t>
      </w:r>
      <w:r>
        <w:rPr>
          <w:color w:val="58595B"/>
          <w:spacing w:val="-12"/>
          <w:sz w:val="20"/>
        </w:rPr>
        <w:t xml:space="preserve"> </w:t>
      </w:r>
      <w:r>
        <w:rPr>
          <w:color w:val="58595B"/>
          <w:sz w:val="20"/>
        </w:rPr>
        <w:t>the</w:t>
      </w:r>
      <w:r>
        <w:rPr>
          <w:color w:val="58595B"/>
          <w:spacing w:val="-12"/>
          <w:sz w:val="20"/>
        </w:rPr>
        <w:t xml:space="preserve"> </w:t>
      </w:r>
      <w:r>
        <w:rPr>
          <w:color w:val="58595B"/>
          <w:sz w:val="20"/>
        </w:rPr>
        <w:t>use</w:t>
      </w:r>
      <w:r>
        <w:rPr>
          <w:color w:val="58595B"/>
          <w:spacing w:val="-12"/>
          <w:sz w:val="20"/>
        </w:rPr>
        <w:t xml:space="preserve"> </w:t>
      </w:r>
      <w:r>
        <w:rPr>
          <w:color w:val="58595B"/>
          <w:sz w:val="20"/>
        </w:rPr>
        <w:t>of</w:t>
      </w:r>
      <w:r>
        <w:rPr>
          <w:color w:val="58595B"/>
          <w:spacing w:val="-12"/>
          <w:sz w:val="20"/>
        </w:rPr>
        <w:t xml:space="preserve"> </w:t>
      </w:r>
      <w:r>
        <w:rPr>
          <w:color w:val="58595B"/>
          <w:sz w:val="20"/>
        </w:rPr>
        <w:t>specific materials</w:t>
      </w:r>
      <w:r>
        <w:rPr>
          <w:color w:val="58595B"/>
          <w:spacing w:val="-13"/>
          <w:sz w:val="20"/>
        </w:rPr>
        <w:t xml:space="preserve"> </w:t>
      </w:r>
      <w:r>
        <w:rPr>
          <w:color w:val="58595B"/>
          <w:sz w:val="20"/>
        </w:rPr>
        <w:t>and</w:t>
      </w:r>
      <w:r>
        <w:rPr>
          <w:color w:val="58595B"/>
          <w:spacing w:val="-13"/>
          <w:sz w:val="20"/>
        </w:rPr>
        <w:t xml:space="preserve"> </w:t>
      </w:r>
      <w:r>
        <w:rPr>
          <w:color w:val="58595B"/>
          <w:sz w:val="20"/>
        </w:rPr>
        <w:t>substances,</w:t>
      </w:r>
      <w:r>
        <w:rPr>
          <w:color w:val="58595B"/>
          <w:spacing w:val="-13"/>
          <w:sz w:val="20"/>
        </w:rPr>
        <w:t xml:space="preserve"> </w:t>
      </w:r>
      <w:r>
        <w:rPr>
          <w:color w:val="58595B"/>
          <w:sz w:val="20"/>
        </w:rPr>
        <w:t>for</w:t>
      </w:r>
      <w:r>
        <w:rPr>
          <w:color w:val="58595B"/>
          <w:spacing w:val="-13"/>
          <w:sz w:val="20"/>
        </w:rPr>
        <w:t xml:space="preserve"> </w:t>
      </w:r>
      <w:r>
        <w:rPr>
          <w:color w:val="58595B"/>
          <w:spacing w:val="-3"/>
          <w:sz w:val="20"/>
        </w:rPr>
        <w:t>example</w:t>
      </w:r>
      <w:r>
        <w:rPr>
          <w:color w:val="58595B"/>
          <w:spacing w:val="-13"/>
          <w:sz w:val="20"/>
        </w:rPr>
        <w:t xml:space="preserve"> </w:t>
      </w:r>
      <w:r>
        <w:rPr>
          <w:color w:val="58595B"/>
          <w:sz w:val="20"/>
        </w:rPr>
        <w:t>asbestos</w:t>
      </w:r>
      <w:r>
        <w:rPr>
          <w:color w:val="58595B"/>
          <w:spacing w:val="-13"/>
          <w:sz w:val="20"/>
        </w:rPr>
        <w:t xml:space="preserve"> </w:t>
      </w:r>
      <w:r>
        <w:rPr>
          <w:color w:val="58595B"/>
          <w:sz w:val="20"/>
        </w:rPr>
        <w:t>and</w:t>
      </w:r>
      <w:r>
        <w:rPr>
          <w:color w:val="58595B"/>
          <w:spacing w:val="-13"/>
          <w:sz w:val="20"/>
        </w:rPr>
        <w:t xml:space="preserve"> </w:t>
      </w:r>
      <w:r>
        <w:rPr>
          <w:color w:val="58595B"/>
          <w:spacing w:val="-3"/>
          <w:sz w:val="20"/>
        </w:rPr>
        <w:t>PFOS</w:t>
      </w:r>
      <w:r>
        <w:rPr>
          <w:color w:val="58595B"/>
          <w:spacing w:val="-13"/>
          <w:sz w:val="20"/>
        </w:rPr>
        <w:t xml:space="preserve"> </w:t>
      </w:r>
      <w:r>
        <w:rPr>
          <w:color w:val="58595B"/>
          <w:sz w:val="20"/>
        </w:rPr>
        <w:t>(perfluorooctanesulfonic</w:t>
      </w:r>
      <w:r>
        <w:rPr>
          <w:color w:val="58595B"/>
          <w:spacing w:val="-13"/>
          <w:sz w:val="20"/>
        </w:rPr>
        <w:t xml:space="preserve"> </w:t>
      </w:r>
      <w:r>
        <w:rPr>
          <w:color w:val="58595B"/>
          <w:spacing w:val="-3"/>
          <w:sz w:val="20"/>
        </w:rPr>
        <w:t>acid).</w:t>
      </w:r>
    </w:p>
    <w:p w14:paraId="41A73011" w14:textId="77777777" w:rsidR="00160E7F" w:rsidRDefault="002B0299">
      <w:pPr>
        <w:pStyle w:val="BodyText"/>
        <w:spacing w:before="172" w:line="280" w:lineRule="auto"/>
        <w:ind w:left="134" w:right="1527"/>
      </w:pPr>
      <w:r>
        <w:rPr>
          <w:color w:val="58595B"/>
        </w:rPr>
        <w:t>Different instruments and approaches are needed to manage legacy risks because the focus is on identifying and managing pre-existing hazards, rather than on preventing pollution. However, preventative measures will help to reduce legacy risks for future generations. A fit-for-purpose instrument to manage post-closure risks, notification of pollution incidents and the general duty can raise community awareness about managing waste responsibly, including legacy waste (see chapter 12). Legacy risks remind us that the EPA needs to be mindful of the past, present and future, and must calibrate its regulatory responses accordingly.</w:t>
      </w:r>
    </w:p>
    <w:p w14:paraId="45EBE048" w14:textId="77777777" w:rsidR="00160E7F" w:rsidRDefault="00160E7F">
      <w:pPr>
        <w:pStyle w:val="BodyText"/>
        <w:spacing w:before="1"/>
        <w:rPr>
          <w:sz w:val="19"/>
        </w:rPr>
      </w:pPr>
    </w:p>
    <w:p w14:paraId="0507F769" w14:textId="77777777" w:rsidR="00160E7F" w:rsidRDefault="002B0299">
      <w:pPr>
        <w:pStyle w:val="Heading3"/>
        <w:numPr>
          <w:ilvl w:val="1"/>
          <w:numId w:val="28"/>
        </w:numPr>
        <w:tabs>
          <w:tab w:val="left" w:pos="721"/>
        </w:tabs>
        <w:spacing w:before="0"/>
        <w:ind w:left="720" w:hanging="586"/>
        <w:jc w:val="left"/>
      </w:pPr>
      <w:r>
        <w:rPr>
          <w:color w:val="0095A7"/>
        </w:rPr>
        <w:t>Risk management for legacy</w:t>
      </w:r>
      <w:r>
        <w:rPr>
          <w:color w:val="0095A7"/>
          <w:spacing w:val="36"/>
        </w:rPr>
        <w:t xml:space="preserve"> </w:t>
      </w:r>
      <w:r>
        <w:rPr>
          <w:color w:val="0095A7"/>
        </w:rPr>
        <w:t>contamination</w:t>
      </w:r>
    </w:p>
    <w:p w14:paraId="1DAB350A" w14:textId="77777777" w:rsidR="00160E7F" w:rsidRDefault="002B0299">
      <w:pPr>
        <w:pStyle w:val="BodyText"/>
        <w:spacing w:before="145" w:line="280" w:lineRule="auto"/>
        <w:ind w:left="134" w:right="1900"/>
      </w:pPr>
      <w:r>
        <w:rPr>
          <w:color w:val="58595B"/>
        </w:rPr>
        <w:t>Land use planning is a key tool for managing risk, in particular, for ensuring people do not live on contaminated sites and contaminated sites are safely redeveloped (with appropriate</w:t>
      </w:r>
    </w:p>
    <w:p w14:paraId="4C1E7575" w14:textId="77777777" w:rsidR="00160E7F" w:rsidRDefault="002B0299">
      <w:pPr>
        <w:pStyle w:val="BodyText"/>
        <w:spacing w:before="2" w:line="280" w:lineRule="auto"/>
        <w:ind w:left="134" w:right="1433"/>
      </w:pPr>
      <w:r>
        <w:rPr>
          <w:color w:val="58595B"/>
        </w:rPr>
        <w:t>remediation).</w:t>
      </w:r>
      <w:r>
        <w:rPr>
          <w:color w:val="58595B"/>
          <w:position w:val="7"/>
          <w:sz w:val="11"/>
        </w:rPr>
        <w:t xml:space="preserve">5 </w:t>
      </w:r>
      <w:r>
        <w:rPr>
          <w:color w:val="58595B"/>
        </w:rPr>
        <w:t>To be effective, environment protection and planning elements must be improved and better integrated (box 14.1).</w:t>
      </w:r>
    </w:p>
    <w:p w14:paraId="478CE584" w14:textId="77777777" w:rsidR="00160E7F" w:rsidRDefault="002B0299">
      <w:pPr>
        <w:pStyle w:val="BodyText"/>
        <w:spacing w:before="172"/>
        <w:ind w:left="134" w:right="789"/>
      </w:pPr>
      <w:r>
        <w:rPr>
          <w:color w:val="58595B"/>
        </w:rPr>
        <w:t>Risk management for already contaminated sites is challenging because:</w:t>
      </w:r>
    </w:p>
    <w:p w14:paraId="034DD4E5" w14:textId="77777777" w:rsidR="00160E7F" w:rsidRDefault="002B0299">
      <w:pPr>
        <w:pStyle w:val="ListParagraph"/>
        <w:numPr>
          <w:ilvl w:val="0"/>
          <w:numId w:val="47"/>
        </w:numPr>
        <w:tabs>
          <w:tab w:val="left" w:pos="305"/>
        </w:tabs>
        <w:spacing w:before="153"/>
        <w:ind w:hanging="170"/>
        <w:rPr>
          <w:sz w:val="20"/>
        </w:rPr>
      </w:pPr>
      <w:r>
        <w:rPr>
          <w:color w:val="58595B"/>
          <w:sz w:val="20"/>
        </w:rPr>
        <w:t>the passage of time means that there are likely to be many</w:t>
      </w:r>
      <w:r>
        <w:rPr>
          <w:color w:val="58595B"/>
          <w:spacing w:val="-14"/>
          <w:sz w:val="20"/>
        </w:rPr>
        <w:t xml:space="preserve"> </w:t>
      </w:r>
      <w:r>
        <w:rPr>
          <w:color w:val="58595B"/>
          <w:sz w:val="20"/>
        </w:rPr>
        <w:t>unknowns</w:t>
      </w:r>
    </w:p>
    <w:p w14:paraId="5BED03CC" w14:textId="77777777" w:rsidR="00160E7F" w:rsidRDefault="002B0299">
      <w:pPr>
        <w:pStyle w:val="ListParagraph"/>
        <w:numPr>
          <w:ilvl w:val="0"/>
          <w:numId w:val="47"/>
        </w:numPr>
        <w:tabs>
          <w:tab w:val="left" w:pos="305"/>
        </w:tabs>
        <w:spacing w:before="153"/>
        <w:ind w:hanging="170"/>
        <w:rPr>
          <w:sz w:val="20"/>
        </w:rPr>
      </w:pPr>
      <w:r>
        <w:rPr>
          <w:color w:val="58595B"/>
          <w:sz w:val="20"/>
        </w:rPr>
        <w:t>definitive assessment of risks is</w:t>
      </w:r>
      <w:r>
        <w:rPr>
          <w:color w:val="58595B"/>
          <w:spacing w:val="2"/>
          <w:sz w:val="20"/>
        </w:rPr>
        <w:t xml:space="preserve"> </w:t>
      </w:r>
      <w:r>
        <w:rPr>
          <w:color w:val="58595B"/>
          <w:sz w:val="20"/>
        </w:rPr>
        <w:t>costly</w:t>
      </w:r>
    </w:p>
    <w:p w14:paraId="2EB78234" w14:textId="77777777" w:rsidR="00160E7F" w:rsidRDefault="002B0299">
      <w:pPr>
        <w:pStyle w:val="ListParagraph"/>
        <w:numPr>
          <w:ilvl w:val="0"/>
          <w:numId w:val="47"/>
        </w:numPr>
        <w:tabs>
          <w:tab w:val="left" w:pos="305"/>
        </w:tabs>
        <w:spacing w:before="153"/>
        <w:ind w:hanging="170"/>
        <w:rPr>
          <w:sz w:val="20"/>
        </w:rPr>
      </w:pPr>
      <w:r>
        <w:rPr>
          <w:color w:val="58595B"/>
          <w:sz w:val="20"/>
        </w:rPr>
        <w:t>remediation can be very costly.</w:t>
      </w:r>
    </w:p>
    <w:p w14:paraId="510ACE3F" w14:textId="77777777" w:rsidR="00160E7F" w:rsidRDefault="00160E7F">
      <w:pPr>
        <w:pStyle w:val="BodyText"/>
        <w:spacing w:before="3"/>
        <w:rPr>
          <w:sz w:val="18"/>
        </w:rPr>
      </w:pPr>
    </w:p>
    <w:p w14:paraId="26971A0F" w14:textId="77777777" w:rsidR="00160E7F" w:rsidRDefault="002B0299">
      <w:pPr>
        <w:pStyle w:val="BodyText"/>
        <w:spacing w:line="280" w:lineRule="auto"/>
        <w:ind w:left="134" w:right="1604"/>
      </w:pPr>
      <w:r>
        <w:rPr>
          <w:color w:val="58595B"/>
        </w:rPr>
        <w:t>Jurisdictions around the world have dealt with these uncertainties and complexities by adopting a risk-based approach that focuses on:</w:t>
      </w:r>
    </w:p>
    <w:p w14:paraId="0DCF7CC1" w14:textId="77777777" w:rsidR="00160E7F" w:rsidRDefault="002B0299">
      <w:pPr>
        <w:pStyle w:val="ListParagraph"/>
        <w:numPr>
          <w:ilvl w:val="0"/>
          <w:numId w:val="47"/>
        </w:numPr>
        <w:tabs>
          <w:tab w:val="left" w:pos="305"/>
        </w:tabs>
        <w:spacing w:before="115"/>
        <w:ind w:hanging="170"/>
        <w:rPr>
          <w:sz w:val="11"/>
        </w:rPr>
      </w:pPr>
      <w:r>
        <w:rPr>
          <w:color w:val="58595B"/>
          <w:sz w:val="20"/>
        </w:rPr>
        <w:t>identifying potentially contaminated</w:t>
      </w:r>
      <w:r>
        <w:rPr>
          <w:color w:val="58595B"/>
          <w:spacing w:val="12"/>
          <w:sz w:val="20"/>
        </w:rPr>
        <w:t xml:space="preserve"> </w:t>
      </w:r>
      <w:r>
        <w:rPr>
          <w:color w:val="58595B"/>
          <w:sz w:val="20"/>
        </w:rPr>
        <w:t>sites</w:t>
      </w:r>
      <w:r>
        <w:rPr>
          <w:color w:val="58595B"/>
          <w:position w:val="7"/>
          <w:sz w:val="11"/>
        </w:rPr>
        <w:t>6</w:t>
      </w:r>
    </w:p>
    <w:p w14:paraId="6BF1C0A4" w14:textId="77777777" w:rsidR="00160E7F" w:rsidRDefault="002B0299">
      <w:pPr>
        <w:pStyle w:val="ListParagraph"/>
        <w:numPr>
          <w:ilvl w:val="0"/>
          <w:numId w:val="47"/>
        </w:numPr>
        <w:tabs>
          <w:tab w:val="left" w:pos="305"/>
        </w:tabs>
        <w:spacing w:before="153" w:line="280" w:lineRule="auto"/>
        <w:ind w:right="2004" w:hanging="170"/>
        <w:rPr>
          <w:sz w:val="11"/>
        </w:rPr>
      </w:pPr>
      <w:r>
        <w:rPr>
          <w:color w:val="58595B"/>
          <w:sz w:val="20"/>
        </w:rPr>
        <w:t>prioritising and directing regulatory interventions to where there are risks of exposure – in particular, ensuring that sensitive uses, such as housing and schools, are not located on contaminated</w:t>
      </w:r>
      <w:r>
        <w:rPr>
          <w:color w:val="58595B"/>
          <w:spacing w:val="3"/>
          <w:sz w:val="20"/>
        </w:rPr>
        <w:t xml:space="preserve"> </w:t>
      </w:r>
      <w:r>
        <w:rPr>
          <w:color w:val="58595B"/>
          <w:sz w:val="20"/>
        </w:rPr>
        <w:t>land</w:t>
      </w:r>
      <w:r>
        <w:rPr>
          <w:color w:val="58595B"/>
          <w:position w:val="7"/>
          <w:sz w:val="11"/>
        </w:rPr>
        <w:t>7</w:t>
      </w:r>
    </w:p>
    <w:p w14:paraId="34784D30" w14:textId="058A1D35" w:rsidR="00160E7F" w:rsidRDefault="002B0299">
      <w:pPr>
        <w:pStyle w:val="ListParagraph"/>
        <w:numPr>
          <w:ilvl w:val="0"/>
          <w:numId w:val="47"/>
        </w:numPr>
        <w:tabs>
          <w:tab w:val="left" w:pos="305"/>
        </w:tabs>
        <w:spacing w:before="115" w:line="280" w:lineRule="auto"/>
        <w:ind w:right="1476" w:hanging="170"/>
        <w:rPr>
          <w:sz w:val="20"/>
        </w:rPr>
      </w:pPr>
      <w:r>
        <w:rPr>
          <w:color w:val="58595B"/>
          <w:sz w:val="20"/>
        </w:rPr>
        <w:t>adopting risk-based requirements for clean up or risk management – ensuring that land is suitably remediated for its current or proposed use</w:t>
      </w:r>
      <w:r>
        <w:rPr>
          <w:color w:val="58595B"/>
          <w:position w:val="7"/>
          <w:sz w:val="11"/>
        </w:rPr>
        <w:t xml:space="preserve">8 </w:t>
      </w:r>
      <w:r>
        <w:rPr>
          <w:color w:val="58595B"/>
          <w:sz w:val="20"/>
        </w:rPr>
        <w:t>– recogni</w:t>
      </w:r>
      <w:r w:rsidR="00D26D1C">
        <w:rPr>
          <w:color w:val="58595B"/>
          <w:sz w:val="20"/>
        </w:rPr>
        <w:t>sing that contamination will be</w:t>
      </w:r>
      <w:r w:rsidR="00D26D1C">
        <w:rPr>
          <w:color w:val="58595B"/>
          <w:sz w:val="20"/>
        </w:rPr>
        <w:br/>
      </w:r>
      <w:r>
        <w:rPr>
          <w:color w:val="58595B"/>
          <w:sz w:val="20"/>
        </w:rPr>
        <w:t>left in situ in some</w:t>
      </w:r>
      <w:r>
        <w:rPr>
          <w:color w:val="58595B"/>
          <w:spacing w:val="3"/>
          <w:sz w:val="20"/>
        </w:rPr>
        <w:t xml:space="preserve"> </w:t>
      </w:r>
      <w:r>
        <w:rPr>
          <w:color w:val="58595B"/>
          <w:sz w:val="20"/>
        </w:rPr>
        <w:t>cases.</w:t>
      </w:r>
    </w:p>
    <w:p w14:paraId="0635FCCA" w14:textId="77777777" w:rsidR="00160E7F" w:rsidRDefault="00160E7F">
      <w:pPr>
        <w:spacing w:line="280" w:lineRule="auto"/>
        <w:rPr>
          <w:sz w:val="20"/>
        </w:rPr>
        <w:sectPr w:rsidR="00160E7F">
          <w:pgSz w:w="11910" w:h="16840"/>
          <w:pgMar w:top="980" w:right="0" w:bottom="280" w:left="1680" w:header="788" w:footer="0" w:gutter="0"/>
          <w:cols w:space="720"/>
        </w:sectPr>
      </w:pPr>
    </w:p>
    <w:p w14:paraId="602F7665" w14:textId="77777777" w:rsidR="00160E7F" w:rsidRDefault="00160E7F">
      <w:pPr>
        <w:pStyle w:val="BodyText"/>
      </w:pPr>
    </w:p>
    <w:p w14:paraId="17DDF68E" w14:textId="77777777" w:rsidR="00160E7F" w:rsidRDefault="00160E7F">
      <w:pPr>
        <w:pStyle w:val="BodyText"/>
      </w:pPr>
    </w:p>
    <w:p w14:paraId="394874B6" w14:textId="77777777" w:rsidR="00160E7F" w:rsidRDefault="00160E7F">
      <w:pPr>
        <w:pStyle w:val="BodyText"/>
      </w:pPr>
    </w:p>
    <w:p w14:paraId="2BB23CC4" w14:textId="77777777" w:rsidR="00160E7F" w:rsidRDefault="00160E7F">
      <w:pPr>
        <w:pStyle w:val="BodyText"/>
      </w:pPr>
    </w:p>
    <w:p w14:paraId="6FD1EC17" w14:textId="77777777" w:rsidR="00160E7F" w:rsidRDefault="00160E7F">
      <w:pPr>
        <w:pStyle w:val="BodyText"/>
        <w:spacing w:before="4" w:after="1"/>
        <w:rPr>
          <w:sz w:val="21"/>
        </w:rPr>
      </w:pPr>
    </w:p>
    <w:p w14:paraId="635B13BB" w14:textId="77777777" w:rsidR="00160E7F" w:rsidRDefault="000638CB">
      <w:pPr>
        <w:pStyle w:val="BodyText"/>
        <w:ind w:left="1417"/>
      </w:pPr>
      <w:r>
        <w:pict w14:anchorId="4F32B13E">
          <v:shape id="_x0000_s1091" type="#_x0000_t202" style="width:433.7pt;height:334pt;mso-left-percent:-10001;mso-top-percent:-10001;mso-position-horizontal:absolute;mso-position-horizontal-relative:char;mso-position-vertical:absolute;mso-position-vertical-relative:line;mso-left-percent:-10001;mso-top-percent:-10001" fillcolor="#eaf2f3" stroked="f">
            <v:textbox inset="0,0,0,0">
              <w:txbxContent>
                <w:p w14:paraId="04352A5E" w14:textId="77777777" w:rsidR="00804E46" w:rsidRDefault="00804E46">
                  <w:pPr>
                    <w:pStyle w:val="BodyText"/>
                    <w:spacing w:before="128" w:line="280" w:lineRule="auto"/>
                    <w:ind w:left="170" w:right="1260"/>
                  </w:pPr>
                  <w:r>
                    <w:rPr>
                      <w:b/>
                      <w:color w:val="0095A7"/>
                    </w:rPr>
                    <w:t xml:space="preserve">BOX 14.1 </w:t>
                  </w:r>
                  <w:r>
                    <w:rPr>
                      <w:color w:val="0095A7"/>
                    </w:rPr>
                    <w:t>MANAGING LEGACY CONTAMINATION THROUGH THE PLANNING AND ENVIRONMENT SYSTEMS</w:t>
                  </w:r>
                </w:p>
                <w:p w14:paraId="06A714C5" w14:textId="77777777" w:rsidR="00804E46" w:rsidRDefault="00804E46">
                  <w:pPr>
                    <w:pStyle w:val="BodyText"/>
                    <w:spacing w:before="115" w:line="280" w:lineRule="auto"/>
                    <w:ind w:left="170" w:right="165"/>
                  </w:pPr>
                  <w:r>
                    <w:rPr>
                      <w:color w:val="58595B"/>
                    </w:rPr>
                    <w:t xml:space="preserve">Contaminated land and </w:t>
                  </w:r>
                  <w:r>
                    <w:rPr>
                      <w:color w:val="58595B"/>
                      <w:spacing w:val="-3"/>
                    </w:rPr>
                    <w:t xml:space="preserve">groundwater </w:t>
                  </w:r>
                  <w:r>
                    <w:rPr>
                      <w:color w:val="58595B"/>
                    </w:rPr>
                    <w:t xml:space="preserve">is managed via a combination of statutory instruments under the EP Act and the </w:t>
                  </w:r>
                  <w:r>
                    <w:rPr>
                      <w:i/>
                      <w:color w:val="58595B"/>
                    </w:rPr>
                    <w:t>Planning and</w:t>
                  </w:r>
                  <w:r>
                    <w:rPr>
                      <w:i/>
                      <w:color w:val="58595B"/>
                      <w:spacing w:val="-3"/>
                    </w:rPr>
                    <w:t xml:space="preserve"> Environment </w:t>
                  </w:r>
                  <w:r>
                    <w:rPr>
                      <w:i/>
                      <w:color w:val="58595B"/>
                    </w:rPr>
                    <w:t xml:space="preserve">Act </w:t>
                  </w:r>
                  <w:r>
                    <w:rPr>
                      <w:i/>
                      <w:color w:val="58595B"/>
                      <w:spacing w:val="-8"/>
                    </w:rPr>
                    <w:t>1987</w:t>
                  </w:r>
                  <w:r>
                    <w:rPr>
                      <w:color w:val="58595B"/>
                      <w:spacing w:val="-8"/>
                    </w:rPr>
                    <w:t xml:space="preserve">. </w:t>
                  </w:r>
                  <w:r>
                    <w:rPr>
                      <w:color w:val="58595B"/>
                    </w:rPr>
                    <w:t xml:space="preserve">Under this integrated approach, sites that </w:t>
                  </w:r>
                  <w:r>
                    <w:rPr>
                      <w:color w:val="58595B"/>
                      <w:spacing w:val="-3"/>
                    </w:rPr>
                    <w:t xml:space="preserve">have </w:t>
                  </w:r>
                  <w:r>
                    <w:rPr>
                      <w:color w:val="58595B"/>
                    </w:rPr>
                    <w:t xml:space="preserve">been identified as posing a potential contamination risk through the planning </w:t>
                  </w:r>
                  <w:r>
                    <w:rPr>
                      <w:color w:val="58595B"/>
                      <w:spacing w:val="-3"/>
                    </w:rPr>
                    <w:t xml:space="preserve">system </w:t>
                  </w:r>
                  <w:r>
                    <w:rPr>
                      <w:color w:val="58595B"/>
                    </w:rPr>
                    <w:t xml:space="preserve">must be assessed </w:t>
                  </w:r>
                  <w:r>
                    <w:rPr>
                      <w:color w:val="58595B"/>
                      <w:spacing w:val="-3"/>
                    </w:rPr>
                    <w:t xml:space="preserve">by </w:t>
                  </w:r>
                  <w:r>
                    <w:rPr>
                      <w:color w:val="58595B"/>
                    </w:rPr>
                    <w:t xml:space="preserve">an expert and remediated (with specified site </w:t>
                  </w:r>
                  <w:r>
                    <w:rPr>
                      <w:color w:val="58595B"/>
                      <w:spacing w:val="-3"/>
                    </w:rPr>
                    <w:t>conditions).</w:t>
                  </w:r>
                </w:p>
                <w:p w14:paraId="52D47B05" w14:textId="77777777" w:rsidR="00804E46" w:rsidRDefault="00804E46">
                  <w:pPr>
                    <w:pStyle w:val="BodyText"/>
                    <w:spacing w:before="172" w:line="280" w:lineRule="auto"/>
                    <w:ind w:left="170" w:right="165"/>
                  </w:pPr>
                  <w:r>
                    <w:rPr>
                      <w:color w:val="58595B"/>
                      <w:spacing w:val="-3"/>
                    </w:rPr>
                    <w:t xml:space="preserve">Ministerial </w:t>
                  </w:r>
                  <w:r>
                    <w:rPr>
                      <w:color w:val="58595B"/>
                    </w:rPr>
                    <w:t xml:space="preserve">Direction </w:t>
                  </w:r>
                  <w:r>
                    <w:rPr>
                      <w:color w:val="58595B"/>
                      <w:spacing w:val="-8"/>
                    </w:rPr>
                    <w:t xml:space="preserve">No.1 </w:t>
                  </w:r>
                  <w:r>
                    <w:rPr>
                      <w:color w:val="58595B"/>
                      <w:spacing w:val="-3"/>
                    </w:rPr>
                    <w:t xml:space="preserve">(in </w:t>
                  </w:r>
                  <w:r>
                    <w:rPr>
                      <w:color w:val="58595B"/>
                    </w:rPr>
                    <w:t xml:space="preserve">the </w:t>
                  </w:r>
                  <w:r>
                    <w:rPr>
                      <w:color w:val="58595B"/>
                      <w:spacing w:val="-3"/>
                    </w:rPr>
                    <w:t xml:space="preserve">planning </w:t>
                  </w:r>
                  <w:r>
                    <w:rPr>
                      <w:color w:val="58595B"/>
                      <w:spacing w:val="-5"/>
                    </w:rPr>
                    <w:t xml:space="preserve">system) </w:t>
                  </w:r>
                  <w:r>
                    <w:rPr>
                      <w:color w:val="58595B"/>
                      <w:spacing w:val="-3"/>
                    </w:rPr>
                    <w:t xml:space="preserve">requires </w:t>
                  </w:r>
                  <w:r>
                    <w:rPr>
                      <w:color w:val="58595B"/>
                    </w:rPr>
                    <w:t xml:space="preserve">a statutory </w:t>
                  </w:r>
                  <w:r>
                    <w:rPr>
                      <w:color w:val="58595B"/>
                      <w:spacing w:val="-4"/>
                    </w:rPr>
                    <w:t xml:space="preserve">environmental </w:t>
                  </w:r>
                  <w:r>
                    <w:rPr>
                      <w:color w:val="58595B"/>
                      <w:spacing w:val="-3"/>
                    </w:rPr>
                    <w:t xml:space="preserve">audit </w:t>
                  </w:r>
                  <w:r>
                    <w:rPr>
                      <w:color w:val="58595B"/>
                      <w:spacing w:val="-5"/>
                    </w:rPr>
                    <w:t xml:space="preserve">(under </w:t>
                  </w:r>
                  <w:r>
                    <w:rPr>
                      <w:color w:val="58595B"/>
                    </w:rPr>
                    <w:t xml:space="preserve">the EP </w:t>
                  </w:r>
                  <w:r>
                    <w:rPr>
                      <w:color w:val="58595B"/>
                      <w:spacing w:val="-4"/>
                    </w:rPr>
                    <w:t xml:space="preserve">Act) </w:t>
                  </w:r>
                  <w:r>
                    <w:rPr>
                      <w:color w:val="58595B"/>
                    </w:rPr>
                    <w:t xml:space="preserve">to be </w:t>
                  </w:r>
                  <w:r>
                    <w:rPr>
                      <w:color w:val="58595B"/>
                      <w:spacing w:val="-3"/>
                    </w:rPr>
                    <w:t xml:space="preserve">undertaken </w:t>
                  </w:r>
                  <w:r>
                    <w:rPr>
                      <w:color w:val="58595B"/>
                    </w:rPr>
                    <w:t xml:space="preserve">when </w:t>
                  </w:r>
                  <w:r>
                    <w:rPr>
                      <w:color w:val="58595B"/>
                      <w:spacing w:val="-3"/>
                    </w:rPr>
                    <w:t xml:space="preserve">industrial land </w:t>
                  </w:r>
                  <w:r>
                    <w:rPr>
                      <w:color w:val="58595B"/>
                    </w:rPr>
                    <w:t xml:space="preserve">is </w:t>
                  </w:r>
                  <w:r>
                    <w:rPr>
                      <w:color w:val="58595B"/>
                      <w:spacing w:val="-3"/>
                    </w:rPr>
                    <w:t xml:space="preserve">rezoned </w:t>
                  </w:r>
                  <w:r>
                    <w:rPr>
                      <w:color w:val="58595B"/>
                    </w:rPr>
                    <w:t xml:space="preserve">for a </w:t>
                  </w:r>
                  <w:r>
                    <w:rPr>
                      <w:color w:val="58595B"/>
                      <w:spacing w:val="-3"/>
                    </w:rPr>
                    <w:t xml:space="preserve">sensitive </w:t>
                  </w:r>
                  <w:r>
                    <w:rPr>
                      <w:color w:val="58595B"/>
                      <w:spacing w:val="-4"/>
                    </w:rPr>
                    <w:t xml:space="preserve">use. </w:t>
                  </w:r>
                  <w:r>
                    <w:rPr>
                      <w:color w:val="58595B"/>
                    </w:rPr>
                    <w:t xml:space="preserve">In most </w:t>
                  </w:r>
                  <w:r>
                    <w:rPr>
                      <w:color w:val="58595B"/>
                      <w:spacing w:val="-3"/>
                    </w:rPr>
                    <w:t xml:space="preserve">cases, </w:t>
                  </w:r>
                  <w:r>
                    <w:rPr>
                      <w:color w:val="58595B"/>
                    </w:rPr>
                    <w:t xml:space="preserve">an </w:t>
                  </w:r>
                  <w:r>
                    <w:rPr>
                      <w:color w:val="58595B"/>
                      <w:spacing w:val="-4"/>
                    </w:rPr>
                    <w:t xml:space="preserve">environmental </w:t>
                  </w:r>
                  <w:r>
                    <w:rPr>
                      <w:color w:val="58595B"/>
                      <w:spacing w:val="-3"/>
                    </w:rPr>
                    <w:t xml:space="preserve">audit </w:t>
                  </w:r>
                  <w:r>
                    <w:rPr>
                      <w:color w:val="58595B"/>
                      <w:spacing w:val="-4"/>
                    </w:rPr>
                    <w:t xml:space="preserve">overlay </w:t>
                  </w:r>
                  <w:r>
                    <w:rPr>
                      <w:color w:val="58595B"/>
                    </w:rPr>
                    <w:t xml:space="preserve">will be placed on the </w:t>
                  </w:r>
                  <w:r>
                    <w:rPr>
                      <w:color w:val="58595B"/>
                      <w:spacing w:val="-3"/>
                    </w:rPr>
                    <w:t xml:space="preserve">land. </w:t>
                  </w:r>
                  <w:r>
                    <w:rPr>
                      <w:color w:val="58595B"/>
                    </w:rPr>
                    <w:t xml:space="preserve">The </w:t>
                  </w:r>
                  <w:r>
                    <w:rPr>
                      <w:color w:val="58595B"/>
                      <w:spacing w:val="-4"/>
                    </w:rPr>
                    <w:t xml:space="preserve">environmental </w:t>
                  </w:r>
                  <w:r>
                    <w:rPr>
                      <w:color w:val="58595B"/>
                      <w:spacing w:val="-3"/>
                    </w:rPr>
                    <w:t xml:space="preserve">audit </w:t>
                  </w:r>
                  <w:r>
                    <w:rPr>
                      <w:color w:val="58595B"/>
                      <w:spacing w:val="-4"/>
                    </w:rPr>
                    <w:t xml:space="preserve">overlay </w:t>
                  </w:r>
                  <w:r>
                    <w:rPr>
                      <w:color w:val="58595B"/>
                      <w:spacing w:val="-3"/>
                    </w:rPr>
                    <w:t>requires</w:t>
                  </w:r>
                  <w:r>
                    <w:rPr>
                      <w:color w:val="58595B"/>
                      <w:spacing w:val="-10"/>
                    </w:rPr>
                    <w:t xml:space="preserve"> </w:t>
                  </w:r>
                  <w:r>
                    <w:rPr>
                      <w:color w:val="58595B"/>
                    </w:rPr>
                    <w:t>the</w:t>
                  </w:r>
                  <w:r>
                    <w:rPr>
                      <w:color w:val="58595B"/>
                      <w:spacing w:val="-10"/>
                    </w:rPr>
                    <w:t xml:space="preserve"> </w:t>
                  </w:r>
                  <w:r>
                    <w:rPr>
                      <w:color w:val="58595B"/>
                      <w:spacing w:val="-3"/>
                    </w:rPr>
                    <w:t>land</w:t>
                  </w:r>
                  <w:r>
                    <w:rPr>
                      <w:color w:val="58595B"/>
                      <w:spacing w:val="-10"/>
                    </w:rPr>
                    <w:t xml:space="preserve"> </w:t>
                  </w:r>
                  <w:r>
                    <w:rPr>
                      <w:color w:val="58595B"/>
                    </w:rPr>
                    <w:t>be</w:t>
                  </w:r>
                  <w:r>
                    <w:rPr>
                      <w:color w:val="58595B"/>
                      <w:spacing w:val="-10"/>
                    </w:rPr>
                    <w:t xml:space="preserve"> </w:t>
                  </w:r>
                  <w:r>
                    <w:rPr>
                      <w:color w:val="58595B"/>
                      <w:spacing w:val="-3"/>
                    </w:rPr>
                    <w:t>audited</w:t>
                  </w:r>
                  <w:r>
                    <w:rPr>
                      <w:color w:val="58595B"/>
                      <w:spacing w:val="-10"/>
                    </w:rPr>
                    <w:t xml:space="preserve"> </w:t>
                  </w:r>
                  <w:r>
                    <w:rPr>
                      <w:color w:val="58595B"/>
                      <w:spacing w:val="-3"/>
                    </w:rPr>
                    <w:t>before</w:t>
                  </w:r>
                  <w:r>
                    <w:rPr>
                      <w:color w:val="58595B"/>
                      <w:spacing w:val="-10"/>
                    </w:rPr>
                    <w:t xml:space="preserve"> </w:t>
                  </w:r>
                  <w:r>
                    <w:rPr>
                      <w:color w:val="58595B"/>
                    </w:rPr>
                    <w:t>a</w:t>
                  </w:r>
                  <w:r>
                    <w:rPr>
                      <w:color w:val="58595B"/>
                      <w:spacing w:val="-10"/>
                    </w:rPr>
                    <w:t xml:space="preserve"> </w:t>
                  </w:r>
                  <w:r>
                    <w:rPr>
                      <w:color w:val="58595B"/>
                      <w:spacing w:val="-3"/>
                    </w:rPr>
                    <w:t>sensitive</w:t>
                  </w:r>
                  <w:r>
                    <w:rPr>
                      <w:color w:val="58595B"/>
                      <w:spacing w:val="-10"/>
                    </w:rPr>
                    <w:t xml:space="preserve"> </w:t>
                  </w:r>
                  <w:r>
                    <w:rPr>
                      <w:color w:val="58595B"/>
                      <w:spacing w:val="-3"/>
                    </w:rPr>
                    <w:t>use</w:t>
                  </w:r>
                  <w:r>
                    <w:rPr>
                      <w:color w:val="58595B"/>
                      <w:spacing w:val="-10"/>
                    </w:rPr>
                    <w:t xml:space="preserve"> </w:t>
                  </w:r>
                  <w:r>
                    <w:rPr>
                      <w:color w:val="58595B"/>
                    </w:rPr>
                    <w:t>commences</w:t>
                  </w:r>
                  <w:r>
                    <w:rPr>
                      <w:color w:val="58595B"/>
                      <w:spacing w:val="-10"/>
                    </w:rPr>
                    <w:t xml:space="preserve"> </w:t>
                  </w:r>
                  <w:r>
                    <w:rPr>
                      <w:color w:val="58595B"/>
                    </w:rPr>
                    <w:t>and</w:t>
                  </w:r>
                  <w:r>
                    <w:rPr>
                      <w:color w:val="58595B"/>
                      <w:spacing w:val="-10"/>
                    </w:rPr>
                    <w:t xml:space="preserve"> </w:t>
                  </w:r>
                  <w:r>
                    <w:rPr>
                      <w:color w:val="58595B"/>
                    </w:rPr>
                    <w:t>as</w:t>
                  </w:r>
                  <w:r>
                    <w:rPr>
                      <w:color w:val="58595B"/>
                      <w:spacing w:val="-10"/>
                    </w:rPr>
                    <w:t xml:space="preserve"> </w:t>
                  </w:r>
                  <w:r>
                    <w:rPr>
                      <w:color w:val="58595B"/>
                    </w:rPr>
                    <w:t>a</w:t>
                  </w:r>
                  <w:r>
                    <w:rPr>
                      <w:color w:val="58595B"/>
                      <w:spacing w:val="-10"/>
                    </w:rPr>
                    <w:t xml:space="preserve"> </w:t>
                  </w:r>
                  <w:r>
                    <w:rPr>
                      <w:color w:val="58595B"/>
                    </w:rPr>
                    <w:t>pre-condition</w:t>
                  </w:r>
                  <w:r>
                    <w:rPr>
                      <w:color w:val="58595B"/>
                      <w:spacing w:val="-10"/>
                    </w:rPr>
                    <w:t xml:space="preserve"> </w:t>
                  </w:r>
                  <w:r>
                    <w:rPr>
                      <w:color w:val="58595B"/>
                    </w:rPr>
                    <w:t>for</w:t>
                  </w:r>
                  <w:r>
                    <w:rPr>
                      <w:color w:val="58595B"/>
                      <w:spacing w:val="-10"/>
                    </w:rPr>
                    <w:t xml:space="preserve"> </w:t>
                  </w:r>
                  <w:r>
                    <w:rPr>
                      <w:color w:val="58595B"/>
                      <w:spacing w:val="-3"/>
                    </w:rPr>
                    <w:t>works.</w:t>
                  </w:r>
                </w:p>
                <w:p w14:paraId="3C804429" w14:textId="77777777" w:rsidR="00804E46" w:rsidRDefault="00804E46">
                  <w:pPr>
                    <w:pStyle w:val="BodyText"/>
                    <w:spacing w:before="172" w:line="280" w:lineRule="auto"/>
                    <w:ind w:left="170" w:right="165"/>
                  </w:pPr>
                  <w:r>
                    <w:rPr>
                      <w:color w:val="58595B"/>
                    </w:rPr>
                    <w:t>The statutory environmental audit system provides an authoritative mechanism for site assessment, undertaken by EPA-appointed auditors. Audits are consistent with national guidelines,</w:t>
                  </w:r>
                  <w:r>
                    <w:rPr>
                      <w:color w:val="58595B"/>
                      <w:position w:val="7"/>
                      <w:sz w:val="11"/>
                    </w:rPr>
                    <w:t xml:space="preserve">9 </w:t>
                  </w:r>
                  <w:r>
                    <w:rPr>
                      <w:color w:val="58595B"/>
                    </w:rPr>
                    <w:t>with EPA oversight. EPA-appointed auditors have statutory responsibilities under the EP Act and are subject to review and quality assurance by the EPA.</w:t>
                  </w:r>
                </w:p>
                <w:p w14:paraId="1FC3AE77" w14:textId="77777777" w:rsidR="00804E46" w:rsidRDefault="00804E46">
                  <w:pPr>
                    <w:pStyle w:val="BodyText"/>
                    <w:spacing w:before="172" w:line="280" w:lineRule="auto"/>
                    <w:ind w:left="170" w:right="178"/>
                  </w:pPr>
                  <w:r>
                    <w:rPr>
                      <w:color w:val="58595B"/>
                    </w:rPr>
                    <w:t>This expert assessment provides certainty for the community, landowners and occupiers, and the regulator, about whether there is a risk and how serious it is. Expert testing will always be needed for definitive guidance when sites are being redeveloped for a sensitive use; however, definitive risk assessment can be very costly and is therefore not warranted as a general risk identification tool.</w:t>
                  </w:r>
                </w:p>
                <w:p w14:paraId="3108CF57" w14:textId="77777777" w:rsidR="00804E46" w:rsidRDefault="00804E46">
                  <w:pPr>
                    <w:pStyle w:val="BodyText"/>
                    <w:spacing w:before="172"/>
                    <w:ind w:left="170" w:right="165"/>
                  </w:pPr>
                  <w:r>
                    <w:rPr>
                      <w:color w:val="58595B"/>
                    </w:rPr>
                    <w:t>Private businesses and others also use EPA-appointed auditors to determine the condition of</w:t>
                  </w:r>
                </w:p>
                <w:p w14:paraId="3A071AB7" w14:textId="77777777" w:rsidR="00804E46" w:rsidRDefault="00804E46">
                  <w:pPr>
                    <w:pStyle w:val="BodyText"/>
                    <w:spacing w:before="40"/>
                    <w:ind w:left="170"/>
                  </w:pPr>
                  <w:r>
                    <w:rPr>
                      <w:color w:val="58595B"/>
                    </w:rPr>
                    <w:t xml:space="preserve">a </w:t>
                  </w:r>
                  <w:r>
                    <w:rPr>
                      <w:color w:val="58595B"/>
                      <w:spacing w:val="-3"/>
                    </w:rPr>
                    <w:t xml:space="preserve">site </w:t>
                  </w:r>
                  <w:r>
                    <w:rPr>
                      <w:color w:val="58595B"/>
                    </w:rPr>
                    <w:t xml:space="preserve">and its </w:t>
                  </w:r>
                  <w:r>
                    <w:rPr>
                      <w:color w:val="58595B"/>
                      <w:spacing w:val="-3"/>
                    </w:rPr>
                    <w:t xml:space="preserve">suitability </w:t>
                  </w:r>
                  <w:r>
                    <w:rPr>
                      <w:color w:val="58595B"/>
                    </w:rPr>
                    <w:t xml:space="preserve">for </w:t>
                  </w:r>
                  <w:r>
                    <w:rPr>
                      <w:color w:val="58595B"/>
                      <w:spacing w:val="-4"/>
                    </w:rPr>
                    <w:t xml:space="preserve">use, </w:t>
                  </w:r>
                  <w:r>
                    <w:rPr>
                      <w:color w:val="58595B"/>
                    </w:rPr>
                    <w:t xml:space="preserve">or to </w:t>
                  </w:r>
                  <w:r>
                    <w:rPr>
                      <w:color w:val="58595B"/>
                      <w:spacing w:val="-3"/>
                    </w:rPr>
                    <w:t xml:space="preserve">advise </w:t>
                  </w:r>
                  <w:r>
                    <w:rPr>
                      <w:color w:val="58595B"/>
                    </w:rPr>
                    <w:t xml:space="preserve">on </w:t>
                  </w:r>
                  <w:r>
                    <w:rPr>
                      <w:color w:val="58595B"/>
                      <w:spacing w:val="-3"/>
                    </w:rPr>
                    <w:t xml:space="preserve">what must </w:t>
                  </w:r>
                  <w:r>
                    <w:rPr>
                      <w:color w:val="58595B"/>
                    </w:rPr>
                    <w:t xml:space="preserve">be done to </w:t>
                  </w:r>
                  <w:r>
                    <w:rPr>
                      <w:color w:val="58595B"/>
                      <w:spacing w:val="-4"/>
                    </w:rPr>
                    <w:t xml:space="preserve">make </w:t>
                  </w:r>
                  <w:r>
                    <w:rPr>
                      <w:color w:val="58595B"/>
                    </w:rPr>
                    <w:t xml:space="preserve">a </w:t>
                  </w:r>
                  <w:r>
                    <w:rPr>
                      <w:color w:val="58595B"/>
                      <w:spacing w:val="-3"/>
                    </w:rPr>
                    <w:t xml:space="preserve">site suitable </w:t>
                  </w:r>
                  <w:r>
                    <w:rPr>
                      <w:color w:val="58595B"/>
                    </w:rPr>
                    <w:t xml:space="preserve">for </w:t>
                  </w:r>
                  <w:r>
                    <w:rPr>
                      <w:color w:val="58595B"/>
                      <w:spacing w:val="-4"/>
                    </w:rPr>
                    <w:t>use.</w:t>
                  </w:r>
                </w:p>
              </w:txbxContent>
            </v:textbox>
            <w10:wrap type="none"/>
            <w10:anchorlock/>
          </v:shape>
        </w:pict>
      </w:r>
    </w:p>
    <w:p w14:paraId="3810E3FF" w14:textId="77777777" w:rsidR="00160E7F" w:rsidRDefault="00160E7F">
      <w:pPr>
        <w:pStyle w:val="BodyText"/>
        <w:spacing w:before="1"/>
        <w:rPr>
          <w:sz w:val="23"/>
        </w:rPr>
      </w:pPr>
    </w:p>
    <w:p w14:paraId="7B077929" w14:textId="77777777" w:rsidR="00160E7F" w:rsidRDefault="002B0299">
      <w:pPr>
        <w:pStyle w:val="BodyText"/>
        <w:spacing w:before="75" w:line="280" w:lineRule="auto"/>
        <w:ind w:left="1417" w:right="889"/>
      </w:pPr>
      <w:r>
        <w:rPr>
          <w:color w:val="58595B"/>
        </w:rPr>
        <w:t>There has been a renewed focus in recent years about improving Victoria’s framework  for managing contaminated sites, to keep pace with increasing awareness of health</w:t>
      </w:r>
      <w:r>
        <w:rPr>
          <w:color w:val="58595B"/>
          <w:spacing w:val="-1"/>
        </w:rPr>
        <w:t xml:space="preserve"> </w:t>
      </w:r>
      <w:r>
        <w:rPr>
          <w:color w:val="58595B"/>
        </w:rPr>
        <w:t>risks,</w:t>
      </w:r>
    </w:p>
    <w:p w14:paraId="68C01DB1" w14:textId="77777777" w:rsidR="00160E7F" w:rsidRDefault="002B0299">
      <w:pPr>
        <w:pStyle w:val="BodyText"/>
        <w:spacing w:before="2" w:line="280" w:lineRule="auto"/>
        <w:ind w:left="1417" w:right="142"/>
        <w:rPr>
          <w:sz w:val="11"/>
        </w:rPr>
      </w:pPr>
      <w:r>
        <w:rPr>
          <w:color w:val="58595B"/>
        </w:rPr>
        <w:t>better practice in other jurisdictions and growing demand for urban renewal and brownfield redevelopment.</w:t>
      </w:r>
      <w:r>
        <w:rPr>
          <w:color w:val="58595B"/>
          <w:position w:val="7"/>
          <w:sz w:val="11"/>
        </w:rPr>
        <w:t xml:space="preserve">10 </w:t>
      </w:r>
      <w:r>
        <w:rPr>
          <w:color w:val="58595B"/>
        </w:rPr>
        <w:t>Recent independent reviews and work undertaken within government have identified reforms that would improve the integration and efficiency of the system, provide for risk- based regulatory approaches and address gaps in the system to improve risk management.</w:t>
      </w:r>
      <w:r>
        <w:rPr>
          <w:color w:val="58595B"/>
          <w:position w:val="7"/>
          <w:sz w:val="11"/>
        </w:rPr>
        <w:t>11</w:t>
      </w:r>
    </w:p>
    <w:p w14:paraId="2D3FFC9F" w14:textId="77777777" w:rsidR="00160E7F" w:rsidRDefault="002B0299">
      <w:pPr>
        <w:pStyle w:val="BodyText"/>
        <w:spacing w:before="172"/>
        <w:ind w:left="1417" w:right="789"/>
      </w:pPr>
      <w:r>
        <w:rPr>
          <w:color w:val="58595B"/>
        </w:rPr>
        <w:t>Inquiry participants also proposed reforms to the current system:</w:t>
      </w:r>
    </w:p>
    <w:p w14:paraId="0ACB3A21" w14:textId="77777777" w:rsidR="00160E7F" w:rsidRDefault="002B0299">
      <w:pPr>
        <w:pStyle w:val="ListParagraph"/>
        <w:numPr>
          <w:ilvl w:val="1"/>
          <w:numId w:val="47"/>
        </w:numPr>
        <w:tabs>
          <w:tab w:val="left" w:pos="1588"/>
        </w:tabs>
        <w:spacing w:before="153" w:line="280" w:lineRule="auto"/>
        <w:ind w:right="145" w:hanging="170"/>
        <w:rPr>
          <w:sz w:val="20"/>
        </w:rPr>
      </w:pPr>
      <w:r>
        <w:rPr>
          <w:color w:val="58595B"/>
          <w:sz w:val="20"/>
        </w:rPr>
        <w:t>the Planning Institute of Australia – Victoria</w:t>
      </w:r>
      <w:r>
        <w:rPr>
          <w:color w:val="58595B"/>
          <w:position w:val="7"/>
          <w:sz w:val="11"/>
        </w:rPr>
        <w:t xml:space="preserve">12 </w:t>
      </w:r>
      <w:r>
        <w:rPr>
          <w:color w:val="58595B"/>
          <w:sz w:val="20"/>
        </w:rPr>
        <w:t>proposed rationalising the provisions of the EP Act relating to environmental audits and provisions in the planning system dealing with potentially contaminated land and the environmental audit</w:t>
      </w:r>
      <w:r>
        <w:rPr>
          <w:color w:val="58595B"/>
          <w:spacing w:val="-10"/>
          <w:sz w:val="20"/>
        </w:rPr>
        <w:t xml:space="preserve"> </w:t>
      </w:r>
      <w:r>
        <w:rPr>
          <w:color w:val="58595B"/>
          <w:sz w:val="20"/>
        </w:rPr>
        <w:t>overlay</w:t>
      </w:r>
    </w:p>
    <w:p w14:paraId="3181B9B7" w14:textId="77777777" w:rsidR="00160E7F" w:rsidRDefault="002B0299">
      <w:pPr>
        <w:pStyle w:val="ListParagraph"/>
        <w:numPr>
          <w:ilvl w:val="0"/>
          <w:numId w:val="27"/>
        </w:numPr>
        <w:tabs>
          <w:tab w:val="left" w:pos="1588"/>
        </w:tabs>
        <w:spacing w:before="87" w:line="280" w:lineRule="auto"/>
        <w:ind w:right="1323" w:hanging="170"/>
        <w:rPr>
          <w:sz w:val="20"/>
        </w:rPr>
      </w:pPr>
      <w:r>
        <w:rPr>
          <w:i/>
          <w:color w:val="231F20"/>
          <w:sz w:val="20"/>
        </w:rPr>
        <w:t>Greater</w:t>
      </w:r>
      <w:r>
        <w:rPr>
          <w:i/>
          <w:color w:val="231F20"/>
          <w:spacing w:val="-11"/>
          <w:sz w:val="20"/>
        </w:rPr>
        <w:t xml:space="preserve"> </w:t>
      </w:r>
      <w:r>
        <w:rPr>
          <w:i/>
          <w:color w:val="231F20"/>
          <w:sz w:val="20"/>
        </w:rPr>
        <w:t>clarity</w:t>
      </w:r>
      <w:r>
        <w:rPr>
          <w:i/>
          <w:color w:val="231F20"/>
          <w:spacing w:val="-11"/>
          <w:sz w:val="20"/>
        </w:rPr>
        <w:t xml:space="preserve"> </w:t>
      </w:r>
      <w:r>
        <w:rPr>
          <w:i/>
          <w:color w:val="231F20"/>
          <w:sz w:val="20"/>
        </w:rPr>
        <w:t>and</w:t>
      </w:r>
      <w:r>
        <w:rPr>
          <w:i/>
          <w:color w:val="231F20"/>
          <w:spacing w:val="-11"/>
          <w:sz w:val="20"/>
        </w:rPr>
        <w:t xml:space="preserve"> </w:t>
      </w:r>
      <w:r>
        <w:rPr>
          <w:i/>
          <w:color w:val="231F20"/>
          <w:sz w:val="20"/>
        </w:rPr>
        <w:t>consistency</w:t>
      </w:r>
      <w:r>
        <w:rPr>
          <w:i/>
          <w:color w:val="231F20"/>
          <w:spacing w:val="-11"/>
          <w:sz w:val="20"/>
        </w:rPr>
        <w:t xml:space="preserve"> </w:t>
      </w:r>
      <w:r>
        <w:rPr>
          <w:i/>
          <w:color w:val="231F20"/>
          <w:sz w:val="20"/>
        </w:rPr>
        <w:t>for</w:t>
      </w:r>
      <w:r>
        <w:rPr>
          <w:i/>
          <w:color w:val="231F20"/>
          <w:spacing w:val="-11"/>
          <w:sz w:val="20"/>
        </w:rPr>
        <w:t xml:space="preserve"> </w:t>
      </w:r>
      <w:r>
        <w:rPr>
          <w:i/>
          <w:color w:val="231F20"/>
          <w:sz w:val="20"/>
        </w:rPr>
        <w:t>industry</w:t>
      </w:r>
      <w:r>
        <w:rPr>
          <w:i/>
          <w:color w:val="231F20"/>
          <w:spacing w:val="-11"/>
          <w:sz w:val="20"/>
        </w:rPr>
        <w:t xml:space="preserve"> </w:t>
      </w:r>
      <w:r>
        <w:rPr>
          <w:i/>
          <w:color w:val="231F20"/>
          <w:sz w:val="20"/>
        </w:rPr>
        <w:t>is</w:t>
      </w:r>
      <w:r>
        <w:rPr>
          <w:i/>
          <w:color w:val="231F20"/>
          <w:spacing w:val="-11"/>
          <w:sz w:val="20"/>
        </w:rPr>
        <w:t xml:space="preserve"> </w:t>
      </w:r>
      <w:r>
        <w:rPr>
          <w:i/>
          <w:color w:val="231F20"/>
          <w:sz w:val="20"/>
        </w:rPr>
        <w:t>needed</w:t>
      </w:r>
      <w:r>
        <w:rPr>
          <w:i/>
          <w:color w:val="231F20"/>
          <w:spacing w:val="-11"/>
          <w:sz w:val="20"/>
        </w:rPr>
        <w:t xml:space="preserve"> </w:t>
      </w:r>
      <w:r>
        <w:rPr>
          <w:i/>
          <w:color w:val="231F20"/>
          <w:sz w:val="20"/>
        </w:rPr>
        <w:t>with</w:t>
      </w:r>
      <w:r>
        <w:rPr>
          <w:i/>
          <w:color w:val="231F20"/>
          <w:spacing w:val="-11"/>
          <w:sz w:val="20"/>
        </w:rPr>
        <w:t xml:space="preserve"> </w:t>
      </w:r>
      <w:r>
        <w:rPr>
          <w:i/>
          <w:color w:val="231F20"/>
          <w:sz w:val="20"/>
        </w:rPr>
        <w:t>regards</w:t>
      </w:r>
      <w:r>
        <w:rPr>
          <w:i/>
          <w:color w:val="231F20"/>
          <w:spacing w:val="-11"/>
          <w:sz w:val="20"/>
        </w:rPr>
        <w:t xml:space="preserve"> </w:t>
      </w:r>
      <w:r>
        <w:rPr>
          <w:i/>
          <w:color w:val="231F20"/>
          <w:sz w:val="20"/>
        </w:rPr>
        <w:t>to</w:t>
      </w:r>
      <w:r>
        <w:rPr>
          <w:i/>
          <w:color w:val="231F20"/>
          <w:spacing w:val="-11"/>
          <w:sz w:val="20"/>
        </w:rPr>
        <w:t xml:space="preserve"> </w:t>
      </w:r>
      <w:r>
        <w:rPr>
          <w:i/>
          <w:color w:val="231F20"/>
          <w:sz w:val="20"/>
        </w:rPr>
        <w:t>the</w:t>
      </w:r>
      <w:r>
        <w:rPr>
          <w:i/>
          <w:color w:val="231F20"/>
          <w:spacing w:val="-11"/>
          <w:sz w:val="20"/>
        </w:rPr>
        <w:t xml:space="preserve"> </w:t>
      </w:r>
      <w:r>
        <w:rPr>
          <w:i/>
          <w:color w:val="231F20"/>
          <w:sz w:val="20"/>
        </w:rPr>
        <w:t>regulatory frameworks</w:t>
      </w:r>
      <w:r>
        <w:rPr>
          <w:i/>
          <w:color w:val="231F20"/>
          <w:spacing w:val="-15"/>
          <w:sz w:val="20"/>
        </w:rPr>
        <w:t xml:space="preserve"> </w:t>
      </w:r>
      <w:r>
        <w:rPr>
          <w:i/>
          <w:color w:val="231F20"/>
          <w:sz w:val="20"/>
        </w:rPr>
        <w:t>governing</w:t>
      </w:r>
      <w:r>
        <w:rPr>
          <w:i/>
          <w:color w:val="231F20"/>
          <w:spacing w:val="-15"/>
          <w:sz w:val="20"/>
        </w:rPr>
        <w:t xml:space="preserve"> </w:t>
      </w:r>
      <w:r>
        <w:rPr>
          <w:i/>
          <w:color w:val="231F20"/>
          <w:sz w:val="20"/>
        </w:rPr>
        <w:t>potentially</w:t>
      </w:r>
      <w:r>
        <w:rPr>
          <w:i/>
          <w:color w:val="231F20"/>
          <w:spacing w:val="-15"/>
          <w:sz w:val="20"/>
        </w:rPr>
        <w:t xml:space="preserve"> </w:t>
      </w:r>
      <w:r>
        <w:rPr>
          <w:i/>
          <w:color w:val="231F20"/>
          <w:sz w:val="20"/>
        </w:rPr>
        <w:t>contaminated</w:t>
      </w:r>
      <w:r>
        <w:rPr>
          <w:i/>
          <w:color w:val="231F20"/>
          <w:spacing w:val="-15"/>
          <w:sz w:val="20"/>
        </w:rPr>
        <w:t xml:space="preserve"> </w:t>
      </w:r>
      <w:r>
        <w:rPr>
          <w:i/>
          <w:color w:val="231F20"/>
          <w:sz w:val="20"/>
        </w:rPr>
        <w:t>land</w:t>
      </w:r>
      <w:r>
        <w:rPr>
          <w:i/>
          <w:color w:val="231F20"/>
          <w:spacing w:val="-15"/>
          <w:sz w:val="20"/>
        </w:rPr>
        <w:t xml:space="preserve"> </w:t>
      </w:r>
      <w:r>
        <w:rPr>
          <w:i/>
          <w:color w:val="231F20"/>
          <w:sz w:val="20"/>
        </w:rPr>
        <w:t>in</w:t>
      </w:r>
      <w:r>
        <w:rPr>
          <w:i/>
          <w:color w:val="231F20"/>
          <w:spacing w:val="-15"/>
          <w:sz w:val="20"/>
        </w:rPr>
        <w:t xml:space="preserve"> </w:t>
      </w:r>
      <w:r>
        <w:rPr>
          <w:i/>
          <w:color w:val="231F20"/>
          <w:sz w:val="20"/>
        </w:rPr>
        <w:t>Victoria.</w:t>
      </w:r>
      <w:r>
        <w:rPr>
          <w:i/>
          <w:color w:val="231F20"/>
          <w:spacing w:val="-15"/>
          <w:sz w:val="20"/>
        </w:rPr>
        <w:t xml:space="preserve"> </w:t>
      </w:r>
      <w:r>
        <w:rPr>
          <w:color w:val="231F20"/>
          <w:sz w:val="20"/>
        </w:rPr>
        <w:t>(Property</w:t>
      </w:r>
      <w:r>
        <w:rPr>
          <w:color w:val="231F20"/>
          <w:spacing w:val="-15"/>
          <w:sz w:val="20"/>
        </w:rPr>
        <w:t xml:space="preserve"> </w:t>
      </w:r>
      <w:r>
        <w:rPr>
          <w:color w:val="231F20"/>
          <w:sz w:val="20"/>
        </w:rPr>
        <w:t>Council</w:t>
      </w:r>
      <w:r>
        <w:rPr>
          <w:color w:val="231F20"/>
          <w:spacing w:val="-15"/>
          <w:sz w:val="20"/>
        </w:rPr>
        <w:t xml:space="preserve"> </w:t>
      </w:r>
      <w:r>
        <w:rPr>
          <w:color w:val="231F20"/>
          <w:spacing w:val="-3"/>
          <w:sz w:val="20"/>
        </w:rPr>
        <w:t xml:space="preserve">of </w:t>
      </w:r>
      <w:r>
        <w:rPr>
          <w:color w:val="231F20"/>
          <w:sz w:val="20"/>
        </w:rPr>
        <w:t>Australia</w:t>
      </w:r>
      <w:r>
        <w:rPr>
          <w:color w:val="231F20"/>
          <w:spacing w:val="-16"/>
          <w:sz w:val="20"/>
        </w:rPr>
        <w:t xml:space="preserve"> </w:t>
      </w:r>
      <w:r>
        <w:rPr>
          <w:color w:val="231F20"/>
          <w:sz w:val="20"/>
        </w:rPr>
        <w:t>submission,</w:t>
      </w:r>
      <w:r>
        <w:rPr>
          <w:color w:val="231F20"/>
          <w:spacing w:val="-16"/>
          <w:sz w:val="20"/>
        </w:rPr>
        <w:t xml:space="preserve"> </w:t>
      </w:r>
      <w:r>
        <w:rPr>
          <w:color w:val="231F20"/>
          <w:spacing w:val="-3"/>
          <w:sz w:val="20"/>
        </w:rPr>
        <w:t>p.</w:t>
      </w:r>
      <w:r>
        <w:rPr>
          <w:color w:val="231F20"/>
          <w:spacing w:val="-16"/>
          <w:sz w:val="20"/>
        </w:rPr>
        <w:t xml:space="preserve"> </w:t>
      </w:r>
      <w:r>
        <w:rPr>
          <w:color w:val="231F20"/>
          <w:spacing w:val="-5"/>
          <w:sz w:val="20"/>
        </w:rPr>
        <w:t>3)</w:t>
      </w:r>
    </w:p>
    <w:p w14:paraId="58BE5E05" w14:textId="77777777" w:rsidR="00160E7F" w:rsidRDefault="002B0299">
      <w:pPr>
        <w:pStyle w:val="ListParagraph"/>
        <w:numPr>
          <w:ilvl w:val="0"/>
          <w:numId w:val="27"/>
        </w:numPr>
        <w:tabs>
          <w:tab w:val="left" w:pos="1588"/>
        </w:tabs>
        <w:spacing w:before="87" w:line="280" w:lineRule="auto"/>
        <w:ind w:right="728" w:hanging="170"/>
        <w:rPr>
          <w:sz w:val="20"/>
        </w:rPr>
      </w:pPr>
      <w:r>
        <w:rPr>
          <w:i/>
          <w:color w:val="231F20"/>
          <w:sz w:val="20"/>
        </w:rPr>
        <w:t xml:space="preserve">The </w:t>
      </w:r>
      <w:r>
        <w:rPr>
          <w:i/>
          <w:color w:val="231F20"/>
          <w:spacing w:val="-4"/>
          <w:sz w:val="20"/>
        </w:rPr>
        <w:t xml:space="preserve">MAV </w:t>
      </w:r>
      <w:r>
        <w:rPr>
          <w:i/>
          <w:color w:val="231F20"/>
          <w:spacing w:val="-3"/>
          <w:sz w:val="20"/>
        </w:rPr>
        <w:t xml:space="preserve">expressed </w:t>
      </w:r>
      <w:r>
        <w:rPr>
          <w:i/>
          <w:color w:val="231F20"/>
          <w:sz w:val="20"/>
        </w:rPr>
        <w:t xml:space="preserve">the view [in </w:t>
      </w:r>
      <w:r>
        <w:rPr>
          <w:i/>
          <w:color w:val="231F20"/>
          <w:spacing w:val="-7"/>
          <w:sz w:val="20"/>
        </w:rPr>
        <w:t xml:space="preserve">2011] </w:t>
      </w:r>
      <w:r>
        <w:rPr>
          <w:i/>
          <w:color w:val="231F20"/>
          <w:sz w:val="20"/>
        </w:rPr>
        <w:t xml:space="preserve">that the whole framework around </w:t>
      </w:r>
      <w:r>
        <w:rPr>
          <w:i/>
          <w:color w:val="231F20"/>
          <w:spacing w:val="-3"/>
          <w:sz w:val="20"/>
        </w:rPr>
        <w:t>potentially contaminated</w:t>
      </w:r>
      <w:r>
        <w:rPr>
          <w:i/>
          <w:color w:val="231F20"/>
          <w:spacing w:val="-8"/>
          <w:sz w:val="20"/>
        </w:rPr>
        <w:t xml:space="preserve"> </w:t>
      </w:r>
      <w:r>
        <w:rPr>
          <w:i/>
          <w:color w:val="231F20"/>
          <w:spacing w:val="-3"/>
          <w:sz w:val="20"/>
        </w:rPr>
        <w:t>land</w:t>
      </w:r>
      <w:r>
        <w:rPr>
          <w:i/>
          <w:color w:val="231F20"/>
          <w:spacing w:val="-8"/>
          <w:sz w:val="20"/>
        </w:rPr>
        <w:t xml:space="preserve"> </w:t>
      </w:r>
      <w:r>
        <w:rPr>
          <w:i/>
          <w:color w:val="231F20"/>
          <w:sz w:val="20"/>
        </w:rPr>
        <w:t>should</w:t>
      </w:r>
      <w:r>
        <w:rPr>
          <w:i/>
          <w:color w:val="231F20"/>
          <w:spacing w:val="-8"/>
          <w:sz w:val="20"/>
        </w:rPr>
        <w:t xml:space="preserve"> </w:t>
      </w:r>
      <w:r>
        <w:rPr>
          <w:i/>
          <w:color w:val="231F20"/>
          <w:sz w:val="20"/>
        </w:rPr>
        <w:t>be</w:t>
      </w:r>
      <w:r>
        <w:rPr>
          <w:i/>
          <w:color w:val="231F20"/>
          <w:spacing w:val="-8"/>
          <w:sz w:val="20"/>
        </w:rPr>
        <w:t xml:space="preserve"> </w:t>
      </w:r>
      <w:r>
        <w:rPr>
          <w:i/>
          <w:color w:val="231F20"/>
          <w:spacing w:val="-3"/>
          <w:sz w:val="20"/>
        </w:rPr>
        <w:t>reviewed</w:t>
      </w:r>
      <w:r>
        <w:rPr>
          <w:i/>
          <w:color w:val="231F20"/>
          <w:spacing w:val="-8"/>
          <w:sz w:val="20"/>
        </w:rPr>
        <w:t xml:space="preserve"> </w:t>
      </w:r>
      <w:r>
        <w:rPr>
          <w:i/>
          <w:color w:val="231F20"/>
          <w:sz w:val="20"/>
        </w:rPr>
        <w:t>…</w:t>
      </w:r>
      <w:r>
        <w:rPr>
          <w:i/>
          <w:color w:val="231F20"/>
          <w:spacing w:val="-8"/>
          <w:sz w:val="20"/>
        </w:rPr>
        <w:t xml:space="preserve"> </w:t>
      </w:r>
      <w:r>
        <w:rPr>
          <w:i/>
          <w:color w:val="231F20"/>
          <w:sz w:val="20"/>
        </w:rPr>
        <w:t>The</w:t>
      </w:r>
      <w:r>
        <w:rPr>
          <w:i/>
          <w:color w:val="231F20"/>
          <w:spacing w:val="-8"/>
          <w:sz w:val="20"/>
        </w:rPr>
        <w:t xml:space="preserve"> </w:t>
      </w:r>
      <w:r>
        <w:rPr>
          <w:i/>
          <w:color w:val="231F20"/>
          <w:spacing w:val="-3"/>
          <w:sz w:val="20"/>
        </w:rPr>
        <w:t>review</w:t>
      </w:r>
      <w:r>
        <w:rPr>
          <w:i/>
          <w:color w:val="231F20"/>
          <w:spacing w:val="-8"/>
          <w:sz w:val="20"/>
        </w:rPr>
        <w:t xml:space="preserve"> </w:t>
      </w:r>
      <w:r>
        <w:rPr>
          <w:i/>
          <w:color w:val="231F20"/>
          <w:sz w:val="20"/>
        </w:rPr>
        <w:t>did</w:t>
      </w:r>
      <w:r>
        <w:rPr>
          <w:i/>
          <w:color w:val="231F20"/>
          <w:spacing w:val="-8"/>
          <w:sz w:val="20"/>
        </w:rPr>
        <w:t xml:space="preserve"> </w:t>
      </w:r>
      <w:r>
        <w:rPr>
          <w:i/>
          <w:color w:val="231F20"/>
          <w:sz w:val="20"/>
        </w:rPr>
        <w:t>not</w:t>
      </w:r>
      <w:r>
        <w:rPr>
          <w:i/>
          <w:color w:val="231F20"/>
          <w:spacing w:val="-8"/>
          <w:sz w:val="20"/>
        </w:rPr>
        <w:t xml:space="preserve"> </w:t>
      </w:r>
      <w:r>
        <w:rPr>
          <w:i/>
          <w:color w:val="231F20"/>
          <w:sz w:val="20"/>
        </w:rPr>
        <w:t>progress</w:t>
      </w:r>
      <w:r>
        <w:rPr>
          <w:i/>
          <w:color w:val="231F20"/>
          <w:spacing w:val="-8"/>
          <w:sz w:val="20"/>
        </w:rPr>
        <w:t xml:space="preserve"> </w:t>
      </w:r>
      <w:r>
        <w:rPr>
          <w:i/>
          <w:color w:val="231F20"/>
          <w:sz w:val="20"/>
        </w:rPr>
        <w:t>and</w:t>
      </w:r>
      <w:r>
        <w:rPr>
          <w:i/>
          <w:color w:val="231F20"/>
          <w:spacing w:val="-8"/>
          <w:sz w:val="20"/>
        </w:rPr>
        <w:t xml:space="preserve"> </w:t>
      </w:r>
      <w:r>
        <w:rPr>
          <w:i/>
          <w:color w:val="231F20"/>
          <w:sz w:val="20"/>
        </w:rPr>
        <w:t>there</w:t>
      </w:r>
      <w:r>
        <w:rPr>
          <w:i/>
          <w:color w:val="231F20"/>
          <w:spacing w:val="-8"/>
          <w:sz w:val="20"/>
        </w:rPr>
        <w:t xml:space="preserve"> </w:t>
      </w:r>
      <w:r>
        <w:rPr>
          <w:i/>
          <w:color w:val="231F20"/>
          <w:spacing w:val="-4"/>
          <w:sz w:val="20"/>
        </w:rPr>
        <w:t>have</w:t>
      </w:r>
      <w:r>
        <w:rPr>
          <w:i/>
          <w:color w:val="231F20"/>
          <w:spacing w:val="-8"/>
          <w:sz w:val="20"/>
        </w:rPr>
        <w:t xml:space="preserve"> </w:t>
      </w:r>
      <w:r>
        <w:rPr>
          <w:i/>
          <w:color w:val="231F20"/>
          <w:sz w:val="20"/>
        </w:rPr>
        <w:t xml:space="preserve">been no </w:t>
      </w:r>
      <w:r>
        <w:rPr>
          <w:i/>
          <w:color w:val="231F20"/>
          <w:spacing w:val="-3"/>
          <w:sz w:val="20"/>
        </w:rPr>
        <w:t xml:space="preserve">changes </w:t>
      </w:r>
      <w:r>
        <w:rPr>
          <w:i/>
          <w:color w:val="231F20"/>
          <w:sz w:val="20"/>
        </w:rPr>
        <w:t xml:space="preserve">to the </w:t>
      </w:r>
      <w:r>
        <w:rPr>
          <w:i/>
          <w:color w:val="231F20"/>
          <w:spacing w:val="-3"/>
          <w:sz w:val="20"/>
        </w:rPr>
        <w:t xml:space="preserve">management </w:t>
      </w:r>
      <w:r>
        <w:rPr>
          <w:i/>
          <w:color w:val="231F20"/>
          <w:sz w:val="20"/>
        </w:rPr>
        <w:t xml:space="preserve">of </w:t>
      </w:r>
      <w:r>
        <w:rPr>
          <w:i/>
          <w:color w:val="231F20"/>
          <w:spacing w:val="-3"/>
          <w:sz w:val="20"/>
        </w:rPr>
        <w:t xml:space="preserve">potentially contaminated land. </w:t>
      </w:r>
      <w:r>
        <w:rPr>
          <w:color w:val="231F20"/>
          <w:sz w:val="20"/>
        </w:rPr>
        <w:t>(Municipal Association of Victoria submission,</w:t>
      </w:r>
      <w:r>
        <w:rPr>
          <w:color w:val="231F20"/>
          <w:spacing w:val="-41"/>
          <w:sz w:val="20"/>
        </w:rPr>
        <w:t xml:space="preserve"> </w:t>
      </w:r>
      <w:r>
        <w:rPr>
          <w:color w:val="231F20"/>
          <w:spacing w:val="-3"/>
          <w:sz w:val="20"/>
        </w:rPr>
        <w:t xml:space="preserve">p. </w:t>
      </w:r>
      <w:r>
        <w:rPr>
          <w:color w:val="231F20"/>
          <w:spacing w:val="-7"/>
          <w:sz w:val="20"/>
        </w:rPr>
        <w:t>18)</w:t>
      </w:r>
    </w:p>
    <w:p w14:paraId="1A29DD08" w14:textId="77777777" w:rsidR="00160E7F" w:rsidRDefault="002B0299">
      <w:pPr>
        <w:pStyle w:val="BodyText"/>
        <w:spacing w:before="172" w:line="280" w:lineRule="auto"/>
        <w:ind w:left="1417" w:right="405"/>
      </w:pPr>
      <w:r>
        <w:rPr>
          <w:color w:val="58595B"/>
        </w:rPr>
        <w:t>We consider DELWP and the EPA should pursue this reform agenda as a priority. Further, some parts of the system can be significantly improved in advance of statutory changes. But modernising and streamlining Victoria’s approach to managing legacy contamination requires changes to the EP Act, state environment protection policies (for contaminated land and for groundwater), and to key planning instruments.</w:t>
      </w:r>
    </w:p>
    <w:p w14:paraId="53112F02" w14:textId="77777777" w:rsidR="00160E7F" w:rsidRDefault="00160E7F">
      <w:pPr>
        <w:spacing w:line="280" w:lineRule="auto"/>
        <w:sectPr w:rsidR="00160E7F">
          <w:pgSz w:w="11910" w:h="16840"/>
          <w:pgMar w:top="980" w:right="1680" w:bottom="280" w:left="0" w:header="788" w:footer="0" w:gutter="0"/>
          <w:cols w:space="720"/>
        </w:sectPr>
      </w:pPr>
    </w:p>
    <w:p w14:paraId="554534EB" w14:textId="77777777" w:rsidR="00160E7F" w:rsidRDefault="00160E7F">
      <w:pPr>
        <w:pStyle w:val="BodyText"/>
      </w:pPr>
    </w:p>
    <w:p w14:paraId="5B0C095D" w14:textId="77777777" w:rsidR="00160E7F" w:rsidRDefault="00160E7F">
      <w:pPr>
        <w:pStyle w:val="BodyText"/>
      </w:pPr>
    </w:p>
    <w:p w14:paraId="77D0277F" w14:textId="77777777" w:rsidR="00160E7F" w:rsidRDefault="00160E7F">
      <w:pPr>
        <w:pStyle w:val="BodyText"/>
      </w:pPr>
    </w:p>
    <w:p w14:paraId="078836DD" w14:textId="77777777" w:rsidR="00160E7F" w:rsidRDefault="00160E7F">
      <w:pPr>
        <w:pStyle w:val="BodyText"/>
      </w:pPr>
    </w:p>
    <w:p w14:paraId="0FAD7C5A" w14:textId="77777777" w:rsidR="00160E7F" w:rsidRDefault="00160E7F">
      <w:pPr>
        <w:pStyle w:val="BodyText"/>
        <w:spacing w:before="8"/>
        <w:rPr>
          <w:sz w:val="17"/>
        </w:rPr>
      </w:pPr>
    </w:p>
    <w:p w14:paraId="0D8847CA" w14:textId="77777777" w:rsidR="00160E7F" w:rsidRDefault="002B0299">
      <w:pPr>
        <w:pStyle w:val="BodyText"/>
        <w:spacing w:before="1" w:line="280" w:lineRule="auto"/>
        <w:ind w:left="134" w:right="1494"/>
        <w:rPr>
          <w:sz w:val="11"/>
        </w:rPr>
      </w:pPr>
      <w:r>
        <w:rPr>
          <w:color w:val="58595B"/>
        </w:rPr>
        <w:t xml:space="preserve">Victoria needs a modernised system for dealing with legacy contamination given the increasing challenges of population growth and as our changing economy drives the reuse of former industrial land. Such improvements can reduce risks to human health and also facilitate the safe and efficient redevelopment of land for higher value uses. For these reasons, system reforms were nominated as a priority measure in the 2014 </w:t>
      </w:r>
      <w:r>
        <w:rPr>
          <w:i/>
          <w:color w:val="58595B"/>
        </w:rPr>
        <w:t>Plan Melbourne</w:t>
      </w:r>
      <w:r>
        <w:rPr>
          <w:color w:val="58595B"/>
        </w:rPr>
        <w:t>.</w:t>
      </w:r>
      <w:r>
        <w:rPr>
          <w:color w:val="58595B"/>
          <w:position w:val="7"/>
          <w:sz w:val="11"/>
        </w:rPr>
        <w:t>13</w:t>
      </w:r>
    </w:p>
    <w:p w14:paraId="4036C19C" w14:textId="77777777" w:rsidR="00160E7F" w:rsidRDefault="002B0299">
      <w:pPr>
        <w:pStyle w:val="BodyText"/>
        <w:spacing w:before="172" w:line="280" w:lineRule="auto"/>
        <w:ind w:left="134" w:right="1433"/>
      </w:pPr>
      <w:r>
        <w:rPr>
          <w:color w:val="58595B"/>
        </w:rPr>
        <w:t>Considering legacy risks – and our discussions with stakeholders – helped us clarify three critical issues for the EPA of the future:</w:t>
      </w:r>
    </w:p>
    <w:p w14:paraId="0FAE647A" w14:textId="77777777" w:rsidR="00160E7F" w:rsidRDefault="002B0299">
      <w:pPr>
        <w:pStyle w:val="ListParagraph"/>
        <w:numPr>
          <w:ilvl w:val="0"/>
          <w:numId w:val="47"/>
        </w:numPr>
        <w:tabs>
          <w:tab w:val="left" w:pos="305"/>
        </w:tabs>
        <w:spacing w:before="115" w:line="280" w:lineRule="auto"/>
        <w:ind w:right="1864" w:hanging="170"/>
        <w:rPr>
          <w:sz w:val="20"/>
        </w:rPr>
      </w:pPr>
      <w:r>
        <w:rPr>
          <w:color w:val="58595B"/>
          <w:sz w:val="20"/>
        </w:rPr>
        <w:t>We need good advice on legacy risks (such as asbestos in our buildings), including on how to responsibly manage them, knowing that they will not all be cleaned</w:t>
      </w:r>
      <w:r>
        <w:rPr>
          <w:color w:val="58595B"/>
          <w:spacing w:val="-1"/>
          <w:sz w:val="20"/>
        </w:rPr>
        <w:t xml:space="preserve"> </w:t>
      </w:r>
      <w:r>
        <w:rPr>
          <w:color w:val="58595B"/>
          <w:sz w:val="20"/>
        </w:rPr>
        <w:t>up</w:t>
      </w:r>
    </w:p>
    <w:p w14:paraId="305157E4" w14:textId="77777777" w:rsidR="00160E7F" w:rsidRDefault="002B0299">
      <w:pPr>
        <w:pStyle w:val="ListParagraph"/>
        <w:numPr>
          <w:ilvl w:val="0"/>
          <w:numId w:val="47"/>
        </w:numPr>
        <w:tabs>
          <w:tab w:val="left" w:pos="305"/>
        </w:tabs>
        <w:spacing w:before="115" w:line="280" w:lineRule="auto"/>
        <w:ind w:right="1600" w:hanging="170"/>
        <w:rPr>
          <w:sz w:val="20"/>
        </w:rPr>
      </w:pPr>
      <w:r>
        <w:rPr>
          <w:color w:val="58595B"/>
          <w:sz w:val="20"/>
        </w:rPr>
        <w:t xml:space="preserve">Regulators must be able to identify and focus their </w:t>
      </w:r>
      <w:r>
        <w:rPr>
          <w:color w:val="58595B"/>
          <w:spacing w:val="2"/>
          <w:sz w:val="20"/>
        </w:rPr>
        <w:t xml:space="preserve">efforts </w:t>
      </w:r>
      <w:r>
        <w:rPr>
          <w:color w:val="58595B"/>
          <w:sz w:val="20"/>
        </w:rPr>
        <w:t>on priority risks, in particular, where people might be exposed to hazardous</w:t>
      </w:r>
      <w:r>
        <w:rPr>
          <w:color w:val="58595B"/>
          <w:spacing w:val="6"/>
          <w:sz w:val="20"/>
        </w:rPr>
        <w:t xml:space="preserve"> </w:t>
      </w:r>
      <w:r>
        <w:rPr>
          <w:color w:val="58595B"/>
          <w:sz w:val="20"/>
        </w:rPr>
        <w:t>substances</w:t>
      </w:r>
    </w:p>
    <w:p w14:paraId="3BA588D1" w14:textId="77777777" w:rsidR="00160E7F" w:rsidRDefault="002B0299">
      <w:pPr>
        <w:pStyle w:val="ListParagraph"/>
        <w:numPr>
          <w:ilvl w:val="0"/>
          <w:numId w:val="47"/>
        </w:numPr>
        <w:tabs>
          <w:tab w:val="left" w:pos="305"/>
        </w:tabs>
        <w:spacing w:before="115" w:line="280" w:lineRule="auto"/>
        <w:ind w:right="2041" w:hanging="170"/>
        <w:rPr>
          <w:sz w:val="20"/>
        </w:rPr>
      </w:pPr>
      <w:r>
        <w:rPr>
          <w:color w:val="58595B"/>
          <w:sz w:val="20"/>
        </w:rPr>
        <w:t>For legacy contamination, urban renewal will drive remediation, but we need a regulatory system that supports and facilitates safe redevelopment of these contaminated</w:t>
      </w:r>
      <w:r>
        <w:rPr>
          <w:color w:val="58595B"/>
          <w:spacing w:val="1"/>
          <w:sz w:val="20"/>
        </w:rPr>
        <w:t xml:space="preserve"> </w:t>
      </w:r>
      <w:r>
        <w:rPr>
          <w:color w:val="58595B"/>
          <w:sz w:val="20"/>
        </w:rPr>
        <w:t>sites.</w:t>
      </w:r>
    </w:p>
    <w:p w14:paraId="587E7C3C" w14:textId="77777777" w:rsidR="00160E7F" w:rsidRDefault="00160E7F">
      <w:pPr>
        <w:pStyle w:val="BodyText"/>
        <w:spacing w:before="4"/>
        <w:rPr>
          <w:sz w:val="22"/>
        </w:rPr>
      </w:pPr>
    </w:p>
    <w:p w14:paraId="0771007D" w14:textId="77777777" w:rsidR="00160E7F" w:rsidRDefault="002B0299">
      <w:pPr>
        <w:pStyle w:val="BodyText"/>
        <w:ind w:left="134" w:right="789"/>
      </w:pPr>
      <w:r>
        <w:rPr>
          <w:color w:val="0095A7"/>
        </w:rPr>
        <w:t>14.2.1  Key enhancements to the current system</w:t>
      </w:r>
    </w:p>
    <w:p w14:paraId="152C6419" w14:textId="77777777" w:rsidR="00160E7F" w:rsidRDefault="002B0299">
      <w:pPr>
        <w:pStyle w:val="BodyText"/>
        <w:spacing w:before="153" w:line="280" w:lineRule="auto"/>
        <w:ind w:left="134" w:right="1747"/>
      </w:pPr>
      <w:r>
        <w:rPr>
          <w:color w:val="58595B"/>
        </w:rPr>
        <w:t>We considered some key enhancements that could be included in a reform package. These are outlined below but are not an exhaustive list of reform proposals; we did not attempt</w:t>
      </w:r>
    </w:p>
    <w:p w14:paraId="6308DEC2" w14:textId="77777777" w:rsidR="00160E7F" w:rsidRDefault="002B0299">
      <w:pPr>
        <w:pStyle w:val="BodyText"/>
        <w:spacing w:before="2"/>
        <w:ind w:left="134" w:right="789"/>
      </w:pPr>
      <w:r>
        <w:rPr>
          <w:color w:val="58595B"/>
        </w:rPr>
        <w:t>a comprehensive review of the system.</w:t>
      </w:r>
    </w:p>
    <w:p w14:paraId="6656A3D9" w14:textId="77777777" w:rsidR="00160E7F" w:rsidRDefault="00160E7F">
      <w:pPr>
        <w:pStyle w:val="BodyText"/>
        <w:spacing w:before="3"/>
        <w:rPr>
          <w:sz w:val="18"/>
        </w:rPr>
      </w:pPr>
    </w:p>
    <w:p w14:paraId="24D8A0D6" w14:textId="77777777" w:rsidR="00160E7F" w:rsidRDefault="002B0299">
      <w:pPr>
        <w:pStyle w:val="BodyText"/>
        <w:spacing w:line="280" w:lineRule="auto"/>
        <w:ind w:left="134" w:right="2004"/>
        <w:jc w:val="both"/>
      </w:pPr>
      <w:r>
        <w:rPr>
          <w:color w:val="58595B"/>
        </w:rPr>
        <w:t>In particular, we received a range of proposals to improve the efficiency of the system (and reduce costs) and to strengthen risk management. Many warrant further consideration and should be addressed as part of a comprehensive review of the system for managing legacy contamination. In particular, we note the following:</w:t>
      </w:r>
    </w:p>
    <w:p w14:paraId="259F05E3" w14:textId="77777777" w:rsidR="00160E7F" w:rsidRDefault="002B0299">
      <w:pPr>
        <w:pStyle w:val="ListParagraph"/>
        <w:numPr>
          <w:ilvl w:val="0"/>
          <w:numId w:val="26"/>
        </w:numPr>
        <w:tabs>
          <w:tab w:val="left" w:pos="305"/>
        </w:tabs>
        <w:spacing w:before="87" w:line="280" w:lineRule="auto"/>
        <w:ind w:right="2180" w:hanging="170"/>
        <w:rPr>
          <w:i/>
          <w:sz w:val="20"/>
        </w:rPr>
      </w:pPr>
      <w:r>
        <w:rPr>
          <w:i/>
          <w:color w:val="231F20"/>
          <w:sz w:val="20"/>
        </w:rPr>
        <w:t>Alternative mechanisms to be in place to enable agreement to be reached between EPA and a developer/occupier on approaches to remediation, such measures would be ‘voluntary’ (for example, South Australia’s VSCAP provisions) or by agreement rather than punitive notices which tend to be prescriptive … the issuance of punitive notices may drive the wrong behaviours from site owners/operators in the future, as they</w:t>
      </w:r>
      <w:r>
        <w:rPr>
          <w:i/>
          <w:color w:val="231F20"/>
          <w:spacing w:val="-15"/>
          <w:sz w:val="20"/>
        </w:rPr>
        <w:t xml:space="preserve"> </w:t>
      </w:r>
      <w:r>
        <w:rPr>
          <w:i/>
          <w:color w:val="231F20"/>
          <w:sz w:val="20"/>
        </w:rPr>
        <w:t>would</w:t>
      </w:r>
    </w:p>
    <w:p w14:paraId="60B1AEA1" w14:textId="77777777" w:rsidR="00160E7F" w:rsidRDefault="002B0299">
      <w:pPr>
        <w:spacing w:before="2" w:line="280" w:lineRule="auto"/>
        <w:ind w:left="304" w:right="1433"/>
        <w:rPr>
          <w:sz w:val="20"/>
        </w:rPr>
      </w:pPr>
      <w:r>
        <w:rPr>
          <w:i/>
          <w:color w:val="231F20"/>
          <w:sz w:val="20"/>
        </w:rPr>
        <w:t xml:space="preserve">be less inclined to engage EPA. </w:t>
      </w:r>
      <w:r>
        <w:rPr>
          <w:color w:val="231F20"/>
          <w:sz w:val="20"/>
        </w:rPr>
        <w:t>(Australian Contaminated Land Consultants Association submission, p. 19)</w:t>
      </w:r>
    </w:p>
    <w:p w14:paraId="1B85362D" w14:textId="77777777" w:rsidR="00160E7F" w:rsidRDefault="002B0299">
      <w:pPr>
        <w:pStyle w:val="ListParagraph"/>
        <w:numPr>
          <w:ilvl w:val="0"/>
          <w:numId w:val="25"/>
        </w:numPr>
        <w:tabs>
          <w:tab w:val="left" w:pos="305"/>
        </w:tabs>
        <w:spacing w:before="115" w:line="280" w:lineRule="auto"/>
        <w:ind w:right="1571" w:hanging="170"/>
        <w:rPr>
          <w:sz w:val="20"/>
        </w:rPr>
      </w:pPr>
      <w:r>
        <w:rPr>
          <w:color w:val="58595B"/>
          <w:sz w:val="20"/>
        </w:rPr>
        <w:t>Strengthened compliance and enforcement of statutory audit conditions, including recognising these through land</w:t>
      </w:r>
      <w:r>
        <w:rPr>
          <w:color w:val="58595B"/>
          <w:spacing w:val="5"/>
          <w:sz w:val="20"/>
        </w:rPr>
        <w:t xml:space="preserve"> </w:t>
      </w:r>
      <w:r>
        <w:rPr>
          <w:color w:val="58595B"/>
          <w:sz w:val="20"/>
        </w:rPr>
        <w:t>titles</w:t>
      </w:r>
    </w:p>
    <w:p w14:paraId="607C0E19" w14:textId="77777777" w:rsidR="00160E7F" w:rsidRDefault="002B0299">
      <w:pPr>
        <w:spacing w:before="87" w:line="280" w:lineRule="auto"/>
        <w:ind w:left="304" w:right="2193"/>
        <w:rPr>
          <w:sz w:val="20"/>
        </w:rPr>
      </w:pPr>
      <w:r>
        <w:rPr>
          <w:i/>
          <w:color w:val="231F20"/>
          <w:sz w:val="20"/>
        </w:rPr>
        <w:t>[E]nforceability</w:t>
      </w:r>
      <w:r>
        <w:rPr>
          <w:i/>
          <w:color w:val="231F20"/>
          <w:spacing w:val="-11"/>
          <w:sz w:val="20"/>
        </w:rPr>
        <w:t xml:space="preserve"> </w:t>
      </w:r>
      <w:r>
        <w:rPr>
          <w:i/>
          <w:color w:val="231F20"/>
          <w:sz w:val="20"/>
        </w:rPr>
        <w:t>of</w:t>
      </w:r>
      <w:r>
        <w:rPr>
          <w:i/>
          <w:color w:val="231F20"/>
          <w:spacing w:val="-11"/>
          <w:sz w:val="20"/>
        </w:rPr>
        <w:t xml:space="preserve"> </w:t>
      </w:r>
      <w:r>
        <w:rPr>
          <w:i/>
          <w:color w:val="231F20"/>
          <w:sz w:val="20"/>
        </w:rPr>
        <w:t>audit</w:t>
      </w:r>
      <w:r>
        <w:rPr>
          <w:i/>
          <w:color w:val="231F20"/>
          <w:spacing w:val="-11"/>
          <w:sz w:val="20"/>
        </w:rPr>
        <w:t xml:space="preserve"> </w:t>
      </w:r>
      <w:r>
        <w:rPr>
          <w:i/>
          <w:color w:val="231F20"/>
          <w:sz w:val="20"/>
        </w:rPr>
        <w:t>statement</w:t>
      </w:r>
      <w:r>
        <w:rPr>
          <w:i/>
          <w:color w:val="231F20"/>
          <w:spacing w:val="-11"/>
          <w:sz w:val="20"/>
        </w:rPr>
        <w:t xml:space="preserve"> </w:t>
      </w:r>
      <w:r>
        <w:rPr>
          <w:i/>
          <w:color w:val="231F20"/>
          <w:sz w:val="20"/>
        </w:rPr>
        <w:t>conditions:</w:t>
      </w:r>
      <w:r>
        <w:rPr>
          <w:i/>
          <w:color w:val="231F20"/>
          <w:spacing w:val="-11"/>
          <w:sz w:val="20"/>
        </w:rPr>
        <w:t xml:space="preserve"> </w:t>
      </w:r>
      <w:r>
        <w:rPr>
          <w:i/>
          <w:color w:val="231F20"/>
          <w:sz w:val="20"/>
        </w:rPr>
        <w:t>this</w:t>
      </w:r>
      <w:r>
        <w:rPr>
          <w:i/>
          <w:color w:val="231F20"/>
          <w:spacing w:val="-11"/>
          <w:sz w:val="20"/>
        </w:rPr>
        <w:t xml:space="preserve"> </w:t>
      </w:r>
      <w:r>
        <w:rPr>
          <w:i/>
          <w:color w:val="231F20"/>
          <w:sz w:val="20"/>
        </w:rPr>
        <w:t>has</w:t>
      </w:r>
      <w:r>
        <w:rPr>
          <w:i/>
          <w:color w:val="231F20"/>
          <w:spacing w:val="-11"/>
          <w:sz w:val="20"/>
        </w:rPr>
        <w:t xml:space="preserve"> </w:t>
      </w:r>
      <w:r>
        <w:rPr>
          <w:i/>
          <w:color w:val="231F20"/>
          <w:sz w:val="20"/>
        </w:rPr>
        <w:t>been</w:t>
      </w:r>
      <w:r>
        <w:rPr>
          <w:i/>
          <w:color w:val="231F20"/>
          <w:spacing w:val="-11"/>
          <w:sz w:val="20"/>
        </w:rPr>
        <w:t xml:space="preserve"> </w:t>
      </w:r>
      <w:r>
        <w:rPr>
          <w:i/>
          <w:color w:val="231F20"/>
          <w:sz w:val="20"/>
        </w:rPr>
        <w:t>an</w:t>
      </w:r>
      <w:r>
        <w:rPr>
          <w:i/>
          <w:color w:val="231F20"/>
          <w:spacing w:val="-11"/>
          <w:sz w:val="20"/>
        </w:rPr>
        <w:t xml:space="preserve"> </w:t>
      </w:r>
      <w:r>
        <w:rPr>
          <w:i/>
          <w:color w:val="231F20"/>
          <w:sz w:val="20"/>
        </w:rPr>
        <w:t>issue</w:t>
      </w:r>
      <w:r>
        <w:rPr>
          <w:i/>
          <w:color w:val="231F20"/>
          <w:spacing w:val="-11"/>
          <w:sz w:val="20"/>
        </w:rPr>
        <w:t xml:space="preserve"> </w:t>
      </w:r>
      <w:r>
        <w:rPr>
          <w:i/>
          <w:color w:val="231F20"/>
          <w:sz w:val="20"/>
        </w:rPr>
        <w:t>for</w:t>
      </w:r>
      <w:r>
        <w:rPr>
          <w:i/>
          <w:color w:val="231F20"/>
          <w:spacing w:val="-11"/>
          <w:sz w:val="20"/>
        </w:rPr>
        <w:t xml:space="preserve"> </w:t>
      </w:r>
      <w:r>
        <w:rPr>
          <w:i/>
          <w:color w:val="231F20"/>
          <w:sz w:val="20"/>
        </w:rPr>
        <w:t>20</w:t>
      </w:r>
      <w:r>
        <w:rPr>
          <w:i/>
          <w:color w:val="231F20"/>
          <w:spacing w:val="-11"/>
          <w:sz w:val="20"/>
        </w:rPr>
        <w:t xml:space="preserve"> </w:t>
      </w:r>
      <w:r>
        <w:rPr>
          <w:i/>
          <w:color w:val="231F20"/>
          <w:sz w:val="20"/>
        </w:rPr>
        <w:t>years.</w:t>
      </w:r>
      <w:r>
        <w:rPr>
          <w:i/>
          <w:color w:val="231F20"/>
          <w:spacing w:val="-11"/>
          <w:sz w:val="20"/>
        </w:rPr>
        <w:t xml:space="preserve"> </w:t>
      </w:r>
      <w:r>
        <w:rPr>
          <w:i/>
          <w:color w:val="231F20"/>
          <w:sz w:val="20"/>
        </w:rPr>
        <w:t xml:space="preserve">There should be a </w:t>
      </w:r>
      <w:r>
        <w:rPr>
          <w:i/>
          <w:color w:val="231F20"/>
          <w:spacing w:val="-3"/>
          <w:sz w:val="20"/>
        </w:rPr>
        <w:t xml:space="preserve">system </w:t>
      </w:r>
      <w:r>
        <w:rPr>
          <w:i/>
          <w:color w:val="231F20"/>
          <w:sz w:val="20"/>
        </w:rPr>
        <w:t xml:space="preserve">similar to other </w:t>
      </w:r>
      <w:r>
        <w:rPr>
          <w:i/>
          <w:color w:val="231F20"/>
          <w:spacing w:val="-2"/>
          <w:sz w:val="20"/>
        </w:rPr>
        <w:t xml:space="preserve">states </w:t>
      </w:r>
      <w:r>
        <w:rPr>
          <w:i/>
          <w:color w:val="231F20"/>
          <w:sz w:val="20"/>
        </w:rPr>
        <w:t xml:space="preserve">where conditions are recognised on title. </w:t>
      </w:r>
      <w:r>
        <w:rPr>
          <w:color w:val="231F20"/>
          <w:sz w:val="20"/>
        </w:rPr>
        <w:t>(Australian</w:t>
      </w:r>
      <w:r>
        <w:rPr>
          <w:color w:val="231F20"/>
          <w:spacing w:val="-16"/>
          <w:sz w:val="20"/>
        </w:rPr>
        <w:t xml:space="preserve"> </w:t>
      </w:r>
      <w:r>
        <w:rPr>
          <w:color w:val="231F20"/>
          <w:sz w:val="20"/>
        </w:rPr>
        <w:t>Contaminated</w:t>
      </w:r>
      <w:r>
        <w:rPr>
          <w:color w:val="231F20"/>
          <w:spacing w:val="-16"/>
          <w:sz w:val="20"/>
        </w:rPr>
        <w:t xml:space="preserve"> </w:t>
      </w:r>
      <w:r>
        <w:rPr>
          <w:color w:val="231F20"/>
          <w:sz w:val="20"/>
        </w:rPr>
        <w:t>Land</w:t>
      </w:r>
      <w:r>
        <w:rPr>
          <w:color w:val="231F20"/>
          <w:spacing w:val="-16"/>
          <w:sz w:val="20"/>
        </w:rPr>
        <w:t xml:space="preserve"> </w:t>
      </w:r>
      <w:r>
        <w:rPr>
          <w:color w:val="231F20"/>
          <w:sz w:val="20"/>
        </w:rPr>
        <w:t>Consultants</w:t>
      </w:r>
      <w:r>
        <w:rPr>
          <w:color w:val="231F20"/>
          <w:spacing w:val="-16"/>
          <w:sz w:val="20"/>
        </w:rPr>
        <w:t xml:space="preserve"> </w:t>
      </w:r>
      <w:r>
        <w:rPr>
          <w:color w:val="231F20"/>
          <w:sz w:val="20"/>
        </w:rPr>
        <w:t>Association</w:t>
      </w:r>
      <w:r>
        <w:rPr>
          <w:color w:val="231F20"/>
          <w:spacing w:val="-16"/>
          <w:sz w:val="20"/>
        </w:rPr>
        <w:t xml:space="preserve"> </w:t>
      </w:r>
      <w:r>
        <w:rPr>
          <w:color w:val="231F20"/>
          <w:sz w:val="20"/>
        </w:rPr>
        <w:t>submission,</w:t>
      </w:r>
      <w:r>
        <w:rPr>
          <w:color w:val="231F20"/>
          <w:spacing w:val="-16"/>
          <w:sz w:val="20"/>
        </w:rPr>
        <w:t xml:space="preserve"> </w:t>
      </w:r>
      <w:r>
        <w:rPr>
          <w:color w:val="231F20"/>
          <w:spacing w:val="-3"/>
          <w:sz w:val="20"/>
        </w:rPr>
        <w:t>p.</w:t>
      </w:r>
      <w:r>
        <w:rPr>
          <w:color w:val="231F20"/>
          <w:spacing w:val="-16"/>
          <w:sz w:val="20"/>
        </w:rPr>
        <w:t xml:space="preserve"> </w:t>
      </w:r>
      <w:r>
        <w:rPr>
          <w:color w:val="231F20"/>
          <w:spacing w:val="-6"/>
          <w:sz w:val="20"/>
        </w:rPr>
        <w:t>10)</w:t>
      </w:r>
    </w:p>
    <w:p w14:paraId="1235C64D" w14:textId="77777777" w:rsidR="00160E7F" w:rsidRDefault="002B0299">
      <w:pPr>
        <w:spacing w:before="115" w:line="280" w:lineRule="auto"/>
        <w:ind w:left="304" w:right="2319"/>
        <w:rPr>
          <w:sz w:val="20"/>
        </w:rPr>
      </w:pPr>
      <w:r>
        <w:rPr>
          <w:i/>
          <w:color w:val="231F20"/>
          <w:sz w:val="20"/>
        </w:rPr>
        <w:t xml:space="preserve">The ongoing management of conditions of Statement of Environmental Audit places an unreasonable technical burden on councils. </w:t>
      </w:r>
      <w:r>
        <w:rPr>
          <w:color w:val="231F20"/>
          <w:sz w:val="20"/>
        </w:rPr>
        <w:t>(Municipal Association of Victoria submission, p. 18)</w:t>
      </w:r>
    </w:p>
    <w:p w14:paraId="34053D0F" w14:textId="77777777" w:rsidR="00160E7F" w:rsidRDefault="00160E7F">
      <w:pPr>
        <w:pStyle w:val="BodyText"/>
        <w:spacing w:before="4"/>
        <w:rPr>
          <w:sz w:val="22"/>
        </w:rPr>
      </w:pPr>
    </w:p>
    <w:p w14:paraId="48042E0F" w14:textId="77777777" w:rsidR="00160E7F" w:rsidRDefault="002B0299">
      <w:pPr>
        <w:ind w:left="134" w:right="789"/>
        <w:rPr>
          <w:i/>
          <w:sz w:val="20"/>
        </w:rPr>
      </w:pPr>
      <w:r>
        <w:rPr>
          <w:i/>
          <w:color w:val="6D6E71"/>
          <w:sz w:val="20"/>
        </w:rPr>
        <w:t>An enhanced role for the EPA</w:t>
      </w:r>
    </w:p>
    <w:p w14:paraId="1F0F8C80" w14:textId="55A9FDCB" w:rsidR="00160E7F" w:rsidRDefault="002B0299" w:rsidP="00B546EF">
      <w:pPr>
        <w:pStyle w:val="BodyText"/>
        <w:spacing w:before="125" w:line="280" w:lineRule="auto"/>
        <w:ind w:left="134" w:right="1486"/>
      </w:pPr>
      <w:r>
        <w:rPr>
          <w:color w:val="58595B"/>
        </w:rPr>
        <w:t xml:space="preserve">We consider the </w:t>
      </w:r>
      <w:r>
        <w:rPr>
          <w:color w:val="58595B"/>
          <w:spacing w:val="-4"/>
        </w:rPr>
        <w:t xml:space="preserve">EPA </w:t>
      </w:r>
      <w:r>
        <w:rPr>
          <w:color w:val="58595B"/>
        </w:rPr>
        <w:t>should take a leading role in coordinating and overseeing risk management for legacy contamination. This approach is consistent with its cu</w:t>
      </w:r>
      <w:r w:rsidR="00B546EF">
        <w:rPr>
          <w:color w:val="58595B"/>
        </w:rPr>
        <w:t>rrent responsibilities and its</w:t>
      </w:r>
      <w:r w:rsidR="00B546EF">
        <w:rPr>
          <w:color w:val="58595B"/>
        </w:rPr>
        <w:br/>
      </w:r>
      <w:r>
        <w:rPr>
          <w:color w:val="58595B"/>
        </w:rPr>
        <w:t>place as the leading source of expertise within the Victorian Government. It also accords</w:t>
      </w:r>
      <w:r>
        <w:rPr>
          <w:color w:val="58595B"/>
          <w:spacing w:val="21"/>
        </w:rPr>
        <w:t xml:space="preserve"> </w:t>
      </w:r>
      <w:r>
        <w:rPr>
          <w:color w:val="58595B"/>
        </w:rPr>
        <w:t>with</w:t>
      </w:r>
      <w:r w:rsidR="00B546EF">
        <w:br/>
      </w:r>
      <w:r>
        <w:rPr>
          <w:color w:val="58595B"/>
        </w:rPr>
        <w:t>the proposed objective (outlined in chapter 5) of protecting human health and the environment by reducing the harmful effects of pollution and waste.</w:t>
      </w:r>
    </w:p>
    <w:p w14:paraId="328DC04D" w14:textId="77777777" w:rsidR="00160E7F" w:rsidRDefault="00160E7F">
      <w:pPr>
        <w:spacing w:line="280" w:lineRule="auto"/>
        <w:sectPr w:rsidR="00160E7F">
          <w:pgSz w:w="11910" w:h="16840"/>
          <w:pgMar w:top="980" w:right="0" w:bottom="280" w:left="1680" w:header="788" w:footer="0" w:gutter="0"/>
          <w:cols w:space="720"/>
        </w:sectPr>
      </w:pPr>
    </w:p>
    <w:p w14:paraId="03170D7D" w14:textId="77777777" w:rsidR="00160E7F" w:rsidRDefault="00160E7F">
      <w:pPr>
        <w:pStyle w:val="BodyText"/>
      </w:pPr>
    </w:p>
    <w:p w14:paraId="266D1AC6" w14:textId="77777777" w:rsidR="00160E7F" w:rsidRDefault="00160E7F">
      <w:pPr>
        <w:pStyle w:val="BodyText"/>
      </w:pPr>
    </w:p>
    <w:p w14:paraId="42A8F7C5" w14:textId="77777777" w:rsidR="00160E7F" w:rsidRDefault="00160E7F">
      <w:pPr>
        <w:pStyle w:val="BodyText"/>
      </w:pPr>
    </w:p>
    <w:p w14:paraId="6736293D" w14:textId="77777777" w:rsidR="00160E7F" w:rsidRDefault="00160E7F">
      <w:pPr>
        <w:pStyle w:val="BodyText"/>
      </w:pPr>
    </w:p>
    <w:p w14:paraId="23D8FFD9" w14:textId="77777777" w:rsidR="00160E7F" w:rsidRDefault="00160E7F">
      <w:pPr>
        <w:pStyle w:val="BodyText"/>
        <w:spacing w:before="8"/>
        <w:rPr>
          <w:sz w:val="17"/>
        </w:rPr>
      </w:pPr>
    </w:p>
    <w:p w14:paraId="56DBF6E1" w14:textId="77777777" w:rsidR="00160E7F" w:rsidRDefault="002B0299">
      <w:pPr>
        <w:pStyle w:val="BodyText"/>
        <w:spacing w:before="1" w:line="280" w:lineRule="auto"/>
        <w:ind w:left="1417" w:right="142"/>
      </w:pPr>
      <w:r>
        <w:rPr>
          <w:color w:val="58595B"/>
        </w:rPr>
        <w:t>The EPA also brings a whole-of-system long term view, knowing that the pollution it misses today is a risk to be managed tomorrow. It must make calculated and strategic decisions about risk management and how to apply its toolkit effectively. This may involve regulatory interventions that require clean up (through existing clean up notices and new post-closure notices discussed in chapter 12) and working with the planning system to support voluntary remediation of sites.</w:t>
      </w:r>
    </w:p>
    <w:p w14:paraId="4F9B07C7" w14:textId="77777777" w:rsidR="00160E7F" w:rsidRDefault="002B0299">
      <w:pPr>
        <w:pStyle w:val="BodyText"/>
        <w:spacing w:before="172" w:line="280" w:lineRule="auto"/>
        <w:ind w:left="1417" w:right="343"/>
      </w:pPr>
      <w:r>
        <w:rPr>
          <w:color w:val="58595B"/>
        </w:rPr>
        <w:t>Stakeholders supported an integrated environment protection and planning system, but wanted a stronger role for the EPA, given its expertise and its whole-of-system approach:</w:t>
      </w:r>
    </w:p>
    <w:p w14:paraId="098648AB" w14:textId="77777777" w:rsidR="00160E7F" w:rsidRDefault="002B0299">
      <w:pPr>
        <w:spacing w:before="172" w:line="280" w:lineRule="auto"/>
        <w:ind w:left="1984" w:right="405"/>
        <w:rPr>
          <w:i/>
          <w:sz w:val="20"/>
        </w:rPr>
      </w:pPr>
      <w:r>
        <w:rPr>
          <w:i/>
          <w:color w:val="231F20"/>
          <w:sz w:val="20"/>
        </w:rPr>
        <w:t>The Property Council recognises that land needs to be identified as being potentially contaminated at the planning stage and that an environmental audit overlay may</w:t>
      </w:r>
    </w:p>
    <w:p w14:paraId="7F9E86C2" w14:textId="77777777" w:rsidR="00160E7F" w:rsidRDefault="002B0299">
      <w:pPr>
        <w:spacing w:before="2" w:line="280" w:lineRule="auto"/>
        <w:ind w:left="1984" w:right="1117"/>
        <w:rPr>
          <w:sz w:val="20"/>
        </w:rPr>
      </w:pPr>
      <w:r>
        <w:rPr>
          <w:i/>
          <w:color w:val="231F20"/>
          <w:sz w:val="20"/>
        </w:rPr>
        <w:t xml:space="preserve">be appropriate in some cases … EPA should ensure that action (assessment and remediation) triggers are proportionate to risk and that they are clearly communicated to stakeholders. </w:t>
      </w:r>
      <w:r>
        <w:rPr>
          <w:color w:val="231F20"/>
          <w:sz w:val="20"/>
        </w:rPr>
        <w:t>(Property Council of Australia submission, p. 4)</w:t>
      </w:r>
    </w:p>
    <w:p w14:paraId="7FA4BAFB" w14:textId="77777777" w:rsidR="00160E7F" w:rsidRDefault="002B0299">
      <w:pPr>
        <w:pStyle w:val="BodyText"/>
        <w:spacing w:before="172" w:line="280" w:lineRule="auto"/>
        <w:ind w:left="1417" w:right="405"/>
      </w:pPr>
      <w:r>
        <w:rPr>
          <w:color w:val="58595B"/>
        </w:rPr>
        <w:t>The Victorian Auditor-General’s Office also identified problems arising from a lack of whole-of- system coordination and accountability:</w:t>
      </w:r>
    </w:p>
    <w:p w14:paraId="6DA62EC9" w14:textId="77777777" w:rsidR="00160E7F" w:rsidRDefault="002B0299">
      <w:pPr>
        <w:spacing w:before="172" w:line="280" w:lineRule="auto"/>
        <w:ind w:left="1984" w:right="588"/>
        <w:rPr>
          <w:sz w:val="11"/>
        </w:rPr>
      </w:pPr>
      <w:r>
        <w:rPr>
          <w:i/>
          <w:color w:val="231F20"/>
          <w:sz w:val="20"/>
        </w:rPr>
        <w:t>The</w:t>
      </w:r>
      <w:r>
        <w:rPr>
          <w:i/>
          <w:color w:val="231F20"/>
          <w:spacing w:val="-26"/>
          <w:sz w:val="20"/>
        </w:rPr>
        <w:t xml:space="preserve"> </w:t>
      </w:r>
      <w:r>
        <w:rPr>
          <w:i/>
          <w:color w:val="231F20"/>
          <w:sz w:val="20"/>
        </w:rPr>
        <w:t>governance</w:t>
      </w:r>
      <w:r>
        <w:rPr>
          <w:i/>
          <w:color w:val="231F20"/>
          <w:spacing w:val="-26"/>
          <w:sz w:val="20"/>
        </w:rPr>
        <w:t xml:space="preserve"> </w:t>
      </w:r>
      <w:r>
        <w:rPr>
          <w:i/>
          <w:color w:val="231F20"/>
          <w:sz w:val="20"/>
        </w:rPr>
        <w:t>arrangements</w:t>
      </w:r>
      <w:r>
        <w:rPr>
          <w:i/>
          <w:color w:val="231F20"/>
          <w:spacing w:val="-26"/>
          <w:sz w:val="20"/>
        </w:rPr>
        <w:t xml:space="preserve"> </w:t>
      </w:r>
      <w:r>
        <w:rPr>
          <w:i/>
          <w:color w:val="231F20"/>
          <w:sz w:val="20"/>
        </w:rPr>
        <w:t>for</w:t>
      </w:r>
      <w:r>
        <w:rPr>
          <w:i/>
          <w:color w:val="231F20"/>
          <w:spacing w:val="-26"/>
          <w:sz w:val="20"/>
        </w:rPr>
        <w:t xml:space="preserve"> </w:t>
      </w:r>
      <w:r>
        <w:rPr>
          <w:i/>
          <w:color w:val="231F20"/>
          <w:sz w:val="20"/>
        </w:rPr>
        <w:t>the</w:t>
      </w:r>
      <w:r>
        <w:rPr>
          <w:i/>
          <w:color w:val="231F20"/>
          <w:spacing w:val="-26"/>
          <w:sz w:val="20"/>
        </w:rPr>
        <w:t xml:space="preserve"> </w:t>
      </w:r>
      <w:r>
        <w:rPr>
          <w:i/>
          <w:color w:val="231F20"/>
          <w:sz w:val="20"/>
        </w:rPr>
        <w:t>regulatory</w:t>
      </w:r>
      <w:r>
        <w:rPr>
          <w:i/>
          <w:color w:val="231F20"/>
          <w:spacing w:val="-26"/>
          <w:sz w:val="20"/>
        </w:rPr>
        <w:t xml:space="preserve"> </w:t>
      </w:r>
      <w:r>
        <w:rPr>
          <w:i/>
          <w:color w:val="231F20"/>
          <w:sz w:val="20"/>
        </w:rPr>
        <w:t>framework</w:t>
      </w:r>
      <w:r>
        <w:rPr>
          <w:i/>
          <w:color w:val="231F20"/>
          <w:spacing w:val="-26"/>
          <w:sz w:val="20"/>
        </w:rPr>
        <w:t xml:space="preserve"> </w:t>
      </w:r>
      <w:r>
        <w:rPr>
          <w:i/>
          <w:color w:val="231F20"/>
          <w:sz w:val="20"/>
        </w:rPr>
        <w:t>and</w:t>
      </w:r>
      <w:r>
        <w:rPr>
          <w:i/>
          <w:color w:val="231F20"/>
          <w:spacing w:val="-26"/>
          <w:sz w:val="20"/>
        </w:rPr>
        <w:t xml:space="preserve"> </w:t>
      </w:r>
      <w:r>
        <w:rPr>
          <w:i/>
          <w:color w:val="231F20"/>
          <w:sz w:val="20"/>
        </w:rPr>
        <w:t>the</w:t>
      </w:r>
      <w:r>
        <w:rPr>
          <w:i/>
          <w:color w:val="231F20"/>
          <w:spacing w:val="-26"/>
          <w:sz w:val="20"/>
        </w:rPr>
        <w:t xml:space="preserve"> </w:t>
      </w:r>
      <w:r>
        <w:rPr>
          <w:i/>
          <w:color w:val="231F20"/>
          <w:sz w:val="20"/>
        </w:rPr>
        <w:t>contaminated</w:t>
      </w:r>
      <w:r>
        <w:rPr>
          <w:i/>
          <w:color w:val="231F20"/>
          <w:spacing w:val="-26"/>
          <w:sz w:val="20"/>
        </w:rPr>
        <w:t xml:space="preserve"> </w:t>
      </w:r>
      <w:r>
        <w:rPr>
          <w:i/>
          <w:color w:val="231F20"/>
          <w:sz w:val="20"/>
        </w:rPr>
        <w:t xml:space="preserve">sites </w:t>
      </w:r>
      <w:r>
        <w:rPr>
          <w:i/>
          <w:color w:val="231F20"/>
          <w:spacing w:val="-3"/>
          <w:sz w:val="20"/>
        </w:rPr>
        <w:t>system</w:t>
      </w:r>
      <w:r>
        <w:rPr>
          <w:i/>
          <w:color w:val="231F20"/>
          <w:spacing w:val="-27"/>
          <w:sz w:val="20"/>
        </w:rPr>
        <w:t xml:space="preserve"> </w:t>
      </w:r>
      <w:r>
        <w:rPr>
          <w:i/>
          <w:color w:val="231F20"/>
          <w:sz w:val="20"/>
        </w:rPr>
        <w:t>are</w:t>
      </w:r>
      <w:r>
        <w:rPr>
          <w:i/>
          <w:color w:val="231F20"/>
          <w:spacing w:val="-27"/>
          <w:sz w:val="20"/>
        </w:rPr>
        <w:t xml:space="preserve"> </w:t>
      </w:r>
      <w:r>
        <w:rPr>
          <w:i/>
          <w:color w:val="231F20"/>
          <w:sz w:val="20"/>
        </w:rPr>
        <w:t>undermined</w:t>
      </w:r>
      <w:r>
        <w:rPr>
          <w:i/>
          <w:color w:val="231F20"/>
          <w:spacing w:val="-27"/>
          <w:sz w:val="20"/>
        </w:rPr>
        <w:t xml:space="preserve"> </w:t>
      </w:r>
      <w:r>
        <w:rPr>
          <w:i/>
          <w:color w:val="231F20"/>
          <w:spacing w:val="-3"/>
          <w:sz w:val="20"/>
        </w:rPr>
        <w:t>by</w:t>
      </w:r>
      <w:r>
        <w:rPr>
          <w:i/>
          <w:color w:val="231F20"/>
          <w:spacing w:val="-27"/>
          <w:sz w:val="20"/>
        </w:rPr>
        <w:t xml:space="preserve"> </w:t>
      </w:r>
      <w:r>
        <w:rPr>
          <w:i/>
          <w:color w:val="231F20"/>
          <w:sz w:val="20"/>
        </w:rPr>
        <w:t>a</w:t>
      </w:r>
      <w:r>
        <w:rPr>
          <w:i/>
          <w:color w:val="231F20"/>
          <w:spacing w:val="-27"/>
          <w:sz w:val="20"/>
        </w:rPr>
        <w:t xml:space="preserve"> </w:t>
      </w:r>
      <w:r>
        <w:rPr>
          <w:i/>
          <w:color w:val="231F20"/>
          <w:sz w:val="20"/>
        </w:rPr>
        <w:t>lack</w:t>
      </w:r>
      <w:r>
        <w:rPr>
          <w:i/>
          <w:color w:val="231F20"/>
          <w:spacing w:val="-27"/>
          <w:sz w:val="20"/>
        </w:rPr>
        <w:t xml:space="preserve"> </w:t>
      </w:r>
      <w:r>
        <w:rPr>
          <w:i/>
          <w:color w:val="231F20"/>
          <w:sz w:val="20"/>
        </w:rPr>
        <w:t>of</w:t>
      </w:r>
      <w:r>
        <w:rPr>
          <w:i/>
          <w:color w:val="231F20"/>
          <w:spacing w:val="-27"/>
          <w:sz w:val="20"/>
        </w:rPr>
        <w:t xml:space="preserve"> </w:t>
      </w:r>
      <w:r>
        <w:rPr>
          <w:i/>
          <w:color w:val="231F20"/>
          <w:sz w:val="20"/>
        </w:rPr>
        <w:t>oversight</w:t>
      </w:r>
      <w:r>
        <w:rPr>
          <w:i/>
          <w:color w:val="231F20"/>
          <w:spacing w:val="-27"/>
          <w:sz w:val="20"/>
        </w:rPr>
        <w:t xml:space="preserve"> </w:t>
      </w:r>
      <w:r>
        <w:rPr>
          <w:i/>
          <w:color w:val="231F20"/>
          <w:sz w:val="20"/>
        </w:rPr>
        <w:t>and</w:t>
      </w:r>
      <w:r>
        <w:rPr>
          <w:i/>
          <w:color w:val="231F20"/>
          <w:spacing w:val="-27"/>
          <w:sz w:val="20"/>
        </w:rPr>
        <w:t xml:space="preserve"> </w:t>
      </w:r>
      <w:r>
        <w:rPr>
          <w:i/>
          <w:color w:val="231F20"/>
          <w:sz w:val="20"/>
        </w:rPr>
        <w:t>accountability</w:t>
      </w:r>
      <w:r>
        <w:rPr>
          <w:i/>
          <w:color w:val="231F20"/>
          <w:spacing w:val="-27"/>
          <w:sz w:val="20"/>
        </w:rPr>
        <w:t xml:space="preserve"> </w:t>
      </w:r>
      <w:r>
        <w:rPr>
          <w:i/>
          <w:color w:val="231F20"/>
          <w:sz w:val="20"/>
        </w:rPr>
        <w:t>for</w:t>
      </w:r>
      <w:r>
        <w:rPr>
          <w:i/>
          <w:color w:val="231F20"/>
          <w:spacing w:val="-27"/>
          <w:sz w:val="20"/>
        </w:rPr>
        <w:t xml:space="preserve"> </w:t>
      </w:r>
      <w:r>
        <w:rPr>
          <w:i/>
          <w:color w:val="231F20"/>
          <w:sz w:val="20"/>
        </w:rPr>
        <w:t>the</w:t>
      </w:r>
      <w:r>
        <w:rPr>
          <w:i/>
          <w:color w:val="231F20"/>
          <w:spacing w:val="-27"/>
          <w:sz w:val="20"/>
        </w:rPr>
        <w:t xml:space="preserve"> </w:t>
      </w:r>
      <w:r>
        <w:rPr>
          <w:i/>
          <w:color w:val="231F20"/>
          <w:sz w:val="20"/>
        </w:rPr>
        <w:t>effective</w:t>
      </w:r>
      <w:r>
        <w:rPr>
          <w:i/>
          <w:color w:val="231F20"/>
          <w:spacing w:val="-27"/>
          <w:sz w:val="20"/>
        </w:rPr>
        <w:t xml:space="preserve"> </w:t>
      </w:r>
      <w:r>
        <w:rPr>
          <w:i/>
          <w:color w:val="231F20"/>
          <w:sz w:val="20"/>
        </w:rPr>
        <w:t>operation of</w:t>
      </w:r>
      <w:r>
        <w:rPr>
          <w:i/>
          <w:color w:val="231F20"/>
          <w:spacing w:val="-24"/>
          <w:sz w:val="20"/>
        </w:rPr>
        <w:t xml:space="preserve"> </w:t>
      </w:r>
      <w:r>
        <w:rPr>
          <w:i/>
          <w:color w:val="231F20"/>
          <w:sz w:val="20"/>
        </w:rPr>
        <w:t>the</w:t>
      </w:r>
      <w:r>
        <w:rPr>
          <w:i/>
          <w:color w:val="231F20"/>
          <w:spacing w:val="-24"/>
          <w:sz w:val="20"/>
        </w:rPr>
        <w:t xml:space="preserve"> </w:t>
      </w:r>
      <w:r>
        <w:rPr>
          <w:i/>
          <w:color w:val="231F20"/>
          <w:spacing w:val="-3"/>
          <w:sz w:val="20"/>
        </w:rPr>
        <w:t>framework.</w:t>
      </w:r>
      <w:r>
        <w:rPr>
          <w:color w:val="231F20"/>
          <w:spacing w:val="-3"/>
          <w:position w:val="7"/>
          <w:sz w:val="11"/>
        </w:rPr>
        <w:t>14</w:t>
      </w:r>
    </w:p>
    <w:p w14:paraId="1B5DBBC0" w14:textId="77777777" w:rsidR="00160E7F" w:rsidRDefault="00160E7F">
      <w:pPr>
        <w:pStyle w:val="BodyText"/>
        <w:spacing w:before="10"/>
        <w:rPr>
          <w:sz w:val="19"/>
        </w:rPr>
      </w:pPr>
    </w:p>
    <w:p w14:paraId="75F8696C" w14:textId="77777777" w:rsidR="00160E7F" w:rsidRDefault="002B0299">
      <w:pPr>
        <w:ind w:left="1417" w:right="789"/>
        <w:rPr>
          <w:i/>
          <w:sz w:val="20"/>
        </w:rPr>
      </w:pPr>
      <w:r>
        <w:rPr>
          <w:i/>
          <w:color w:val="6D6E71"/>
          <w:sz w:val="20"/>
        </w:rPr>
        <w:t>Improved integration of environmental and planning systems</w:t>
      </w:r>
    </w:p>
    <w:p w14:paraId="55F148AC" w14:textId="77777777" w:rsidR="00160E7F" w:rsidRDefault="002B0299">
      <w:pPr>
        <w:pStyle w:val="BodyText"/>
        <w:spacing w:before="125" w:line="280" w:lineRule="auto"/>
        <w:ind w:left="1417" w:right="278"/>
      </w:pPr>
      <w:r>
        <w:rPr>
          <w:color w:val="58595B"/>
        </w:rPr>
        <w:t>We recommend the government better integrate the environment protection and planning systems, providing for a consistent whole-of-system approach to identifying contaminated land and enforcing compliance with audit conditions. Currently, the EPA’s statutory environmental audit system underpins our system for managing legacy contamination and other environmental risks. Audits provide an authoritative mechanism for assessing risk and managing appropriate remediation. Thinking about how the audit system should be deployed – to improve risk management and reduce system costs – is a critical starting point for system reform.</w:t>
      </w:r>
    </w:p>
    <w:p w14:paraId="247DD2D1" w14:textId="77777777" w:rsidR="00160E7F" w:rsidRDefault="002B0299">
      <w:pPr>
        <w:pStyle w:val="BodyText"/>
        <w:spacing w:before="172" w:line="280" w:lineRule="auto"/>
        <w:ind w:left="1417" w:right="142"/>
      </w:pPr>
      <w:r>
        <w:rPr>
          <w:color w:val="58595B"/>
        </w:rPr>
        <w:t>Statutory audits are costly but they provide a high level of assurance. EPA-appointed auditors are also used extensively in the private sector for due diligence. They yield reliable information about the state of land and groundwater, which can be captured in the public interest. The cost means statutory requirements must be carefully framed, so audits appropriately target potential risks.</w:t>
      </w:r>
    </w:p>
    <w:p w14:paraId="0A0D57B9" w14:textId="77777777" w:rsidR="00160E7F" w:rsidRDefault="002B0299">
      <w:pPr>
        <w:pStyle w:val="BodyText"/>
        <w:spacing w:before="172" w:line="280" w:lineRule="auto"/>
        <w:ind w:left="1417" w:right="430"/>
      </w:pPr>
      <w:r>
        <w:rPr>
          <w:color w:val="58595B"/>
        </w:rPr>
        <w:t xml:space="preserve">The planning system currently triggers a statutory environmental audit (under the EP Act) when industrial land is rezoned for a sensitive use. Contamination will be identified, assessed and remediated as necessary to make the land suitable for the proposed use (table </w:t>
      </w:r>
      <w:r>
        <w:rPr>
          <w:color w:val="58595B"/>
          <w:spacing w:val="-8"/>
        </w:rPr>
        <w:t xml:space="preserve">14.1). </w:t>
      </w:r>
      <w:r>
        <w:rPr>
          <w:color w:val="58595B"/>
        </w:rPr>
        <w:t>This approach works well for some sites, but it can only apply to sites already identified as being contaminated. It may not capture a site that was rezoned many years ago or if a contaminating activity occurred outside an industrial zoning (such as a service station or dry</w:t>
      </w:r>
      <w:r>
        <w:rPr>
          <w:color w:val="58595B"/>
          <w:spacing w:val="23"/>
        </w:rPr>
        <w:t xml:space="preserve"> </w:t>
      </w:r>
      <w:r>
        <w:rPr>
          <w:color w:val="58595B"/>
        </w:rPr>
        <w:t>cleaner).</w:t>
      </w:r>
    </w:p>
    <w:p w14:paraId="3CEB05BC" w14:textId="77777777" w:rsidR="00160E7F" w:rsidRDefault="00160E7F">
      <w:pPr>
        <w:spacing w:line="280" w:lineRule="auto"/>
        <w:sectPr w:rsidR="00160E7F">
          <w:pgSz w:w="11910" w:h="16840"/>
          <w:pgMar w:top="980" w:right="1680" w:bottom="280" w:left="0" w:header="788" w:footer="0" w:gutter="0"/>
          <w:cols w:space="720"/>
        </w:sectPr>
      </w:pPr>
    </w:p>
    <w:p w14:paraId="1F47D99C" w14:textId="77777777" w:rsidR="00160E7F" w:rsidRDefault="00160E7F">
      <w:pPr>
        <w:pStyle w:val="BodyText"/>
      </w:pPr>
    </w:p>
    <w:p w14:paraId="2274071F" w14:textId="77777777" w:rsidR="00160E7F" w:rsidRDefault="00160E7F">
      <w:pPr>
        <w:pStyle w:val="BodyText"/>
      </w:pPr>
    </w:p>
    <w:p w14:paraId="5841F4BF" w14:textId="77777777" w:rsidR="00160E7F" w:rsidRDefault="00160E7F">
      <w:pPr>
        <w:pStyle w:val="BodyText"/>
      </w:pPr>
    </w:p>
    <w:p w14:paraId="75571DF9" w14:textId="77777777" w:rsidR="00160E7F" w:rsidRDefault="00160E7F">
      <w:pPr>
        <w:pStyle w:val="BodyText"/>
      </w:pPr>
    </w:p>
    <w:p w14:paraId="2A25CA73" w14:textId="77777777" w:rsidR="00160E7F" w:rsidRDefault="00160E7F">
      <w:pPr>
        <w:pStyle w:val="BodyText"/>
        <w:spacing w:before="8"/>
        <w:rPr>
          <w:sz w:val="17"/>
        </w:rPr>
      </w:pPr>
    </w:p>
    <w:p w14:paraId="06D47453" w14:textId="77777777" w:rsidR="00160E7F" w:rsidRDefault="002B0299">
      <w:pPr>
        <w:pStyle w:val="BodyText"/>
        <w:spacing w:before="1" w:line="280" w:lineRule="auto"/>
        <w:ind w:left="134" w:right="1433"/>
      </w:pPr>
      <w:r>
        <w:rPr>
          <w:b/>
          <w:color w:val="0095A7"/>
          <w:spacing w:val="-4"/>
        </w:rPr>
        <w:t xml:space="preserve">TABLE </w:t>
      </w:r>
      <w:r>
        <w:rPr>
          <w:b/>
          <w:color w:val="0095A7"/>
          <w:spacing w:val="-7"/>
        </w:rPr>
        <w:t xml:space="preserve">14.1 </w:t>
      </w:r>
      <w:r>
        <w:rPr>
          <w:color w:val="0095A7"/>
        </w:rPr>
        <w:t xml:space="preserve">MANAGING RISKS FROM </w:t>
      </w:r>
      <w:r>
        <w:rPr>
          <w:color w:val="0095A7"/>
          <w:spacing w:val="-4"/>
        </w:rPr>
        <w:t xml:space="preserve">LEGACY CONTAMINATION </w:t>
      </w:r>
      <w:r>
        <w:rPr>
          <w:color w:val="0095A7"/>
        </w:rPr>
        <w:t xml:space="preserve">– PROPOSED ENHANCEMENTS </w:t>
      </w:r>
      <w:r>
        <w:rPr>
          <w:color w:val="0095A7"/>
          <w:spacing w:val="-4"/>
        </w:rPr>
        <w:t xml:space="preserve">TO </w:t>
      </w:r>
      <w:r>
        <w:rPr>
          <w:color w:val="0095A7"/>
        </w:rPr>
        <w:t>CURRENT TRIGGERS AND CONTROLS</w:t>
      </w:r>
    </w:p>
    <w:p w14:paraId="1F7F3FC3" w14:textId="77777777" w:rsidR="00160E7F" w:rsidRDefault="00160E7F">
      <w:pPr>
        <w:pStyle w:val="BodyText"/>
        <w:spacing w:before="7" w:after="1"/>
        <w:rPr>
          <w:sz w:val="19"/>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8674"/>
      </w:tblGrid>
      <w:tr w:rsidR="00160E7F" w14:paraId="1F058475" w14:textId="77777777">
        <w:trPr>
          <w:trHeight w:hRule="exact" w:val="854"/>
        </w:trPr>
        <w:tc>
          <w:tcPr>
            <w:tcW w:w="8674" w:type="dxa"/>
            <w:shd w:val="clear" w:color="auto" w:fill="89BFCB"/>
          </w:tcPr>
          <w:p w14:paraId="6FBDEABD" w14:textId="77777777" w:rsidR="00160E7F" w:rsidRDefault="002B0299">
            <w:pPr>
              <w:pStyle w:val="TableParagraph"/>
              <w:spacing w:before="75"/>
              <w:ind w:left="113" w:right="58"/>
              <w:rPr>
                <w:b/>
                <w:sz w:val="18"/>
              </w:rPr>
            </w:pPr>
            <w:r>
              <w:rPr>
                <w:b/>
                <w:color w:val="FFFFFF"/>
                <w:sz w:val="18"/>
              </w:rPr>
              <w:t>Reliable site history information – Missing from the current system</w:t>
            </w:r>
          </w:p>
          <w:p w14:paraId="63E338C3" w14:textId="77777777" w:rsidR="00160E7F" w:rsidRDefault="002B0299">
            <w:pPr>
              <w:pStyle w:val="TableParagraph"/>
              <w:spacing w:before="69" w:line="254" w:lineRule="auto"/>
              <w:ind w:left="113" w:right="58"/>
              <w:rPr>
                <w:sz w:val="18"/>
              </w:rPr>
            </w:pPr>
            <w:r>
              <w:rPr>
                <w:color w:val="FFFFFF"/>
                <w:sz w:val="18"/>
              </w:rPr>
              <w:t>To identify when assessment is necessary and allow for better targeting of land use planning controls and improved protection for sensitive uses.</w:t>
            </w:r>
          </w:p>
        </w:tc>
      </w:tr>
      <w:tr w:rsidR="00160E7F" w14:paraId="5D480FE1" w14:textId="77777777">
        <w:trPr>
          <w:trHeight w:hRule="exact" w:val="283"/>
        </w:trPr>
        <w:tc>
          <w:tcPr>
            <w:tcW w:w="8674" w:type="dxa"/>
          </w:tcPr>
          <w:p w14:paraId="31B73A65" w14:textId="77777777" w:rsidR="00160E7F" w:rsidRDefault="000638CB">
            <w:pPr>
              <w:pStyle w:val="TableParagraph"/>
              <w:spacing w:before="0" w:line="229" w:lineRule="exact"/>
              <w:ind w:left="4116"/>
              <w:rPr>
                <w:sz w:val="20"/>
              </w:rPr>
            </w:pPr>
            <w:r>
              <w:rPr>
                <w:position w:val="-4"/>
                <w:sz w:val="20"/>
              </w:rPr>
            </w:r>
            <w:r>
              <w:rPr>
                <w:position w:val="-4"/>
                <w:sz w:val="20"/>
              </w:rPr>
              <w:pict w14:anchorId="670BC20A">
                <v:group id="_x0000_s1089" style="width:22.05pt;height:11.5pt;mso-position-horizontal-relative:char;mso-position-vertical-relative:line" coordsize="441,230">
                  <v:shape id="_x0000_s1090" style="position:absolute;width:441;height:230" coordsize="441,230" path="m441,0l0,,229,229,441,0xe" fillcolor="#d1d3d4" stroked="f">
                    <v:path arrowok="t"/>
                  </v:shape>
                  <w10:wrap type="none"/>
                  <w10:anchorlock/>
                </v:group>
              </w:pict>
            </w:r>
          </w:p>
        </w:tc>
      </w:tr>
      <w:tr w:rsidR="00160E7F" w14:paraId="235DFD3B" w14:textId="77777777">
        <w:trPr>
          <w:trHeight w:hRule="exact" w:val="2011"/>
        </w:trPr>
        <w:tc>
          <w:tcPr>
            <w:tcW w:w="8674" w:type="dxa"/>
            <w:shd w:val="clear" w:color="auto" w:fill="EDEDEE"/>
          </w:tcPr>
          <w:p w14:paraId="309606C0" w14:textId="77777777" w:rsidR="00160E7F" w:rsidRDefault="002B0299">
            <w:pPr>
              <w:pStyle w:val="TableParagraph"/>
              <w:spacing w:before="47"/>
              <w:ind w:left="113" w:right="58"/>
              <w:rPr>
                <w:b/>
                <w:sz w:val="18"/>
              </w:rPr>
            </w:pPr>
            <w:r>
              <w:rPr>
                <w:b/>
                <w:color w:val="58595B"/>
                <w:sz w:val="18"/>
              </w:rPr>
              <w:t>Requirements in the planning system</w:t>
            </w:r>
          </w:p>
          <w:p w14:paraId="068DCFB1" w14:textId="77777777" w:rsidR="00160E7F" w:rsidRDefault="002B0299">
            <w:pPr>
              <w:pStyle w:val="TableParagraph"/>
              <w:spacing w:before="69" w:line="254" w:lineRule="auto"/>
              <w:ind w:left="113" w:right="496"/>
              <w:rPr>
                <w:sz w:val="18"/>
              </w:rPr>
            </w:pPr>
            <w:r>
              <w:rPr>
                <w:color w:val="58595B"/>
                <w:sz w:val="18"/>
              </w:rPr>
              <w:t>Triggers and controls in the land use planning system seek to identify potentially contaminated land so as to ensure that risks are assessed for before a ‘sensitive use’ is permitted.</w:t>
            </w:r>
          </w:p>
          <w:p w14:paraId="096567E9" w14:textId="77777777" w:rsidR="00160E7F" w:rsidRDefault="002B0299">
            <w:pPr>
              <w:pStyle w:val="TableParagraph"/>
              <w:spacing w:before="57" w:line="254" w:lineRule="auto"/>
              <w:ind w:left="113" w:right="236"/>
              <w:rPr>
                <w:sz w:val="18"/>
              </w:rPr>
            </w:pPr>
            <w:r>
              <w:rPr>
                <w:b/>
                <w:color w:val="58595B"/>
                <w:sz w:val="18"/>
              </w:rPr>
              <w:t xml:space="preserve">Ministerial Direction no.1 </w:t>
            </w:r>
            <w:r>
              <w:rPr>
                <w:color w:val="58595B"/>
                <w:sz w:val="18"/>
              </w:rPr>
              <w:t>– when preparing planning scheme amendments, planning authorities must be satisfied that the environmental conditions of the land for sensitive use (such as a childcare centre or housing) will be suitable for that use</w:t>
            </w:r>
          </w:p>
          <w:p w14:paraId="12500860" w14:textId="77777777" w:rsidR="00160E7F" w:rsidRDefault="002B0299">
            <w:pPr>
              <w:pStyle w:val="TableParagraph"/>
              <w:spacing w:before="57" w:line="254" w:lineRule="auto"/>
              <w:ind w:left="113" w:right="58"/>
              <w:rPr>
                <w:sz w:val="18"/>
              </w:rPr>
            </w:pPr>
            <w:r>
              <w:rPr>
                <w:b/>
                <w:color w:val="58595B"/>
                <w:sz w:val="18"/>
              </w:rPr>
              <w:t xml:space="preserve">Environmental Audit Overlay </w:t>
            </w:r>
            <w:r>
              <w:rPr>
                <w:color w:val="58595B"/>
                <w:sz w:val="18"/>
              </w:rPr>
              <w:t>– applied under the Victoria Planning Provisions to signal that a site is potentially contaminated and requires an environmental audit before any works commence on that site.</w:t>
            </w:r>
          </w:p>
        </w:tc>
      </w:tr>
      <w:tr w:rsidR="00160E7F" w14:paraId="106F7F2E" w14:textId="77777777">
        <w:trPr>
          <w:trHeight w:hRule="exact" w:val="283"/>
        </w:trPr>
        <w:tc>
          <w:tcPr>
            <w:tcW w:w="8674" w:type="dxa"/>
          </w:tcPr>
          <w:p w14:paraId="67C8764E" w14:textId="77777777" w:rsidR="00160E7F" w:rsidRDefault="000638CB">
            <w:pPr>
              <w:pStyle w:val="TableParagraph"/>
              <w:spacing w:before="0" w:line="229" w:lineRule="exact"/>
              <w:ind w:left="4116"/>
              <w:rPr>
                <w:sz w:val="20"/>
              </w:rPr>
            </w:pPr>
            <w:r>
              <w:rPr>
                <w:position w:val="-4"/>
                <w:sz w:val="20"/>
              </w:rPr>
            </w:r>
            <w:r>
              <w:rPr>
                <w:position w:val="-4"/>
                <w:sz w:val="20"/>
              </w:rPr>
              <w:pict w14:anchorId="68E32DE1">
                <v:group id="_x0000_s1087" style="width:22.05pt;height:11.5pt;mso-position-horizontal-relative:char;mso-position-vertical-relative:line" coordsize="441,230">
                  <v:shape id="_x0000_s1088" style="position:absolute;width:441;height:230" coordsize="441,230" path="m441,0l0,,229,229,441,0xe" fillcolor="#d1d3d4" stroked="f">
                    <v:path arrowok="t"/>
                  </v:shape>
                  <w10:wrap type="none"/>
                  <w10:anchorlock/>
                </v:group>
              </w:pict>
            </w:r>
          </w:p>
        </w:tc>
      </w:tr>
      <w:tr w:rsidR="00160E7F" w14:paraId="7338AEF0" w14:textId="77777777">
        <w:trPr>
          <w:trHeight w:hRule="exact" w:val="2011"/>
        </w:trPr>
        <w:tc>
          <w:tcPr>
            <w:tcW w:w="8674" w:type="dxa"/>
            <w:shd w:val="clear" w:color="auto" w:fill="EDEDEE"/>
          </w:tcPr>
          <w:p w14:paraId="206ED052" w14:textId="77777777" w:rsidR="00160E7F" w:rsidRDefault="002B0299">
            <w:pPr>
              <w:pStyle w:val="TableParagraph"/>
              <w:spacing w:before="47"/>
              <w:ind w:left="113"/>
              <w:jc w:val="both"/>
              <w:rPr>
                <w:b/>
                <w:sz w:val="18"/>
              </w:rPr>
            </w:pPr>
            <w:r>
              <w:rPr>
                <w:b/>
                <w:color w:val="58595B"/>
                <w:sz w:val="18"/>
              </w:rPr>
              <w:t>EPA statutory audit system</w:t>
            </w:r>
          </w:p>
          <w:p w14:paraId="563A8DA3" w14:textId="77777777" w:rsidR="00160E7F" w:rsidRDefault="002B0299">
            <w:pPr>
              <w:pStyle w:val="TableParagraph"/>
              <w:spacing w:before="69" w:line="254" w:lineRule="auto"/>
              <w:ind w:left="113" w:right="497"/>
              <w:jc w:val="both"/>
              <w:rPr>
                <w:sz w:val="18"/>
              </w:rPr>
            </w:pPr>
            <w:r>
              <w:rPr>
                <w:color w:val="58595B"/>
                <w:sz w:val="18"/>
              </w:rPr>
              <w:t>Sites require an environmental assessment and audit when there is a need to understand the nature and extent of any contamination that may be present and whether that contamination poses a risk to the environment.</w:t>
            </w:r>
          </w:p>
          <w:p w14:paraId="1F589ABB" w14:textId="77777777" w:rsidR="00160E7F" w:rsidRDefault="002B0299">
            <w:pPr>
              <w:pStyle w:val="TableParagraph"/>
              <w:spacing w:before="57" w:line="254" w:lineRule="auto"/>
              <w:ind w:left="113" w:right="58"/>
              <w:rPr>
                <w:sz w:val="18"/>
              </w:rPr>
            </w:pPr>
            <w:r>
              <w:rPr>
                <w:b/>
                <w:color w:val="58595B"/>
                <w:sz w:val="18"/>
              </w:rPr>
              <w:t xml:space="preserve">Assessment </w:t>
            </w:r>
            <w:r>
              <w:rPr>
                <w:color w:val="58595B"/>
                <w:sz w:val="18"/>
              </w:rPr>
              <w:t>– statutory audits ensure that authoritative expert assessment is undertaken prior to redevelopment</w:t>
            </w:r>
          </w:p>
          <w:p w14:paraId="2534BCB8" w14:textId="77777777" w:rsidR="00160E7F" w:rsidRDefault="002B0299">
            <w:pPr>
              <w:pStyle w:val="TableParagraph"/>
              <w:spacing w:before="57" w:line="254" w:lineRule="auto"/>
              <w:ind w:left="113" w:right="236"/>
              <w:rPr>
                <w:sz w:val="18"/>
              </w:rPr>
            </w:pPr>
            <w:r>
              <w:rPr>
                <w:b/>
                <w:color w:val="58595B"/>
                <w:sz w:val="18"/>
              </w:rPr>
              <w:t xml:space="preserve">Remediation </w:t>
            </w:r>
            <w:r>
              <w:rPr>
                <w:color w:val="58595B"/>
                <w:sz w:val="18"/>
              </w:rPr>
              <w:t>– The audit is finalised when the auditor is satisfied that site risks have been remediated, or suitably managed, that is suitable for the proposed use.</w:t>
            </w:r>
          </w:p>
        </w:tc>
      </w:tr>
      <w:tr w:rsidR="00160E7F" w14:paraId="6385FB7D" w14:textId="77777777">
        <w:trPr>
          <w:trHeight w:hRule="exact" w:val="283"/>
        </w:trPr>
        <w:tc>
          <w:tcPr>
            <w:tcW w:w="8674" w:type="dxa"/>
          </w:tcPr>
          <w:p w14:paraId="609C340F" w14:textId="77777777" w:rsidR="00160E7F" w:rsidRDefault="000638CB">
            <w:pPr>
              <w:pStyle w:val="TableParagraph"/>
              <w:spacing w:before="0" w:line="229" w:lineRule="exact"/>
              <w:ind w:left="4116"/>
              <w:rPr>
                <w:sz w:val="20"/>
              </w:rPr>
            </w:pPr>
            <w:r>
              <w:rPr>
                <w:position w:val="-4"/>
                <w:sz w:val="20"/>
              </w:rPr>
            </w:r>
            <w:r>
              <w:rPr>
                <w:position w:val="-4"/>
                <w:sz w:val="20"/>
              </w:rPr>
              <w:pict w14:anchorId="0EE24B20">
                <v:group id="_x0000_s1085" style="width:22.05pt;height:11.5pt;mso-position-horizontal-relative:char;mso-position-vertical-relative:line" coordsize="441,230">
                  <v:shape id="_x0000_s1086" style="position:absolute;width:441;height:230" coordsize="441,230" path="m441,0l0,,229,229,441,0xe" fillcolor="#d1d3d4" stroked="f">
                    <v:path arrowok="t"/>
                  </v:shape>
                  <w10:wrap type="none"/>
                  <w10:anchorlock/>
                </v:group>
              </w:pict>
            </w:r>
          </w:p>
        </w:tc>
      </w:tr>
      <w:tr w:rsidR="00160E7F" w14:paraId="68CCAD41" w14:textId="77777777">
        <w:trPr>
          <w:trHeight w:hRule="exact" w:val="1266"/>
        </w:trPr>
        <w:tc>
          <w:tcPr>
            <w:tcW w:w="8674" w:type="dxa"/>
            <w:shd w:val="clear" w:color="auto" w:fill="EDEDEE"/>
          </w:tcPr>
          <w:p w14:paraId="260DD4A9" w14:textId="77777777" w:rsidR="00160E7F" w:rsidRDefault="002B0299">
            <w:pPr>
              <w:pStyle w:val="TableParagraph"/>
              <w:spacing w:before="47"/>
              <w:ind w:left="113" w:right="58"/>
              <w:rPr>
                <w:b/>
                <w:sz w:val="18"/>
              </w:rPr>
            </w:pPr>
            <w:r>
              <w:rPr>
                <w:b/>
                <w:color w:val="58595B"/>
                <w:sz w:val="18"/>
              </w:rPr>
              <w:t>Council approval subject to the statutory audit</w:t>
            </w:r>
          </w:p>
          <w:p w14:paraId="7BA42099" w14:textId="77777777" w:rsidR="00160E7F" w:rsidRDefault="002B0299">
            <w:pPr>
              <w:pStyle w:val="TableParagraph"/>
              <w:spacing w:before="69" w:line="254" w:lineRule="auto"/>
              <w:ind w:left="113" w:right="354"/>
              <w:rPr>
                <w:sz w:val="18"/>
              </w:rPr>
            </w:pPr>
            <w:r>
              <w:rPr>
                <w:color w:val="58595B"/>
                <w:sz w:val="18"/>
              </w:rPr>
              <w:t>A</w:t>
            </w:r>
            <w:r>
              <w:rPr>
                <w:color w:val="58595B"/>
                <w:spacing w:val="-16"/>
                <w:sz w:val="18"/>
              </w:rPr>
              <w:t xml:space="preserve"> </w:t>
            </w:r>
            <w:r>
              <w:rPr>
                <w:color w:val="58595B"/>
                <w:sz w:val="18"/>
              </w:rPr>
              <w:t>planning</w:t>
            </w:r>
            <w:r>
              <w:rPr>
                <w:color w:val="58595B"/>
                <w:spacing w:val="-7"/>
                <w:sz w:val="18"/>
              </w:rPr>
              <w:t xml:space="preserve"> </w:t>
            </w:r>
            <w:r>
              <w:rPr>
                <w:color w:val="58595B"/>
                <w:sz w:val="18"/>
              </w:rPr>
              <w:t>permit</w:t>
            </w:r>
            <w:r>
              <w:rPr>
                <w:color w:val="58595B"/>
                <w:spacing w:val="-7"/>
                <w:sz w:val="18"/>
              </w:rPr>
              <w:t xml:space="preserve"> </w:t>
            </w:r>
            <w:r>
              <w:rPr>
                <w:color w:val="58595B"/>
                <w:sz w:val="18"/>
              </w:rPr>
              <w:t>cannot</w:t>
            </w:r>
            <w:r>
              <w:rPr>
                <w:color w:val="58595B"/>
                <w:spacing w:val="-7"/>
                <w:sz w:val="18"/>
              </w:rPr>
              <w:t xml:space="preserve"> </w:t>
            </w:r>
            <w:r>
              <w:rPr>
                <w:color w:val="58595B"/>
                <w:sz w:val="18"/>
              </w:rPr>
              <w:t>be</w:t>
            </w:r>
            <w:r>
              <w:rPr>
                <w:color w:val="58595B"/>
                <w:spacing w:val="-7"/>
                <w:sz w:val="18"/>
              </w:rPr>
              <w:t xml:space="preserve"> </w:t>
            </w:r>
            <w:r>
              <w:rPr>
                <w:color w:val="58595B"/>
                <w:sz w:val="18"/>
              </w:rPr>
              <w:t>issued</w:t>
            </w:r>
            <w:r>
              <w:rPr>
                <w:color w:val="58595B"/>
                <w:spacing w:val="-7"/>
                <w:sz w:val="18"/>
              </w:rPr>
              <w:t xml:space="preserve"> </w:t>
            </w:r>
            <w:r>
              <w:rPr>
                <w:color w:val="58595B"/>
                <w:sz w:val="18"/>
              </w:rPr>
              <w:t>until</w:t>
            </w:r>
            <w:r>
              <w:rPr>
                <w:color w:val="58595B"/>
                <w:spacing w:val="-7"/>
                <w:sz w:val="18"/>
              </w:rPr>
              <w:t xml:space="preserve"> </w:t>
            </w:r>
            <w:r>
              <w:rPr>
                <w:color w:val="58595B"/>
                <w:sz w:val="18"/>
              </w:rPr>
              <w:t>a</w:t>
            </w:r>
            <w:r>
              <w:rPr>
                <w:color w:val="58595B"/>
                <w:spacing w:val="-7"/>
                <w:sz w:val="18"/>
              </w:rPr>
              <w:t xml:space="preserve"> </w:t>
            </w:r>
            <w:r>
              <w:rPr>
                <w:color w:val="58595B"/>
                <w:sz w:val="18"/>
              </w:rPr>
              <w:t>statutory</w:t>
            </w:r>
            <w:r>
              <w:rPr>
                <w:color w:val="58595B"/>
                <w:spacing w:val="-7"/>
                <w:sz w:val="18"/>
              </w:rPr>
              <w:t xml:space="preserve"> </w:t>
            </w:r>
            <w:r>
              <w:rPr>
                <w:color w:val="58595B"/>
                <w:sz w:val="18"/>
              </w:rPr>
              <w:t>environmental</w:t>
            </w:r>
            <w:r>
              <w:rPr>
                <w:color w:val="58595B"/>
                <w:spacing w:val="-7"/>
                <w:sz w:val="18"/>
              </w:rPr>
              <w:t xml:space="preserve"> </w:t>
            </w:r>
            <w:r>
              <w:rPr>
                <w:color w:val="58595B"/>
                <w:sz w:val="18"/>
              </w:rPr>
              <w:t>audit</w:t>
            </w:r>
            <w:r>
              <w:rPr>
                <w:color w:val="58595B"/>
                <w:spacing w:val="-7"/>
                <w:sz w:val="18"/>
              </w:rPr>
              <w:t xml:space="preserve"> </w:t>
            </w:r>
            <w:r>
              <w:rPr>
                <w:color w:val="58595B"/>
                <w:sz w:val="18"/>
              </w:rPr>
              <w:t>is</w:t>
            </w:r>
            <w:r>
              <w:rPr>
                <w:color w:val="58595B"/>
                <w:spacing w:val="-7"/>
                <w:sz w:val="18"/>
              </w:rPr>
              <w:t xml:space="preserve"> </w:t>
            </w:r>
            <w:r>
              <w:rPr>
                <w:color w:val="58595B"/>
                <w:sz w:val="18"/>
              </w:rPr>
              <w:t>completed.</w:t>
            </w:r>
            <w:r>
              <w:rPr>
                <w:color w:val="58595B"/>
                <w:spacing w:val="-11"/>
                <w:sz w:val="18"/>
              </w:rPr>
              <w:t xml:space="preserve"> </w:t>
            </w:r>
            <w:r>
              <w:rPr>
                <w:color w:val="58595B"/>
                <w:sz w:val="18"/>
              </w:rPr>
              <w:t>This</w:t>
            </w:r>
            <w:r>
              <w:rPr>
                <w:color w:val="58595B"/>
                <w:spacing w:val="-7"/>
                <w:sz w:val="18"/>
              </w:rPr>
              <w:t xml:space="preserve"> </w:t>
            </w:r>
            <w:r>
              <w:rPr>
                <w:color w:val="58595B"/>
                <w:sz w:val="18"/>
              </w:rPr>
              <w:t>ensures</w:t>
            </w:r>
            <w:r>
              <w:rPr>
                <w:color w:val="58595B"/>
                <w:spacing w:val="-7"/>
                <w:sz w:val="18"/>
              </w:rPr>
              <w:t xml:space="preserve"> </w:t>
            </w:r>
            <w:r>
              <w:rPr>
                <w:color w:val="58595B"/>
                <w:sz w:val="18"/>
              </w:rPr>
              <w:t>that the</w:t>
            </w:r>
            <w:r>
              <w:rPr>
                <w:color w:val="58595B"/>
                <w:spacing w:val="-6"/>
                <w:sz w:val="18"/>
              </w:rPr>
              <w:t xml:space="preserve"> </w:t>
            </w:r>
            <w:r>
              <w:rPr>
                <w:color w:val="58595B"/>
                <w:sz w:val="18"/>
              </w:rPr>
              <w:t>site</w:t>
            </w:r>
            <w:r>
              <w:rPr>
                <w:color w:val="58595B"/>
                <w:spacing w:val="-6"/>
                <w:sz w:val="18"/>
              </w:rPr>
              <w:t xml:space="preserve"> </w:t>
            </w:r>
            <w:r>
              <w:rPr>
                <w:color w:val="58595B"/>
                <w:sz w:val="18"/>
              </w:rPr>
              <w:t>is</w:t>
            </w:r>
            <w:r>
              <w:rPr>
                <w:color w:val="58595B"/>
                <w:spacing w:val="-6"/>
                <w:sz w:val="18"/>
              </w:rPr>
              <w:t xml:space="preserve"> </w:t>
            </w:r>
            <w:r>
              <w:rPr>
                <w:color w:val="58595B"/>
                <w:sz w:val="18"/>
              </w:rPr>
              <w:t>safely</w:t>
            </w:r>
            <w:r>
              <w:rPr>
                <w:color w:val="58595B"/>
                <w:spacing w:val="-6"/>
                <w:sz w:val="18"/>
              </w:rPr>
              <w:t xml:space="preserve"> </w:t>
            </w:r>
            <w:r>
              <w:rPr>
                <w:color w:val="58595B"/>
                <w:sz w:val="18"/>
              </w:rPr>
              <w:t>redeveloped</w:t>
            </w:r>
            <w:r>
              <w:rPr>
                <w:color w:val="58595B"/>
                <w:spacing w:val="-6"/>
                <w:sz w:val="18"/>
              </w:rPr>
              <w:t xml:space="preserve"> </w:t>
            </w:r>
            <w:r>
              <w:rPr>
                <w:color w:val="58595B"/>
                <w:sz w:val="18"/>
              </w:rPr>
              <w:t>for</w:t>
            </w:r>
            <w:r>
              <w:rPr>
                <w:color w:val="58595B"/>
                <w:spacing w:val="-6"/>
                <w:sz w:val="18"/>
              </w:rPr>
              <w:t xml:space="preserve"> </w:t>
            </w:r>
            <w:r>
              <w:rPr>
                <w:color w:val="58595B"/>
                <w:sz w:val="18"/>
              </w:rPr>
              <w:t>the</w:t>
            </w:r>
            <w:r>
              <w:rPr>
                <w:color w:val="58595B"/>
                <w:spacing w:val="-6"/>
                <w:sz w:val="18"/>
              </w:rPr>
              <w:t xml:space="preserve"> </w:t>
            </w:r>
            <w:r>
              <w:rPr>
                <w:color w:val="58595B"/>
                <w:sz w:val="18"/>
              </w:rPr>
              <w:t>proposed</w:t>
            </w:r>
            <w:r>
              <w:rPr>
                <w:color w:val="58595B"/>
                <w:spacing w:val="-6"/>
                <w:sz w:val="18"/>
              </w:rPr>
              <w:t xml:space="preserve"> </w:t>
            </w:r>
            <w:r>
              <w:rPr>
                <w:color w:val="58595B"/>
                <w:sz w:val="18"/>
              </w:rPr>
              <w:t>use.</w:t>
            </w:r>
            <w:r>
              <w:rPr>
                <w:color w:val="58595B"/>
                <w:spacing w:val="-6"/>
                <w:sz w:val="18"/>
              </w:rPr>
              <w:t xml:space="preserve"> </w:t>
            </w:r>
            <w:r>
              <w:rPr>
                <w:color w:val="58595B"/>
                <w:sz w:val="18"/>
              </w:rPr>
              <w:t>In</w:t>
            </w:r>
            <w:r>
              <w:rPr>
                <w:color w:val="58595B"/>
                <w:spacing w:val="-6"/>
                <w:sz w:val="18"/>
              </w:rPr>
              <w:t xml:space="preserve"> </w:t>
            </w:r>
            <w:r>
              <w:rPr>
                <w:color w:val="58595B"/>
                <w:sz w:val="18"/>
              </w:rPr>
              <w:t>many</w:t>
            </w:r>
            <w:r>
              <w:rPr>
                <w:color w:val="58595B"/>
                <w:spacing w:val="-6"/>
                <w:sz w:val="18"/>
              </w:rPr>
              <w:t xml:space="preserve"> </w:t>
            </w:r>
            <w:r>
              <w:rPr>
                <w:color w:val="58595B"/>
                <w:sz w:val="18"/>
              </w:rPr>
              <w:t>cases,</w:t>
            </w:r>
            <w:r>
              <w:rPr>
                <w:color w:val="58595B"/>
                <w:spacing w:val="-6"/>
                <w:sz w:val="18"/>
              </w:rPr>
              <w:t xml:space="preserve"> </w:t>
            </w:r>
            <w:r>
              <w:rPr>
                <w:color w:val="58595B"/>
                <w:sz w:val="18"/>
              </w:rPr>
              <w:t>sites</w:t>
            </w:r>
            <w:r>
              <w:rPr>
                <w:color w:val="58595B"/>
                <w:spacing w:val="-6"/>
                <w:sz w:val="18"/>
              </w:rPr>
              <w:t xml:space="preserve"> </w:t>
            </w:r>
            <w:r>
              <w:rPr>
                <w:color w:val="58595B"/>
                <w:sz w:val="18"/>
              </w:rPr>
              <w:t>will</w:t>
            </w:r>
            <w:r>
              <w:rPr>
                <w:color w:val="58595B"/>
                <w:spacing w:val="-6"/>
                <w:sz w:val="18"/>
              </w:rPr>
              <w:t xml:space="preserve"> </w:t>
            </w:r>
            <w:r>
              <w:rPr>
                <w:color w:val="58595B"/>
                <w:sz w:val="18"/>
              </w:rPr>
              <w:t>be</w:t>
            </w:r>
            <w:r>
              <w:rPr>
                <w:color w:val="58595B"/>
                <w:spacing w:val="-6"/>
                <w:sz w:val="18"/>
              </w:rPr>
              <w:t xml:space="preserve"> </w:t>
            </w:r>
            <w:r>
              <w:rPr>
                <w:color w:val="58595B"/>
                <w:sz w:val="18"/>
              </w:rPr>
              <w:t>safe</w:t>
            </w:r>
            <w:r>
              <w:rPr>
                <w:color w:val="58595B"/>
                <w:spacing w:val="-6"/>
                <w:sz w:val="18"/>
              </w:rPr>
              <w:t xml:space="preserve"> </w:t>
            </w:r>
            <w:r>
              <w:rPr>
                <w:color w:val="58595B"/>
                <w:sz w:val="18"/>
              </w:rPr>
              <w:t>but</w:t>
            </w:r>
            <w:r>
              <w:rPr>
                <w:color w:val="58595B"/>
                <w:spacing w:val="-6"/>
                <w:sz w:val="18"/>
              </w:rPr>
              <w:t xml:space="preserve"> </w:t>
            </w:r>
            <w:r>
              <w:rPr>
                <w:color w:val="58595B"/>
                <w:sz w:val="18"/>
              </w:rPr>
              <w:t>require</w:t>
            </w:r>
            <w:r>
              <w:rPr>
                <w:color w:val="58595B"/>
                <w:spacing w:val="-6"/>
                <w:sz w:val="18"/>
              </w:rPr>
              <w:t xml:space="preserve"> </w:t>
            </w:r>
            <w:r>
              <w:rPr>
                <w:color w:val="58595B"/>
                <w:sz w:val="18"/>
              </w:rPr>
              <w:t>ongoing</w:t>
            </w:r>
          </w:p>
          <w:p w14:paraId="6283792D" w14:textId="77777777" w:rsidR="00160E7F" w:rsidRDefault="002B0299">
            <w:pPr>
              <w:pStyle w:val="TableParagraph"/>
              <w:spacing w:before="1" w:line="254" w:lineRule="auto"/>
              <w:ind w:left="113" w:right="58"/>
              <w:rPr>
                <w:sz w:val="18"/>
              </w:rPr>
            </w:pPr>
            <w:r>
              <w:rPr>
                <w:color w:val="58595B"/>
                <w:sz w:val="18"/>
              </w:rPr>
              <w:t>conditions</w:t>
            </w:r>
            <w:r>
              <w:rPr>
                <w:color w:val="58595B"/>
                <w:spacing w:val="-8"/>
                <w:sz w:val="18"/>
              </w:rPr>
              <w:t xml:space="preserve"> </w:t>
            </w:r>
            <w:r>
              <w:rPr>
                <w:color w:val="58595B"/>
                <w:sz w:val="18"/>
              </w:rPr>
              <w:t>(determined</w:t>
            </w:r>
            <w:r>
              <w:rPr>
                <w:color w:val="58595B"/>
                <w:spacing w:val="-8"/>
                <w:sz w:val="18"/>
              </w:rPr>
              <w:t xml:space="preserve"> </w:t>
            </w:r>
            <w:r>
              <w:rPr>
                <w:color w:val="58595B"/>
                <w:sz w:val="18"/>
              </w:rPr>
              <w:t>by</w:t>
            </w:r>
            <w:r>
              <w:rPr>
                <w:color w:val="58595B"/>
                <w:spacing w:val="-8"/>
                <w:sz w:val="18"/>
              </w:rPr>
              <w:t xml:space="preserve"> </w:t>
            </w:r>
            <w:r>
              <w:rPr>
                <w:color w:val="58595B"/>
                <w:sz w:val="18"/>
              </w:rPr>
              <w:t>the</w:t>
            </w:r>
            <w:r>
              <w:rPr>
                <w:color w:val="58595B"/>
                <w:spacing w:val="-8"/>
                <w:sz w:val="18"/>
              </w:rPr>
              <w:t xml:space="preserve"> </w:t>
            </w:r>
            <w:r>
              <w:rPr>
                <w:color w:val="58595B"/>
                <w:sz w:val="18"/>
              </w:rPr>
              <w:t>auditor)</w:t>
            </w:r>
            <w:r>
              <w:rPr>
                <w:color w:val="58595B"/>
                <w:spacing w:val="-8"/>
                <w:sz w:val="18"/>
              </w:rPr>
              <w:t xml:space="preserve"> </w:t>
            </w:r>
            <w:r>
              <w:rPr>
                <w:color w:val="58595B"/>
                <w:sz w:val="18"/>
              </w:rPr>
              <w:t>that</w:t>
            </w:r>
            <w:r>
              <w:rPr>
                <w:color w:val="58595B"/>
                <w:spacing w:val="-8"/>
                <w:sz w:val="18"/>
              </w:rPr>
              <w:t xml:space="preserve"> </w:t>
            </w:r>
            <w:r>
              <w:rPr>
                <w:color w:val="58595B"/>
                <w:sz w:val="18"/>
              </w:rPr>
              <w:t>are</w:t>
            </w:r>
            <w:r>
              <w:rPr>
                <w:color w:val="58595B"/>
                <w:spacing w:val="-8"/>
                <w:sz w:val="18"/>
              </w:rPr>
              <w:t xml:space="preserve"> </w:t>
            </w:r>
            <w:r>
              <w:rPr>
                <w:color w:val="58595B"/>
                <w:sz w:val="18"/>
              </w:rPr>
              <w:t>necessary</w:t>
            </w:r>
            <w:r>
              <w:rPr>
                <w:color w:val="58595B"/>
                <w:spacing w:val="-8"/>
                <w:sz w:val="18"/>
              </w:rPr>
              <w:t xml:space="preserve"> </w:t>
            </w:r>
            <w:r>
              <w:rPr>
                <w:color w:val="58595B"/>
                <w:sz w:val="18"/>
              </w:rPr>
              <w:t>to</w:t>
            </w:r>
            <w:r>
              <w:rPr>
                <w:color w:val="58595B"/>
                <w:spacing w:val="-8"/>
                <w:sz w:val="18"/>
              </w:rPr>
              <w:t xml:space="preserve"> </w:t>
            </w:r>
            <w:r>
              <w:rPr>
                <w:color w:val="58595B"/>
                <w:sz w:val="18"/>
              </w:rPr>
              <w:t>manage</w:t>
            </w:r>
            <w:r>
              <w:rPr>
                <w:color w:val="58595B"/>
                <w:spacing w:val="-8"/>
                <w:sz w:val="18"/>
              </w:rPr>
              <w:t xml:space="preserve"> </w:t>
            </w:r>
            <w:r>
              <w:rPr>
                <w:color w:val="58595B"/>
                <w:sz w:val="18"/>
              </w:rPr>
              <w:t>risks.</w:t>
            </w:r>
            <w:r>
              <w:rPr>
                <w:color w:val="58595B"/>
                <w:spacing w:val="-8"/>
                <w:sz w:val="18"/>
              </w:rPr>
              <w:t xml:space="preserve"> </w:t>
            </w:r>
            <w:r>
              <w:rPr>
                <w:color w:val="58595B"/>
                <w:sz w:val="18"/>
              </w:rPr>
              <w:t>Local</w:t>
            </w:r>
            <w:r>
              <w:rPr>
                <w:color w:val="58595B"/>
                <w:spacing w:val="-8"/>
                <w:sz w:val="18"/>
              </w:rPr>
              <w:t xml:space="preserve"> </w:t>
            </w:r>
            <w:r>
              <w:rPr>
                <w:color w:val="58595B"/>
                <w:sz w:val="18"/>
              </w:rPr>
              <w:t>government</w:t>
            </w:r>
            <w:r>
              <w:rPr>
                <w:color w:val="58595B"/>
                <w:spacing w:val="-8"/>
                <w:sz w:val="18"/>
              </w:rPr>
              <w:t xml:space="preserve"> </w:t>
            </w:r>
            <w:r>
              <w:rPr>
                <w:color w:val="58595B"/>
                <w:sz w:val="18"/>
              </w:rPr>
              <w:t>planners</w:t>
            </w:r>
            <w:r>
              <w:rPr>
                <w:color w:val="58595B"/>
                <w:spacing w:val="-8"/>
                <w:sz w:val="18"/>
              </w:rPr>
              <w:t xml:space="preserve"> </w:t>
            </w:r>
            <w:r>
              <w:rPr>
                <w:color w:val="58595B"/>
                <w:sz w:val="18"/>
              </w:rPr>
              <w:t>need to</w:t>
            </w:r>
            <w:r>
              <w:rPr>
                <w:color w:val="58595B"/>
                <w:spacing w:val="-6"/>
                <w:sz w:val="18"/>
              </w:rPr>
              <w:t xml:space="preserve"> </w:t>
            </w:r>
            <w:r>
              <w:rPr>
                <w:color w:val="58595B"/>
                <w:sz w:val="18"/>
              </w:rPr>
              <w:t>be</w:t>
            </w:r>
            <w:r>
              <w:rPr>
                <w:color w:val="58595B"/>
                <w:spacing w:val="-6"/>
                <w:sz w:val="18"/>
              </w:rPr>
              <w:t xml:space="preserve"> </w:t>
            </w:r>
            <w:r>
              <w:rPr>
                <w:color w:val="58595B"/>
                <w:sz w:val="18"/>
              </w:rPr>
              <w:t>aware</w:t>
            </w:r>
            <w:r>
              <w:rPr>
                <w:color w:val="58595B"/>
                <w:spacing w:val="-6"/>
                <w:sz w:val="18"/>
              </w:rPr>
              <w:t xml:space="preserve"> </w:t>
            </w:r>
            <w:r>
              <w:rPr>
                <w:color w:val="58595B"/>
                <w:sz w:val="18"/>
              </w:rPr>
              <w:t>of</w:t>
            </w:r>
            <w:r>
              <w:rPr>
                <w:color w:val="58595B"/>
                <w:spacing w:val="-6"/>
                <w:sz w:val="18"/>
              </w:rPr>
              <w:t xml:space="preserve"> </w:t>
            </w:r>
            <w:r>
              <w:rPr>
                <w:color w:val="58595B"/>
                <w:sz w:val="18"/>
              </w:rPr>
              <w:t>what</w:t>
            </w:r>
            <w:r>
              <w:rPr>
                <w:color w:val="58595B"/>
                <w:spacing w:val="-6"/>
                <w:sz w:val="18"/>
              </w:rPr>
              <w:t xml:space="preserve"> </w:t>
            </w:r>
            <w:r>
              <w:rPr>
                <w:color w:val="58595B"/>
                <w:sz w:val="18"/>
              </w:rPr>
              <w:t>the</w:t>
            </w:r>
            <w:r>
              <w:rPr>
                <w:color w:val="58595B"/>
                <w:spacing w:val="-6"/>
                <w:sz w:val="18"/>
              </w:rPr>
              <w:t xml:space="preserve"> </w:t>
            </w:r>
            <w:r>
              <w:rPr>
                <w:color w:val="58595B"/>
                <w:sz w:val="18"/>
              </w:rPr>
              <w:t>conditions</w:t>
            </w:r>
            <w:r>
              <w:rPr>
                <w:color w:val="58595B"/>
                <w:spacing w:val="-6"/>
                <w:sz w:val="18"/>
              </w:rPr>
              <w:t xml:space="preserve"> </w:t>
            </w:r>
            <w:r>
              <w:rPr>
                <w:color w:val="58595B"/>
                <w:sz w:val="18"/>
              </w:rPr>
              <w:t>of</w:t>
            </w:r>
            <w:r>
              <w:rPr>
                <w:color w:val="58595B"/>
                <w:spacing w:val="-6"/>
                <w:sz w:val="18"/>
              </w:rPr>
              <w:t xml:space="preserve"> </w:t>
            </w:r>
            <w:r>
              <w:rPr>
                <w:color w:val="58595B"/>
                <w:sz w:val="18"/>
              </w:rPr>
              <w:t>a</w:t>
            </w:r>
            <w:r>
              <w:rPr>
                <w:color w:val="58595B"/>
                <w:spacing w:val="-6"/>
                <w:sz w:val="18"/>
              </w:rPr>
              <w:t xml:space="preserve"> </w:t>
            </w:r>
            <w:r>
              <w:rPr>
                <w:color w:val="58595B"/>
                <w:sz w:val="18"/>
              </w:rPr>
              <w:t>statement</w:t>
            </w:r>
            <w:r>
              <w:rPr>
                <w:color w:val="58595B"/>
                <w:spacing w:val="-6"/>
                <w:sz w:val="18"/>
              </w:rPr>
              <w:t xml:space="preserve"> </w:t>
            </w:r>
            <w:r>
              <w:rPr>
                <w:color w:val="58595B"/>
                <w:sz w:val="18"/>
              </w:rPr>
              <w:t>are,</w:t>
            </w:r>
            <w:r>
              <w:rPr>
                <w:color w:val="58595B"/>
                <w:spacing w:val="-6"/>
                <w:sz w:val="18"/>
              </w:rPr>
              <w:t xml:space="preserve"> </w:t>
            </w:r>
            <w:r>
              <w:rPr>
                <w:color w:val="58595B"/>
                <w:sz w:val="18"/>
              </w:rPr>
              <w:t>and</w:t>
            </w:r>
            <w:r>
              <w:rPr>
                <w:color w:val="58595B"/>
                <w:spacing w:val="-6"/>
                <w:sz w:val="18"/>
              </w:rPr>
              <w:t xml:space="preserve"> </w:t>
            </w:r>
            <w:r>
              <w:rPr>
                <w:color w:val="58595B"/>
                <w:sz w:val="18"/>
              </w:rPr>
              <w:t>these</w:t>
            </w:r>
            <w:r>
              <w:rPr>
                <w:color w:val="58595B"/>
                <w:spacing w:val="-7"/>
                <w:sz w:val="18"/>
              </w:rPr>
              <w:t xml:space="preserve"> </w:t>
            </w:r>
            <w:r>
              <w:rPr>
                <w:color w:val="58595B"/>
                <w:sz w:val="18"/>
              </w:rPr>
              <w:t>must</w:t>
            </w:r>
            <w:r>
              <w:rPr>
                <w:color w:val="58595B"/>
                <w:spacing w:val="-6"/>
                <w:sz w:val="18"/>
              </w:rPr>
              <w:t xml:space="preserve"> </w:t>
            </w:r>
            <w:r>
              <w:rPr>
                <w:color w:val="58595B"/>
                <w:sz w:val="18"/>
              </w:rPr>
              <w:t>be</w:t>
            </w:r>
            <w:r>
              <w:rPr>
                <w:color w:val="58595B"/>
                <w:spacing w:val="-6"/>
                <w:sz w:val="18"/>
              </w:rPr>
              <w:t xml:space="preserve"> </w:t>
            </w:r>
            <w:r>
              <w:rPr>
                <w:color w:val="58595B"/>
                <w:sz w:val="18"/>
              </w:rPr>
              <w:t>transferred</w:t>
            </w:r>
            <w:r>
              <w:rPr>
                <w:color w:val="58595B"/>
                <w:spacing w:val="-7"/>
                <w:sz w:val="18"/>
              </w:rPr>
              <w:t xml:space="preserve"> </w:t>
            </w:r>
            <w:r>
              <w:rPr>
                <w:color w:val="58595B"/>
                <w:sz w:val="18"/>
              </w:rPr>
              <w:t>to</w:t>
            </w:r>
            <w:r>
              <w:rPr>
                <w:color w:val="58595B"/>
                <w:spacing w:val="-6"/>
                <w:sz w:val="18"/>
              </w:rPr>
              <w:t xml:space="preserve"> </w:t>
            </w:r>
            <w:r>
              <w:rPr>
                <w:color w:val="58595B"/>
                <w:sz w:val="18"/>
              </w:rPr>
              <w:t>the</w:t>
            </w:r>
            <w:r>
              <w:rPr>
                <w:color w:val="58595B"/>
                <w:spacing w:val="-6"/>
                <w:sz w:val="18"/>
              </w:rPr>
              <w:t xml:space="preserve"> </w:t>
            </w:r>
            <w:r>
              <w:rPr>
                <w:color w:val="58595B"/>
                <w:sz w:val="18"/>
              </w:rPr>
              <w:t>planning</w:t>
            </w:r>
            <w:r>
              <w:rPr>
                <w:color w:val="58595B"/>
                <w:spacing w:val="-6"/>
                <w:sz w:val="18"/>
              </w:rPr>
              <w:t xml:space="preserve"> </w:t>
            </w:r>
            <w:r>
              <w:rPr>
                <w:color w:val="58595B"/>
                <w:sz w:val="18"/>
              </w:rPr>
              <w:t>permit.</w:t>
            </w:r>
          </w:p>
        </w:tc>
      </w:tr>
      <w:tr w:rsidR="00160E7F" w14:paraId="4734E0C4" w14:textId="77777777">
        <w:trPr>
          <w:trHeight w:hRule="exact" w:val="283"/>
        </w:trPr>
        <w:tc>
          <w:tcPr>
            <w:tcW w:w="8674" w:type="dxa"/>
          </w:tcPr>
          <w:p w14:paraId="0F1F84C3" w14:textId="77777777" w:rsidR="00160E7F" w:rsidRDefault="000638CB">
            <w:pPr>
              <w:pStyle w:val="TableParagraph"/>
              <w:spacing w:before="0" w:line="229" w:lineRule="exact"/>
              <w:ind w:left="4116"/>
              <w:rPr>
                <w:sz w:val="20"/>
              </w:rPr>
            </w:pPr>
            <w:r>
              <w:rPr>
                <w:position w:val="-4"/>
                <w:sz w:val="20"/>
              </w:rPr>
            </w:r>
            <w:r>
              <w:rPr>
                <w:position w:val="-4"/>
                <w:sz w:val="20"/>
              </w:rPr>
              <w:pict w14:anchorId="3E99C565">
                <v:group id="_x0000_s1083" style="width:22.05pt;height:11.5pt;mso-position-horizontal-relative:char;mso-position-vertical-relative:line" coordsize="441,230">
                  <v:shape id="_x0000_s1084" style="position:absolute;width:441;height:230" coordsize="441,230" path="m441,0l0,,229,229,441,0xe" fillcolor="#d1d3d4" stroked="f">
                    <v:path arrowok="t"/>
                  </v:shape>
                  <w10:wrap type="none"/>
                  <w10:anchorlock/>
                </v:group>
              </w:pict>
            </w:r>
          </w:p>
        </w:tc>
      </w:tr>
      <w:tr w:rsidR="00160E7F" w14:paraId="4C01C666" w14:textId="77777777">
        <w:trPr>
          <w:trHeight w:hRule="exact" w:val="578"/>
        </w:trPr>
        <w:tc>
          <w:tcPr>
            <w:tcW w:w="8674" w:type="dxa"/>
            <w:shd w:val="clear" w:color="auto" w:fill="89BFCB"/>
          </w:tcPr>
          <w:p w14:paraId="529F9452" w14:textId="77777777" w:rsidR="00160E7F" w:rsidRDefault="002B0299">
            <w:pPr>
              <w:pStyle w:val="TableParagraph"/>
              <w:spacing w:before="47"/>
              <w:ind w:left="113" w:right="58"/>
              <w:rPr>
                <w:b/>
                <w:sz w:val="18"/>
              </w:rPr>
            </w:pPr>
            <w:r>
              <w:rPr>
                <w:b/>
                <w:color w:val="FFFFFF"/>
                <w:sz w:val="18"/>
              </w:rPr>
              <w:t>Public register and strengthened compliance measures – Missing from the current system</w:t>
            </w:r>
          </w:p>
          <w:p w14:paraId="4F09F4D1" w14:textId="77777777" w:rsidR="00160E7F" w:rsidRDefault="002B0299">
            <w:pPr>
              <w:pStyle w:val="TableParagraph"/>
              <w:spacing w:before="69"/>
              <w:ind w:left="113" w:right="58"/>
              <w:rPr>
                <w:sz w:val="18"/>
              </w:rPr>
            </w:pPr>
            <w:r>
              <w:rPr>
                <w:color w:val="FFFFFF"/>
                <w:spacing w:val="-4"/>
                <w:sz w:val="18"/>
              </w:rPr>
              <w:t xml:space="preserve">Coordinated approach </w:t>
            </w:r>
            <w:r>
              <w:rPr>
                <w:color w:val="FFFFFF"/>
                <w:spacing w:val="-3"/>
                <w:sz w:val="18"/>
              </w:rPr>
              <w:t xml:space="preserve">to </w:t>
            </w:r>
            <w:r>
              <w:rPr>
                <w:color w:val="FFFFFF"/>
                <w:spacing w:val="-4"/>
                <w:sz w:val="18"/>
              </w:rPr>
              <w:t xml:space="preserve">ensure </w:t>
            </w:r>
            <w:r>
              <w:rPr>
                <w:color w:val="FFFFFF"/>
                <w:spacing w:val="-3"/>
                <w:sz w:val="18"/>
              </w:rPr>
              <w:t xml:space="preserve">ongoing compliance with </w:t>
            </w:r>
            <w:r>
              <w:rPr>
                <w:color w:val="FFFFFF"/>
                <w:spacing w:val="-4"/>
                <w:sz w:val="18"/>
              </w:rPr>
              <w:t xml:space="preserve">audit </w:t>
            </w:r>
            <w:r>
              <w:rPr>
                <w:color w:val="FFFFFF"/>
                <w:spacing w:val="-3"/>
                <w:sz w:val="18"/>
              </w:rPr>
              <w:t xml:space="preserve">conditions and </w:t>
            </w:r>
            <w:r>
              <w:rPr>
                <w:color w:val="FFFFFF"/>
                <w:spacing w:val="-4"/>
                <w:sz w:val="18"/>
              </w:rPr>
              <w:t xml:space="preserve">make </w:t>
            </w:r>
            <w:r>
              <w:rPr>
                <w:color w:val="FFFFFF"/>
                <w:spacing w:val="-3"/>
                <w:sz w:val="18"/>
              </w:rPr>
              <w:t xml:space="preserve">these </w:t>
            </w:r>
            <w:r>
              <w:rPr>
                <w:color w:val="FFFFFF"/>
                <w:spacing w:val="-4"/>
                <w:sz w:val="18"/>
              </w:rPr>
              <w:t>publicly accessible.</w:t>
            </w:r>
          </w:p>
        </w:tc>
      </w:tr>
    </w:tbl>
    <w:p w14:paraId="7B25140A" w14:textId="77777777" w:rsidR="00160E7F" w:rsidRDefault="00160E7F">
      <w:pPr>
        <w:pStyle w:val="BodyText"/>
        <w:spacing w:before="10"/>
        <w:rPr>
          <w:sz w:val="15"/>
        </w:rPr>
      </w:pPr>
    </w:p>
    <w:p w14:paraId="587EAD6E" w14:textId="77777777" w:rsidR="00160E7F" w:rsidRDefault="002B0299">
      <w:pPr>
        <w:pStyle w:val="BodyText"/>
        <w:spacing w:before="75" w:line="280" w:lineRule="auto"/>
        <w:ind w:left="134" w:right="1433"/>
      </w:pPr>
      <w:r>
        <w:rPr>
          <w:color w:val="58595B"/>
        </w:rPr>
        <w:t>Previous reviews recognised these problems and recommended a more comprehensive and proactive approach to identifying potentially contaminated sites.</w:t>
      </w:r>
    </w:p>
    <w:p w14:paraId="0ED04116" w14:textId="77777777" w:rsidR="00160E7F" w:rsidRDefault="002B0299">
      <w:pPr>
        <w:spacing w:before="172" w:line="280" w:lineRule="auto"/>
        <w:ind w:left="701" w:right="2025"/>
        <w:rPr>
          <w:sz w:val="11"/>
        </w:rPr>
      </w:pPr>
      <w:r>
        <w:rPr>
          <w:i/>
          <w:color w:val="231F20"/>
          <w:spacing w:val="3"/>
          <w:sz w:val="20"/>
        </w:rPr>
        <w:t xml:space="preserve">[W]e </w:t>
      </w:r>
      <w:r>
        <w:rPr>
          <w:i/>
          <w:color w:val="231F20"/>
          <w:sz w:val="20"/>
        </w:rPr>
        <w:t xml:space="preserve">do not see </w:t>
      </w:r>
      <w:r>
        <w:rPr>
          <w:i/>
          <w:color w:val="231F20"/>
          <w:spacing w:val="-4"/>
          <w:sz w:val="20"/>
        </w:rPr>
        <w:t xml:space="preserve">any </w:t>
      </w:r>
      <w:r>
        <w:rPr>
          <w:i/>
          <w:color w:val="231F20"/>
          <w:spacing w:val="-3"/>
          <w:sz w:val="20"/>
        </w:rPr>
        <w:t xml:space="preserve">real alternative </w:t>
      </w:r>
      <w:r>
        <w:rPr>
          <w:i/>
          <w:color w:val="231F20"/>
          <w:sz w:val="20"/>
        </w:rPr>
        <w:t xml:space="preserve">to </w:t>
      </w:r>
      <w:r>
        <w:rPr>
          <w:i/>
          <w:color w:val="231F20"/>
          <w:spacing w:val="-4"/>
          <w:sz w:val="20"/>
        </w:rPr>
        <w:t xml:space="preserve">systematically </w:t>
      </w:r>
      <w:r>
        <w:rPr>
          <w:i/>
          <w:color w:val="231F20"/>
          <w:spacing w:val="-3"/>
          <w:sz w:val="20"/>
        </w:rPr>
        <w:t xml:space="preserve">identifying potentially contaminated land. </w:t>
      </w:r>
      <w:r>
        <w:rPr>
          <w:i/>
          <w:color w:val="231F20"/>
          <w:sz w:val="20"/>
        </w:rPr>
        <w:t xml:space="preserve">In </w:t>
      </w:r>
      <w:r>
        <w:rPr>
          <w:i/>
          <w:color w:val="231F20"/>
          <w:spacing w:val="-3"/>
          <w:sz w:val="20"/>
        </w:rPr>
        <w:t xml:space="preserve">the absence </w:t>
      </w:r>
      <w:r>
        <w:rPr>
          <w:i/>
          <w:color w:val="231F20"/>
          <w:sz w:val="20"/>
        </w:rPr>
        <w:t xml:space="preserve">of such </w:t>
      </w:r>
      <w:r>
        <w:rPr>
          <w:i/>
          <w:color w:val="231F20"/>
          <w:spacing w:val="-3"/>
          <w:sz w:val="20"/>
        </w:rPr>
        <w:t xml:space="preserve">mapping, advice cannot really </w:t>
      </w:r>
      <w:r>
        <w:rPr>
          <w:i/>
          <w:color w:val="231F20"/>
          <w:spacing w:val="-4"/>
          <w:sz w:val="20"/>
        </w:rPr>
        <w:t xml:space="preserve">move </w:t>
      </w:r>
      <w:r>
        <w:rPr>
          <w:i/>
          <w:color w:val="231F20"/>
          <w:spacing w:val="-5"/>
          <w:sz w:val="20"/>
        </w:rPr>
        <w:t xml:space="preserve">beyond </w:t>
      </w:r>
      <w:r>
        <w:rPr>
          <w:i/>
          <w:color w:val="231F20"/>
          <w:sz w:val="20"/>
        </w:rPr>
        <w:t xml:space="preserve">a </w:t>
      </w:r>
      <w:r>
        <w:rPr>
          <w:i/>
          <w:color w:val="231F20"/>
          <w:spacing w:val="-3"/>
          <w:sz w:val="20"/>
        </w:rPr>
        <w:t xml:space="preserve">vague exhortation </w:t>
      </w:r>
      <w:r>
        <w:rPr>
          <w:i/>
          <w:color w:val="231F20"/>
          <w:sz w:val="20"/>
        </w:rPr>
        <w:t xml:space="preserve">to ‘take </w:t>
      </w:r>
      <w:r>
        <w:rPr>
          <w:i/>
          <w:color w:val="231F20"/>
          <w:spacing w:val="-4"/>
          <w:sz w:val="20"/>
        </w:rPr>
        <w:t xml:space="preserve">care’. </w:t>
      </w:r>
      <w:r>
        <w:rPr>
          <w:i/>
          <w:color w:val="231F20"/>
          <w:spacing w:val="-3"/>
          <w:sz w:val="20"/>
        </w:rPr>
        <w:t xml:space="preserve">We </w:t>
      </w:r>
      <w:r>
        <w:rPr>
          <w:i/>
          <w:color w:val="231F20"/>
          <w:spacing w:val="-4"/>
          <w:sz w:val="20"/>
        </w:rPr>
        <w:t xml:space="preserve">recommend: </w:t>
      </w:r>
      <w:r>
        <w:rPr>
          <w:i/>
          <w:color w:val="231F20"/>
          <w:spacing w:val="-3"/>
          <w:sz w:val="20"/>
        </w:rPr>
        <w:t xml:space="preserve">[t]he Environment Protection Authority and councils work </w:t>
      </w:r>
      <w:r>
        <w:rPr>
          <w:i/>
          <w:color w:val="231F20"/>
          <w:sz w:val="20"/>
        </w:rPr>
        <w:t xml:space="preserve">to </w:t>
      </w:r>
      <w:r>
        <w:rPr>
          <w:i/>
          <w:color w:val="231F20"/>
          <w:spacing w:val="-4"/>
          <w:sz w:val="20"/>
        </w:rPr>
        <w:t xml:space="preserve">systematically </w:t>
      </w:r>
      <w:r>
        <w:rPr>
          <w:i/>
          <w:color w:val="231F20"/>
          <w:spacing w:val="-3"/>
          <w:sz w:val="20"/>
        </w:rPr>
        <w:t xml:space="preserve">identify potentially contaminated </w:t>
      </w:r>
      <w:r>
        <w:rPr>
          <w:i/>
          <w:color w:val="231F20"/>
          <w:spacing w:val="-6"/>
          <w:sz w:val="20"/>
        </w:rPr>
        <w:t>land.</w:t>
      </w:r>
      <w:r>
        <w:rPr>
          <w:color w:val="231F20"/>
          <w:spacing w:val="-6"/>
          <w:position w:val="7"/>
          <w:sz w:val="11"/>
        </w:rPr>
        <w:t>15</w:t>
      </w:r>
    </w:p>
    <w:p w14:paraId="665DA096" w14:textId="6D2BAD36" w:rsidR="00160E7F" w:rsidRDefault="002B0299">
      <w:pPr>
        <w:pStyle w:val="BodyText"/>
        <w:spacing w:before="172" w:line="280" w:lineRule="auto"/>
        <w:ind w:left="134" w:right="1548"/>
      </w:pPr>
      <w:r>
        <w:rPr>
          <w:color w:val="58595B"/>
        </w:rPr>
        <w:t>In addition, a more systematic and evidence-based approach would reduce costs and avoid time delays for development arising from precautionary measures in t</w:t>
      </w:r>
      <w:r w:rsidR="00B546EF">
        <w:rPr>
          <w:color w:val="58595B"/>
        </w:rPr>
        <w:t xml:space="preserve">he planning system that result </w:t>
      </w:r>
      <w:r>
        <w:rPr>
          <w:color w:val="58595B"/>
        </w:rPr>
        <w:t>in ‘unnecessary’</w:t>
      </w:r>
      <w:r>
        <w:rPr>
          <w:color w:val="58595B"/>
          <w:spacing w:val="8"/>
        </w:rPr>
        <w:t xml:space="preserve"> </w:t>
      </w:r>
      <w:r>
        <w:rPr>
          <w:color w:val="58595B"/>
        </w:rPr>
        <w:t>audits:</w:t>
      </w:r>
    </w:p>
    <w:p w14:paraId="30E69227" w14:textId="77777777" w:rsidR="00160E7F" w:rsidRDefault="002B0299">
      <w:pPr>
        <w:spacing w:before="172" w:line="280" w:lineRule="auto"/>
        <w:ind w:left="701" w:right="2071"/>
        <w:rPr>
          <w:sz w:val="11"/>
        </w:rPr>
      </w:pPr>
      <w:r>
        <w:rPr>
          <w:i/>
          <w:color w:val="231F20"/>
          <w:sz w:val="20"/>
        </w:rPr>
        <w:t>[Some] councils have applied an EAO [environmental audit overlay] over a whole precinct where there has been a history of some past industrial activity. This wide area application has captured sites that historic[al] records show have always been residential, resulting in onerous and expensive assessments being required when owners apply for a permit to undertake modest modifications.</w:t>
      </w:r>
      <w:r>
        <w:rPr>
          <w:color w:val="231F20"/>
          <w:position w:val="7"/>
          <w:sz w:val="11"/>
        </w:rPr>
        <w:t>16</w:t>
      </w:r>
    </w:p>
    <w:p w14:paraId="1881BF15" w14:textId="77777777" w:rsidR="00160E7F" w:rsidRDefault="00160E7F">
      <w:pPr>
        <w:spacing w:line="280" w:lineRule="auto"/>
        <w:rPr>
          <w:sz w:val="11"/>
        </w:rPr>
        <w:sectPr w:rsidR="00160E7F">
          <w:pgSz w:w="11910" w:h="16840"/>
          <w:pgMar w:top="980" w:right="0" w:bottom="280" w:left="1680" w:header="788" w:footer="0" w:gutter="0"/>
          <w:cols w:space="720"/>
        </w:sectPr>
      </w:pPr>
    </w:p>
    <w:p w14:paraId="448C4519" w14:textId="77777777" w:rsidR="00160E7F" w:rsidRDefault="00160E7F">
      <w:pPr>
        <w:pStyle w:val="BodyText"/>
      </w:pPr>
    </w:p>
    <w:p w14:paraId="544399F6" w14:textId="77777777" w:rsidR="00160E7F" w:rsidRDefault="00160E7F">
      <w:pPr>
        <w:pStyle w:val="BodyText"/>
      </w:pPr>
    </w:p>
    <w:p w14:paraId="40764FF4" w14:textId="77777777" w:rsidR="00160E7F" w:rsidRDefault="00160E7F">
      <w:pPr>
        <w:pStyle w:val="BodyText"/>
      </w:pPr>
    </w:p>
    <w:p w14:paraId="15E61876" w14:textId="77777777" w:rsidR="00160E7F" w:rsidRDefault="00160E7F">
      <w:pPr>
        <w:pStyle w:val="BodyText"/>
      </w:pPr>
    </w:p>
    <w:p w14:paraId="37453205" w14:textId="77777777" w:rsidR="00160E7F" w:rsidRDefault="00160E7F">
      <w:pPr>
        <w:pStyle w:val="BodyText"/>
        <w:spacing w:before="8"/>
        <w:rPr>
          <w:sz w:val="17"/>
        </w:rPr>
      </w:pPr>
    </w:p>
    <w:p w14:paraId="749CCAC5" w14:textId="77777777" w:rsidR="00160E7F" w:rsidRDefault="002B0299">
      <w:pPr>
        <w:pStyle w:val="BodyText"/>
        <w:spacing w:before="1" w:line="280" w:lineRule="auto"/>
        <w:ind w:left="1417" w:right="142"/>
        <w:rPr>
          <w:sz w:val="11"/>
        </w:rPr>
      </w:pPr>
      <w:r>
        <w:rPr>
          <w:color w:val="58595B"/>
        </w:rPr>
        <w:t>In making land use planning decisions based on statutory audits, local governments hold ongoing responsibility for the compliance and enforcement of audit conditions. The Victorian Auditor- General’s 2011 report found ‘significant deficiencies in compliance monitoring... reduc[ing] assurance that human health and the environment are being adequately protected in relation to the management of contaminated sites’.</w:t>
      </w:r>
      <w:r>
        <w:rPr>
          <w:color w:val="58595B"/>
          <w:position w:val="7"/>
          <w:sz w:val="11"/>
        </w:rPr>
        <w:t>17</w:t>
      </w:r>
    </w:p>
    <w:p w14:paraId="3E1BE96B" w14:textId="77777777" w:rsidR="00160E7F" w:rsidRDefault="002B0299">
      <w:pPr>
        <w:pStyle w:val="BodyText"/>
        <w:spacing w:before="172" w:line="280" w:lineRule="auto"/>
        <w:ind w:left="1417" w:right="412"/>
      </w:pPr>
      <w:r>
        <w:rPr>
          <w:color w:val="58595B"/>
        </w:rPr>
        <w:t>Without robust compliance measures, some remediated sites (for example, sites using site capping) may be redeveloped, and expose future workers and the community to contamination risks. We consider an integrated approach, overseen by the EPA, will provide for a consistent whole-of-system approach to ensure compliance with audit conditions. This approach requires a centralised database that enables tracking and effective enforcement of audit conditions,</w:t>
      </w:r>
    </w:p>
    <w:p w14:paraId="4FD67F78" w14:textId="77777777" w:rsidR="00160E7F" w:rsidRDefault="002B0299">
      <w:pPr>
        <w:pStyle w:val="BodyText"/>
        <w:spacing w:before="2" w:line="280" w:lineRule="auto"/>
        <w:ind w:left="1417" w:right="405"/>
      </w:pPr>
      <w:r>
        <w:rPr>
          <w:color w:val="58595B"/>
        </w:rPr>
        <w:t>as well as a process for making these conditions transparent to landowners and prospective purchasers through the land title.</w:t>
      </w:r>
    </w:p>
    <w:p w14:paraId="72E4F103" w14:textId="77777777" w:rsidR="00160E7F" w:rsidRDefault="00160E7F">
      <w:pPr>
        <w:pStyle w:val="BodyText"/>
        <w:spacing w:before="10"/>
        <w:rPr>
          <w:sz w:val="19"/>
        </w:rPr>
      </w:pPr>
    </w:p>
    <w:p w14:paraId="53FEF8CC" w14:textId="77777777" w:rsidR="00160E7F" w:rsidRDefault="002B0299">
      <w:pPr>
        <w:ind w:left="1417" w:right="789"/>
        <w:rPr>
          <w:i/>
          <w:sz w:val="20"/>
        </w:rPr>
      </w:pPr>
      <w:r>
        <w:rPr>
          <w:i/>
          <w:color w:val="6D6E71"/>
          <w:sz w:val="20"/>
        </w:rPr>
        <w:t>Identifying potentially contaminated sites</w:t>
      </w:r>
    </w:p>
    <w:p w14:paraId="779B9BEC" w14:textId="77777777" w:rsidR="00160E7F" w:rsidRDefault="002B0299">
      <w:pPr>
        <w:pStyle w:val="BodyText"/>
        <w:spacing w:before="125" w:line="280" w:lineRule="auto"/>
        <w:ind w:left="1417" w:right="343"/>
      </w:pPr>
      <w:r>
        <w:rPr>
          <w:color w:val="58595B"/>
        </w:rPr>
        <w:t>An important first step is to identify sites that are likely to be contaminated, both to more effectively target regulatory interventions and to inform landowners and the community so that they can manage their own risks appropriately. Reliable and easily accessible information on where potentially contaminating activity has occurred will help to keep people safe, and support investment in remediation and redevelopment.</w:t>
      </w:r>
    </w:p>
    <w:p w14:paraId="27B9A991" w14:textId="77777777" w:rsidR="00160E7F" w:rsidRDefault="002B0299">
      <w:pPr>
        <w:pStyle w:val="BodyText"/>
        <w:spacing w:before="172" w:line="280" w:lineRule="auto"/>
        <w:ind w:left="1417" w:right="405"/>
      </w:pPr>
      <w:r>
        <w:rPr>
          <w:color w:val="58595B"/>
        </w:rPr>
        <w:t>We recommend a statewide database of potentially contaminated sites be developed, drawing on site history information. The database should integrate data across government, including from DELWP and LandVic. It should draw on work the EPA has already done on identifying underground petroleum storage tanks and closed landfills across Victoria.</w:t>
      </w:r>
    </w:p>
    <w:p w14:paraId="18AAEAD5" w14:textId="77777777" w:rsidR="00160E7F" w:rsidRDefault="002B0299">
      <w:pPr>
        <w:pStyle w:val="BodyText"/>
        <w:spacing w:before="172" w:line="280" w:lineRule="auto"/>
        <w:ind w:left="1417" w:right="461"/>
      </w:pPr>
      <w:r>
        <w:rPr>
          <w:color w:val="58595B"/>
        </w:rPr>
        <w:t>Currently there is no database of potentially contaminated sites in Victoria. The EPA and local governments hold some knowledge informally, but it is piecemeal, ad hoc and anecdotal. Nor is it accessible to the public or to statutory decision makers. The Victorian Auditor-General’s report on landfill highlighted this problem:</w:t>
      </w:r>
    </w:p>
    <w:p w14:paraId="6FFFA7F8" w14:textId="77777777" w:rsidR="00160E7F" w:rsidRDefault="002B0299">
      <w:pPr>
        <w:spacing w:before="172" w:line="280" w:lineRule="auto"/>
        <w:ind w:left="1984" w:right="721"/>
        <w:rPr>
          <w:sz w:val="11"/>
        </w:rPr>
      </w:pPr>
      <w:r>
        <w:rPr>
          <w:i/>
          <w:color w:val="231F20"/>
          <w:sz w:val="20"/>
        </w:rPr>
        <w:t>… all closed landfills would need to be identified by councils and included on a public register managed by EPA to inform planning and development decisions … [and] The lack of information around old closed landfill sites and those that have not been regulated by EPA … means there is significant gap in the effective oversight and management of risks posed by</w:t>
      </w:r>
      <w:r>
        <w:rPr>
          <w:i/>
          <w:color w:val="231F20"/>
          <w:spacing w:val="-8"/>
          <w:sz w:val="20"/>
        </w:rPr>
        <w:t xml:space="preserve"> </w:t>
      </w:r>
      <w:r>
        <w:rPr>
          <w:i/>
          <w:color w:val="231F20"/>
          <w:sz w:val="20"/>
        </w:rPr>
        <w:t>landfills.</w:t>
      </w:r>
      <w:r>
        <w:rPr>
          <w:color w:val="231F20"/>
          <w:position w:val="7"/>
          <w:sz w:val="11"/>
        </w:rPr>
        <w:t>18</w:t>
      </w:r>
    </w:p>
    <w:p w14:paraId="3DDBD6F2" w14:textId="77777777" w:rsidR="00160E7F" w:rsidRDefault="002B0299">
      <w:pPr>
        <w:pStyle w:val="BodyText"/>
        <w:spacing w:before="172" w:line="280" w:lineRule="auto"/>
        <w:ind w:left="1417" w:right="789"/>
      </w:pPr>
      <w:r>
        <w:rPr>
          <w:color w:val="58595B"/>
        </w:rPr>
        <w:t>Identifying potentially contaminated sites requires robust and comprehensive data and risk screening tools. Key challenges include:</w:t>
      </w:r>
    </w:p>
    <w:p w14:paraId="35D1D383" w14:textId="77777777" w:rsidR="00160E7F" w:rsidRDefault="002B0299">
      <w:pPr>
        <w:pStyle w:val="ListParagraph"/>
        <w:numPr>
          <w:ilvl w:val="1"/>
          <w:numId w:val="25"/>
        </w:numPr>
        <w:tabs>
          <w:tab w:val="left" w:pos="1588"/>
        </w:tabs>
        <w:spacing w:before="115"/>
        <w:ind w:hanging="170"/>
        <w:rPr>
          <w:sz w:val="20"/>
        </w:rPr>
      </w:pPr>
      <w:r>
        <w:rPr>
          <w:color w:val="58595B"/>
          <w:sz w:val="20"/>
        </w:rPr>
        <w:t>there may be no obvious evidence of the original contaminating</w:t>
      </w:r>
      <w:r>
        <w:rPr>
          <w:color w:val="58595B"/>
          <w:spacing w:val="9"/>
          <w:sz w:val="20"/>
        </w:rPr>
        <w:t xml:space="preserve"> </w:t>
      </w:r>
      <w:r>
        <w:rPr>
          <w:color w:val="58595B"/>
          <w:sz w:val="20"/>
        </w:rPr>
        <w:t>activities</w:t>
      </w:r>
    </w:p>
    <w:p w14:paraId="4DAC1B03" w14:textId="77777777" w:rsidR="00160E7F" w:rsidRDefault="002B0299">
      <w:pPr>
        <w:pStyle w:val="ListParagraph"/>
        <w:numPr>
          <w:ilvl w:val="1"/>
          <w:numId w:val="25"/>
        </w:numPr>
        <w:tabs>
          <w:tab w:val="left" w:pos="1588"/>
        </w:tabs>
        <w:spacing w:before="153"/>
        <w:ind w:hanging="170"/>
        <w:rPr>
          <w:sz w:val="20"/>
        </w:rPr>
      </w:pPr>
      <w:r>
        <w:rPr>
          <w:color w:val="58595B"/>
          <w:sz w:val="20"/>
        </w:rPr>
        <w:t>the land use may have</w:t>
      </w:r>
      <w:r>
        <w:rPr>
          <w:color w:val="58595B"/>
          <w:spacing w:val="-7"/>
          <w:sz w:val="20"/>
        </w:rPr>
        <w:t xml:space="preserve"> </w:t>
      </w:r>
      <w:r>
        <w:rPr>
          <w:color w:val="58595B"/>
          <w:sz w:val="20"/>
        </w:rPr>
        <w:t>changed</w:t>
      </w:r>
    </w:p>
    <w:p w14:paraId="5E95146F" w14:textId="77777777" w:rsidR="00160E7F" w:rsidRDefault="002B0299">
      <w:pPr>
        <w:pStyle w:val="ListParagraph"/>
        <w:numPr>
          <w:ilvl w:val="1"/>
          <w:numId w:val="25"/>
        </w:numPr>
        <w:tabs>
          <w:tab w:val="left" w:pos="1588"/>
        </w:tabs>
        <w:spacing w:before="153"/>
        <w:ind w:hanging="170"/>
        <w:rPr>
          <w:sz w:val="20"/>
        </w:rPr>
      </w:pPr>
      <w:r>
        <w:rPr>
          <w:color w:val="58595B"/>
          <w:sz w:val="20"/>
        </w:rPr>
        <w:t>the extent of pollution and risk may be unknown, even if the site history indicates the likely</w:t>
      </w:r>
      <w:r>
        <w:rPr>
          <w:color w:val="58595B"/>
          <w:spacing w:val="-8"/>
          <w:sz w:val="20"/>
        </w:rPr>
        <w:t xml:space="preserve"> </w:t>
      </w:r>
      <w:r>
        <w:rPr>
          <w:color w:val="58595B"/>
          <w:sz w:val="20"/>
        </w:rPr>
        <w:t>risk.</w:t>
      </w:r>
    </w:p>
    <w:p w14:paraId="183DD811" w14:textId="77777777" w:rsidR="00160E7F" w:rsidRDefault="00160E7F">
      <w:pPr>
        <w:pStyle w:val="BodyText"/>
        <w:spacing w:before="3"/>
        <w:rPr>
          <w:sz w:val="18"/>
        </w:rPr>
      </w:pPr>
    </w:p>
    <w:p w14:paraId="1796D3AD" w14:textId="77777777" w:rsidR="00160E7F" w:rsidRDefault="002B0299">
      <w:pPr>
        <w:pStyle w:val="BodyText"/>
        <w:spacing w:line="280" w:lineRule="auto"/>
        <w:ind w:left="1417" w:right="278"/>
      </w:pPr>
      <w:r>
        <w:rPr>
          <w:color w:val="58595B"/>
        </w:rPr>
        <w:t>In addition, in many circumstances – such as historical mining and small scale industrial activity in inner urban areas – the original polluter(s) may no longer exist. For this reason, it is not possible to rely on polluter or landowner disclosure requirements to obtain information on where there are risks and which are critical.</w:t>
      </w:r>
    </w:p>
    <w:p w14:paraId="104362FA" w14:textId="77777777" w:rsidR="00160E7F" w:rsidRDefault="002B0299">
      <w:pPr>
        <w:pStyle w:val="BodyText"/>
        <w:spacing w:before="172" w:line="280" w:lineRule="auto"/>
        <w:ind w:left="1417" w:right="405"/>
      </w:pPr>
      <w:r>
        <w:rPr>
          <w:color w:val="58595B"/>
        </w:rPr>
        <w:t>Recent independent reviews of the contaminated environments framework identified improved information on contaminated and potentially contaminated environments as important areas for system reform.</w:t>
      </w:r>
      <w:r>
        <w:rPr>
          <w:color w:val="58595B"/>
          <w:position w:val="7"/>
          <w:sz w:val="11"/>
        </w:rPr>
        <w:t xml:space="preserve">19  </w:t>
      </w:r>
      <w:r>
        <w:rPr>
          <w:color w:val="58595B"/>
        </w:rPr>
        <w:t>In particular, it was recommended that:</w:t>
      </w:r>
    </w:p>
    <w:p w14:paraId="0438BD1B" w14:textId="77777777" w:rsidR="00160E7F" w:rsidRDefault="00160E7F">
      <w:pPr>
        <w:spacing w:line="280" w:lineRule="auto"/>
        <w:sectPr w:rsidR="00160E7F">
          <w:pgSz w:w="11910" w:h="16840"/>
          <w:pgMar w:top="980" w:right="1680" w:bottom="280" w:left="0" w:header="788" w:footer="0" w:gutter="0"/>
          <w:cols w:space="720"/>
        </w:sectPr>
      </w:pPr>
    </w:p>
    <w:p w14:paraId="0FBB75B3" w14:textId="77777777" w:rsidR="00160E7F" w:rsidRDefault="00160E7F">
      <w:pPr>
        <w:pStyle w:val="BodyText"/>
      </w:pPr>
    </w:p>
    <w:p w14:paraId="259F130B" w14:textId="77777777" w:rsidR="00160E7F" w:rsidRDefault="00160E7F">
      <w:pPr>
        <w:pStyle w:val="BodyText"/>
      </w:pPr>
    </w:p>
    <w:p w14:paraId="62AA5D9E" w14:textId="77777777" w:rsidR="00160E7F" w:rsidRDefault="00160E7F">
      <w:pPr>
        <w:pStyle w:val="BodyText"/>
      </w:pPr>
    </w:p>
    <w:p w14:paraId="3CD66152" w14:textId="77777777" w:rsidR="00160E7F" w:rsidRDefault="00160E7F">
      <w:pPr>
        <w:pStyle w:val="BodyText"/>
      </w:pPr>
    </w:p>
    <w:p w14:paraId="07606859" w14:textId="77777777" w:rsidR="00160E7F" w:rsidRDefault="00160E7F">
      <w:pPr>
        <w:pStyle w:val="BodyText"/>
        <w:spacing w:before="8"/>
        <w:rPr>
          <w:sz w:val="17"/>
        </w:rPr>
      </w:pPr>
    </w:p>
    <w:p w14:paraId="188FE4D8" w14:textId="77777777" w:rsidR="00160E7F" w:rsidRDefault="002B0299">
      <w:pPr>
        <w:spacing w:before="1" w:line="280" w:lineRule="auto"/>
        <w:ind w:left="701" w:right="2193"/>
        <w:rPr>
          <w:sz w:val="20"/>
        </w:rPr>
      </w:pPr>
      <w:r>
        <w:rPr>
          <w:i/>
          <w:color w:val="231F20"/>
          <w:sz w:val="20"/>
        </w:rPr>
        <w:t xml:space="preserve">The Environment Protection Authority and councils work to systematically identify potentially contaminated land. </w:t>
      </w:r>
      <w:r>
        <w:rPr>
          <w:color w:val="231F20"/>
          <w:sz w:val="20"/>
        </w:rPr>
        <w:t>(recommendation 1)</w:t>
      </w:r>
    </w:p>
    <w:p w14:paraId="634AE305" w14:textId="77777777" w:rsidR="00160E7F" w:rsidRDefault="002B0299">
      <w:pPr>
        <w:pStyle w:val="BodyText"/>
        <w:spacing w:before="172"/>
        <w:ind w:left="134" w:right="789"/>
      </w:pPr>
      <w:r>
        <w:rPr>
          <w:color w:val="58595B"/>
        </w:rPr>
        <w:t>And</w:t>
      </w:r>
    </w:p>
    <w:p w14:paraId="4AF42BA1" w14:textId="77777777" w:rsidR="00160E7F" w:rsidRDefault="00160E7F">
      <w:pPr>
        <w:pStyle w:val="BodyText"/>
        <w:spacing w:before="9"/>
        <w:rPr>
          <w:sz w:val="11"/>
        </w:rPr>
      </w:pPr>
    </w:p>
    <w:p w14:paraId="143AA026" w14:textId="77777777" w:rsidR="00160E7F" w:rsidRDefault="002B0299">
      <w:pPr>
        <w:spacing w:before="74" w:line="280" w:lineRule="auto"/>
        <w:ind w:left="701" w:right="1433"/>
        <w:rPr>
          <w:sz w:val="11"/>
        </w:rPr>
      </w:pPr>
      <w:r>
        <w:rPr>
          <w:i/>
          <w:color w:val="231F20"/>
          <w:sz w:val="20"/>
        </w:rPr>
        <w:t xml:space="preserve">The Environment Protection Authority maintains a centralised register of potentially contaminated land. </w:t>
      </w:r>
      <w:r>
        <w:rPr>
          <w:color w:val="231F20"/>
          <w:sz w:val="20"/>
        </w:rPr>
        <w:t>(recommendation 2)</w:t>
      </w:r>
      <w:r>
        <w:rPr>
          <w:color w:val="231F20"/>
          <w:position w:val="7"/>
          <w:sz w:val="11"/>
        </w:rPr>
        <w:t>20</w:t>
      </w:r>
    </w:p>
    <w:p w14:paraId="281E916C" w14:textId="77777777" w:rsidR="00160E7F" w:rsidRDefault="002B0299">
      <w:pPr>
        <w:pStyle w:val="BodyText"/>
        <w:spacing w:before="172" w:line="280" w:lineRule="auto"/>
        <w:ind w:left="134" w:right="789"/>
      </w:pPr>
      <w:r>
        <w:rPr>
          <w:color w:val="58595B"/>
        </w:rPr>
        <w:t>The Municipal Association of Victoria supported a statewide database, noting it would be a useful resource for local government and would provide access to valuable existing data:</w:t>
      </w:r>
    </w:p>
    <w:p w14:paraId="37BD97E1" w14:textId="77777777" w:rsidR="00160E7F" w:rsidRDefault="002B0299">
      <w:pPr>
        <w:spacing w:before="172" w:line="280" w:lineRule="auto"/>
        <w:ind w:left="701" w:right="2233"/>
        <w:rPr>
          <w:sz w:val="20"/>
        </w:rPr>
      </w:pPr>
      <w:r>
        <w:rPr>
          <w:i/>
          <w:color w:val="231F20"/>
          <w:sz w:val="20"/>
        </w:rPr>
        <w:t xml:space="preserve">The EPA has access to significant records that could be utilised to identify and map potentially contaminated land in a GIS layer compatible with council systems. </w:t>
      </w:r>
      <w:r>
        <w:rPr>
          <w:color w:val="231F20"/>
          <w:sz w:val="20"/>
        </w:rPr>
        <w:t>(Municipal Association of Victoria submission, p. 18)</w:t>
      </w:r>
    </w:p>
    <w:p w14:paraId="7F785CB0" w14:textId="645DB389" w:rsidR="00160E7F" w:rsidRDefault="002B0299">
      <w:pPr>
        <w:pStyle w:val="BodyText"/>
        <w:spacing w:before="172" w:line="280" w:lineRule="auto"/>
        <w:ind w:left="134" w:right="1609"/>
      </w:pPr>
      <w:r>
        <w:rPr>
          <w:color w:val="58595B"/>
        </w:rPr>
        <w:t xml:space="preserve">The </w:t>
      </w:r>
      <w:r>
        <w:rPr>
          <w:color w:val="58595B"/>
          <w:spacing w:val="-4"/>
        </w:rPr>
        <w:t xml:space="preserve">EPA </w:t>
      </w:r>
      <w:r>
        <w:rPr>
          <w:color w:val="58595B"/>
        </w:rPr>
        <w:t xml:space="preserve">and local government planners could use </w:t>
      </w:r>
      <w:r w:rsidR="007F382C">
        <w:rPr>
          <w:color w:val="58595B"/>
        </w:rPr>
        <w:t xml:space="preserve">the database to screen for high </w:t>
      </w:r>
      <w:r>
        <w:rPr>
          <w:color w:val="58595B"/>
        </w:rPr>
        <w:t>risk sites and ensure that these are managed appropriately, including via the environmental audit</w:t>
      </w:r>
      <w:r>
        <w:rPr>
          <w:color w:val="58595B"/>
          <w:spacing w:val="-10"/>
        </w:rPr>
        <w:t xml:space="preserve"> </w:t>
      </w:r>
      <w:r>
        <w:rPr>
          <w:color w:val="58595B"/>
          <w:spacing w:val="-3"/>
        </w:rPr>
        <w:t>overlay.</w:t>
      </w:r>
    </w:p>
    <w:p w14:paraId="4788D6DB" w14:textId="77777777" w:rsidR="00160E7F" w:rsidRDefault="002B0299">
      <w:pPr>
        <w:pStyle w:val="BodyText"/>
        <w:spacing w:before="2" w:line="280" w:lineRule="auto"/>
        <w:ind w:left="134" w:right="1900"/>
        <w:rPr>
          <w:sz w:val="11"/>
        </w:rPr>
      </w:pPr>
      <w:r>
        <w:rPr>
          <w:color w:val="58595B"/>
        </w:rPr>
        <w:t>Planners could also use the database to remove the overlay where it is not required, based on the risk assessment. This would address some of the problems with unnecessary and costly assessments.</w:t>
      </w:r>
      <w:r>
        <w:rPr>
          <w:color w:val="58595B"/>
          <w:position w:val="7"/>
          <w:sz w:val="11"/>
        </w:rPr>
        <w:t>21</w:t>
      </w:r>
    </w:p>
    <w:p w14:paraId="67A76067" w14:textId="77777777" w:rsidR="00160E7F" w:rsidRDefault="002B0299">
      <w:pPr>
        <w:pStyle w:val="BodyText"/>
        <w:spacing w:before="172" w:line="280" w:lineRule="auto"/>
        <w:ind w:left="134" w:right="1378"/>
        <w:rPr>
          <w:sz w:val="11"/>
        </w:rPr>
      </w:pPr>
      <w:r>
        <w:rPr>
          <w:color w:val="58595B"/>
        </w:rPr>
        <w:t>The database should include EPA information about sites that are subject to action (currently recorded on its Priority Sites Register) and sites that have been assessed for contamination through the audit system – that is, where there are known/confirmed risks and where remediation measures have been undertaken. The database should also be publicly available, and guide the community about the risk status of sites. For this reason, we consider it appropriate to rename the Priority Sites Register.</w:t>
      </w:r>
      <w:r>
        <w:rPr>
          <w:color w:val="58595B"/>
          <w:position w:val="7"/>
          <w:sz w:val="11"/>
        </w:rPr>
        <w:t>22</w:t>
      </w:r>
    </w:p>
    <w:p w14:paraId="1B2A4F40" w14:textId="77777777" w:rsidR="00160E7F" w:rsidRDefault="002B0299">
      <w:pPr>
        <w:spacing w:before="172" w:line="280" w:lineRule="auto"/>
        <w:ind w:left="701" w:right="2102"/>
        <w:rPr>
          <w:i/>
          <w:sz w:val="20"/>
        </w:rPr>
      </w:pPr>
      <w:r>
        <w:rPr>
          <w:i/>
          <w:color w:val="231F20"/>
          <w:sz w:val="20"/>
        </w:rPr>
        <w:t xml:space="preserve">…the LIV supports the development of formal registers and databases in collaboration with other relevant bodies (that is, </w:t>
      </w:r>
      <w:r>
        <w:rPr>
          <w:i/>
          <w:color w:val="231F20"/>
          <w:spacing w:val="-2"/>
          <w:sz w:val="20"/>
        </w:rPr>
        <w:t xml:space="preserve">DELWP, </w:t>
      </w:r>
      <w:r>
        <w:rPr>
          <w:i/>
          <w:color w:val="231F20"/>
          <w:sz w:val="20"/>
        </w:rPr>
        <w:t>Sustainability Victoria and the Commissioner for Environmental Sustainability), using modern data sharing  and analysis technologies, to provide an accessible and transparent means</w:t>
      </w:r>
      <w:r>
        <w:rPr>
          <w:i/>
          <w:color w:val="231F20"/>
          <w:spacing w:val="-4"/>
          <w:sz w:val="20"/>
        </w:rPr>
        <w:t xml:space="preserve"> </w:t>
      </w:r>
      <w:r>
        <w:rPr>
          <w:i/>
          <w:color w:val="231F20"/>
          <w:sz w:val="20"/>
        </w:rPr>
        <w:t>through</w:t>
      </w:r>
    </w:p>
    <w:p w14:paraId="412EF915" w14:textId="77777777" w:rsidR="00160E7F" w:rsidRDefault="002B0299">
      <w:pPr>
        <w:spacing w:before="2" w:line="280" w:lineRule="auto"/>
        <w:ind w:left="701" w:right="1433"/>
        <w:rPr>
          <w:sz w:val="20"/>
        </w:rPr>
      </w:pPr>
      <w:r>
        <w:rPr>
          <w:i/>
          <w:color w:val="231F20"/>
          <w:sz w:val="20"/>
        </w:rPr>
        <w:t xml:space="preserve">which users can access relevant information about the environment. </w:t>
      </w:r>
      <w:r>
        <w:rPr>
          <w:color w:val="231F20"/>
          <w:sz w:val="20"/>
        </w:rPr>
        <w:t>(Law Institute of Victoria submission, p. 8)</w:t>
      </w:r>
    </w:p>
    <w:p w14:paraId="42166243" w14:textId="77777777" w:rsidR="00160E7F" w:rsidRDefault="002B0299">
      <w:pPr>
        <w:pStyle w:val="BodyText"/>
        <w:spacing w:before="172" w:line="280" w:lineRule="auto"/>
        <w:ind w:left="134" w:right="1511"/>
        <w:jc w:val="both"/>
        <w:rPr>
          <w:sz w:val="11"/>
        </w:rPr>
      </w:pPr>
      <w:r>
        <w:rPr>
          <w:color w:val="58595B"/>
        </w:rPr>
        <w:t>This proposal complements a general overhaul of access to existing data and risk information. In its submission to the inquiry, Federation University’s Centre for eResearch and Digital Innovation noted that there were significant shortcomings in the EPA’s current information systems.</w:t>
      </w:r>
      <w:r>
        <w:rPr>
          <w:color w:val="58595B"/>
          <w:position w:val="7"/>
          <w:sz w:val="11"/>
        </w:rPr>
        <w:t>23</w:t>
      </w:r>
    </w:p>
    <w:p w14:paraId="6FC470B0" w14:textId="77777777" w:rsidR="00160E7F" w:rsidRDefault="00160E7F">
      <w:pPr>
        <w:pStyle w:val="BodyText"/>
        <w:spacing w:before="10"/>
        <w:rPr>
          <w:sz w:val="19"/>
        </w:rPr>
      </w:pPr>
    </w:p>
    <w:p w14:paraId="5E2413A9" w14:textId="77777777" w:rsidR="00160E7F" w:rsidRDefault="002B0299">
      <w:pPr>
        <w:ind w:left="134" w:right="789"/>
        <w:rPr>
          <w:i/>
          <w:sz w:val="20"/>
        </w:rPr>
      </w:pPr>
      <w:r>
        <w:rPr>
          <w:i/>
          <w:color w:val="6D6E71"/>
          <w:sz w:val="20"/>
        </w:rPr>
        <w:t>Reviewing policy settings for groundwater clean up</w:t>
      </w:r>
    </w:p>
    <w:p w14:paraId="291320D3" w14:textId="77777777" w:rsidR="00160E7F" w:rsidRDefault="002B0299">
      <w:pPr>
        <w:pStyle w:val="BodyText"/>
        <w:spacing w:before="125" w:line="280" w:lineRule="auto"/>
        <w:ind w:left="134" w:right="912"/>
      </w:pPr>
      <w:r>
        <w:rPr>
          <w:color w:val="58595B"/>
        </w:rPr>
        <w:t>We also heard from stakeholders about problems with the current statutory policy framework for managing contaminated environments. In particular, stakeholders advocated a more risk-based approach to audit requirements, particularly relating to groundwater contamination in urban areas:</w:t>
      </w:r>
    </w:p>
    <w:p w14:paraId="5DDEFDBE" w14:textId="77777777" w:rsidR="00160E7F" w:rsidRDefault="002B0299">
      <w:pPr>
        <w:spacing w:before="172" w:line="280" w:lineRule="auto"/>
        <w:ind w:left="701" w:right="2193"/>
        <w:rPr>
          <w:sz w:val="20"/>
        </w:rPr>
      </w:pPr>
      <w:r>
        <w:rPr>
          <w:i/>
          <w:color w:val="231F20"/>
          <w:sz w:val="20"/>
        </w:rPr>
        <w:t xml:space="preserve">Currently, the amount of effort involved in auditing a potentially contaminated environment is not always representative of the level of risk posed by the contamination. </w:t>
      </w:r>
      <w:r>
        <w:rPr>
          <w:color w:val="231F20"/>
          <w:sz w:val="20"/>
        </w:rPr>
        <w:t>(Property Council of Australia submission, p. 3)</w:t>
      </w:r>
    </w:p>
    <w:p w14:paraId="4EB9399D" w14:textId="77777777" w:rsidR="00160E7F" w:rsidRDefault="002B0299">
      <w:pPr>
        <w:spacing w:before="172" w:line="280" w:lineRule="auto"/>
        <w:ind w:left="701" w:right="2071"/>
        <w:rPr>
          <w:sz w:val="20"/>
        </w:rPr>
      </w:pPr>
      <w:r>
        <w:rPr>
          <w:i/>
          <w:color w:val="231F20"/>
          <w:sz w:val="20"/>
        </w:rPr>
        <w:t>…a</w:t>
      </w:r>
      <w:r>
        <w:rPr>
          <w:i/>
          <w:color w:val="231F20"/>
          <w:spacing w:val="-10"/>
          <w:sz w:val="20"/>
        </w:rPr>
        <w:t xml:space="preserve"> </w:t>
      </w:r>
      <w:r>
        <w:rPr>
          <w:i/>
          <w:color w:val="231F20"/>
          <w:sz w:val="20"/>
        </w:rPr>
        <w:t>more</w:t>
      </w:r>
      <w:r>
        <w:rPr>
          <w:i/>
          <w:color w:val="231F20"/>
          <w:spacing w:val="-10"/>
          <w:sz w:val="20"/>
        </w:rPr>
        <w:t xml:space="preserve"> </w:t>
      </w:r>
      <w:r>
        <w:rPr>
          <w:i/>
          <w:color w:val="231F20"/>
          <w:sz w:val="20"/>
        </w:rPr>
        <w:t>pragmatic</w:t>
      </w:r>
      <w:r>
        <w:rPr>
          <w:i/>
          <w:color w:val="231F20"/>
          <w:spacing w:val="-10"/>
          <w:sz w:val="20"/>
        </w:rPr>
        <w:t xml:space="preserve"> </w:t>
      </w:r>
      <w:r>
        <w:rPr>
          <w:i/>
          <w:color w:val="231F20"/>
          <w:sz w:val="20"/>
        </w:rPr>
        <w:t>approach</w:t>
      </w:r>
      <w:r>
        <w:rPr>
          <w:i/>
          <w:color w:val="231F20"/>
          <w:spacing w:val="-10"/>
          <w:sz w:val="20"/>
        </w:rPr>
        <w:t xml:space="preserve"> </w:t>
      </w:r>
      <w:r>
        <w:rPr>
          <w:i/>
          <w:color w:val="231F20"/>
          <w:sz w:val="20"/>
        </w:rPr>
        <w:t>to</w:t>
      </w:r>
      <w:r>
        <w:rPr>
          <w:i/>
          <w:color w:val="231F20"/>
          <w:spacing w:val="-10"/>
          <w:sz w:val="20"/>
        </w:rPr>
        <w:t xml:space="preserve"> </w:t>
      </w:r>
      <w:r>
        <w:rPr>
          <w:i/>
          <w:color w:val="231F20"/>
          <w:sz w:val="20"/>
        </w:rPr>
        <w:t>how</w:t>
      </w:r>
      <w:r>
        <w:rPr>
          <w:i/>
          <w:color w:val="231F20"/>
          <w:spacing w:val="-10"/>
          <w:sz w:val="20"/>
        </w:rPr>
        <w:t xml:space="preserve"> </w:t>
      </w:r>
      <w:r>
        <w:rPr>
          <w:i/>
          <w:color w:val="231F20"/>
          <w:sz w:val="20"/>
        </w:rPr>
        <w:t>to</w:t>
      </w:r>
      <w:r>
        <w:rPr>
          <w:i/>
          <w:color w:val="231F20"/>
          <w:spacing w:val="-10"/>
          <w:sz w:val="20"/>
        </w:rPr>
        <w:t xml:space="preserve"> </w:t>
      </w:r>
      <w:r>
        <w:rPr>
          <w:i/>
          <w:color w:val="231F20"/>
          <w:sz w:val="20"/>
        </w:rPr>
        <w:t>Clean</w:t>
      </w:r>
      <w:r>
        <w:rPr>
          <w:i/>
          <w:color w:val="231F20"/>
          <w:spacing w:val="-10"/>
          <w:sz w:val="20"/>
        </w:rPr>
        <w:t xml:space="preserve"> </w:t>
      </w:r>
      <w:r>
        <w:rPr>
          <w:i/>
          <w:color w:val="231F20"/>
          <w:sz w:val="20"/>
        </w:rPr>
        <w:t>Up</w:t>
      </w:r>
      <w:r>
        <w:rPr>
          <w:i/>
          <w:color w:val="231F20"/>
          <w:spacing w:val="-10"/>
          <w:sz w:val="20"/>
        </w:rPr>
        <w:t xml:space="preserve"> </w:t>
      </w:r>
      <w:r>
        <w:rPr>
          <w:i/>
          <w:color w:val="231F20"/>
          <w:sz w:val="20"/>
        </w:rPr>
        <w:t>to</w:t>
      </w:r>
      <w:r>
        <w:rPr>
          <w:i/>
          <w:color w:val="231F20"/>
          <w:spacing w:val="-10"/>
          <w:sz w:val="20"/>
        </w:rPr>
        <w:t xml:space="preserve"> </w:t>
      </w:r>
      <w:r>
        <w:rPr>
          <w:i/>
          <w:color w:val="231F20"/>
          <w:sz w:val="20"/>
        </w:rPr>
        <w:t>the</w:t>
      </w:r>
      <w:r>
        <w:rPr>
          <w:i/>
          <w:color w:val="231F20"/>
          <w:spacing w:val="-10"/>
          <w:sz w:val="20"/>
        </w:rPr>
        <w:t xml:space="preserve"> </w:t>
      </w:r>
      <w:r>
        <w:rPr>
          <w:i/>
          <w:color w:val="231F20"/>
          <w:sz w:val="20"/>
        </w:rPr>
        <w:t>Extent</w:t>
      </w:r>
      <w:r>
        <w:rPr>
          <w:i/>
          <w:color w:val="231F20"/>
          <w:spacing w:val="-10"/>
          <w:sz w:val="20"/>
        </w:rPr>
        <w:t xml:space="preserve"> </w:t>
      </w:r>
      <w:r>
        <w:rPr>
          <w:i/>
          <w:color w:val="231F20"/>
          <w:sz w:val="20"/>
        </w:rPr>
        <w:t>Practicable</w:t>
      </w:r>
      <w:r>
        <w:rPr>
          <w:i/>
          <w:color w:val="231F20"/>
          <w:spacing w:val="-10"/>
          <w:sz w:val="20"/>
        </w:rPr>
        <w:t xml:space="preserve"> </w:t>
      </w:r>
      <w:r>
        <w:rPr>
          <w:i/>
          <w:color w:val="231F20"/>
          <w:spacing w:val="-3"/>
          <w:sz w:val="20"/>
        </w:rPr>
        <w:t xml:space="preserve">(CUTEP) </w:t>
      </w:r>
      <w:r>
        <w:rPr>
          <w:i/>
          <w:color w:val="231F20"/>
          <w:sz w:val="20"/>
        </w:rPr>
        <w:t xml:space="preserve">[requirement for </w:t>
      </w:r>
      <w:r>
        <w:rPr>
          <w:i/>
          <w:color w:val="231F20"/>
          <w:spacing w:val="-3"/>
          <w:sz w:val="20"/>
        </w:rPr>
        <w:t xml:space="preserve">groundwater] </w:t>
      </w:r>
      <w:r>
        <w:rPr>
          <w:i/>
          <w:color w:val="231F20"/>
          <w:sz w:val="20"/>
        </w:rPr>
        <w:t xml:space="preserve">can be </w:t>
      </w:r>
      <w:r>
        <w:rPr>
          <w:i/>
          <w:color w:val="231F20"/>
          <w:spacing w:val="-3"/>
          <w:sz w:val="20"/>
        </w:rPr>
        <w:t xml:space="preserve">achieved </w:t>
      </w:r>
      <w:r>
        <w:rPr>
          <w:i/>
          <w:color w:val="231F20"/>
          <w:sz w:val="20"/>
        </w:rPr>
        <w:t xml:space="preserve">without the arduous </w:t>
      </w:r>
      <w:r>
        <w:rPr>
          <w:i/>
          <w:color w:val="231F20"/>
          <w:spacing w:val="-4"/>
          <w:sz w:val="20"/>
        </w:rPr>
        <w:t xml:space="preserve">(and </w:t>
      </w:r>
      <w:r>
        <w:rPr>
          <w:i/>
          <w:color w:val="231F20"/>
          <w:sz w:val="20"/>
        </w:rPr>
        <w:t>often unnecessary) requirement to complete a 53X Audit … Need to re-evaluate the approach</w:t>
      </w:r>
      <w:r>
        <w:rPr>
          <w:i/>
          <w:color w:val="231F20"/>
          <w:spacing w:val="-14"/>
          <w:sz w:val="20"/>
        </w:rPr>
        <w:t xml:space="preserve"> </w:t>
      </w:r>
      <w:r>
        <w:rPr>
          <w:i/>
          <w:color w:val="231F20"/>
          <w:sz w:val="20"/>
        </w:rPr>
        <w:t>to</w:t>
      </w:r>
      <w:r>
        <w:rPr>
          <w:i/>
          <w:color w:val="231F20"/>
          <w:spacing w:val="-14"/>
          <w:sz w:val="20"/>
        </w:rPr>
        <w:t xml:space="preserve"> </w:t>
      </w:r>
      <w:r>
        <w:rPr>
          <w:i/>
          <w:color w:val="231F20"/>
          <w:sz w:val="20"/>
        </w:rPr>
        <w:t>groundwater</w:t>
      </w:r>
      <w:r>
        <w:rPr>
          <w:i/>
          <w:color w:val="231F20"/>
          <w:spacing w:val="-14"/>
          <w:sz w:val="20"/>
        </w:rPr>
        <w:t xml:space="preserve"> </w:t>
      </w:r>
      <w:r>
        <w:rPr>
          <w:i/>
          <w:color w:val="231F20"/>
          <w:sz w:val="20"/>
        </w:rPr>
        <w:t>beneficial</w:t>
      </w:r>
      <w:r>
        <w:rPr>
          <w:i/>
          <w:color w:val="231F20"/>
          <w:spacing w:val="-14"/>
          <w:sz w:val="20"/>
        </w:rPr>
        <w:t xml:space="preserve"> </w:t>
      </w:r>
      <w:r>
        <w:rPr>
          <w:i/>
          <w:color w:val="231F20"/>
          <w:sz w:val="20"/>
        </w:rPr>
        <w:t>uses,</w:t>
      </w:r>
      <w:r>
        <w:rPr>
          <w:i/>
          <w:color w:val="231F20"/>
          <w:spacing w:val="-14"/>
          <w:sz w:val="20"/>
        </w:rPr>
        <w:t xml:space="preserve"> </w:t>
      </w:r>
      <w:r>
        <w:rPr>
          <w:i/>
          <w:color w:val="231F20"/>
          <w:sz w:val="20"/>
        </w:rPr>
        <w:t>in</w:t>
      </w:r>
      <w:r>
        <w:rPr>
          <w:i/>
          <w:color w:val="231F20"/>
          <w:spacing w:val="-14"/>
          <w:sz w:val="20"/>
        </w:rPr>
        <w:t xml:space="preserve"> </w:t>
      </w:r>
      <w:r>
        <w:rPr>
          <w:i/>
          <w:color w:val="231F20"/>
          <w:sz w:val="20"/>
        </w:rPr>
        <w:t>particular</w:t>
      </w:r>
      <w:r>
        <w:rPr>
          <w:i/>
          <w:color w:val="231F20"/>
          <w:spacing w:val="-14"/>
          <w:sz w:val="20"/>
        </w:rPr>
        <w:t xml:space="preserve"> </w:t>
      </w:r>
      <w:r>
        <w:rPr>
          <w:i/>
          <w:color w:val="231F20"/>
          <w:sz w:val="20"/>
        </w:rPr>
        <w:t>their</w:t>
      </w:r>
      <w:r>
        <w:rPr>
          <w:i/>
          <w:color w:val="231F20"/>
          <w:spacing w:val="-14"/>
          <w:sz w:val="20"/>
        </w:rPr>
        <w:t xml:space="preserve"> </w:t>
      </w:r>
      <w:r>
        <w:rPr>
          <w:i/>
          <w:color w:val="231F20"/>
          <w:sz w:val="20"/>
        </w:rPr>
        <w:t>protection</w:t>
      </w:r>
      <w:r>
        <w:rPr>
          <w:i/>
          <w:color w:val="231F20"/>
          <w:spacing w:val="-14"/>
          <w:sz w:val="20"/>
        </w:rPr>
        <w:t xml:space="preserve"> </w:t>
      </w:r>
      <w:r>
        <w:rPr>
          <w:i/>
          <w:color w:val="231F20"/>
          <w:sz w:val="20"/>
        </w:rPr>
        <w:t>within</w:t>
      </w:r>
      <w:r>
        <w:rPr>
          <w:i/>
          <w:color w:val="231F20"/>
          <w:spacing w:val="-14"/>
          <w:sz w:val="20"/>
        </w:rPr>
        <w:t xml:space="preserve"> </w:t>
      </w:r>
      <w:r>
        <w:rPr>
          <w:i/>
          <w:color w:val="231F20"/>
          <w:sz w:val="20"/>
        </w:rPr>
        <w:t>an</w:t>
      </w:r>
      <w:r>
        <w:rPr>
          <w:i/>
          <w:color w:val="231F20"/>
          <w:spacing w:val="-14"/>
          <w:sz w:val="20"/>
        </w:rPr>
        <w:t xml:space="preserve"> </w:t>
      </w:r>
      <w:r>
        <w:rPr>
          <w:i/>
          <w:color w:val="231F20"/>
          <w:sz w:val="20"/>
        </w:rPr>
        <w:t>urban setting</w:t>
      </w:r>
      <w:r>
        <w:rPr>
          <w:i/>
          <w:color w:val="231F20"/>
          <w:spacing w:val="-8"/>
          <w:sz w:val="20"/>
        </w:rPr>
        <w:t xml:space="preserve"> </w:t>
      </w:r>
      <w:r>
        <w:rPr>
          <w:i/>
          <w:color w:val="231F20"/>
          <w:sz w:val="20"/>
        </w:rPr>
        <w:t>…</w:t>
      </w:r>
      <w:r>
        <w:rPr>
          <w:i/>
          <w:color w:val="231F20"/>
          <w:spacing w:val="-8"/>
          <w:sz w:val="20"/>
        </w:rPr>
        <w:t xml:space="preserve"> </w:t>
      </w:r>
      <w:r>
        <w:rPr>
          <w:i/>
          <w:color w:val="231F20"/>
          <w:sz w:val="20"/>
        </w:rPr>
        <w:t>should</w:t>
      </w:r>
      <w:r>
        <w:rPr>
          <w:i/>
          <w:color w:val="231F20"/>
          <w:spacing w:val="-8"/>
          <w:sz w:val="20"/>
        </w:rPr>
        <w:t xml:space="preserve"> </w:t>
      </w:r>
      <w:r>
        <w:rPr>
          <w:i/>
          <w:color w:val="231F20"/>
          <w:sz w:val="20"/>
        </w:rPr>
        <w:t>be</w:t>
      </w:r>
      <w:r>
        <w:rPr>
          <w:i/>
          <w:color w:val="231F20"/>
          <w:spacing w:val="-8"/>
          <w:sz w:val="20"/>
        </w:rPr>
        <w:t xml:space="preserve"> </w:t>
      </w:r>
      <w:r>
        <w:rPr>
          <w:i/>
          <w:color w:val="231F20"/>
          <w:sz w:val="20"/>
        </w:rPr>
        <w:t>based</w:t>
      </w:r>
      <w:r>
        <w:rPr>
          <w:i/>
          <w:color w:val="231F20"/>
          <w:spacing w:val="-8"/>
          <w:sz w:val="20"/>
        </w:rPr>
        <w:t xml:space="preserve"> </w:t>
      </w:r>
      <w:r>
        <w:rPr>
          <w:i/>
          <w:color w:val="231F20"/>
          <w:sz w:val="20"/>
        </w:rPr>
        <w:t>on</w:t>
      </w:r>
      <w:r>
        <w:rPr>
          <w:i/>
          <w:color w:val="231F20"/>
          <w:spacing w:val="-8"/>
          <w:sz w:val="20"/>
        </w:rPr>
        <w:t xml:space="preserve"> </w:t>
      </w:r>
      <w:r>
        <w:rPr>
          <w:i/>
          <w:color w:val="231F20"/>
          <w:sz w:val="20"/>
        </w:rPr>
        <w:t>the</w:t>
      </w:r>
      <w:r>
        <w:rPr>
          <w:i/>
          <w:color w:val="231F20"/>
          <w:spacing w:val="-8"/>
          <w:sz w:val="20"/>
        </w:rPr>
        <w:t xml:space="preserve"> </w:t>
      </w:r>
      <w:r>
        <w:rPr>
          <w:i/>
          <w:color w:val="231F20"/>
          <w:spacing w:val="-3"/>
          <w:sz w:val="20"/>
        </w:rPr>
        <w:t>value</w:t>
      </w:r>
      <w:r>
        <w:rPr>
          <w:i/>
          <w:color w:val="231F20"/>
          <w:spacing w:val="-8"/>
          <w:sz w:val="20"/>
        </w:rPr>
        <w:t xml:space="preserve"> </w:t>
      </w:r>
      <w:r>
        <w:rPr>
          <w:i/>
          <w:color w:val="231F20"/>
          <w:sz w:val="20"/>
        </w:rPr>
        <w:t>of</w:t>
      </w:r>
      <w:r>
        <w:rPr>
          <w:i/>
          <w:color w:val="231F20"/>
          <w:spacing w:val="-8"/>
          <w:sz w:val="20"/>
        </w:rPr>
        <w:t xml:space="preserve"> </w:t>
      </w:r>
      <w:r>
        <w:rPr>
          <w:i/>
          <w:color w:val="231F20"/>
          <w:sz w:val="20"/>
        </w:rPr>
        <w:t>the</w:t>
      </w:r>
      <w:r>
        <w:rPr>
          <w:i/>
          <w:color w:val="231F20"/>
          <w:spacing w:val="-8"/>
          <w:sz w:val="20"/>
        </w:rPr>
        <w:t xml:space="preserve"> </w:t>
      </w:r>
      <w:r>
        <w:rPr>
          <w:i/>
          <w:color w:val="231F20"/>
          <w:sz w:val="20"/>
        </w:rPr>
        <w:t>resource</w:t>
      </w:r>
      <w:r>
        <w:rPr>
          <w:i/>
          <w:color w:val="231F20"/>
          <w:spacing w:val="-8"/>
          <w:sz w:val="20"/>
        </w:rPr>
        <w:t xml:space="preserve"> </w:t>
      </w:r>
      <w:r>
        <w:rPr>
          <w:i/>
          <w:color w:val="231F20"/>
          <w:sz w:val="20"/>
        </w:rPr>
        <w:t>in</w:t>
      </w:r>
      <w:r>
        <w:rPr>
          <w:i/>
          <w:color w:val="231F20"/>
          <w:spacing w:val="-8"/>
          <w:sz w:val="20"/>
        </w:rPr>
        <w:t xml:space="preserve"> </w:t>
      </w:r>
      <w:r>
        <w:rPr>
          <w:i/>
          <w:color w:val="231F20"/>
          <w:sz w:val="20"/>
        </w:rPr>
        <w:t>terms</w:t>
      </w:r>
      <w:r>
        <w:rPr>
          <w:i/>
          <w:color w:val="231F20"/>
          <w:spacing w:val="-8"/>
          <w:sz w:val="20"/>
        </w:rPr>
        <w:t xml:space="preserve"> </w:t>
      </w:r>
      <w:r>
        <w:rPr>
          <w:i/>
          <w:color w:val="231F20"/>
          <w:sz w:val="20"/>
        </w:rPr>
        <w:t>of</w:t>
      </w:r>
      <w:r>
        <w:rPr>
          <w:i/>
          <w:color w:val="231F20"/>
          <w:spacing w:val="-8"/>
          <w:sz w:val="20"/>
        </w:rPr>
        <w:t xml:space="preserve"> </w:t>
      </w:r>
      <w:r>
        <w:rPr>
          <w:i/>
          <w:color w:val="231F20"/>
          <w:sz w:val="20"/>
        </w:rPr>
        <w:t>its</w:t>
      </w:r>
      <w:r>
        <w:rPr>
          <w:i/>
          <w:color w:val="231F20"/>
          <w:spacing w:val="-8"/>
          <w:sz w:val="20"/>
        </w:rPr>
        <w:t xml:space="preserve"> </w:t>
      </w:r>
      <w:r>
        <w:rPr>
          <w:i/>
          <w:color w:val="231F20"/>
          <w:spacing w:val="-3"/>
          <w:sz w:val="20"/>
        </w:rPr>
        <w:t>potential</w:t>
      </w:r>
      <w:r>
        <w:rPr>
          <w:i/>
          <w:color w:val="231F20"/>
          <w:spacing w:val="-8"/>
          <w:sz w:val="20"/>
        </w:rPr>
        <w:t xml:space="preserve"> </w:t>
      </w:r>
      <w:r>
        <w:rPr>
          <w:i/>
          <w:color w:val="231F20"/>
          <w:spacing w:val="-5"/>
          <w:sz w:val="20"/>
        </w:rPr>
        <w:t xml:space="preserve">use… </w:t>
      </w:r>
      <w:r>
        <w:rPr>
          <w:color w:val="231F20"/>
          <w:spacing w:val="-3"/>
          <w:sz w:val="20"/>
        </w:rPr>
        <w:t>(Australian</w:t>
      </w:r>
      <w:r>
        <w:rPr>
          <w:color w:val="231F20"/>
          <w:spacing w:val="-13"/>
          <w:sz w:val="20"/>
        </w:rPr>
        <w:t xml:space="preserve"> </w:t>
      </w:r>
      <w:r>
        <w:rPr>
          <w:color w:val="231F20"/>
          <w:sz w:val="20"/>
        </w:rPr>
        <w:t>Contaminated</w:t>
      </w:r>
      <w:r>
        <w:rPr>
          <w:color w:val="231F20"/>
          <w:spacing w:val="-13"/>
          <w:sz w:val="20"/>
        </w:rPr>
        <w:t xml:space="preserve"> </w:t>
      </w:r>
      <w:r>
        <w:rPr>
          <w:color w:val="231F20"/>
          <w:sz w:val="20"/>
        </w:rPr>
        <w:t>Land</w:t>
      </w:r>
      <w:r>
        <w:rPr>
          <w:color w:val="231F20"/>
          <w:spacing w:val="-13"/>
          <w:sz w:val="20"/>
        </w:rPr>
        <w:t xml:space="preserve"> </w:t>
      </w:r>
      <w:r>
        <w:rPr>
          <w:color w:val="231F20"/>
          <w:sz w:val="20"/>
        </w:rPr>
        <w:t>Consultants</w:t>
      </w:r>
      <w:r>
        <w:rPr>
          <w:color w:val="231F20"/>
          <w:spacing w:val="-13"/>
          <w:sz w:val="20"/>
        </w:rPr>
        <w:t xml:space="preserve"> </w:t>
      </w:r>
      <w:r>
        <w:rPr>
          <w:color w:val="231F20"/>
          <w:sz w:val="20"/>
        </w:rPr>
        <w:t>Association</w:t>
      </w:r>
      <w:r>
        <w:rPr>
          <w:color w:val="231F20"/>
          <w:spacing w:val="-13"/>
          <w:sz w:val="20"/>
        </w:rPr>
        <w:t xml:space="preserve"> </w:t>
      </w:r>
      <w:r>
        <w:rPr>
          <w:color w:val="231F20"/>
          <w:sz w:val="20"/>
        </w:rPr>
        <w:t>submission,</w:t>
      </w:r>
      <w:r>
        <w:rPr>
          <w:color w:val="231F20"/>
          <w:spacing w:val="-13"/>
          <w:sz w:val="20"/>
        </w:rPr>
        <w:t xml:space="preserve"> </w:t>
      </w:r>
      <w:r>
        <w:rPr>
          <w:color w:val="231F20"/>
          <w:spacing w:val="-3"/>
          <w:sz w:val="20"/>
        </w:rPr>
        <w:t>pp.</w:t>
      </w:r>
      <w:r>
        <w:rPr>
          <w:color w:val="231F20"/>
          <w:spacing w:val="-13"/>
          <w:sz w:val="20"/>
        </w:rPr>
        <w:t xml:space="preserve"> </w:t>
      </w:r>
      <w:r>
        <w:rPr>
          <w:color w:val="231F20"/>
          <w:sz w:val="20"/>
        </w:rPr>
        <w:t>5,</w:t>
      </w:r>
      <w:r>
        <w:rPr>
          <w:color w:val="231F20"/>
          <w:spacing w:val="-13"/>
          <w:sz w:val="20"/>
        </w:rPr>
        <w:t xml:space="preserve"> </w:t>
      </w:r>
      <w:r>
        <w:rPr>
          <w:color w:val="231F20"/>
          <w:spacing w:val="-4"/>
          <w:sz w:val="20"/>
        </w:rPr>
        <w:t>20)</w:t>
      </w:r>
    </w:p>
    <w:p w14:paraId="32E422D7" w14:textId="77777777" w:rsidR="00160E7F" w:rsidRDefault="00160E7F">
      <w:pPr>
        <w:spacing w:line="280" w:lineRule="auto"/>
        <w:rPr>
          <w:sz w:val="20"/>
        </w:rPr>
        <w:sectPr w:rsidR="00160E7F">
          <w:pgSz w:w="11910" w:h="16840"/>
          <w:pgMar w:top="980" w:right="0" w:bottom="280" w:left="1680" w:header="788" w:footer="0" w:gutter="0"/>
          <w:cols w:space="720"/>
        </w:sectPr>
      </w:pPr>
    </w:p>
    <w:p w14:paraId="75194DAC" w14:textId="77777777" w:rsidR="00160E7F" w:rsidRDefault="00160E7F">
      <w:pPr>
        <w:pStyle w:val="BodyText"/>
      </w:pPr>
    </w:p>
    <w:p w14:paraId="66C5A8D5" w14:textId="77777777" w:rsidR="00160E7F" w:rsidRDefault="00160E7F">
      <w:pPr>
        <w:pStyle w:val="BodyText"/>
      </w:pPr>
    </w:p>
    <w:p w14:paraId="47EADC34" w14:textId="77777777" w:rsidR="00160E7F" w:rsidRDefault="00160E7F">
      <w:pPr>
        <w:pStyle w:val="BodyText"/>
      </w:pPr>
    </w:p>
    <w:p w14:paraId="180E9527" w14:textId="77777777" w:rsidR="00160E7F" w:rsidRDefault="00160E7F">
      <w:pPr>
        <w:pStyle w:val="BodyText"/>
      </w:pPr>
    </w:p>
    <w:p w14:paraId="027CBFFB" w14:textId="77777777" w:rsidR="00160E7F" w:rsidRDefault="00160E7F">
      <w:pPr>
        <w:pStyle w:val="BodyText"/>
        <w:spacing w:before="8"/>
        <w:rPr>
          <w:sz w:val="17"/>
        </w:rPr>
      </w:pPr>
    </w:p>
    <w:p w14:paraId="06DDA640" w14:textId="77777777" w:rsidR="00160E7F" w:rsidRDefault="002B0299">
      <w:pPr>
        <w:pStyle w:val="BodyText"/>
        <w:spacing w:before="1" w:line="280" w:lineRule="auto"/>
        <w:ind w:left="1417" w:right="142"/>
        <w:rPr>
          <w:sz w:val="11"/>
        </w:rPr>
      </w:pPr>
      <w:r>
        <w:rPr>
          <w:color w:val="58595B"/>
        </w:rPr>
        <w:t>Opportunities for a more pragmatic and ‘precinct-based’ approach to managing groundwater risk in urban areas have been previously identified for the government to consider.</w:t>
      </w:r>
      <w:r>
        <w:rPr>
          <w:color w:val="58595B"/>
          <w:position w:val="7"/>
          <w:sz w:val="11"/>
        </w:rPr>
        <w:t xml:space="preserve">24 </w:t>
      </w:r>
      <w:r>
        <w:rPr>
          <w:color w:val="58595B"/>
        </w:rPr>
        <w:t>An instrument similar to the Groundwater Quality Restricted Use Zone could be introduced across metropolitan Melbourne. This provides a clearly ‘visible’ flag that groundwater is unsuitable for most uses, and provides landowners and developers with greater certainty about their obligations. It could specify the expectations for assessment, risk management and clean up and establish appropriate beneficial uses for urban</w:t>
      </w:r>
      <w:r>
        <w:rPr>
          <w:color w:val="58595B"/>
          <w:spacing w:val="18"/>
        </w:rPr>
        <w:t xml:space="preserve"> </w:t>
      </w:r>
      <w:r>
        <w:rPr>
          <w:color w:val="58595B"/>
        </w:rPr>
        <w:t>areas.</w:t>
      </w:r>
      <w:r>
        <w:rPr>
          <w:color w:val="58595B"/>
          <w:position w:val="7"/>
          <w:sz w:val="11"/>
        </w:rPr>
        <w:t>25</w:t>
      </w:r>
    </w:p>
    <w:p w14:paraId="003FA339" w14:textId="19E21575" w:rsidR="00160E7F" w:rsidRDefault="002B0299">
      <w:pPr>
        <w:pStyle w:val="BodyText"/>
        <w:spacing w:before="172" w:line="280" w:lineRule="auto"/>
        <w:ind w:left="1417" w:right="185"/>
      </w:pPr>
      <w:r>
        <w:rPr>
          <w:color w:val="58595B"/>
        </w:rPr>
        <w:t>The current review of the state environment protection policy also flagged the need for more risk</w:t>
      </w:r>
      <w:r w:rsidR="00B546EF">
        <w:rPr>
          <w:color w:val="58595B"/>
        </w:rPr>
        <w:br/>
      </w:r>
      <w:r>
        <w:rPr>
          <w:color w:val="58595B"/>
        </w:rPr>
        <w:t>based approaches to groundwater contamination:</w:t>
      </w:r>
    </w:p>
    <w:p w14:paraId="24656E22" w14:textId="77777777" w:rsidR="00160E7F" w:rsidRDefault="002B0299">
      <w:pPr>
        <w:spacing w:before="172" w:line="280" w:lineRule="auto"/>
        <w:ind w:left="1984" w:right="817"/>
        <w:rPr>
          <w:sz w:val="11"/>
        </w:rPr>
      </w:pPr>
      <w:r>
        <w:rPr>
          <w:i/>
          <w:color w:val="231F20"/>
          <w:sz w:val="20"/>
        </w:rPr>
        <w:t>Key issues with contaminated groundwater will be the application of a risk-based approach more aligned with the approach for management of contaminated land, and how precinct and sub-regional approaches could account for likely future uses of groundwater. Addressing key issues will provide more certainty for remediation.</w:t>
      </w:r>
      <w:r>
        <w:rPr>
          <w:color w:val="231F20"/>
          <w:position w:val="7"/>
          <w:sz w:val="11"/>
        </w:rPr>
        <w:t>26</w:t>
      </w:r>
    </w:p>
    <w:p w14:paraId="623ECDEB" w14:textId="77777777" w:rsidR="00160E7F" w:rsidRDefault="002B0299">
      <w:pPr>
        <w:pStyle w:val="BodyText"/>
        <w:spacing w:before="172" w:line="280" w:lineRule="auto"/>
        <w:ind w:left="1417" w:right="196"/>
      </w:pPr>
      <w:r>
        <w:rPr>
          <w:color w:val="58595B"/>
        </w:rPr>
        <w:t xml:space="preserve">More efficient, timely and less costly approaches to groundwater were proposed </w:t>
      </w:r>
      <w:r>
        <w:rPr>
          <w:color w:val="58595B"/>
          <w:spacing w:val="-3"/>
        </w:rPr>
        <w:t xml:space="preserve">by </w:t>
      </w:r>
      <w:r>
        <w:rPr>
          <w:color w:val="58595B"/>
        </w:rPr>
        <w:t>both expert practitioners</w:t>
      </w:r>
      <w:r>
        <w:rPr>
          <w:color w:val="58595B"/>
          <w:spacing w:val="-7"/>
        </w:rPr>
        <w:t xml:space="preserve"> </w:t>
      </w:r>
      <w:r>
        <w:rPr>
          <w:color w:val="58595B"/>
        </w:rPr>
        <w:t>and</w:t>
      </w:r>
      <w:r>
        <w:rPr>
          <w:color w:val="58595B"/>
          <w:spacing w:val="-7"/>
        </w:rPr>
        <w:t xml:space="preserve"> </w:t>
      </w:r>
      <w:r>
        <w:rPr>
          <w:color w:val="58595B"/>
        </w:rPr>
        <w:t>the</w:t>
      </w:r>
      <w:r>
        <w:rPr>
          <w:color w:val="58595B"/>
          <w:spacing w:val="-7"/>
        </w:rPr>
        <w:t xml:space="preserve"> </w:t>
      </w:r>
      <w:r>
        <w:rPr>
          <w:color w:val="58595B"/>
        </w:rPr>
        <w:t>property</w:t>
      </w:r>
      <w:r>
        <w:rPr>
          <w:color w:val="58595B"/>
          <w:spacing w:val="-7"/>
        </w:rPr>
        <w:t xml:space="preserve"> </w:t>
      </w:r>
      <w:r>
        <w:rPr>
          <w:color w:val="58595B"/>
        </w:rPr>
        <w:t>development</w:t>
      </w:r>
      <w:r>
        <w:rPr>
          <w:color w:val="58595B"/>
          <w:spacing w:val="-7"/>
        </w:rPr>
        <w:t xml:space="preserve"> </w:t>
      </w:r>
      <w:r>
        <w:rPr>
          <w:color w:val="58595B"/>
        </w:rPr>
        <w:t>industry</w:t>
      </w:r>
      <w:r>
        <w:rPr>
          <w:color w:val="58595B"/>
          <w:spacing w:val="-7"/>
        </w:rPr>
        <w:t xml:space="preserve"> </w:t>
      </w:r>
      <w:r>
        <w:rPr>
          <w:color w:val="58595B"/>
        </w:rPr>
        <w:t>and</w:t>
      </w:r>
      <w:r>
        <w:rPr>
          <w:color w:val="58595B"/>
          <w:spacing w:val="-7"/>
        </w:rPr>
        <w:t xml:space="preserve"> </w:t>
      </w:r>
      <w:r>
        <w:rPr>
          <w:color w:val="58595B"/>
        </w:rPr>
        <w:t>we</w:t>
      </w:r>
      <w:r>
        <w:rPr>
          <w:color w:val="58595B"/>
          <w:spacing w:val="-7"/>
        </w:rPr>
        <w:t xml:space="preserve"> </w:t>
      </w:r>
      <w:r>
        <w:rPr>
          <w:color w:val="58595B"/>
        </w:rPr>
        <w:t>consider</w:t>
      </w:r>
      <w:r>
        <w:rPr>
          <w:color w:val="58595B"/>
          <w:spacing w:val="-7"/>
        </w:rPr>
        <w:t xml:space="preserve"> </w:t>
      </w:r>
      <w:r>
        <w:rPr>
          <w:color w:val="58595B"/>
        </w:rPr>
        <w:t>these</w:t>
      </w:r>
      <w:r>
        <w:rPr>
          <w:color w:val="58595B"/>
          <w:spacing w:val="-7"/>
        </w:rPr>
        <w:t xml:space="preserve"> </w:t>
      </w:r>
      <w:r>
        <w:rPr>
          <w:color w:val="58595B"/>
        </w:rPr>
        <w:t>should</w:t>
      </w:r>
      <w:r>
        <w:rPr>
          <w:color w:val="58595B"/>
          <w:spacing w:val="-7"/>
        </w:rPr>
        <w:t xml:space="preserve"> </w:t>
      </w:r>
      <w:r>
        <w:rPr>
          <w:color w:val="58595B"/>
        </w:rPr>
        <w:t>be</w:t>
      </w:r>
      <w:r>
        <w:rPr>
          <w:color w:val="58595B"/>
          <w:spacing w:val="-7"/>
        </w:rPr>
        <w:t xml:space="preserve"> </w:t>
      </w:r>
      <w:r>
        <w:rPr>
          <w:color w:val="58595B"/>
        </w:rPr>
        <w:t xml:space="preserve">investigated as part of the review of the statutory framework. In particular, risk-based precinct approaches could also account for the </w:t>
      </w:r>
      <w:r>
        <w:rPr>
          <w:color w:val="58595B"/>
          <w:spacing w:val="-3"/>
        </w:rPr>
        <w:t xml:space="preserve">likely </w:t>
      </w:r>
      <w:r>
        <w:rPr>
          <w:color w:val="58595B"/>
        </w:rPr>
        <w:t xml:space="preserve">future uses of </w:t>
      </w:r>
      <w:r>
        <w:rPr>
          <w:color w:val="58595B"/>
          <w:spacing w:val="-3"/>
        </w:rPr>
        <w:t xml:space="preserve">groundwater. </w:t>
      </w:r>
      <w:r>
        <w:rPr>
          <w:color w:val="58595B"/>
        </w:rPr>
        <w:t>The revised policy should consider the appropriate extent of clean up required in urban settings, noting that human health impacts from vapours should be the critical consideration when the potential use of groundwater is limited.</w:t>
      </w:r>
      <w:r>
        <w:rPr>
          <w:color w:val="58595B"/>
          <w:position w:val="7"/>
          <w:sz w:val="11"/>
        </w:rPr>
        <w:t xml:space="preserve">27 </w:t>
      </w:r>
      <w:r>
        <w:rPr>
          <w:color w:val="58595B"/>
        </w:rPr>
        <w:t>A more risk-based approach to remediation would protect human health and balance environmental</w:t>
      </w:r>
      <w:r>
        <w:rPr>
          <w:color w:val="58595B"/>
          <w:spacing w:val="-8"/>
        </w:rPr>
        <w:t xml:space="preserve"> </w:t>
      </w:r>
      <w:r>
        <w:rPr>
          <w:color w:val="58595B"/>
        </w:rPr>
        <w:t>protection</w:t>
      </w:r>
      <w:r>
        <w:rPr>
          <w:color w:val="58595B"/>
          <w:spacing w:val="-8"/>
        </w:rPr>
        <w:t xml:space="preserve"> </w:t>
      </w:r>
      <w:r>
        <w:rPr>
          <w:color w:val="58595B"/>
        </w:rPr>
        <w:t>with</w:t>
      </w:r>
      <w:r>
        <w:rPr>
          <w:color w:val="58595B"/>
          <w:spacing w:val="-8"/>
        </w:rPr>
        <w:t xml:space="preserve"> </w:t>
      </w:r>
      <w:r>
        <w:rPr>
          <w:color w:val="58595B"/>
        </w:rPr>
        <w:t>economic</w:t>
      </w:r>
      <w:r>
        <w:rPr>
          <w:color w:val="58595B"/>
          <w:spacing w:val="-8"/>
        </w:rPr>
        <w:t xml:space="preserve"> </w:t>
      </w:r>
      <w:r>
        <w:rPr>
          <w:color w:val="58595B"/>
        </w:rPr>
        <w:t>viability</w:t>
      </w:r>
      <w:r>
        <w:rPr>
          <w:color w:val="58595B"/>
          <w:spacing w:val="-8"/>
        </w:rPr>
        <w:t xml:space="preserve"> </w:t>
      </w:r>
      <w:r>
        <w:rPr>
          <w:color w:val="58595B"/>
        </w:rPr>
        <w:t>and</w:t>
      </w:r>
      <w:r>
        <w:rPr>
          <w:color w:val="58595B"/>
          <w:spacing w:val="-8"/>
        </w:rPr>
        <w:t xml:space="preserve"> </w:t>
      </w:r>
      <w:r>
        <w:rPr>
          <w:color w:val="58595B"/>
        </w:rPr>
        <w:t>growing</w:t>
      </w:r>
      <w:r>
        <w:rPr>
          <w:color w:val="58595B"/>
          <w:spacing w:val="-8"/>
        </w:rPr>
        <w:t xml:space="preserve"> </w:t>
      </w:r>
      <w:r>
        <w:rPr>
          <w:color w:val="58595B"/>
        </w:rPr>
        <w:t>sustainable</w:t>
      </w:r>
      <w:r>
        <w:rPr>
          <w:color w:val="58595B"/>
          <w:spacing w:val="-8"/>
        </w:rPr>
        <w:t xml:space="preserve"> </w:t>
      </w:r>
      <w:r>
        <w:rPr>
          <w:color w:val="58595B"/>
        </w:rPr>
        <w:t>jobs</w:t>
      </w:r>
      <w:r>
        <w:rPr>
          <w:color w:val="58595B"/>
          <w:spacing w:val="-8"/>
        </w:rPr>
        <w:t xml:space="preserve"> </w:t>
      </w:r>
      <w:r>
        <w:rPr>
          <w:color w:val="58595B"/>
        </w:rPr>
        <w:t>in</w:t>
      </w:r>
      <w:r>
        <w:rPr>
          <w:color w:val="58595B"/>
          <w:spacing w:val="-8"/>
        </w:rPr>
        <w:t xml:space="preserve"> </w:t>
      </w:r>
      <w:r>
        <w:rPr>
          <w:color w:val="58595B"/>
        </w:rPr>
        <w:t>Victoria.</w:t>
      </w:r>
    </w:p>
    <w:p w14:paraId="1E6EA12E" w14:textId="77777777" w:rsidR="00160E7F" w:rsidRDefault="00160E7F">
      <w:pPr>
        <w:pStyle w:val="BodyText"/>
        <w:spacing w:before="1"/>
        <w:rPr>
          <w:sz w:val="19"/>
        </w:rPr>
      </w:pPr>
    </w:p>
    <w:p w14:paraId="152A139E" w14:textId="77777777" w:rsidR="00160E7F" w:rsidRDefault="002B0299">
      <w:pPr>
        <w:pStyle w:val="Heading3"/>
        <w:spacing w:before="0"/>
        <w:ind w:right="789"/>
      </w:pPr>
      <w:r>
        <w:rPr>
          <w:color w:val="0095A7"/>
        </w:rPr>
        <w:t>14.3  Better integration of asbestos advice and response</w:t>
      </w:r>
    </w:p>
    <w:p w14:paraId="0A3F46D4" w14:textId="77777777" w:rsidR="00160E7F" w:rsidRDefault="002B0299">
      <w:pPr>
        <w:pStyle w:val="BodyText"/>
        <w:spacing w:before="145" w:line="280" w:lineRule="auto"/>
        <w:ind w:left="1417" w:right="405"/>
        <w:rPr>
          <w:sz w:val="11"/>
        </w:rPr>
      </w:pPr>
      <w:r>
        <w:rPr>
          <w:color w:val="58595B"/>
        </w:rPr>
        <w:t>Until the mid-1980s, Australia was a producer of asbestos and one of the world’s highest users of asbestos per capita.</w:t>
      </w:r>
      <w:r>
        <w:rPr>
          <w:color w:val="58595B"/>
          <w:position w:val="7"/>
          <w:sz w:val="11"/>
        </w:rPr>
        <w:t xml:space="preserve">28 </w:t>
      </w:r>
      <w:r>
        <w:rPr>
          <w:color w:val="58595B"/>
        </w:rPr>
        <w:t>Many homes and other buildings built before the late 1980s contain some asbestos-containing materials. The main risks from asbestos arise when it is damaged, disturbed or removed from buildings without appropriate safeguards.</w:t>
      </w:r>
      <w:r>
        <w:rPr>
          <w:color w:val="58595B"/>
          <w:position w:val="7"/>
          <w:sz w:val="11"/>
        </w:rPr>
        <w:t>29</w:t>
      </w:r>
    </w:p>
    <w:p w14:paraId="388CEFDC" w14:textId="77777777" w:rsidR="00160E7F" w:rsidRDefault="002B0299">
      <w:pPr>
        <w:spacing w:before="172" w:line="280" w:lineRule="auto"/>
        <w:ind w:left="1984" w:right="789"/>
        <w:rPr>
          <w:sz w:val="11"/>
        </w:rPr>
      </w:pPr>
      <w:r>
        <w:rPr>
          <w:i/>
          <w:color w:val="231F20"/>
          <w:sz w:val="20"/>
        </w:rPr>
        <w:t>Australia has one of the highest incidence rates of malignant mesothelioma in the world. The incidence of mesothelioma increased in Australia from at least 1982, when data on new cases first became available nationally, but appears to have stopped increasing in incidence since the early 2000s.</w:t>
      </w:r>
      <w:r>
        <w:rPr>
          <w:color w:val="231F20"/>
          <w:position w:val="7"/>
          <w:sz w:val="11"/>
        </w:rPr>
        <w:t>30</w:t>
      </w:r>
    </w:p>
    <w:p w14:paraId="11DA9148" w14:textId="77777777" w:rsidR="00160E7F" w:rsidRDefault="002B0299">
      <w:pPr>
        <w:pStyle w:val="BodyText"/>
        <w:spacing w:before="172" w:line="280" w:lineRule="auto"/>
        <w:ind w:left="1417" w:right="343"/>
      </w:pPr>
      <w:r>
        <w:rPr>
          <w:color w:val="58595B"/>
        </w:rPr>
        <w:t>This trend is likely to reflect the effects of: banning asbestos materials; rigorous regulation of risks of exposure to asbestos fibres in the workplace; and increased community awareness of asbestos risks and the need for safe practices. However, new diagnoses will continue for some time as mesothelioma symptoms do not usually appear for up to 50 years after exposure.</w:t>
      </w:r>
    </w:p>
    <w:p w14:paraId="09044024" w14:textId="0CF75E1F" w:rsidR="00160E7F" w:rsidRDefault="002B0299">
      <w:pPr>
        <w:pStyle w:val="BodyText"/>
        <w:spacing w:before="172" w:line="280" w:lineRule="auto"/>
        <w:ind w:left="1417" w:right="234"/>
      </w:pPr>
      <w:r>
        <w:rPr>
          <w:color w:val="58595B"/>
        </w:rPr>
        <w:t>The prevalence of asbestos means the community must be well</w:t>
      </w:r>
      <w:r w:rsidR="00B546EF">
        <w:rPr>
          <w:color w:val="58595B"/>
        </w:rPr>
        <w:t xml:space="preserve"> informed about safe practices</w:t>
      </w:r>
      <w:r w:rsidR="00B546EF">
        <w:rPr>
          <w:color w:val="58595B"/>
        </w:rPr>
        <w:br/>
      </w:r>
      <w:r>
        <w:rPr>
          <w:color w:val="58595B"/>
        </w:rPr>
        <w:t>to manage asbestos in situ and also to deal with it responsibly when it is removed or when works are undertaken. Australian state and federal jurisdictions have taken this approach when preparing advice for</w:t>
      </w:r>
      <w:r>
        <w:rPr>
          <w:color w:val="58595B"/>
          <w:spacing w:val="1"/>
        </w:rPr>
        <w:t xml:space="preserve"> </w:t>
      </w:r>
      <w:r>
        <w:rPr>
          <w:color w:val="58595B"/>
        </w:rPr>
        <w:t>households:</w:t>
      </w:r>
    </w:p>
    <w:p w14:paraId="031D5569" w14:textId="77777777" w:rsidR="00160E7F" w:rsidRDefault="002B0299">
      <w:pPr>
        <w:spacing w:before="172" w:line="280" w:lineRule="auto"/>
        <w:ind w:left="1984" w:right="789"/>
        <w:rPr>
          <w:sz w:val="11"/>
        </w:rPr>
      </w:pPr>
      <w:r>
        <w:rPr>
          <w:i/>
          <w:color w:val="231F20"/>
          <w:sz w:val="20"/>
        </w:rPr>
        <w:t>The [enHealth] guide therefore contains information to help householders make decisions about the risks associated with exposure to asbestos-containing materials in their home. It also contains practical information to lower the risks of exposure; however, if in doubt, always seek assistance from a licensed professional.</w:t>
      </w:r>
      <w:r>
        <w:rPr>
          <w:color w:val="231F20"/>
          <w:position w:val="7"/>
          <w:sz w:val="11"/>
        </w:rPr>
        <w:t>31</w:t>
      </w:r>
    </w:p>
    <w:p w14:paraId="176256B1" w14:textId="77777777" w:rsidR="00160E7F" w:rsidRDefault="00160E7F">
      <w:pPr>
        <w:spacing w:line="280" w:lineRule="auto"/>
        <w:rPr>
          <w:sz w:val="11"/>
        </w:rPr>
        <w:sectPr w:rsidR="00160E7F">
          <w:pgSz w:w="11910" w:h="16840"/>
          <w:pgMar w:top="980" w:right="1680" w:bottom="280" w:left="0" w:header="788" w:footer="0" w:gutter="0"/>
          <w:cols w:space="720"/>
        </w:sectPr>
      </w:pPr>
    </w:p>
    <w:p w14:paraId="32A48AF6" w14:textId="77777777" w:rsidR="00160E7F" w:rsidRDefault="00160E7F">
      <w:pPr>
        <w:pStyle w:val="BodyText"/>
      </w:pPr>
    </w:p>
    <w:p w14:paraId="6D73D4DC" w14:textId="77777777" w:rsidR="00160E7F" w:rsidRDefault="00160E7F">
      <w:pPr>
        <w:pStyle w:val="BodyText"/>
      </w:pPr>
    </w:p>
    <w:p w14:paraId="0FB9DF6E" w14:textId="77777777" w:rsidR="00160E7F" w:rsidRDefault="00160E7F">
      <w:pPr>
        <w:pStyle w:val="BodyText"/>
      </w:pPr>
    </w:p>
    <w:p w14:paraId="68BD3AD4" w14:textId="77777777" w:rsidR="00160E7F" w:rsidRDefault="00160E7F">
      <w:pPr>
        <w:pStyle w:val="BodyText"/>
      </w:pPr>
    </w:p>
    <w:p w14:paraId="3E86B5E0" w14:textId="77777777" w:rsidR="00160E7F" w:rsidRDefault="00160E7F">
      <w:pPr>
        <w:pStyle w:val="BodyText"/>
        <w:spacing w:before="8"/>
        <w:rPr>
          <w:sz w:val="17"/>
        </w:rPr>
      </w:pPr>
    </w:p>
    <w:p w14:paraId="50FC2A91" w14:textId="77777777" w:rsidR="00160E7F" w:rsidRDefault="002B0299">
      <w:pPr>
        <w:pStyle w:val="BodyText"/>
        <w:spacing w:before="1" w:line="280" w:lineRule="auto"/>
        <w:ind w:left="134" w:right="1414"/>
      </w:pPr>
      <w:r>
        <w:rPr>
          <w:color w:val="58595B"/>
        </w:rPr>
        <w:t>Asbestos regulations focus on managing exposure to the already existing hazard. The overall incidence of asbestos-related disease may be declining, but there are concerns about exposure risks involving householders, particularly if they are undertaking DIY renovations. Asbestos must be managed during fires and other incidents. The community must remain aware of potential risks and be supported to adopt safe practices.</w:t>
      </w:r>
    </w:p>
    <w:p w14:paraId="74F9CE7F" w14:textId="77777777" w:rsidR="00160E7F" w:rsidRDefault="002B0299">
      <w:pPr>
        <w:pStyle w:val="BodyText"/>
        <w:spacing w:before="172" w:line="280" w:lineRule="auto"/>
        <w:ind w:left="134" w:right="1433"/>
      </w:pPr>
      <w:r>
        <w:rPr>
          <w:color w:val="58595B"/>
        </w:rPr>
        <w:t>Illegal dumping of asbestos is a critical risk requiring urgent attention. This problem occurs across urban and rural Victoria and is in part driven by the lack of appropriate disposal options and the cost of asbestos disposal – a result of current waste policy and levy arrangements. In chapter</w:t>
      </w:r>
    </w:p>
    <w:p w14:paraId="2E73C577" w14:textId="77777777" w:rsidR="00160E7F" w:rsidRDefault="002B0299">
      <w:pPr>
        <w:pStyle w:val="BodyText"/>
        <w:spacing w:before="2" w:line="280" w:lineRule="auto"/>
        <w:ind w:left="134" w:right="1433"/>
      </w:pPr>
      <w:r>
        <w:rPr>
          <w:color w:val="58595B"/>
        </w:rPr>
        <w:t>21, we propose reforming levy settings, in part to deal with illegal dumping issues. This should include redesigning the Prescribed Industrial Waste Levy, the availability of appropriate disposal options, and the need to provide for responsible disposal of asbestos and contaminated soil.</w:t>
      </w:r>
    </w:p>
    <w:p w14:paraId="2A6B2C4A" w14:textId="77777777" w:rsidR="00160E7F" w:rsidRDefault="002B0299">
      <w:pPr>
        <w:spacing w:before="172"/>
        <w:ind w:left="701" w:right="789"/>
        <w:rPr>
          <w:i/>
          <w:sz w:val="20"/>
        </w:rPr>
      </w:pPr>
      <w:r>
        <w:rPr>
          <w:i/>
          <w:color w:val="231F20"/>
          <w:sz w:val="20"/>
        </w:rPr>
        <w:t>Council currently responds to reports of dumped asbestos containing materials on</w:t>
      </w:r>
    </w:p>
    <w:p w14:paraId="6C8EE65A" w14:textId="77777777" w:rsidR="00160E7F" w:rsidRDefault="002B0299">
      <w:pPr>
        <w:spacing w:before="40" w:line="280" w:lineRule="auto"/>
        <w:ind w:left="701" w:right="1682"/>
        <w:rPr>
          <w:sz w:val="20"/>
        </w:rPr>
      </w:pPr>
      <w:r>
        <w:rPr>
          <w:i/>
          <w:color w:val="231F20"/>
          <w:sz w:val="20"/>
        </w:rPr>
        <w:t xml:space="preserve">a </w:t>
      </w:r>
      <w:r>
        <w:rPr>
          <w:i/>
          <w:color w:val="231F20"/>
          <w:spacing w:val="-4"/>
          <w:sz w:val="20"/>
        </w:rPr>
        <w:t xml:space="preserve">regular basis </w:t>
      </w:r>
      <w:r>
        <w:rPr>
          <w:i/>
          <w:color w:val="231F20"/>
          <w:sz w:val="20"/>
        </w:rPr>
        <w:t xml:space="preserve">at </w:t>
      </w:r>
      <w:r>
        <w:rPr>
          <w:i/>
          <w:color w:val="231F20"/>
          <w:spacing w:val="-3"/>
          <w:sz w:val="20"/>
        </w:rPr>
        <w:t xml:space="preserve">significant </w:t>
      </w:r>
      <w:r>
        <w:rPr>
          <w:i/>
          <w:color w:val="231F20"/>
          <w:spacing w:val="-5"/>
          <w:sz w:val="20"/>
        </w:rPr>
        <w:t xml:space="preserve">investigation, </w:t>
      </w:r>
      <w:r>
        <w:rPr>
          <w:i/>
          <w:color w:val="231F20"/>
          <w:spacing w:val="-3"/>
          <w:sz w:val="20"/>
        </w:rPr>
        <w:t xml:space="preserve">clean up, transport and </w:t>
      </w:r>
      <w:r>
        <w:rPr>
          <w:i/>
          <w:color w:val="231F20"/>
          <w:spacing w:val="-4"/>
          <w:sz w:val="20"/>
        </w:rPr>
        <w:t xml:space="preserve">disposal </w:t>
      </w:r>
      <w:r>
        <w:rPr>
          <w:i/>
          <w:color w:val="231F20"/>
          <w:spacing w:val="-3"/>
          <w:sz w:val="20"/>
        </w:rPr>
        <w:t xml:space="preserve">cost. Council </w:t>
      </w:r>
      <w:r>
        <w:rPr>
          <w:i/>
          <w:color w:val="231F20"/>
          <w:spacing w:val="-4"/>
          <w:sz w:val="20"/>
        </w:rPr>
        <w:t xml:space="preserve">would welcome </w:t>
      </w:r>
      <w:r>
        <w:rPr>
          <w:i/>
          <w:color w:val="231F20"/>
          <w:spacing w:val="-3"/>
          <w:sz w:val="20"/>
        </w:rPr>
        <w:t xml:space="preserve">work </w:t>
      </w:r>
      <w:r>
        <w:rPr>
          <w:i/>
          <w:color w:val="231F20"/>
          <w:spacing w:val="-4"/>
          <w:sz w:val="20"/>
        </w:rPr>
        <w:t xml:space="preserve">by </w:t>
      </w:r>
      <w:r>
        <w:rPr>
          <w:i/>
          <w:color w:val="231F20"/>
          <w:spacing w:val="-3"/>
          <w:sz w:val="20"/>
        </w:rPr>
        <w:t xml:space="preserve">the </w:t>
      </w:r>
      <w:r>
        <w:rPr>
          <w:i/>
          <w:color w:val="231F20"/>
          <w:spacing w:val="-5"/>
          <w:sz w:val="20"/>
        </w:rPr>
        <w:t xml:space="preserve">EPA </w:t>
      </w:r>
      <w:r>
        <w:rPr>
          <w:i/>
          <w:color w:val="231F20"/>
          <w:spacing w:val="-3"/>
          <w:sz w:val="20"/>
        </w:rPr>
        <w:t xml:space="preserve">to identify and </w:t>
      </w:r>
      <w:r>
        <w:rPr>
          <w:i/>
          <w:color w:val="231F20"/>
          <w:spacing w:val="-5"/>
          <w:sz w:val="20"/>
        </w:rPr>
        <w:t xml:space="preserve">remove </w:t>
      </w:r>
      <w:r>
        <w:rPr>
          <w:i/>
          <w:color w:val="231F20"/>
          <w:spacing w:val="-3"/>
          <w:sz w:val="20"/>
        </w:rPr>
        <w:t xml:space="preserve">barriers to the correct </w:t>
      </w:r>
      <w:r>
        <w:rPr>
          <w:i/>
          <w:color w:val="231F20"/>
          <w:spacing w:val="-4"/>
          <w:sz w:val="20"/>
        </w:rPr>
        <w:t xml:space="preserve">disposal </w:t>
      </w:r>
      <w:r>
        <w:rPr>
          <w:i/>
          <w:color w:val="231F20"/>
          <w:sz w:val="20"/>
        </w:rPr>
        <w:t xml:space="preserve">of </w:t>
      </w:r>
      <w:r>
        <w:rPr>
          <w:i/>
          <w:color w:val="231F20"/>
          <w:spacing w:val="-4"/>
          <w:sz w:val="20"/>
        </w:rPr>
        <w:t xml:space="preserve">asbestos, </w:t>
      </w:r>
      <w:r>
        <w:rPr>
          <w:i/>
          <w:color w:val="231F20"/>
          <w:spacing w:val="-3"/>
          <w:sz w:val="20"/>
        </w:rPr>
        <w:t xml:space="preserve">as </w:t>
      </w:r>
      <w:r>
        <w:rPr>
          <w:i/>
          <w:color w:val="231F20"/>
          <w:spacing w:val="-4"/>
          <w:sz w:val="20"/>
        </w:rPr>
        <w:t xml:space="preserve">well </w:t>
      </w:r>
      <w:r>
        <w:rPr>
          <w:i/>
          <w:color w:val="231F20"/>
          <w:spacing w:val="-3"/>
          <w:sz w:val="20"/>
        </w:rPr>
        <w:t xml:space="preserve">as </w:t>
      </w:r>
      <w:r>
        <w:rPr>
          <w:i/>
          <w:color w:val="231F20"/>
          <w:spacing w:val="-5"/>
          <w:sz w:val="20"/>
        </w:rPr>
        <w:t xml:space="preserve">any </w:t>
      </w:r>
      <w:r>
        <w:rPr>
          <w:i/>
          <w:color w:val="231F20"/>
          <w:spacing w:val="-4"/>
          <w:sz w:val="20"/>
        </w:rPr>
        <w:t xml:space="preserve">initiatives </w:t>
      </w:r>
      <w:r>
        <w:rPr>
          <w:i/>
          <w:color w:val="231F20"/>
          <w:spacing w:val="-3"/>
          <w:sz w:val="20"/>
        </w:rPr>
        <w:t xml:space="preserve">to </w:t>
      </w:r>
      <w:r>
        <w:rPr>
          <w:i/>
          <w:color w:val="231F20"/>
          <w:spacing w:val="-4"/>
          <w:sz w:val="20"/>
        </w:rPr>
        <w:t xml:space="preserve">encourage businesses, tradespersons </w:t>
      </w:r>
      <w:r>
        <w:rPr>
          <w:i/>
          <w:color w:val="231F20"/>
          <w:spacing w:val="-3"/>
          <w:sz w:val="20"/>
        </w:rPr>
        <w:t xml:space="preserve">and </w:t>
      </w:r>
      <w:r>
        <w:rPr>
          <w:i/>
          <w:color w:val="231F20"/>
          <w:spacing w:val="-4"/>
          <w:sz w:val="20"/>
        </w:rPr>
        <w:t xml:space="preserve">residents </w:t>
      </w:r>
      <w:r>
        <w:rPr>
          <w:i/>
          <w:color w:val="231F20"/>
          <w:spacing w:val="-3"/>
          <w:sz w:val="20"/>
        </w:rPr>
        <w:t xml:space="preserve">to </w:t>
      </w:r>
      <w:r>
        <w:rPr>
          <w:i/>
          <w:color w:val="231F20"/>
          <w:spacing w:val="-5"/>
          <w:sz w:val="20"/>
        </w:rPr>
        <w:t xml:space="preserve">take </w:t>
      </w:r>
      <w:r>
        <w:rPr>
          <w:i/>
          <w:color w:val="231F20"/>
          <w:spacing w:val="-4"/>
          <w:sz w:val="20"/>
        </w:rPr>
        <w:t xml:space="preserve">materials </w:t>
      </w:r>
      <w:r>
        <w:rPr>
          <w:i/>
          <w:color w:val="231F20"/>
          <w:spacing w:val="-3"/>
          <w:sz w:val="20"/>
        </w:rPr>
        <w:t xml:space="preserve">to </w:t>
      </w:r>
      <w:r>
        <w:rPr>
          <w:i/>
          <w:color w:val="231F20"/>
          <w:spacing w:val="-4"/>
          <w:sz w:val="20"/>
        </w:rPr>
        <w:t xml:space="preserve">appropriate facilities </w:t>
      </w:r>
      <w:r>
        <w:rPr>
          <w:i/>
          <w:color w:val="231F20"/>
          <w:spacing w:val="-3"/>
          <w:sz w:val="20"/>
        </w:rPr>
        <w:t xml:space="preserve">for </w:t>
      </w:r>
      <w:r>
        <w:rPr>
          <w:i/>
          <w:color w:val="231F20"/>
          <w:spacing w:val="-4"/>
          <w:sz w:val="20"/>
        </w:rPr>
        <w:t xml:space="preserve">disposal. </w:t>
      </w:r>
      <w:r>
        <w:rPr>
          <w:color w:val="231F20"/>
          <w:spacing w:val="-4"/>
          <w:sz w:val="20"/>
        </w:rPr>
        <w:t xml:space="preserve">(Brimbank </w:t>
      </w:r>
      <w:r>
        <w:rPr>
          <w:color w:val="231F20"/>
          <w:spacing w:val="-3"/>
          <w:sz w:val="20"/>
        </w:rPr>
        <w:t xml:space="preserve">City Council </w:t>
      </w:r>
      <w:r>
        <w:rPr>
          <w:color w:val="231F20"/>
          <w:spacing w:val="-4"/>
          <w:sz w:val="20"/>
        </w:rPr>
        <w:t xml:space="preserve">submission, p. </w:t>
      </w:r>
      <w:r>
        <w:rPr>
          <w:color w:val="231F20"/>
          <w:spacing w:val="-6"/>
          <w:sz w:val="20"/>
        </w:rPr>
        <w:t>6)</w:t>
      </w:r>
    </w:p>
    <w:p w14:paraId="4127F1DF" w14:textId="77777777" w:rsidR="00160E7F" w:rsidRDefault="002B0299">
      <w:pPr>
        <w:pStyle w:val="BodyText"/>
        <w:spacing w:before="172" w:line="280" w:lineRule="auto"/>
        <w:ind w:left="134" w:right="1407"/>
      </w:pPr>
      <w:r>
        <w:rPr>
          <w:color w:val="58595B"/>
        </w:rPr>
        <w:t xml:space="preserve">The </w:t>
      </w:r>
      <w:r>
        <w:rPr>
          <w:color w:val="58595B"/>
          <w:spacing w:val="-6"/>
        </w:rPr>
        <w:t xml:space="preserve">EPA </w:t>
      </w:r>
      <w:r>
        <w:rPr>
          <w:color w:val="58595B"/>
        </w:rPr>
        <w:t xml:space="preserve">and DHHS </w:t>
      </w:r>
      <w:r>
        <w:rPr>
          <w:color w:val="58595B"/>
          <w:spacing w:val="-4"/>
        </w:rPr>
        <w:t xml:space="preserve">have </w:t>
      </w:r>
      <w:r>
        <w:rPr>
          <w:color w:val="58595B"/>
          <w:spacing w:val="-3"/>
        </w:rPr>
        <w:t xml:space="preserve">also been closely </w:t>
      </w:r>
      <w:r>
        <w:rPr>
          <w:color w:val="58595B"/>
          <w:spacing w:val="-4"/>
        </w:rPr>
        <w:t xml:space="preserve">involved </w:t>
      </w:r>
      <w:r>
        <w:rPr>
          <w:color w:val="58595B"/>
        </w:rPr>
        <w:t xml:space="preserve">in </w:t>
      </w:r>
      <w:r>
        <w:rPr>
          <w:color w:val="58595B"/>
          <w:spacing w:val="-3"/>
        </w:rPr>
        <w:t xml:space="preserve">managing asbestos ‘incidents’ </w:t>
      </w:r>
      <w:r>
        <w:rPr>
          <w:color w:val="58595B"/>
        </w:rPr>
        <w:t xml:space="preserve">in </w:t>
      </w:r>
      <w:r>
        <w:rPr>
          <w:color w:val="58595B"/>
          <w:spacing w:val="-3"/>
        </w:rPr>
        <w:t xml:space="preserve">recent years. </w:t>
      </w:r>
      <w:r>
        <w:rPr>
          <w:color w:val="58595B"/>
        </w:rPr>
        <w:t xml:space="preserve">These </w:t>
      </w:r>
      <w:r>
        <w:rPr>
          <w:color w:val="58595B"/>
          <w:spacing w:val="-3"/>
        </w:rPr>
        <w:t xml:space="preserve">incidents underline </w:t>
      </w:r>
      <w:r>
        <w:rPr>
          <w:color w:val="58595B"/>
        </w:rPr>
        <w:t xml:space="preserve">the importance of expert </w:t>
      </w:r>
      <w:r>
        <w:rPr>
          <w:color w:val="58595B"/>
          <w:spacing w:val="-3"/>
        </w:rPr>
        <w:t xml:space="preserve">advice </w:t>
      </w:r>
      <w:r>
        <w:rPr>
          <w:color w:val="58595B"/>
        </w:rPr>
        <w:t xml:space="preserve">to </w:t>
      </w:r>
      <w:r>
        <w:rPr>
          <w:color w:val="58595B"/>
          <w:spacing w:val="-4"/>
        </w:rPr>
        <w:t xml:space="preserve">government </w:t>
      </w:r>
      <w:r>
        <w:rPr>
          <w:color w:val="58595B"/>
        </w:rPr>
        <w:t xml:space="preserve">on both </w:t>
      </w:r>
      <w:r>
        <w:rPr>
          <w:color w:val="58595B"/>
          <w:spacing w:val="-3"/>
        </w:rPr>
        <w:t xml:space="preserve">health risks </w:t>
      </w:r>
      <w:r>
        <w:rPr>
          <w:color w:val="58595B"/>
        </w:rPr>
        <w:t xml:space="preserve">and the </w:t>
      </w:r>
      <w:r>
        <w:rPr>
          <w:color w:val="58595B"/>
          <w:spacing w:val="-3"/>
        </w:rPr>
        <w:t xml:space="preserve">appropriate regime </w:t>
      </w:r>
      <w:r>
        <w:rPr>
          <w:color w:val="58595B"/>
        </w:rPr>
        <w:t xml:space="preserve">for </w:t>
      </w:r>
      <w:r>
        <w:rPr>
          <w:color w:val="58595B"/>
          <w:spacing w:val="-3"/>
        </w:rPr>
        <w:t xml:space="preserve">assessing </w:t>
      </w:r>
      <w:r>
        <w:rPr>
          <w:color w:val="58595B"/>
        </w:rPr>
        <w:t xml:space="preserve">and </w:t>
      </w:r>
      <w:r>
        <w:rPr>
          <w:color w:val="58595B"/>
          <w:spacing w:val="-3"/>
        </w:rPr>
        <w:t xml:space="preserve">monitoring risks. </w:t>
      </w:r>
      <w:r>
        <w:rPr>
          <w:color w:val="58595B"/>
        </w:rPr>
        <w:t xml:space="preserve">The </w:t>
      </w:r>
      <w:r>
        <w:rPr>
          <w:color w:val="58595B"/>
          <w:spacing w:val="-3"/>
        </w:rPr>
        <w:t xml:space="preserve">consolidated </w:t>
      </w:r>
      <w:r>
        <w:rPr>
          <w:color w:val="58595B"/>
          <w:spacing w:val="-4"/>
        </w:rPr>
        <w:t xml:space="preserve">environmental </w:t>
      </w:r>
      <w:r>
        <w:rPr>
          <w:color w:val="58595B"/>
          <w:spacing w:val="-3"/>
        </w:rPr>
        <w:t xml:space="preserve">health group proposed </w:t>
      </w:r>
      <w:r>
        <w:rPr>
          <w:color w:val="58595B"/>
        </w:rPr>
        <w:t xml:space="preserve">in </w:t>
      </w:r>
      <w:r>
        <w:rPr>
          <w:color w:val="58595B"/>
          <w:spacing w:val="-3"/>
        </w:rPr>
        <w:t xml:space="preserve">chapter </w:t>
      </w:r>
      <w:r>
        <w:rPr>
          <w:color w:val="58595B"/>
        </w:rPr>
        <w:t xml:space="preserve">6 will </w:t>
      </w:r>
      <w:r>
        <w:rPr>
          <w:color w:val="58595B"/>
          <w:spacing w:val="-3"/>
        </w:rPr>
        <w:t xml:space="preserve">provide </w:t>
      </w:r>
      <w:r>
        <w:rPr>
          <w:color w:val="58595B"/>
        </w:rPr>
        <w:t xml:space="preserve">expert </w:t>
      </w:r>
      <w:r>
        <w:rPr>
          <w:color w:val="58595B"/>
          <w:spacing w:val="-3"/>
        </w:rPr>
        <w:t xml:space="preserve">advice </w:t>
      </w:r>
      <w:r>
        <w:rPr>
          <w:color w:val="58595B"/>
        </w:rPr>
        <w:t xml:space="preserve">on these matters to </w:t>
      </w:r>
      <w:r>
        <w:rPr>
          <w:color w:val="58595B"/>
          <w:spacing w:val="-4"/>
        </w:rPr>
        <w:t xml:space="preserve">Victoria’s </w:t>
      </w:r>
      <w:r>
        <w:rPr>
          <w:color w:val="58595B"/>
          <w:spacing w:val="-3"/>
        </w:rPr>
        <w:t xml:space="preserve">Chief Health </w:t>
      </w:r>
      <w:r>
        <w:rPr>
          <w:color w:val="58595B"/>
        </w:rPr>
        <w:t xml:space="preserve">Officer and </w:t>
      </w:r>
      <w:r>
        <w:rPr>
          <w:color w:val="58595B"/>
          <w:spacing w:val="-3"/>
        </w:rPr>
        <w:t xml:space="preserve">other </w:t>
      </w:r>
      <w:r>
        <w:rPr>
          <w:color w:val="58595B"/>
        </w:rPr>
        <w:t xml:space="preserve">parts of </w:t>
      </w:r>
      <w:r>
        <w:rPr>
          <w:color w:val="58595B"/>
          <w:spacing w:val="-4"/>
        </w:rPr>
        <w:t xml:space="preserve">government, </w:t>
      </w:r>
      <w:r>
        <w:rPr>
          <w:color w:val="58595B"/>
        </w:rPr>
        <w:t xml:space="preserve">supporting </w:t>
      </w:r>
      <w:r>
        <w:rPr>
          <w:color w:val="58595B"/>
          <w:spacing w:val="-4"/>
        </w:rPr>
        <w:t xml:space="preserve">Victoria’s </w:t>
      </w:r>
      <w:r>
        <w:rPr>
          <w:color w:val="58595B"/>
          <w:spacing w:val="-3"/>
        </w:rPr>
        <w:t xml:space="preserve">incident response </w:t>
      </w:r>
      <w:r>
        <w:rPr>
          <w:color w:val="58595B"/>
          <w:spacing w:val="-4"/>
        </w:rPr>
        <w:t>capability.</w:t>
      </w:r>
    </w:p>
    <w:p w14:paraId="3476D67F" w14:textId="77777777" w:rsidR="00160E7F" w:rsidRDefault="002B0299">
      <w:pPr>
        <w:pStyle w:val="BodyText"/>
        <w:spacing w:before="172" w:line="280" w:lineRule="auto"/>
        <w:ind w:left="134" w:right="1433"/>
      </w:pPr>
      <w:r>
        <w:rPr>
          <w:color w:val="58595B"/>
        </w:rPr>
        <w:t>During our consultations, we heard stakeholders were concerned about who was responsible for dealing with asbestos risks and the potential for this to result in inconsistent advice, regulatory gaps or ‘buck passing’.</w:t>
      </w:r>
    </w:p>
    <w:p w14:paraId="4E0FA1D9" w14:textId="77777777" w:rsidR="00160E7F" w:rsidRDefault="002B0299">
      <w:pPr>
        <w:spacing w:before="172" w:line="280" w:lineRule="auto"/>
        <w:ind w:left="701" w:right="2071"/>
        <w:rPr>
          <w:sz w:val="20"/>
        </w:rPr>
      </w:pPr>
      <w:r>
        <w:rPr>
          <w:i/>
          <w:color w:val="231F20"/>
          <w:sz w:val="20"/>
        </w:rPr>
        <w:t xml:space="preserve">There is a mismatch between environmental guidance and OHS Regulation relating to the assessment and management of residual asbestos materials in soils. </w:t>
      </w:r>
      <w:r>
        <w:rPr>
          <w:color w:val="231F20"/>
          <w:sz w:val="20"/>
        </w:rPr>
        <w:t>(Australian Contaminated Land Consultants Association submission, p. 6)</w:t>
      </w:r>
    </w:p>
    <w:p w14:paraId="48C0E842" w14:textId="77777777" w:rsidR="00160E7F" w:rsidRDefault="002B0299">
      <w:pPr>
        <w:spacing w:before="172" w:line="280" w:lineRule="auto"/>
        <w:ind w:left="701" w:right="1991"/>
        <w:rPr>
          <w:sz w:val="20"/>
        </w:rPr>
      </w:pPr>
      <w:r>
        <w:rPr>
          <w:i/>
          <w:color w:val="231F20"/>
          <w:sz w:val="20"/>
        </w:rPr>
        <w:t xml:space="preserve">Nobody understands where the boundaries are with asbestos. Worksafe only cares  if it’s in a factory; we only care if it’s being dumped; Council just worries about having a tip that’ll take it. It’s everyone’s problem and no-one’s. </w:t>
      </w:r>
      <w:r>
        <w:rPr>
          <w:color w:val="231F20"/>
          <w:sz w:val="20"/>
        </w:rPr>
        <w:t xml:space="preserve">(Comment from </w:t>
      </w:r>
      <w:r>
        <w:rPr>
          <w:color w:val="231F20"/>
          <w:spacing w:val="-4"/>
          <w:sz w:val="20"/>
        </w:rPr>
        <w:t xml:space="preserve">EPA </w:t>
      </w:r>
      <w:r>
        <w:rPr>
          <w:color w:val="231F20"/>
          <w:sz w:val="20"/>
        </w:rPr>
        <w:t>staff member quoted in Community and Public Sector Union Victoria submission, p.</w:t>
      </w:r>
      <w:r>
        <w:rPr>
          <w:color w:val="231F20"/>
          <w:spacing w:val="8"/>
          <w:sz w:val="20"/>
        </w:rPr>
        <w:t xml:space="preserve"> </w:t>
      </w:r>
      <w:r>
        <w:rPr>
          <w:color w:val="231F20"/>
          <w:spacing w:val="-5"/>
          <w:sz w:val="20"/>
        </w:rPr>
        <w:t>17)</w:t>
      </w:r>
    </w:p>
    <w:p w14:paraId="2B9B116E" w14:textId="77777777" w:rsidR="00160E7F" w:rsidRDefault="002B0299">
      <w:pPr>
        <w:pStyle w:val="BodyText"/>
        <w:spacing w:before="172" w:line="280" w:lineRule="auto"/>
        <w:ind w:left="134" w:right="1528"/>
      </w:pPr>
      <w:r>
        <w:rPr>
          <w:color w:val="58595B"/>
        </w:rPr>
        <w:t>Given the pervasiveness of asbestos in our built environment, its management requires a whole- of-community approach, and involves various government agencies, including:</w:t>
      </w:r>
    </w:p>
    <w:p w14:paraId="76F8808D" w14:textId="77777777" w:rsidR="00160E7F" w:rsidRDefault="002B0299">
      <w:pPr>
        <w:pStyle w:val="ListParagraph"/>
        <w:numPr>
          <w:ilvl w:val="0"/>
          <w:numId w:val="25"/>
        </w:numPr>
        <w:tabs>
          <w:tab w:val="left" w:pos="305"/>
        </w:tabs>
        <w:spacing w:before="115"/>
        <w:ind w:hanging="170"/>
        <w:rPr>
          <w:sz w:val="20"/>
        </w:rPr>
      </w:pPr>
      <w:r>
        <w:rPr>
          <w:color w:val="58595B"/>
          <w:sz w:val="20"/>
        </w:rPr>
        <w:t>WorkSafe – regulating asbestos exposure in Victorian</w:t>
      </w:r>
      <w:r>
        <w:rPr>
          <w:color w:val="58595B"/>
          <w:spacing w:val="7"/>
          <w:sz w:val="20"/>
        </w:rPr>
        <w:t xml:space="preserve"> </w:t>
      </w:r>
      <w:r>
        <w:rPr>
          <w:color w:val="58595B"/>
          <w:sz w:val="20"/>
        </w:rPr>
        <w:t>workplaces</w:t>
      </w:r>
    </w:p>
    <w:p w14:paraId="36688806" w14:textId="77777777" w:rsidR="00160E7F" w:rsidRDefault="002B0299">
      <w:pPr>
        <w:pStyle w:val="ListParagraph"/>
        <w:numPr>
          <w:ilvl w:val="0"/>
          <w:numId w:val="25"/>
        </w:numPr>
        <w:tabs>
          <w:tab w:val="left" w:pos="305"/>
        </w:tabs>
        <w:spacing w:before="153" w:line="280" w:lineRule="auto"/>
        <w:ind w:right="1997" w:hanging="170"/>
        <w:rPr>
          <w:sz w:val="20"/>
        </w:rPr>
      </w:pPr>
      <w:r>
        <w:rPr>
          <w:color w:val="58595B"/>
          <w:sz w:val="20"/>
        </w:rPr>
        <w:t>local governments – managing asbestos that has been illegally dumped, providing a local response and using Emergency Orders for unsafe buildings and</w:t>
      </w:r>
      <w:r>
        <w:rPr>
          <w:color w:val="58595B"/>
          <w:spacing w:val="10"/>
          <w:sz w:val="20"/>
        </w:rPr>
        <w:t xml:space="preserve"> </w:t>
      </w:r>
      <w:r>
        <w:rPr>
          <w:color w:val="58595B"/>
          <w:sz w:val="20"/>
        </w:rPr>
        <w:t>properties.</w:t>
      </w:r>
    </w:p>
    <w:p w14:paraId="6337301C" w14:textId="77777777" w:rsidR="00160E7F" w:rsidRDefault="002B0299">
      <w:pPr>
        <w:pStyle w:val="BodyText"/>
        <w:spacing w:before="172" w:line="280" w:lineRule="auto"/>
        <w:ind w:left="134" w:right="1630"/>
      </w:pPr>
      <w:r>
        <w:rPr>
          <w:color w:val="58595B"/>
        </w:rPr>
        <w:t>We consider the current responsibilities for managing asbestos can be simplified and better integrated. WorkSafe, the EPA and DHHS already cooperate to provide risk information,</w:t>
      </w:r>
      <w:r>
        <w:rPr>
          <w:color w:val="58595B"/>
          <w:position w:val="7"/>
          <w:sz w:val="11"/>
        </w:rPr>
        <w:t xml:space="preserve">32 </w:t>
      </w:r>
      <w:r>
        <w:rPr>
          <w:color w:val="58595B"/>
        </w:rPr>
        <w:t>but the EPA could play a stronger leadership role – as an expert, proactive, strategic and influential regulator – in the following areas:</w:t>
      </w:r>
    </w:p>
    <w:p w14:paraId="573D8B85" w14:textId="77777777" w:rsidR="00160E7F" w:rsidRDefault="002B0299">
      <w:pPr>
        <w:pStyle w:val="ListParagraph"/>
        <w:numPr>
          <w:ilvl w:val="0"/>
          <w:numId w:val="25"/>
        </w:numPr>
        <w:tabs>
          <w:tab w:val="left" w:pos="305"/>
        </w:tabs>
        <w:spacing w:before="115" w:line="280" w:lineRule="auto"/>
        <w:ind w:right="1566" w:hanging="170"/>
        <w:rPr>
          <w:sz w:val="11"/>
        </w:rPr>
      </w:pPr>
      <w:r>
        <w:rPr>
          <w:color w:val="58595B"/>
          <w:sz w:val="20"/>
        </w:rPr>
        <w:t xml:space="preserve">Building on its consolidated environmental health capability, the </w:t>
      </w:r>
      <w:r>
        <w:rPr>
          <w:color w:val="58595B"/>
          <w:spacing w:val="-4"/>
          <w:sz w:val="20"/>
        </w:rPr>
        <w:t xml:space="preserve">EPA </w:t>
      </w:r>
      <w:r>
        <w:rPr>
          <w:color w:val="58595B"/>
          <w:sz w:val="20"/>
        </w:rPr>
        <w:t xml:space="preserve">can advise government on asbestos risks and take stronger leadership on risk communication for the community (in partnership with the Chief Health </w:t>
      </w:r>
      <w:r>
        <w:rPr>
          <w:color w:val="58595B"/>
          <w:spacing w:val="2"/>
          <w:sz w:val="20"/>
        </w:rPr>
        <w:t xml:space="preserve">Officer </w:t>
      </w:r>
      <w:r>
        <w:rPr>
          <w:color w:val="58595B"/>
          <w:sz w:val="20"/>
        </w:rPr>
        <w:t>and WorkSafe) and ensure up-to-date and consistent direction in statutory</w:t>
      </w:r>
      <w:r>
        <w:rPr>
          <w:color w:val="58595B"/>
          <w:spacing w:val="25"/>
          <w:sz w:val="20"/>
        </w:rPr>
        <w:t xml:space="preserve"> </w:t>
      </w:r>
      <w:r>
        <w:rPr>
          <w:color w:val="58595B"/>
          <w:sz w:val="20"/>
        </w:rPr>
        <w:t>guidance.</w:t>
      </w:r>
      <w:r>
        <w:rPr>
          <w:color w:val="58595B"/>
          <w:position w:val="7"/>
          <w:sz w:val="11"/>
        </w:rPr>
        <w:t>33</w:t>
      </w:r>
    </w:p>
    <w:p w14:paraId="6F1E55FD" w14:textId="77777777" w:rsidR="00160E7F" w:rsidRDefault="00160E7F">
      <w:pPr>
        <w:spacing w:line="280" w:lineRule="auto"/>
        <w:rPr>
          <w:sz w:val="11"/>
        </w:rPr>
        <w:sectPr w:rsidR="00160E7F">
          <w:pgSz w:w="11910" w:h="16840"/>
          <w:pgMar w:top="980" w:right="0" w:bottom="280" w:left="1680" w:header="788" w:footer="0" w:gutter="0"/>
          <w:cols w:space="720"/>
        </w:sectPr>
      </w:pPr>
    </w:p>
    <w:p w14:paraId="79D5C198" w14:textId="77777777" w:rsidR="00160E7F" w:rsidRDefault="00160E7F">
      <w:pPr>
        <w:pStyle w:val="BodyText"/>
      </w:pPr>
    </w:p>
    <w:p w14:paraId="1870D9A2" w14:textId="77777777" w:rsidR="00160E7F" w:rsidRDefault="00160E7F">
      <w:pPr>
        <w:pStyle w:val="BodyText"/>
      </w:pPr>
    </w:p>
    <w:p w14:paraId="3C59E79B" w14:textId="77777777" w:rsidR="00160E7F" w:rsidRDefault="00160E7F">
      <w:pPr>
        <w:pStyle w:val="BodyText"/>
      </w:pPr>
    </w:p>
    <w:p w14:paraId="6016F149" w14:textId="77777777" w:rsidR="00160E7F" w:rsidRDefault="00160E7F">
      <w:pPr>
        <w:pStyle w:val="BodyText"/>
      </w:pPr>
    </w:p>
    <w:p w14:paraId="6B335E66" w14:textId="77777777" w:rsidR="00160E7F" w:rsidRDefault="00160E7F">
      <w:pPr>
        <w:pStyle w:val="BodyText"/>
        <w:spacing w:before="8"/>
        <w:rPr>
          <w:sz w:val="17"/>
        </w:rPr>
      </w:pPr>
    </w:p>
    <w:p w14:paraId="2CB969F0" w14:textId="53A3966D" w:rsidR="00160E7F" w:rsidRDefault="002B0299">
      <w:pPr>
        <w:pStyle w:val="ListParagraph"/>
        <w:numPr>
          <w:ilvl w:val="1"/>
          <w:numId w:val="25"/>
        </w:numPr>
        <w:tabs>
          <w:tab w:val="left" w:pos="1588"/>
        </w:tabs>
        <w:spacing w:before="1" w:line="280" w:lineRule="auto"/>
        <w:ind w:right="370" w:hanging="170"/>
        <w:rPr>
          <w:sz w:val="20"/>
        </w:rPr>
      </w:pPr>
      <w:r>
        <w:rPr>
          <w:color w:val="58595B"/>
          <w:sz w:val="20"/>
        </w:rPr>
        <w:t xml:space="preserve">Local environment protection officers </w:t>
      </w:r>
      <w:r>
        <w:rPr>
          <w:color w:val="58595B"/>
          <w:spacing w:val="-3"/>
          <w:sz w:val="20"/>
        </w:rPr>
        <w:t xml:space="preserve">(to </w:t>
      </w:r>
      <w:r>
        <w:rPr>
          <w:color w:val="58595B"/>
          <w:sz w:val="20"/>
        </w:rPr>
        <w:t xml:space="preserve">be located in local governments, see chapter </w:t>
      </w:r>
      <w:r>
        <w:rPr>
          <w:color w:val="58595B"/>
          <w:spacing w:val="-5"/>
          <w:sz w:val="20"/>
        </w:rPr>
        <w:t>18)</w:t>
      </w:r>
      <w:r w:rsidR="002F5F62">
        <w:rPr>
          <w:color w:val="58595B"/>
          <w:spacing w:val="-5"/>
          <w:sz w:val="20"/>
        </w:rPr>
        <w:br/>
      </w:r>
      <w:r>
        <w:rPr>
          <w:color w:val="58595B"/>
          <w:sz w:val="20"/>
        </w:rPr>
        <w:t xml:space="preserve">will strengthen local government capacity and powers to raise community awareness of safe practices. Local government can also address localised pollution and waste issues in the first instance, with the </w:t>
      </w:r>
      <w:r>
        <w:rPr>
          <w:color w:val="58595B"/>
          <w:spacing w:val="-4"/>
          <w:sz w:val="20"/>
        </w:rPr>
        <w:t xml:space="preserve">EPA </w:t>
      </w:r>
      <w:r>
        <w:rPr>
          <w:color w:val="58595B"/>
          <w:sz w:val="20"/>
        </w:rPr>
        <w:t>providing technical and strategic support, and coordination across Victoria as</w:t>
      </w:r>
      <w:r>
        <w:rPr>
          <w:color w:val="58595B"/>
          <w:spacing w:val="3"/>
          <w:sz w:val="20"/>
        </w:rPr>
        <w:t xml:space="preserve"> </w:t>
      </w:r>
      <w:r>
        <w:rPr>
          <w:color w:val="58595B"/>
          <w:sz w:val="20"/>
        </w:rPr>
        <w:t>required.</w:t>
      </w:r>
    </w:p>
    <w:p w14:paraId="6021F1D4" w14:textId="77777777" w:rsidR="00160E7F" w:rsidRDefault="002B0299">
      <w:pPr>
        <w:pStyle w:val="ListParagraph"/>
        <w:numPr>
          <w:ilvl w:val="1"/>
          <w:numId w:val="25"/>
        </w:numPr>
        <w:tabs>
          <w:tab w:val="left" w:pos="1588"/>
        </w:tabs>
        <w:spacing w:before="115" w:line="280" w:lineRule="auto"/>
        <w:ind w:right="272" w:hanging="170"/>
        <w:rPr>
          <w:sz w:val="20"/>
        </w:rPr>
      </w:pPr>
      <w:r>
        <w:rPr>
          <w:color w:val="58595B"/>
          <w:sz w:val="20"/>
        </w:rPr>
        <w:t xml:space="preserve">As part of developing comprehensive site history data, the </w:t>
      </w:r>
      <w:r>
        <w:rPr>
          <w:color w:val="58595B"/>
          <w:spacing w:val="-4"/>
          <w:sz w:val="20"/>
        </w:rPr>
        <w:t xml:space="preserve">EPA </w:t>
      </w:r>
      <w:r>
        <w:rPr>
          <w:color w:val="58595B"/>
          <w:sz w:val="20"/>
        </w:rPr>
        <w:t>can identify high risk sites associated with historical asbestos-processing activities. It can also ensure that remediation is appropriate and that any residual risks are actively managed and</w:t>
      </w:r>
      <w:r>
        <w:rPr>
          <w:color w:val="58595B"/>
          <w:spacing w:val="-2"/>
          <w:sz w:val="20"/>
        </w:rPr>
        <w:t xml:space="preserve"> </w:t>
      </w:r>
      <w:r>
        <w:rPr>
          <w:color w:val="58595B"/>
          <w:sz w:val="20"/>
        </w:rPr>
        <w:t>monitored.</w:t>
      </w:r>
    </w:p>
    <w:p w14:paraId="11474376" w14:textId="77777777" w:rsidR="00160E7F" w:rsidRDefault="002B0299">
      <w:pPr>
        <w:pStyle w:val="ListParagraph"/>
        <w:numPr>
          <w:ilvl w:val="1"/>
          <w:numId w:val="25"/>
        </w:numPr>
        <w:tabs>
          <w:tab w:val="left" w:pos="1588"/>
        </w:tabs>
        <w:spacing w:before="115" w:line="280" w:lineRule="auto"/>
        <w:ind w:right="640" w:hanging="170"/>
        <w:rPr>
          <w:sz w:val="20"/>
        </w:rPr>
      </w:pPr>
      <w:r>
        <w:rPr>
          <w:color w:val="58595B"/>
          <w:sz w:val="20"/>
        </w:rPr>
        <w:t xml:space="preserve">The </w:t>
      </w:r>
      <w:r>
        <w:rPr>
          <w:color w:val="58595B"/>
          <w:spacing w:val="-4"/>
          <w:sz w:val="20"/>
        </w:rPr>
        <w:t xml:space="preserve">EPA </w:t>
      </w:r>
      <w:r>
        <w:rPr>
          <w:color w:val="58595B"/>
          <w:sz w:val="20"/>
        </w:rPr>
        <w:t>can seek better designed waste policy settings that support responsible disposal of asbestos</w:t>
      </w:r>
      <w:r>
        <w:rPr>
          <w:color w:val="58595B"/>
          <w:spacing w:val="-10"/>
          <w:sz w:val="20"/>
        </w:rPr>
        <w:t xml:space="preserve"> </w:t>
      </w:r>
      <w:r>
        <w:rPr>
          <w:color w:val="58595B"/>
          <w:sz w:val="20"/>
        </w:rPr>
        <w:t>waste.</w:t>
      </w:r>
    </w:p>
    <w:p w14:paraId="75F3B97D" w14:textId="77777777" w:rsidR="00160E7F" w:rsidRDefault="00160E7F">
      <w:pPr>
        <w:spacing w:line="280" w:lineRule="auto"/>
        <w:rPr>
          <w:sz w:val="20"/>
        </w:rPr>
        <w:sectPr w:rsidR="00160E7F">
          <w:headerReference w:type="even" r:id="rId59"/>
          <w:headerReference w:type="default" r:id="rId60"/>
          <w:pgSz w:w="11910" w:h="16840"/>
          <w:pgMar w:top="980" w:right="1680" w:bottom="280" w:left="0" w:header="788" w:footer="0" w:gutter="0"/>
          <w:pgNumType w:start="260"/>
          <w:cols w:space="720"/>
        </w:sectPr>
      </w:pPr>
    </w:p>
    <w:p w14:paraId="221FF662" w14:textId="77777777" w:rsidR="00160E7F" w:rsidRDefault="00160E7F">
      <w:pPr>
        <w:pStyle w:val="BodyText"/>
      </w:pPr>
    </w:p>
    <w:p w14:paraId="3F3BDEC0" w14:textId="77777777" w:rsidR="00160E7F" w:rsidRDefault="00160E7F">
      <w:pPr>
        <w:pStyle w:val="BodyText"/>
      </w:pPr>
    </w:p>
    <w:p w14:paraId="76DD3AB9" w14:textId="77777777" w:rsidR="00160E7F" w:rsidRDefault="00160E7F">
      <w:pPr>
        <w:pStyle w:val="BodyText"/>
      </w:pPr>
    </w:p>
    <w:p w14:paraId="2022B648" w14:textId="77777777" w:rsidR="00160E7F" w:rsidRDefault="00160E7F">
      <w:pPr>
        <w:pStyle w:val="BodyText"/>
      </w:pPr>
    </w:p>
    <w:p w14:paraId="6EB7B15C" w14:textId="77777777" w:rsidR="00160E7F" w:rsidRDefault="002B0299">
      <w:pPr>
        <w:pStyle w:val="Heading3"/>
        <w:ind w:left="134" w:right="789"/>
      </w:pPr>
      <w:r>
        <w:rPr>
          <w:color w:val="0095A7"/>
        </w:rPr>
        <w:t>Recommendations</w:t>
      </w:r>
    </w:p>
    <w:p w14:paraId="181C0206" w14:textId="77777777" w:rsidR="00160E7F" w:rsidRDefault="000638CB">
      <w:pPr>
        <w:pStyle w:val="BodyText"/>
        <w:rPr>
          <w:sz w:val="23"/>
        </w:rPr>
      </w:pPr>
      <w:r>
        <w:pict w14:anchorId="2C368849">
          <v:shape id="_x0000_s1082" type="#_x0000_t202" style="position:absolute;margin-left:90.7pt;margin-top:14.45pt;width:432.75pt;height:84pt;z-index:1912;mso-wrap-distance-left:0;mso-wrap-distance-right:0;mso-position-horizontal-relative:page" fillcolor="#eff6f0" stroked="f">
            <v:textbox inset="0,0,0,0">
              <w:txbxContent>
                <w:p w14:paraId="27B2EA27" w14:textId="77777777" w:rsidR="00804E46" w:rsidRDefault="00804E46">
                  <w:pPr>
                    <w:spacing w:before="128"/>
                    <w:ind w:left="170" w:right="311"/>
                    <w:rPr>
                      <w:b/>
                      <w:sz w:val="20"/>
                    </w:rPr>
                  </w:pPr>
                  <w:r>
                    <w:rPr>
                      <w:b/>
                      <w:color w:val="808285"/>
                      <w:sz w:val="20"/>
                    </w:rPr>
                    <w:t>RECOMMENDATION 14.1</w:t>
                  </w:r>
                </w:p>
                <w:p w14:paraId="15CD9763" w14:textId="77777777" w:rsidR="00804E46" w:rsidRDefault="00804E46">
                  <w:pPr>
                    <w:pStyle w:val="BodyText"/>
                    <w:spacing w:before="153" w:line="280" w:lineRule="auto"/>
                    <w:ind w:left="170" w:right="271"/>
                  </w:pPr>
                  <w:r>
                    <w:rPr>
                      <w:color w:val="58595B"/>
                    </w:rPr>
                    <w:t>The Department of Environment, Land, Water and Planning develop a comprehensive statewide database of sites that pose a high risk to the community because of their past use, which should link to other relevant government data sources including information held by the</w:t>
                  </w:r>
                  <w:r>
                    <w:rPr>
                      <w:color w:val="58595B"/>
                      <w:spacing w:val="-4"/>
                    </w:rPr>
                    <w:t xml:space="preserve"> </w:t>
                  </w:r>
                  <w:r>
                    <w:rPr>
                      <w:color w:val="58595B"/>
                    </w:rPr>
                    <w:t>EPA.</w:t>
                  </w:r>
                </w:p>
              </w:txbxContent>
            </v:textbox>
            <w10:wrap type="topAndBottom" anchorx="page"/>
          </v:shape>
        </w:pict>
      </w:r>
      <w:r>
        <w:pict w14:anchorId="43173522">
          <v:shape id="_x0000_s1081" type="#_x0000_t202" style="position:absolute;margin-left:90.7pt;margin-top:109.75pt;width:432.75pt;height:84pt;z-index:1936;mso-wrap-distance-left:0;mso-wrap-distance-right:0;mso-position-horizontal-relative:page" fillcolor="#eff6f0" stroked="f">
            <v:textbox inset="0,0,0,0">
              <w:txbxContent>
                <w:p w14:paraId="1CA85A37" w14:textId="77777777" w:rsidR="00804E46" w:rsidRDefault="00804E46">
                  <w:pPr>
                    <w:spacing w:before="128"/>
                    <w:ind w:left="170" w:right="311"/>
                    <w:rPr>
                      <w:b/>
                      <w:sz w:val="20"/>
                    </w:rPr>
                  </w:pPr>
                  <w:r>
                    <w:rPr>
                      <w:b/>
                      <w:color w:val="808285"/>
                      <w:sz w:val="20"/>
                    </w:rPr>
                    <w:t>RECOMMENDATION 14.2</w:t>
                  </w:r>
                </w:p>
                <w:p w14:paraId="0199A230" w14:textId="77777777" w:rsidR="00804E46" w:rsidRDefault="00804E46">
                  <w:pPr>
                    <w:pStyle w:val="BodyText"/>
                    <w:spacing w:before="153" w:line="280" w:lineRule="auto"/>
                    <w:ind w:left="170" w:right="311"/>
                  </w:pPr>
                  <w:r>
                    <w:rPr>
                      <w:color w:val="58595B"/>
                    </w:rPr>
                    <w:t>Integrate and strengthen planning and environmental regulation of legacy contamination, through a reform process led by the Department of Environment, Land Water and Planning to provide a more consistent, risk-based approach to risk screening, assessment and remediation requirements and ongoing compliance mechanisms.</w:t>
                  </w:r>
                </w:p>
              </w:txbxContent>
            </v:textbox>
            <w10:wrap type="topAndBottom" anchorx="page"/>
          </v:shape>
        </w:pict>
      </w:r>
      <w:r>
        <w:pict w14:anchorId="6C5E204E">
          <v:shape id="_x0000_s1080" type="#_x0000_t202" style="position:absolute;margin-left:90.7pt;margin-top:205.05pt;width:432.75pt;height:57pt;z-index:1960;mso-wrap-distance-left:0;mso-wrap-distance-right:0;mso-position-horizontal-relative:page" fillcolor="#eff6f0" stroked="f">
            <v:textbox inset="0,0,0,0">
              <w:txbxContent>
                <w:p w14:paraId="6FC13C98" w14:textId="77777777" w:rsidR="00804E46" w:rsidRDefault="00804E46">
                  <w:pPr>
                    <w:spacing w:before="128"/>
                    <w:ind w:left="170" w:right="311"/>
                    <w:rPr>
                      <w:b/>
                      <w:sz w:val="20"/>
                    </w:rPr>
                  </w:pPr>
                  <w:r>
                    <w:rPr>
                      <w:b/>
                      <w:color w:val="808285"/>
                      <w:sz w:val="20"/>
                    </w:rPr>
                    <w:t>RECOMMENDATION 14.3</w:t>
                  </w:r>
                </w:p>
                <w:p w14:paraId="633E8CFA" w14:textId="77777777" w:rsidR="00804E46" w:rsidRDefault="00804E46">
                  <w:pPr>
                    <w:pStyle w:val="BodyText"/>
                    <w:spacing w:before="153" w:line="280" w:lineRule="auto"/>
                    <w:ind w:left="170" w:right="311"/>
                  </w:pPr>
                  <w:r>
                    <w:rPr>
                      <w:color w:val="58595B"/>
                    </w:rPr>
                    <w:t>As part of reform of the Prescribed Industrial Waste Levy, give specific attention to addressing illegal dumping and supporting responsible disposal of asbestos.</w:t>
                  </w:r>
                </w:p>
              </w:txbxContent>
            </v:textbox>
            <w10:wrap type="topAndBottom" anchorx="page"/>
          </v:shape>
        </w:pict>
      </w:r>
    </w:p>
    <w:p w14:paraId="05864D5E" w14:textId="77777777" w:rsidR="00160E7F" w:rsidRDefault="00160E7F">
      <w:pPr>
        <w:pStyle w:val="BodyText"/>
        <w:spacing w:before="3"/>
        <w:rPr>
          <w:sz w:val="16"/>
        </w:rPr>
      </w:pPr>
    </w:p>
    <w:p w14:paraId="0C52B092" w14:textId="77777777" w:rsidR="00160E7F" w:rsidRDefault="00160E7F">
      <w:pPr>
        <w:pStyle w:val="BodyText"/>
        <w:spacing w:before="3"/>
        <w:rPr>
          <w:sz w:val="16"/>
        </w:rPr>
      </w:pPr>
    </w:p>
    <w:p w14:paraId="5B4C84F7" w14:textId="77777777" w:rsidR="00160E7F" w:rsidRDefault="00160E7F">
      <w:pPr>
        <w:rPr>
          <w:sz w:val="16"/>
        </w:rPr>
        <w:sectPr w:rsidR="00160E7F">
          <w:pgSz w:w="11910" w:h="16840"/>
          <w:pgMar w:top="980" w:right="0" w:bottom="280" w:left="1680" w:header="788" w:footer="0" w:gutter="0"/>
          <w:cols w:space="720"/>
        </w:sectPr>
      </w:pPr>
    </w:p>
    <w:p w14:paraId="2195CCDA" w14:textId="77777777" w:rsidR="00160E7F" w:rsidRDefault="00160E7F">
      <w:pPr>
        <w:pStyle w:val="BodyText"/>
      </w:pPr>
    </w:p>
    <w:p w14:paraId="0AE087DD" w14:textId="77777777" w:rsidR="00160E7F" w:rsidRDefault="00160E7F">
      <w:pPr>
        <w:pStyle w:val="BodyText"/>
      </w:pPr>
    </w:p>
    <w:p w14:paraId="62C8D365" w14:textId="77777777" w:rsidR="00160E7F" w:rsidRDefault="00160E7F">
      <w:pPr>
        <w:pStyle w:val="BodyText"/>
      </w:pPr>
    </w:p>
    <w:p w14:paraId="4D62A6AD" w14:textId="77777777" w:rsidR="00160E7F" w:rsidRDefault="00160E7F">
      <w:pPr>
        <w:pStyle w:val="BodyText"/>
      </w:pPr>
    </w:p>
    <w:p w14:paraId="5CA124A5" w14:textId="77777777" w:rsidR="00160E7F" w:rsidRDefault="00160E7F">
      <w:pPr>
        <w:pStyle w:val="BodyText"/>
        <w:spacing w:before="4"/>
        <w:rPr>
          <w:sz w:val="13"/>
        </w:rPr>
      </w:pPr>
    </w:p>
    <w:p w14:paraId="2D07BA10" w14:textId="77777777" w:rsidR="00160E7F" w:rsidRDefault="000638CB">
      <w:pPr>
        <w:pStyle w:val="BodyText"/>
        <w:spacing w:line="20" w:lineRule="exact"/>
        <w:ind w:left="1412"/>
        <w:rPr>
          <w:sz w:val="2"/>
        </w:rPr>
      </w:pPr>
      <w:r>
        <w:rPr>
          <w:sz w:val="2"/>
        </w:rPr>
      </w:r>
      <w:r>
        <w:rPr>
          <w:sz w:val="2"/>
        </w:rPr>
        <w:pict w14:anchorId="10D4AF0D">
          <v:group id="_x0000_s1078" style="width:434.2pt;height:.5pt;mso-position-horizontal-relative:char;mso-position-vertical-relative:line" coordsize="8684,10">
            <v:line id="_x0000_s1079" style="position:absolute" from="5,5" to="8679,5" strokecolor="#58595b" strokeweight=".5pt"/>
            <w10:wrap type="none"/>
            <w10:anchorlock/>
          </v:group>
        </w:pict>
      </w:r>
    </w:p>
    <w:p w14:paraId="1C79D5C6" w14:textId="77777777" w:rsidR="00160E7F" w:rsidRDefault="00160E7F">
      <w:pPr>
        <w:spacing w:line="20" w:lineRule="exact"/>
        <w:rPr>
          <w:sz w:val="2"/>
        </w:rPr>
        <w:sectPr w:rsidR="00160E7F">
          <w:pgSz w:w="11910" w:h="16840"/>
          <w:pgMar w:top="980" w:right="1680" w:bottom="280" w:left="0" w:header="788" w:footer="0" w:gutter="0"/>
          <w:cols w:space="720"/>
        </w:sectPr>
      </w:pPr>
    </w:p>
    <w:p w14:paraId="090ADE3B" w14:textId="69FF5FE8" w:rsidR="00160E7F" w:rsidRDefault="002B0299">
      <w:pPr>
        <w:pStyle w:val="ListParagraph"/>
        <w:numPr>
          <w:ilvl w:val="0"/>
          <w:numId w:val="24"/>
        </w:numPr>
        <w:tabs>
          <w:tab w:val="left" w:pos="1701"/>
        </w:tabs>
        <w:spacing w:before="47" w:line="242" w:lineRule="auto"/>
        <w:ind w:right="135" w:hanging="283"/>
        <w:jc w:val="left"/>
        <w:rPr>
          <w:sz w:val="12"/>
        </w:rPr>
      </w:pPr>
      <w:r>
        <w:rPr>
          <w:color w:val="58595B"/>
          <w:sz w:val="12"/>
        </w:rPr>
        <w:lastRenderedPageBreak/>
        <w:t xml:space="preserve">Contaminated groundwater </w:t>
      </w:r>
      <w:r>
        <w:rPr>
          <w:color w:val="58595B"/>
          <w:spacing w:val="2"/>
          <w:sz w:val="12"/>
        </w:rPr>
        <w:t xml:space="preserve">can </w:t>
      </w:r>
      <w:r>
        <w:rPr>
          <w:color w:val="58595B"/>
          <w:sz w:val="12"/>
        </w:rPr>
        <w:t xml:space="preserve">also be a </w:t>
      </w:r>
      <w:r>
        <w:rPr>
          <w:color w:val="58595B"/>
          <w:spacing w:val="2"/>
          <w:sz w:val="12"/>
        </w:rPr>
        <w:t xml:space="preserve">concern </w:t>
      </w:r>
      <w:r>
        <w:rPr>
          <w:color w:val="58595B"/>
          <w:sz w:val="12"/>
        </w:rPr>
        <w:t xml:space="preserve">if populations depend on it for water supply or there are </w:t>
      </w:r>
      <w:r>
        <w:rPr>
          <w:color w:val="58595B"/>
          <w:spacing w:val="2"/>
          <w:sz w:val="12"/>
        </w:rPr>
        <w:t xml:space="preserve">significant </w:t>
      </w:r>
      <w:r>
        <w:rPr>
          <w:color w:val="58595B"/>
          <w:sz w:val="12"/>
        </w:rPr>
        <w:t>impacts on the health of waterways, impacting the environment and productive uses.</w:t>
      </w:r>
    </w:p>
    <w:p w14:paraId="00FC33FC" w14:textId="339E2F98" w:rsidR="00160E7F" w:rsidRDefault="002B0299">
      <w:pPr>
        <w:pStyle w:val="ListParagraph"/>
        <w:numPr>
          <w:ilvl w:val="0"/>
          <w:numId w:val="24"/>
        </w:numPr>
        <w:tabs>
          <w:tab w:val="left" w:pos="1701"/>
        </w:tabs>
        <w:spacing w:line="242" w:lineRule="auto"/>
        <w:ind w:right="238" w:hanging="283"/>
        <w:jc w:val="left"/>
        <w:rPr>
          <w:sz w:val="12"/>
        </w:rPr>
      </w:pPr>
      <w:r>
        <w:rPr>
          <w:color w:val="58595B"/>
          <w:sz w:val="12"/>
        </w:rPr>
        <w:t xml:space="preserve">The initial regulatory framework was established following the discovery of lead contamination in soil in a new residential estate at Suspension Street, Ardeer in the former City of Sunshine in 1989.  The land had been used for </w:t>
      </w:r>
      <w:r>
        <w:rPr>
          <w:color w:val="58595B"/>
          <w:spacing w:val="2"/>
          <w:sz w:val="12"/>
        </w:rPr>
        <w:t xml:space="preserve">secondary </w:t>
      </w:r>
      <w:r>
        <w:rPr>
          <w:color w:val="58595B"/>
          <w:sz w:val="12"/>
        </w:rPr>
        <w:t xml:space="preserve">lead smelting and </w:t>
      </w:r>
      <w:r>
        <w:rPr>
          <w:color w:val="58595B"/>
          <w:spacing w:val="2"/>
          <w:sz w:val="12"/>
        </w:rPr>
        <w:t>lead-acid battery</w:t>
      </w:r>
      <w:r w:rsidR="00223325">
        <w:rPr>
          <w:color w:val="58595B"/>
          <w:spacing w:val="22"/>
          <w:sz w:val="12"/>
        </w:rPr>
        <w:t xml:space="preserve"> </w:t>
      </w:r>
      <w:r>
        <w:rPr>
          <w:color w:val="58595B"/>
          <w:sz w:val="12"/>
        </w:rPr>
        <w:t>manufacture.</w:t>
      </w:r>
    </w:p>
    <w:p w14:paraId="66630703" w14:textId="77777777" w:rsidR="00160E7F" w:rsidRDefault="000638CB">
      <w:pPr>
        <w:pStyle w:val="ListParagraph"/>
        <w:numPr>
          <w:ilvl w:val="0"/>
          <w:numId w:val="24"/>
        </w:numPr>
        <w:tabs>
          <w:tab w:val="left" w:pos="1701"/>
        </w:tabs>
        <w:spacing w:line="242" w:lineRule="auto"/>
        <w:ind w:right="295" w:hanging="283"/>
        <w:jc w:val="left"/>
        <w:rPr>
          <w:sz w:val="12"/>
        </w:rPr>
      </w:pPr>
      <w:hyperlink r:id="rId61">
        <w:r w:rsidR="002B0299">
          <w:rPr>
            <w:color w:val="58595B"/>
            <w:sz w:val="12"/>
          </w:rPr>
          <w:t>http://www.asbestos.vic.gov.au/about-asbestos/types-of-asbestos</w:t>
        </w:r>
      </w:hyperlink>
      <w:r w:rsidR="002B0299">
        <w:rPr>
          <w:color w:val="58595B"/>
          <w:sz w:val="12"/>
        </w:rPr>
        <w:t xml:space="preserve"> (accessed 10 March</w:t>
      </w:r>
      <w:r w:rsidR="002B0299">
        <w:rPr>
          <w:color w:val="58595B"/>
          <w:spacing w:val="21"/>
          <w:sz w:val="12"/>
        </w:rPr>
        <w:t xml:space="preserve"> </w:t>
      </w:r>
      <w:r w:rsidR="002B0299">
        <w:rPr>
          <w:color w:val="58595B"/>
          <w:sz w:val="12"/>
        </w:rPr>
        <w:t>2016).</w:t>
      </w:r>
    </w:p>
    <w:p w14:paraId="0010EE56" w14:textId="77777777" w:rsidR="00160E7F" w:rsidRDefault="002B0299">
      <w:pPr>
        <w:pStyle w:val="ListParagraph"/>
        <w:numPr>
          <w:ilvl w:val="0"/>
          <w:numId w:val="24"/>
        </w:numPr>
        <w:tabs>
          <w:tab w:val="left" w:pos="1701"/>
        </w:tabs>
        <w:spacing w:line="242" w:lineRule="auto"/>
        <w:ind w:right="168" w:hanging="283"/>
        <w:jc w:val="left"/>
        <w:rPr>
          <w:sz w:val="12"/>
        </w:rPr>
      </w:pPr>
      <w:r>
        <w:rPr>
          <w:color w:val="58595B"/>
          <w:sz w:val="12"/>
        </w:rPr>
        <w:t xml:space="preserve">Ombudsman </w:t>
      </w:r>
      <w:r>
        <w:rPr>
          <w:color w:val="58595B"/>
          <w:spacing w:val="2"/>
          <w:sz w:val="12"/>
        </w:rPr>
        <w:t xml:space="preserve">Victoria 2009, </w:t>
      </w:r>
      <w:r>
        <w:rPr>
          <w:i/>
          <w:color w:val="58595B"/>
          <w:spacing w:val="2"/>
          <w:sz w:val="12"/>
        </w:rPr>
        <w:t xml:space="preserve">Brookland </w:t>
      </w:r>
      <w:r>
        <w:rPr>
          <w:i/>
          <w:color w:val="58595B"/>
          <w:sz w:val="12"/>
        </w:rPr>
        <w:t>Greens Estate – Investigation into methane gas leaks</w:t>
      </w:r>
      <w:r>
        <w:rPr>
          <w:color w:val="58595B"/>
          <w:sz w:val="12"/>
        </w:rPr>
        <w:t xml:space="preserve">, Melbourne, October, p. </w:t>
      </w:r>
      <w:r>
        <w:rPr>
          <w:color w:val="58595B"/>
          <w:spacing w:val="20"/>
          <w:sz w:val="12"/>
        </w:rPr>
        <w:t xml:space="preserve"> </w:t>
      </w:r>
      <w:r>
        <w:rPr>
          <w:color w:val="58595B"/>
          <w:sz w:val="12"/>
        </w:rPr>
        <w:t>24.</w:t>
      </w:r>
    </w:p>
    <w:p w14:paraId="24941BEE" w14:textId="20AA222F" w:rsidR="00160E7F" w:rsidRDefault="002B0299">
      <w:pPr>
        <w:pStyle w:val="ListParagraph"/>
        <w:numPr>
          <w:ilvl w:val="0"/>
          <w:numId w:val="24"/>
        </w:numPr>
        <w:tabs>
          <w:tab w:val="left" w:pos="1701"/>
        </w:tabs>
        <w:spacing w:line="242" w:lineRule="auto"/>
        <w:ind w:right="56" w:hanging="283"/>
        <w:jc w:val="both"/>
        <w:rPr>
          <w:sz w:val="12"/>
        </w:rPr>
      </w:pPr>
      <w:r>
        <w:rPr>
          <w:color w:val="58595B"/>
          <w:sz w:val="12"/>
        </w:rPr>
        <w:t xml:space="preserve">Through zoning controls, in particular, the planning system </w:t>
      </w:r>
      <w:r>
        <w:rPr>
          <w:color w:val="58595B"/>
          <w:spacing w:val="2"/>
          <w:sz w:val="12"/>
        </w:rPr>
        <w:t xml:space="preserve">can </w:t>
      </w:r>
      <w:r>
        <w:rPr>
          <w:color w:val="58595B"/>
          <w:sz w:val="12"/>
        </w:rPr>
        <w:t xml:space="preserve">ensure that ‘sensitive uses’ – such as housing and </w:t>
      </w:r>
      <w:r>
        <w:rPr>
          <w:color w:val="58595B"/>
          <w:spacing w:val="2"/>
          <w:sz w:val="12"/>
        </w:rPr>
        <w:t xml:space="preserve">childcare </w:t>
      </w:r>
      <w:r>
        <w:rPr>
          <w:color w:val="58595B"/>
          <w:sz w:val="12"/>
        </w:rPr>
        <w:t>facilities – are not located on sites with a risk of exposure to contamination in the land</w:t>
      </w:r>
    </w:p>
    <w:p w14:paraId="61004643" w14:textId="77777777" w:rsidR="00160E7F" w:rsidRDefault="002B0299">
      <w:pPr>
        <w:ind w:left="1700" w:right="83"/>
        <w:rPr>
          <w:sz w:val="12"/>
        </w:rPr>
      </w:pPr>
      <w:r>
        <w:rPr>
          <w:color w:val="58595B"/>
          <w:sz w:val="12"/>
        </w:rPr>
        <w:t>or groundwater.</w:t>
      </w:r>
    </w:p>
    <w:p w14:paraId="629466C8" w14:textId="77777777" w:rsidR="00160E7F" w:rsidRDefault="002B0299">
      <w:pPr>
        <w:pStyle w:val="ListParagraph"/>
        <w:numPr>
          <w:ilvl w:val="0"/>
          <w:numId w:val="24"/>
        </w:numPr>
        <w:tabs>
          <w:tab w:val="left" w:pos="1701"/>
        </w:tabs>
        <w:spacing w:before="30" w:line="242" w:lineRule="auto"/>
        <w:ind w:hanging="283"/>
        <w:jc w:val="left"/>
        <w:rPr>
          <w:sz w:val="12"/>
        </w:rPr>
      </w:pPr>
      <w:r>
        <w:rPr>
          <w:color w:val="58595B"/>
          <w:sz w:val="12"/>
        </w:rPr>
        <w:t xml:space="preserve">For example, the Listed Land Use database in </w:t>
      </w:r>
      <w:r>
        <w:rPr>
          <w:color w:val="58595B"/>
          <w:spacing w:val="2"/>
          <w:sz w:val="12"/>
        </w:rPr>
        <w:t xml:space="preserve">Canterbury </w:t>
      </w:r>
      <w:r>
        <w:rPr>
          <w:color w:val="58595B"/>
          <w:sz w:val="12"/>
        </w:rPr>
        <w:t>New Zealand (se</w:t>
      </w:r>
      <w:hyperlink r:id="rId62">
        <w:r>
          <w:rPr>
            <w:color w:val="58595B"/>
            <w:sz w:val="12"/>
          </w:rPr>
          <w:t>e http://llur.ecan.govt.nz/Public/,</w:t>
        </w:r>
      </w:hyperlink>
      <w:r>
        <w:rPr>
          <w:color w:val="58595B"/>
          <w:sz w:val="12"/>
        </w:rPr>
        <w:t xml:space="preserve"> </w:t>
      </w:r>
      <w:r>
        <w:rPr>
          <w:color w:val="58595B"/>
          <w:spacing w:val="2"/>
          <w:sz w:val="12"/>
        </w:rPr>
        <w:t xml:space="preserve">accessed </w:t>
      </w:r>
      <w:r>
        <w:rPr>
          <w:color w:val="58595B"/>
          <w:sz w:val="12"/>
        </w:rPr>
        <w:t xml:space="preserve">7 March 2016); the </w:t>
      </w:r>
      <w:r>
        <w:rPr>
          <w:color w:val="58595B"/>
          <w:spacing w:val="2"/>
          <w:sz w:val="12"/>
        </w:rPr>
        <w:t xml:space="preserve">Northern </w:t>
      </w:r>
      <w:r>
        <w:rPr>
          <w:color w:val="58595B"/>
          <w:sz w:val="12"/>
        </w:rPr>
        <w:t xml:space="preserve">Ireland Environment Agency’s database of sites based on    their historic land use and potential for contamination (see </w:t>
      </w:r>
      <w:r>
        <w:rPr>
          <w:color w:val="58595B"/>
          <w:spacing w:val="2"/>
          <w:sz w:val="12"/>
        </w:rPr>
        <w:t>https://</w:t>
      </w:r>
      <w:hyperlink r:id="rId63">
        <w:r>
          <w:rPr>
            <w:color w:val="58595B"/>
            <w:spacing w:val="2"/>
            <w:sz w:val="12"/>
          </w:rPr>
          <w:t>www.</w:t>
        </w:r>
      </w:hyperlink>
      <w:r>
        <w:rPr>
          <w:color w:val="58595B"/>
          <w:spacing w:val="2"/>
          <w:sz w:val="12"/>
        </w:rPr>
        <w:t xml:space="preserve"> doeni.gov.uk/articles/planning-and-land-contamination,</w:t>
      </w:r>
      <w:r>
        <w:rPr>
          <w:color w:val="58595B"/>
          <w:spacing w:val="6"/>
          <w:sz w:val="12"/>
        </w:rPr>
        <w:t xml:space="preserve"> </w:t>
      </w:r>
      <w:r>
        <w:rPr>
          <w:color w:val="58595B"/>
          <w:spacing w:val="2"/>
          <w:sz w:val="12"/>
        </w:rPr>
        <w:t>accessed</w:t>
      </w:r>
    </w:p>
    <w:p w14:paraId="7237FCD1" w14:textId="16546FC9" w:rsidR="00160E7F" w:rsidRDefault="002B0299">
      <w:pPr>
        <w:pStyle w:val="ListParagraph"/>
        <w:numPr>
          <w:ilvl w:val="0"/>
          <w:numId w:val="24"/>
        </w:numPr>
        <w:tabs>
          <w:tab w:val="left" w:pos="1801"/>
        </w:tabs>
        <w:spacing w:before="0" w:line="242" w:lineRule="auto"/>
        <w:ind w:right="124" w:firstLine="0"/>
        <w:jc w:val="both"/>
        <w:rPr>
          <w:sz w:val="12"/>
        </w:rPr>
      </w:pPr>
      <w:r>
        <w:rPr>
          <w:color w:val="58595B"/>
          <w:sz w:val="12"/>
        </w:rPr>
        <w:t xml:space="preserve">March 2016); European Environment Agency </w:t>
      </w:r>
      <w:r>
        <w:rPr>
          <w:color w:val="58595B"/>
          <w:spacing w:val="2"/>
          <w:sz w:val="12"/>
        </w:rPr>
        <w:t xml:space="preserve">2000, </w:t>
      </w:r>
      <w:r>
        <w:rPr>
          <w:color w:val="58595B"/>
          <w:sz w:val="12"/>
        </w:rPr>
        <w:t xml:space="preserve">Management of contaminated sites in Western Europe, Copenhagen (http://www.ehu. eus/europeanclass2003/eeasoil.pdf, </w:t>
      </w:r>
      <w:r>
        <w:rPr>
          <w:color w:val="58595B"/>
          <w:spacing w:val="2"/>
          <w:sz w:val="12"/>
        </w:rPr>
        <w:t xml:space="preserve">accessed </w:t>
      </w:r>
      <w:r w:rsidR="00A86011">
        <w:rPr>
          <w:color w:val="58595B"/>
          <w:sz w:val="12"/>
        </w:rPr>
        <w:t xml:space="preserve">7 </w:t>
      </w:r>
      <w:r>
        <w:rPr>
          <w:color w:val="58595B"/>
          <w:sz w:val="12"/>
        </w:rPr>
        <w:t>March</w:t>
      </w:r>
      <w:r>
        <w:rPr>
          <w:color w:val="58595B"/>
          <w:spacing w:val="3"/>
          <w:sz w:val="12"/>
        </w:rPr>
        <w:t xml:space="preserve"> </w:t>
      </w:r>
      <w:r>
        <w:rPr>
          <w:color w:val="58595B"/>
          <w:sz w:val="12"/>
        </w:rPr>
        <w:t>2016).</w:t>
      </w:r>
    </w:p>
    <w:p w14:paraId="68EAC8EC" w14:textId="39EE38B2" w:rsidR="00160E7F" w:rsidRDefault="002B0299">
      <w:pPr>
        <w:pStyle w:val="ListParagraph"/>
        <w:numPr>
          <w:ilvl w:val="0"/>
          <w:numId w:val="23"/>
        </w:numPr>
        <w:tabs>
          <w:tab w:val="left" w:pos="1701"/>
        </w:tabs>
        <w:spacing w:line="242" w:lineRule="auto"/>
        <w:ind w:right="315" w:hanging="283"/>
        <w:jc w:val="left"/>
        <w:rPr>
          <w:sz w:val="12"/>
        </w:rPr>
      </w:pPr>
      <w:r>
        <w:rPr>
          <w:color w:val="58595B"/>
          <w:sz w:val="12"/>
        </w:rPr>
        <w:t xml:space="preserve">For example, Cal EPA schools clean up program, </w:t>
      </w:r>
      <w:r>
        <w:rPr>
          <w:color w:val="58595B"/>
          <w:spacing w:val="2"/>
          <w:sz w:val="12"/>
        </w:rPr>
        <w:t xml:space="preserve">http://www.dtsc. </w:t>
      </w:r>
      <w:r>
        <w:rPr>
          <w:color w:val="58595B"/>
          <w:sz w:val="12"/>
        </w:rPr>
        <w:t>ca.gov/Schools/index.cfm (accessed 7 March 2016).</w:t>
      </w:r>
    </w:p>
    <w:p w14:paraId="122AEE43" w14:textId="77F79A11" w:rsidR="00160E7F" w:rsidRDefault="002B0299">
      <w:pPr>
        <w:pStyle w:val="ListParagraph"/>
        <w:numPr>
          <w:ilvl w:val="0"/>
          <w:numId w:val="23"/>
        </w:numPr>
        <w:tabs>
          <w:tab w:val="left" w:pos="1701"/>
        </w:tabs>
        <w:spacing w:line="242" w:lineRule="auto"/>
        <w:ind w:right="151" w:hanging="283"/>
        <w:jc w:val="left"/>
        <w:rPr>
          <w:sz w:val="12"/>
        </w:rPr>
      </w:pPr>
      <w:r>
        <w:rPr>
          <w:color w:val="58595B"/>
          <w:sz w:val="12"/>
        </w:rPr>
        <w:t>For example, UK planning provisions (</w:t>
      </w:r>
      <w:hyperlink r:id="rId64">
        <w:r>
          <w:rPr>
            <w:color w:val="58595B"/>
            <w:sz w:val="12"/>
          </w:rPr>
          <w:t>http://planningguidance.</w:t>
        </w:r>
      </w:hyperlink>
      <w:r>
        <w:rPr>
          <w:color w:val="58595B"/>
          <w:sz w:val="12"/>
        </w:rPr>
        <w:t xml:space="preserve"> </w:t>
      </w:r>
      <w:r>
        <w:rPr>
          <w:color w:val="58595B"/>
          <w:spacing w:val="2"/>
          <w:sz w:val="12"/>
        </w:rPr>
        <w:t xml:space="preserve">communities.gov.uk/blog/guidance/land-affected-by-contamination/ land-affected-by-contamination-guidance/ </w:t>
      </w:r>
      <w:r>
        <w:rPr>
          <w:color w:val="58595B"/>
          <w:sz w:val="12"/>
        </w:rPr>
        <w:t>(accessed 7 March 2016).</w:t>
      </w:r>
    </w:p>
    <w:p w14:paraId="140342BB" w14:textId="77777777" w:rsidR="00160E7F" w:rsidRDefault="002B0299">
      <w:pPr>
        <w:pStyle w:val="ListParagraph"/>
        <w:numPr>
          <w:ilvl w:val="0"/>
          <w:numId w:val="23"/>
        </w:numPr>
        <w:tabs>
          <w:tab w:val="left" w:pos="1701"/>
        </w:tabs>
        <w:spacing w:line="242" w:lineRule="auto"/>
        <w:ind w:right="55" w:hanging="283"/>
        <w:jc w:val="left"/>
        <w:rPr>
          <w:sz w:val="12"/>
        </w:rPr>
      </w:pPr>
      <w:r>
        <w:rPr>
          <w:color w:val="58595B"/>
          <w:sz w:val="12"/>
        </w:rPr>
        <w:t>The National Environment Protection (Assessment of Site Contamination) Measure</w:t>
      </w:r>
      <w:hyperlink r:id="rId65">
        <w:r>
          <w:rPr>
            <w:color w:val="58595B"/>
            <w:sz w:val="12"/>
          </w:rPr>
          <w:t>. http://www.scew.gov.au/nepms/assessment-</w:t>
        </w:r>
      </w:hyperlink>
      <w:r>
        <w:rPr>
          <w:color w:val="58595B"/>
          <w:sz w:val="12"/>
        </w:rPr>
        <w:t xml:space="preserve"> </w:t>
      </w:r>
      <w:r>
        <w:rPr>
          <w:color w:val="58595B"/>
          <w:spacing w:val="2"/>
          <w:sz w:val="12"/>
        </w:rPr>
        <w:t xml:space="preserve">site-contamination </w:t>
      </w:r>
      <w:r>
        <w:rPr>
          <w:color w:val="58595B"/>
          <w:sz w:val="12"/>
        </w:rPr>
        <w:t>(accessed 9 March</w:t>
      </w:r>
      <w:r>
        <w:rPr>
          <w:color w:val="58595B"/>
          <w:spacing w:val="23"/>
          <w:sz w:val="12"/>
        </w:rPr>
        <w:t xml:space="preserve"> </w:t>
      </w:r>
      <w:r>
        <w:rPr>
          <w:color w:val="58595B"/>
          <w:sz w:val="12"/>
        </w:rPr>
        <w:t>2016).</w:t>
      </w:r>
    </w:p>
    <w:p w14:paraId="5C23B0DC" w14:textId="77777777" w:rsidR="00160E7F" w:rsidRDefault="002B0299">
      <w:pPr>
        <w:pStyle w:val="ListParagraph"/>
        <w:numPr>
          <w:ilvl w:val="0"/>
          <w:numId w:val="23"/>
        </w:numPr>
        <w:tabs>
          <w:tab w:val="left" w:pos="1701"/>
        </w:tabs>
        <w:spacing w:line="242" w:lineRule="auto"/>
        <w:ind w:right="51" w:hanging="283"/>
        <w:jc w:val="left"/>
        <w:rPr>
          <w:sz w:val="12"/>
        </w:rPr>
      </w:pPr>
      <w:r>
        <w:rPr>
          <w:color w:val="58595B"/>
          <w:sz w:val="12"/>
        </w:rPr>
        <w:t xml:space="preserve">Brownfields refer to former industrial sites or other sites where ‘expansion, redevelopment, or reuse … may be complicated by the presence or potential presence of a hazardous substance, pollutant, or contaminant.’ </w:t>
      </w:r>
      <w:r>
        <w:rPr>
          <w:color w:val="58595B"/>
          <w:spacing w:val="2"/>
          <w:sz w:val="12"/>
        </w:rPr>
        <w:t>https://</w:t>
      </w:r>
      <w:hyperlink r:id="rId66">
        <w:r>
          <w:rPr>
            <w:color w:val="58595B"/>
            <w:spacing w:val="2"/>
            <w:sz w:val="12"/>
          </w:rPr>
          <w:t>www.epa.gov/brownfields/brownfield-overview-</w:t>
        </w:r>
      </w:hyperlink>
      <w:r>
        <w:rPr>
          <w:color w:val="58595B"/>
          <w:spacing w:val="2"/>
          <w:sz w:val="12"/>
        </w:rPr>
        <w:t xml:space="preserve"> and-definition </w:t>
      </w:r>
      <w:r>
        <w:rPr>
          <w:color w:val="58595B"/>
          <w:sz w:val="12"/>
        </w:rPr>
        <w:t>(accessed 7 March</w:t>
      </w:r>
      <w:r>
        <w:rPr>
          <w:color w:val="58595B"/>
          <w:spacing w:val="26"/>
          <w:sz w:val="12"/>
        </w:rPr>
        <w:t xml:space="preserve"> </w:t>
      </w:r>
      <w:r>
        <w:rPr>
          <w:color w:val="58595B"/>
          <w:sz w:val="12"/>
        </w:rPr>
        <w:t>2016).</w:t>
      </w:r>
    </w:p>
    <w:p w14:paraId="6044D936" w14:textId="77777777" w:rsidR="00160E7F" w:rsidRDefault="002B0299">
      <w:pPr>
        <w:pStyle w:val="ListParagraph"/>
        <w:numPr>
          <w:ilvl w:val="0"/>
          <w:numId w:val="23"/>
        </w:numPr>
        <w:tabs>
          <w:tab w:val="left" w:pos="1701"/>
        </w:tabs>
        <w:spacing w:line="242" w:lineRule="auto"/>
        <w:ind w:right="242" w:hanging="283"/>
        <w:jc w:val="left"/>
        <w:rPr>
          <w:sz w:val="12"/>
        </w:rPr>
      </w:pP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2011, </w:t>
      </w:r>
      <w:r>
        <w:rPr>
          <w:i/>
          <w:color w:val="58595B"/>
          <w:sz w:val="12"/>
        </w:rPr>
        <w:t>Managing contaminated sites</w:t>
      </w:r>
      <w:r>
        <w:rPr>
          <w:color w:val="58595B"/>
          <w:sz w:val="12"/>
        </w:rPr>
        <w:t xml:space="preserve">, Melbourne, </w:t>
      </w:r>
      <w:r>
        <w:rPr>
          <w:color w:val="58595B"/>
          <w:spacing w:val="2"/>
          <w:sz w:val="12"/>
        </w:rPr>
        <w:t xml:space="preserve">December; </w:t>
      </w:r>
      <w:r>
        <w:rPr>
          <w:color w:val="58595B"/>
          <w:sz w:val="12"/>
        </w:rPr>
        <w:t xml:space="preserve">Potentially Contaminated Land </w:t>
      </w:r>
      <w:r>
        <w:rPr>
          <w:color w:val="58595B"/>
          <w:spacing w:val="2"/>
          <w:sz w:val="12"/>
        </w:rPr>
        <w:t xml:space="preserve">Advisory </w:t>
      </w:r>
      <w:r>
        <w:rPr>
          <w:color w:val="58595B"/>
          <w:sz w:val="12"/>
        </w:rPr>
        <w:t xml:space="preserve">Committee 2012, </w:t>
      </w:r>
      <w:r>
        <w:rPr>
          <w:i/>
          <w:color w:val="58595B"/>
          <w:spacing w:val="2"/>
          <w:sz w:val="12"/>
        </w:rPr>
        <w:t xml:space="preserve">Report </w:t>
      </w:r>
      <w:r>
        <w:rPr>
          <w:i/>
          <w:color w:val="58595B"/>
          <w:sz w:val="12"/>
        </w:rPr>
        <w:t>for the Minister for Planning</w:t>
      </w:r>
      <w:r>
        <w:rPr>
          <w:color w:val="58595B"/>
          <w:sz w:val="12"/>
        </w:rPr>
        <w:t xml:space="preserve">, Melbourne, March; </w:t>
      </w:r>
      <w:r>
        <w:rPr>
          <w:i/>
          <w:color w:val="58595B"/>
          <w:sz w:val="12"/>
        </w:rPr>
        <w:t xml:space="preserve">Cleaner environments – </w:t>
      </w:r>
      <w:r>
        <w:rPr>
          <w:i/>
          <w:color w:val="58595B"/>
          <w:spacing w:val="2"/>
          <w:sz w:val="12"/>
        </w:rPr>
        <w:t xml:space="preserve">smarter </w:t>
      </w:r>
      <w:r>
        <w:rPr>
          <w:i/>
          <w:color w:val="58595B"/>
          <w:sz w:val="12"/>
        </w:rPr>
        <w:t xml:space="preserve">urban  </w:t>
      </w:r>
      <w:r>
        <w:rPr>
          <w:i/>
          <w:color w:val="58595B"/>
          <w:spacing w:val="9"/>
          <w:sz w:val="12"/>
        </w:rPr>
        <w:t xml:space="preserve"> </w:t>
      </w:r>
      <w:r>
        <w:rPr>
          <w:i/>
          <w:color w:val="58595B"/>
          <w:sz w:val="12"/>
        </w:rPr>
        <w:t>renewal</w:t>
      </w:r>
      <w:r>
        <w:rPr>
          <w:color w:val="58595B"/>
          <w:sz w:val="12"/>
        </w:rPr>
        <w:t>,</w:t>
      </w:r>
    </w:p>
    <w:p w14:paraId="4C4DDF08" w14:textId="77777777" w:rsidR="00160E7F" w:rsidRDefault="002B0299">
      <w:pPr>
        <w:spacing w:line="242" w:lineRule="auto"/>
        <w:ind w:left="1700" w:right="83"/>
        <w:rPr>
          <w:sz w:val="12"/>
        </w:rPr>
      </w:pPr>
      <w:r>
        <w:rPr>
          <w:color w:val="58595B"/>
          <w:sz w:val="12"/>
        </w:rPr>
        <w:t>September 2014</w:t>
      </w:r>
      <w:hyperlink r:id="rId67">
        <w:r>
          <w:rPr>
            <w:color w:val="58595B"/>
            <w:sz w:val="12"/>
          </w:rPr>
          <w:t>, http://www.depi.vic.gov.au/environment-and-wildlife/</w:t>
        </w:r>
      </w:hyperlink>
      <w:r>
        <w:rPr>
          <w:color w:val="58595B"/>
          <w:sz w:val="12"/>
        </w:rPr>
        <w:t xml:space="preserve"> sustainability/Cleaner-Environments-Smarter-Urban-Renewal (accessed 19 March 2016).</w:t>
      </w:r>
    </w:p>
    <w:p w14:paraId="62721DC1" w14:textId="70DE6F17" w:rsidR="00160E7F" w:rsidRDefault="002B0299">
      <w:pPr>
        <w:pStyle w:val="ListParagraph"/>
        <w:numPr>
          <w:ilvl w:val="0"/>
          <w:numId w:val="23"/>
        </w:numPr>
        <w:tabs>
          <w:tab w:val="left" w:pos="1701"/>
        </w:tabs>
        <w:ind w:hanging="283"/>
        <w:jc w:val="left"/>
        <w:rPr>
          <w:sz w:val="12"/>
        </w:rPr>
      </w:pPr>
      <w:r>
        <w:rPr>
          <w:color w:val="58595B"/>
          <w:sz w:val="12"/>
        </w:rPr>
        <w:t xml:space="preserve">Planning Institute of Australia – </w:t>
      </w:r>
      <w:r>
        <w:rPr>
          <w:color w:val="58595B"/>
          <w:spacing w:val="2"/>
          <w:sz w:val="12"/>
        </w:rPr>
        <w:t xml:space="preserve">Victoria </w:t>
      </w:r>
      <w:r>
        <w:rPr>
          <w:color w:val="58595B"/>
          <w:sz w:val="12"/>
        </w:rPr>
        <w:t>submission, p.3.</w:t>
      </w:r>
    </w:p>
    <w:p w14:paraId="4EEC6BE0" w14:textId="77777777" w:rsidR="00160E7F" w:rsidRDefault="002B0299">
      <w:pPr>
        <w:pStyle w:val="ListParagraph"/>
        <w:numPr>
          <w:ilvl w:val="0"/>
          <w:numId w:val="23"/>
        </w:numPr>
        <w:tabs>
          <w:tab w:val="left" w:pos="1701"/>
        </w:tabs>
        <w:spacing w:before="30" w:line="242" w:lineRule="auto"/>
        <w:ind w:right="450" w:hanging="283"/>
        <w:jc w:val="left"/>
        <w:rPr>
          <w:sz w:val="12"/>
        </w:rPr>
      </w:pPr>
      <w:r>
        <w:rPr>
          <w:color w:val="58595B"/>
          <w:sz w:val="12"/>
        </w:rPr>
        <w:t xml:space="preserve">The Government of </w:t>
      </w:r>
      <w:r>
        <w:rPr>
          <w:color w:val="58595B"/>
          <w:spacing w:val="2"/>
          <w:sz w:val="12"/>
        </w:rPr>
        <w:t xml:space="preserve">Victoria </w:t>
      </w:r>
      <w:r>
        <w:rPr>
          <w:color w:val="58595B"/>
          <w:sz w:val="12"/>
        </w:rPr>
        <w:t xml:space="preserve">2014, </w:t>
      </w:r>
      <w:r>
        <w:rPr>
          <w:i/>
          <w:color w:val="58595B"/>
          <w:sz w:val="12"/>
        </w:rPr>
        <w:t xml:space="preserve">Plan Melbourne </w:t>
      </w:r>
      <w:r>
        <w:rPr>
          <w:i/>
          <w:color w:val="58595B"/>
          <w:spacing w:val="2"/>
          <w:sz w:val="12"/>
        </w:rPr>
        <w:t xml:space="preserve">Metropolitan </w:t>
      </w:r>
      <w:r>
        <w:rPr>
          <w:i/>
          <w:color w:val="58595B"/>
          <w:sz w:val="12"/>
        </w:rPr>
        <w:t>Planning Strategy</w:t>
      </w:r>
      <w:r>
        <w:rPr>
          <w:color w:val="58595B"/>
          <w:sz w:val="12"/>
        </w:rPr>
        <w:t xml:space="preserve">, Melbourne, p. </w:t>
      </w:r>
      <w:r>
        <w:rPr>
          <w:color w:val="58595B"/>
          <w:spacing w:val="11"/>
          <w:sz w:val="12"/>
        </w:rPr>
        <w:t xml:space="preserve"> </w:t>
      </w:r>
      <w:r>
        <w:rPr>
          <w:color w:val="58595B"/>
          <w:sz w:val="12"/>
        </w:rPr>
        <w:t>75.</w:t>
      </w:r>
    </w:p>
    <w:p w14:paraId="5EF34664" w14:textId="77777777" w:rsidR="00160E7F" w:rsidRDefault="002B0299">
      <w:pPr>
        <w:pStyle w:val="ListParagraph"/>
        <w:numPr>
          <w:ilvl w:val="0"/>
          <w:numId w:val="23"/>
        </w:numPr>
        <w:tabs>
          <w:tab w:val="left" w:pos="1701"/>
        </w:tabs>
        <w:spacing w:line="242" w:lineRule="auto"/>
        <w:ind w:right="60" w:hanging="283"/>
        <w:jc w:val="left"/>
        <w:rPr>
          <w:sz w:val="12"/>
        </w:rPr>
      </w:pP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2011, </w:t>
      </w:r>
      <w:r>
        <w:rPr>
          <w:i/>
          <w:color w:val="58595B"/>
          <w:sz w:val="12"/>
        </w:rPr>
        <w:t>Managing contaminated sites</w:t>
      </w:r>
      <w:r>
        <w:rPr>
          <w:color w:val="58595B"/>
          <w:sz w:val="12"/>
        </w:rPr>
        <w:t xml:space="preserve">, Melbourne, December, p. </w:t>
      </w:r>
      <w:r>
        <w:rPr>
          <w:color w:val="58595B"/>
          <w:spacing w:val="1"/>
          <w:sz w:val="12"/>
        </w:rPr>
        <w:t xml:space="preserve"> </w:t>
      </w:r>
      <w:r>
        <w:rPr>
          <w:color w:val="58595B"/>
          <w:sz w:val="12"/>
        </w:rPr>
        <w:t>25.</w:t>
      </w:r>
    </w:p>
    <w:p w14:paraId="35E05840" w14:textId="45E95DB6" w:rsidR="00160E7F" w:rsidRDefault="002B0299">
      <w:pPr>
        <w:pStyle w:val="ListParagraph"/>
        <w:numPr>
          <w:ilvl w:val="0"/>
          <w:numId w:val="23"/>
        </w:numPr>
        <w:tabs>
          <w:tab w:val="left" w:pos="1701"/>
        </w:tabs>
        <w:spacing w:line="242" w:lineRule="auto"/>
        <w:ind w:right="164" w:hanging="283"/>
        <w:jc w:val="left"/>
        <w:rPr>
          <w:sz w:val="12"/>
        </w:rPr>
      </w:pPr>
      <w:r>
        <w:rPr>
          <w:color w:val="58595B"/>
          <w:sz w:val="12"/>
        </w:rPr>
        <w:t xml:space="preserve">Potentially Contaminated Land </w:t>
      </w:r>
      <w:r>
        <w:rPr>
          <w:color w:val="58595B"/>
          <w:spacing w:val="2"/>
          <w:sz w:val="12"/>
        </w:rPr>
        <w:t xml:space="preserve">Advisory </w:t>
      </w:r>
      <w:r>
        <w:rPr>
          <w:color w:val="58595B"/>
          <w:sz w:val="12"/>
        </w:rPr>
        <w:t xml:space="preserve">Committee 2012, </w:t>
      </w:r>
      <w:r>
        <w:rPr>
          <w:i/>
          <w:color w:val="58595B"/>
          <w:spacing w:val="2"/>
          <w:sz w:val="12"/>
        </w:rPr>
        <w:t xml:space="preserve">Report </w:t>
      </w:r>
      <w:r>
        <w:rPr>
          <w:i/>
          <w:color w:val="58595B"/>
          <w:sz w:val="12"/>
        </w:rPr>
        <w:t>for the Minister for Planning</w:t>
      </w:r>
      <w:r>
        <w:rPr>
          <w:color w:val="58595B"/>
          <w:sz w:val="12"/>
        </w:rPr>
        <w:t>, Melbourne, March, p. 21.</w:t>
      </w:r>
    </w:p>
    <w:p w14:paraId="7AA654A1" w14:textId="502F6959" w:rsidR="00160E7F" w:rsidRDefault="002B0299">
      <w:pPr>
        <w:pStyle w:val="ListParagraph"/>
        <w:numPr>
          <w:ilvl w:val="0"/>
          <w:numId w:val="23"/>
        </w:numPr>
        <w:tabs>
          <w:tab w:val="left" w:pos="1701"/>
        </w:tabs>
        <w:spacing w:line="242" w:lineRule="auto"/>
        <w:ind w:right="164" w:hanging="283"/>
        <w:jc w:val="left"/>
        <w:rPr>
          <w:sz w:val="12"/>
        </w:rPr>
      </w:pPr>
      <w:r>
        <w:rPr>
          <w:color w:val="58595B"/>
          <w:sz w:val="12"/>
        </w:rPr>
        <w:t xml:space="preserve">Potentially Contaminated Land </w:t>
      </w:r>
      <w:r>
        <w:rPr>
          <w:color w:val="58595B"/>
          <w:spacing w:val="2"/>
          <w:sz w:val="12"/>
        </w:rPr>
        <w:t xml:space="preserve">Advisory </w:t>
      </w:r>
      <w:r>
        <w:rPr>
          <w:color w:val="58595B"/>
          <w:sz w:val="12"/>
        </w:rPr>
        <w:t xml:space="preserve">Committee 2012, </w:t>
      </w:r>
      <w:r>
        <w:rPr>
          <w:i/>
          <w:color w:val="58595B"/>
          <w:spacing w:val="2"/>
          <w:sz w:val="12"/>
        </w:rPr>
        <w:t xml:space="preserve">Report </w:t>
      </w:r>
      <w:r>
        <w:rPr>
          <w:i/>
          <w:color w:val="58595B"/>
          <w:sz w:val="12"/>
        </w:rPr>
        <w:t>for the Minister for Planning</w:t>
      </w:r>
      <w:r w:rsidR="008E0296">
        <w:rPr>
          <w:color w:val="58595B"/>
          <w:sz w:val="12"/>
        </w:rPr>
        <w:t>, Melbourne, March,</w:t>
      </w:r>
      <w:r>
        <w:rPr>
          <w:color w:val="58595B"/>
          <w:sz w:val="12"/>
        </w:rPr>
        <w:t xml:space="preserve"> p.23.</w:t>
      </w:r>
    </w:p>
    <w:p w14:paraId="5A09AC55" w14:textId="77777777" w:rsidR="00160E7F" w:rsidRDefault="002B0299">
      <w:pPr>
        <w:pStyle w:val="ListParagraph"/>
        <w:numPr>
          <w:ilvl w:val="0"/>
          <w:numId w:val="23"/>
        </w:numPr>
        <w:tabs>
          <w:tab w:val="left" w:pos="1701"/>
        </w:tabs>
        <w:spacing w:line="242" w:lineRule="auto"/>
        <w:ind w:right="60" w:hanging="283"/>
        <w:jc w:val="left"/>
        <w:rPr>
          <w:sz w:val="12"/>
        </w:rPr>
      </w:pP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2011, </w:t>
      </w:r>
      <w:r>
        <w:rPr>
          <w:i/>
          <w:color w:val="58595B"/>
          <w:sz w:val="12"/>
        </w:rPr>
        <w:t>Managing contaminated sites</w:t>
      </w:r>
      <w:r>
        <w:rPr>
          <w:color w:val="58595B"/>
          <w:sz w:val="12"/>
        </w:rPr>
        <w:t>, Melbourne, December, p.</w:t>
      </w:r>
      <w:r>
        <w:rPr>
          <w:color w:val="58595B"/>
          <w:spacing w:val="32"/>
          <w:sz w:val="12"/>
        </w:rPr>
        <w:t xml:space="preserve"> </w:t>
      </w:r>
      <w:r>
        <w:rPr>
          <w:color w:val="58595B"/>
          <w:spacing w:val="2"/>
          <w:sz w:val="12"/>
        </w:rPr>
        <w:t>36.</w:t>
      </w:r>
    </w:p>
    <w:p w14:paraId="40251EDB" w14:textId="77777777" w:rsidR="00160E7F" w:rsidRDefault="002B0299">
      <w:pPr>
        <w:pStyle w:val="ListParagraph"/>
        <w:numPr>
          <w:ilvl w:val="0"/>
          <w:numId w:val="23"/>
        </w:numPr>
        <w:tabs>
          <w:tab w:val="left" w:pos="1701"/>
        </w:tabs>
        <w:spacing w:line="242" w:lineRule="auto"/>
        <w:ind w:right="624" w:hanging="283"/>
        <w:jc w:val="left"/>
        <w:rPr>
          <w:sz w:val="12"/>
        </w:rPr>
      </w:pPr>
      <w:r>
        <w:rPr>
          <w:color w:val="58595B"/>
          <w:spacing w:val="2"/>
          <w:sz w:val="12"/>
        </w:rPr>
        <w:t xml:space="preserve">Victorian </w:t>
      </w:r>
      <w:r>
        <w:rPr>
          <w:color w:val="58595B"/>
          <w:sz w:val="12"/>
        </w:rPr>
        <w:t xml:space="preserve">Auditor-General’s </w:t>
      </w:r>
      <w:r>
        <w:rPr>
          <w:color w:val="58595B"/>
          <w:spacing w:val="3"/>
          <w:sz w:val="12"/>
        </w:rPr>
        <w:t xml:space="preserve">Office </w:t>
      </w:r>
      <w:r>
        <w:rPr>
          <w:color w:val="58595B"/>
          <w:sz w:val="12"/>
        </w:rPr>
        <w:t xml:space="preserve">2014, </w:t>
      </w:r>
      <w:r>
        <w:rPr>
          <w:i/>
          <w:color w:val="58595B"/>
          <w:sz w:val="12"/>
        </w:rPr>
        <w:t xml:space="preserve">Managing </w:t>
      </w:r>
      <w:r>
        <w:rPr>
          <w:i/>
          <w:color w:val="58595B"/>
          <w:spacing w:val="2"/>
          <w:sz w:val="12"/>
        </w:rPr>
        <w:t>Landfills</w:t>
      </w:r>
      <w:r>
        <w:rPr>
          <w:color w:val="58595B"/>
          <w:spacing w:val="2"/>
          <w:sz w:val="12"/>
        </w:rPr>
        <w:t xml:space="preserve">, </w:t>
      </w:r>
      <w:r>
        <w:rPr>
          <w:color w:val="58595B"/>
          <w:sz w:val="12"/>
        </w:rPr>
        <w:t xml:space="preserve">Melbourne, September pp. </w:t>
      </w:r>
      <w:r>
        <w:rPr>
          <w:color w:val="58595B"/>
          <w:spacing w:val="3"/>
          <w:sz w:val="12"/>
        </w:rPr>
        <w:t xml:space="preserve"> </w:t>
      </w:r>
      <w:r>
        <w:rPr>
          <w:color w:val="58595B"/>
          <w:spacing w:val="2"/>
          <w:sz w:val="12"/>
        </w:rPr>
        <w:t>32–33.</w:t>
      </w:r>
    </w:p>
    <w:p w14:paraId="6B1D9990" w14:textId="7089E808" w:rsidR="00160E7F" w:rsidRDefault="007F382C">
      <w:pPr>
        <w:pStyle w:val="ListParagraph"/>
        <w:numPr>
          <w:ilvl w:val="0"/>
          <w:numId w:val="23"/>
        </w:numPr>
        <w:tabs>
          <w:tab w:val="left" w:pos="1701"/>
        </w:tabs>
        <w:spacing w:line="242" w:lineRule="auto"/>
        <w:ind w:right="378" w:hanging="283"/>
        <w:jc w:val="left"/>
        <w:rPr>
          <w:sz w:val="12"/>
        </w:rPr>
      </w:pPr>
      <w:r>
        <w:rPr>
          <w:color w:val="58595B"/>
          <w:sz w:val="12"/>
        </w:rPr>
        <w:t xml:space="preserve">Potentially </w:t>
      </w:r>
      <w:r w:rsidR="00A86011">
        <w:rPr>
          <w:color w:val="58595B"/>
          <w:sz w:val="12"/>
        </w:rPr>
        <w:t xml:space="preserve">Contaminated </w:t>
      </w:r>
      <w:r w:rsidR="002B0299">
        <w:rPr>
          <w:color w:val="58595B"/>
          <w:sz w:val="12"/>
        </w:rPr>
        <w:t xml:space="preserve">Land </w:t>
      </w:r>
      <w:r w:rsidR="002B0299">
        <w:rPr>
          <w:color w:val="58595B"/>
          <w:spacing w:val="2"/>
          <w:sz w:val="12"/>
        </w:rPr>
        <w:t xml:space="preserve">Advisory </w:t>
      </w:r>
      <w:r w:rsidR="008E0296">
        <w:rPr>
          <w:color w:val="58595B"/>
          <w:sz w:val="12"/>
        </w:rPr>
        <w:t xml:space="preserve">Committee </w:t>
      </w:r>
      <w:r w:rsidR="002B0299">
        <w:rPr>
          <w:color w:val="58595B"/>
          <w:sz w:val="12"/>
        </w:rPr>
        <w:t xml:space="preserve">2012, </w:t>
      </w:r>
      <w:r w:rsidR="002B0299">
        <w:rPr>
          <w:color w:val="58595B"/>
          <w:spacing w:val="2"/>
          <w:sz w:val="12"/>
        </w:rPr>
        <w:t xml:space="preserve">Report </w:t>
      </w:r>
      <w:r w:rsidR="002B0299">
        <w:rPr>
          <w:color w:val="58595B"/>
          <w:sz w:val="12"/>
        </w:rPr>
        <w:t xml:space="preserve">for the Minister for Planning, Melbourne, March; </w:t>
      </w:r>
      <w:r w:rsidR="002B0299">
        <w:rPr>
          <w:color w:val="58595B"/>
          <w:spacing w:val="2"/>
          <w:sz w:val="12"/>
        </w:rPr>
        <w:t xml:space="preserve">Victorian </w:t>
      </w:r>
      <w:r w:rsidR="002B0299">
        <w:rPr>
          <w:color w:val="58595B"/>
          <w:sz w:val="12"/>
        </w:rPr>
        <w:t xml:space="preserve">Auditor-General’s </w:t>
      </w:r>
      <w:r w:rsidR="002B0299">
        <w:rPr>
          <w:color w:val="58595B"/>
          <w:spacing w:val="3"/>
          <w:sz w:val="12"/>
        </w:rPr>
        <w:t xml:space="preserve">Office </w:t>
      </w:r>
      <w:r w:rsidR="002B0299">
        <w:rPr>
          <w:color w:val="58595B"/>
          <w:sz w:val="12"/>
        </w:rPr>
        <w:t xml:space="preserve">2011, </w:t>
      </w:r>
      <w:r w:rsidR="002B0299">
        <w:rPr>
          <w:i/>
          <w:color w:val="58595B"/>
          <w:sz w:val="12"/>
        </w:rPr>
        <w:t>Managing contaminated sites</w:t>
      </w:r>
      <w:r w:rsidR="002B0299">
        <w:rPr>
          <w:color w:val="58595B"/>
          <w:sz w:val="12"/>
        </w:rPr>
        <w:t>, Melbourne,</w:t>
      </w:r>
      <w:r w:rsidR="002B0299">
        <w:rPr>
          <w:color w:val="58595B"/>
          <w:spacing w:val="30"/>
          <w:sz w:val="12"/>
        </w:rPr>
        <w:t xml:space="preserve"> </w:t>
      </w:r>
      <w:r w:rsidR="002B0299">
        <w:rPr>
          <w:color w:val="58595B"/>
          <w:sz w:val="12"/>
        </w:rPr>
        <w:t>December.</w:t>
      </w:r>
    </w:p>
    <w:p w14:paraId="699919A1" w14:textId="77777777" w:rsidR="00160E7F" w:rsidRDefault="002B0299">
      <w:pPr>
        <w:pStyle w:val="ListParagraph"/>
        <w:numPr>
          <w:ilvl w:val="0"/>
          <w:numId w:val="23"/>
        </w:numPr>
        <w:tabs>
          <w:tab w:val="left" w:pos="1701"/>
        </w:tabs>
        <w:spacing w:line="242" w:lineRule="auto"/>
        <w:ind w:right="164" w:hanging="283"/>
        <w:jc w:val="left"/>
        <w:rPr>
          <w:sz w:val="12"/>
        </w:rPr>
      </w:pPr>
      <w:r>
        <w:rPr>
          <w:color w:val="58595B"/>
          <w:sz w:val="12"/>
        </w:rPr>
        <w:t xml:space="preserve">Potentially Contaminated Land </w:t>
      </w:r>
      <w:r>
        <w:rPr>
          <w:color w:val="58595B"/>
          <w:spacing w:val="2"/>
          <w:sz w:val="12"/>
        </w:rPr>
        <w:t xml:space="preserve">Advisory </w:t>
      </w:r>
      <w:r>
        <w:rPr>
          <w:color w:val="58595B"/>
          <w:sz w:val="12"/>
        </w:rPr>
        <w:t xml:space="preserve">Committee 2012, </w:t>
      </w:r>
      <w:r>
        <w:rPr>
          <w:i/>
          <w:color w:val="58595B"/>
          <w:spacing w:val="2"/>
          <w:sz w:val="12"/>
        </w:rPr>
        <w:t xml:space="preserve">Report </w:t>
      </w:r>
      <w:r>
        <w:rPr>
          <w:i/>
          <w:color w:val="58595B"/>
          <w:sz w:val="12"/>
        </w:rPr>
        <w:t>for the Minister for Planning</w:t>
      </w:r>
      <w:r>
        <w:rPr>
          <w:color w:val="58595B"/>
          <w:sz w:val="12"/>
        </w:rPr>
        <w:t xml:space="preserve">, Melbourne, March, p.  </w:t>
      </w:r>
      <w:r>
        <w:rPr>
          <w:color w:val="58595B"/>
          <w:spacing w:val="2"/>
          <w:sz w:val="12"/>
        </w:rPr>
        <w:t xml:space="preserve"> </w:t>
      </w:r>
      <w:r>
        <w:rPr>
          <w:color w:val="58595B"/>
          <w:sz w:val="12"/>
        </w:rPr>
        <w:t>2.</w:t>
      </w:r>
    </w:p>
    <w:p w14:paraId="31791A1E" w14:textId="77777777" w:rsidR="00160E7F" w:rsidRDefault="002B0299">
      <w:pPr>
        <w:pStyle w:val="ListParagraph"/>
        <w:numPr>
          <w:ilvl w:val="0"/>
          <w:numId w:val="23"/>
        </w:numPr>
        <w:tabs>
          <w:tab w:val="left" w:pos="1701"/>
        </w:tabs>
        <w:spacing w:line="242" w:lineRule="auto"/>
        <w:ind w:right="340" w:hanging="283"/>
        <w:jc w:val="both"/>
        <w:rPr>
          <w:sz w:val="12"/>
        </w:rPr>
      </w:pPr>
      <w:r>
        <w:rPr>
          <w:color w:val="58595B"/>
          <w:sz w:val="12"/>
        </w:rPr>
        <w:t xml:space="preserve">See recommendation 6, Potentially Contaminated Land </w:t>
      </w:r>
      <w:r>
        <w:rPr>
          <w:color w:val="58595B"/>
          <w:spacing w:val="2"/>
          <w:sz w:val="12"/>
        </w:rPr>
        <w:t xml:space="preserve">Advisory </w:t>
      </w:r>
      <w:r>
        <w:rPr>
          <w:color w:val="58595B"/>
          <w:sz w:val="12"/>
        </w:rPr>
        <w:t xml:space="preserve">Committee 2012, </w:t>
      </w:r>
      <w:r>
        <w:rPr>
          <w:i/>
          <w:color w:val="58595B"/>
          <w:spacing w:val="2"/>
          <w:sz w:val="12"/>
        </w:rPr>
        <w:t xml:space="preserve">Report </w:t>
      </w:r>
      <w:r>
        <w:rPr>
          <w:i/>
          <w:color w:val="58595B"/>
          <w:sz w:val="12"/>
        </w:rPr>
        <w:t>for the Minister for Planning</w:t>
      </w:r>
      <w:r>
        <w:rPr>
          <w:color w:val="58595B"/>
          <w:sz w:val="12"/>
        </w:rPr>
        <w:t>, Melbourne, March, p.</w:t>
      </w:r>
      <w:r>
        <w:rPr>
          <w:color w:val="58595B"/>
          <w:spacing w:val="12"/>
          <w:sz w:val="12"/>
        </w:rPr>
        <w:t xml:space="preserve"> </w:t>
      </w:r>
      <w:r>
        <w:rPr>
          <w:color w:val="58595B"/>
          <w:sz w:val="12"/>
        </w:rPr>
        <w:t>3.</w:t>
      </w:r>
    </w:p>
    <w:p w14:paraId="0DEBC891" w14:textId="612D7E76" w:rsidR="00160E7F" w:rsidRDefault="002B0299">
      <w:pPr>
        <w:pStyle w:val="ListParagraph"/>
        <w:numPr>
          <w:ilvl w:val="0"/>
          <w:numId w:val="23"/>
        </w:numPr>
        <w:tabs>
          <w:tab w:val="left" w:pos="1701"/>
        </w:tabs>
        <w:spacing w:line="242" w:lineRule="auto"/>
        <w:ind w:right="250" w:hanging="283"/>
        <w:jc w:val="both"/>
        <w:rPr>
          <w:sz w:val="12"/>
        </w:rPr>
      </w:pPr>
      <w:r>
        <w:rPr>
          <w:color w:val="58595B"/>
          <w:sz w:val="12"/>
        </w:rPr>
        <w:t xml:space="preserve">The EPA website acknowledges that there is confusion about this: </w:t>
      </w:r>
      <w:r>
        <w:rPr>
          <w:color w:val="58595B"/>
          <w:spacing w:val="2"/>
          <w:sz w:val="12"/>
        </w:rPr>
        <w:t xml:space="preserve">‘The Priority </w:t>
      </w:r>
      <w:r>
        <w:rPr>
          <w:color w:val="58595B"/>
          <w:sz w:val="12"/>
        </w:rPr>
        <w:t xml:space="preserve">Sites Register is not a listing of all contaminated sites  in </w:t>
      </w:r>
      <w:r>
        <w:rPr>
          <w:color w:val="58595B"/>
          <w:spacing w:val="2"/>
          <w:sz w:val="12"/>
        </w:rPr>
        <w:t xml:space="preserve">Victoria, </w:t>
      </w:r>
      <w:r>
        <w:rPr>
          <w:color w:val="58595B"/>
          <w:sz w:val="12"/>
        </w:rPr>
        <w:t>nor is it a list of all contaminated sites of which EPA has knowledge.</w:t>
      </w:r>
      <w:hyperlink r:id="rId68" w:history="1">
        <w:r w:rsidR="00223325" w:rsidRPr="00420E5C">
          <w:rPr>
            <w:rStyle w:val="Hyperlink"/>
            <w:sz w:val="12"/>
          </w:rPr>
          <w:t>’ http://www.epa.vic.gov.au/your-environment/land-and-</w:t>
        </w:r>
      </w:hyperlink>
      <w:r>
        <w:rPr>
          <w:color w:val="58595B"/>
          <w:sz w:val="12"/>
        </w:rPr>
        <w:t xml:space="preserve"> </w:t>
      </w:r>
      <w:r>
        <w:rPr>
          <w:color w:val="58595B"/>
          <w:spacing w:val="2"/>
          <w:sz w:val="12"/>
        </w:rPr>
        <w:t xml:space="preserve">groundwater/priority-sites-register </w:t>
      </w:r>
      <w:r>
        <w:rPr>
          <w:color w:val="58595B"/>
          <w:sz w:val="12"/>
        </w:rPr>
        <w:t xml:space="preserve">(accessed </w:t>
      </w:r>
      <w:r>
        <w:rPr>
          <w:color w:val="58595B"/>
          <w:spacing w:val="-4"/>
          <w:sz w:val="12"/>
        </w:rPr>
        <w:t xml:space="preserve">11 </w:t>
      </w:r>
      <w:r>
        <w:rPr>
          <w:color w:val="58595B"/>
          <w:sz w:val="12"/>
        </w:rPr>
        <w:t>March</w:t>
      </w:r>
      <w:r>
        <w:rPr>
          <w:color w:val="58595B"/>
          <w:spacing w:val="25"/>
          <w:sz w:val="12"/>
        </w:rPr>
        <w:t xml:space="preserve"> </w:t>
      </w:r>
      <w:r>
        <w:rPr>
          <w:color w:val="58595B"/>
          <w:sz w:val="12"/>
        </w:rPr>
        <w:t>2016).</w:t>
      </w:r>
    </w:p>
    <w:p w14:paraId="297A2A16" w14:textId="77777777" w:rsidR="00160E7F" w:rsidRDefault="002B0299">
      <w:pPr>
        <w:pStyle w:val="ListParagraph"/>
        <w:numPr>
          <w:ilvl w:val="0"/>
          <w:numId w:val="23"/>
        </w:numPr>
        <w:tabs>
          <w:tab w:val="left" w:pos="1701"/>
        </w:tabs>
        <w:spacing w:line="242" w:lineRule="auto"/>
        <w:ind w:right="269" w:hanging="283"/>
        <w:jc w:val="left"/>
        <w:rPr>
          <w:sz w:val="12"/>
        </w:rPr>
      </w:pPr>
      <w:r>
        <w:rPr>
          <w:color w:val="58595B"/>
          <w:sz w:val="12"/>
        </w:rPr>
        <w:t>Centre for eResearch and Digital Innovation, Federation University submission, p.</w:t>
      </w:r>
      <w:r>
        <w:rPr>
          <w:color w:val="58595B"/>
          <w:spacing w:val="21"/>
          <w:sz w:val="12"/>
        </w:rPr>
        <w:t xml:space="preserve"> </w:t>
      </w:r>
      <w:r>
        <w:rPr>
          <w:color w:val="58595B"/>
          <w:sz w:val="12"/>
        </w:rPr>
        <w:t>2.</w:t>
      </w:r>
    </w:p>
    <w:p w14:paraId="4EAD4570" w14:textId="77777777" w:rsidR="00160E7F" w:rsidRDefault="002B0299">
      <w:pPr>
        <w:pStyle w:val="ListParagraph"/>
        <w:numPr>
          <w:ilvl w:val="0"/>
          <w:numId w:val="23"/>
        </w:numPr>
        <w:tabs>
          <w:tab w:val="left" w:pos="1701"/>
        </w:tabs>
        <w:spacing w:line="242" w:lineRule="auto"/>
        <w:ind w:right="98" w:hanging="283"/>
        <w:jc w:val="left"/>
        <w:rPr>
          <w:sz w:val="12"/>
        </w:rPr>
      </w:pPr>
      <w:r>
        <w:rPr>
          <w:color w:val="58595B"/>
          <w:spacing w:val="2"/>
          <w:sz w:val="12"/>
        </w:rPr>
        <w:t xml:space="preserve">Department </w:t>
      </w:r>
      <w:r>
        <w:rPr>
          <w:color w:val="58595B"/>
          <w:sz w:val="12"/>
        </w:rPr>
        <w:t xml:space="preserve">of Environment, Land, Water and Planning 2014, </w:t>
      </w:r>
      <w:r>
        <w:rPr>
          <w:i/>
          <w:color w:val="58595B"/>
          <w:sz w:val="12"/>
        </w:rPr>
        <w:t xml:space="preserve">Cleaner environments – </w:t>
      </w:r>
      <w:r>
        <w:rPr>
          <w:i/>
          <w:color w:val="58595B"/>
          <w:spacing w:val="2"/>
          <w:sz w:val="12"/>
        </w:rPr>
        <w:t xml:space="preserve">Smarter </w:t>
      </w:r>
      <w:r>
        <w:rPr>
          <w:i/>
          <w:color w:val="58595B"/>
          <w:sz w:val="12"/>
        </w:rPr>
        <w:t>urban renewal</w:t>
      </w:r>
      <w:r>
        <w:rPr>
          <w:color w:val="58595B"/>
          <w:sz w:val="12"/>
        </w:rPr>
        <w:t xml:space="preserve">, Melbourne, September, p. </w:t>
      </w:r>
      <w:r>
        <w:rPr>
          <w:color w:val="58595B"/>
          <w:spacing w:val="30"/>
          <w:sz w:val="12"/>
        </w:rPr>
        <w:t xml:space="preserve"> </w:t>
      </w:r>
      <w:r>
        <w:rPr>
          <w:color w:val="58595B"/>
          <w:sz w:val="12"/>
        </w:rPr>
        <w:t>19.</w:t>
      </w:r>
    </w:p>
    <w:p w14:paraId="684DC369" w14:textId="77777777" w:rsidR="00160E7F" w:rsidRDefault="002B0299">
      <w:pPr>
        <w:pStyle w:val="ListParagraph"/>
        <w:numPr>
          <w:ilvl w:val="0"/>
          <w:numId w:val="23"/>
        </w:numPr>
        <w:tabs>
          <w:tab w:val="left" w:pos="1701"/>
        </w:tabs>
        <w:spacing w:line="242" w:lineRule="auto"/>
        <w:ind w:right="94" w:hanging="283"/>
        <w:jc w:val="left"/>
        <w:rPr>
          <w:sz w:val="12"/>
        </w:rPr>
      </w:pPr>
      <w:r>
        <w:rPr>
          <w:color w:val="58595B"/>
          <w:spacing w:val="2"/>
          <w:sz w:val="12"/>
        </w:rPr>
        <w:t xml:space="preserve">Department </w:t>
      </w:r>
      <w:r>
        <w:rPr>
          <w:color w:val="58595B"/>
          <w:sz w:val="12"/>
        </w:rPr>
        <w:t xml:space="preserve">of Environment, Land, Water and Planning 2014, </w:t>
      </w:r>
      <w:r>
        <w:rPr>
          <w:i/>
          <w:color w:val="58595B"/>
          <w:sz w:val="12"/>
        </w:rPr>
        <w:t xml:space="preserve">Cleaner environments – </w:t>
      </w:r>
      <w:r>
        <w:rPr>
          <w:i/>
          <w:color w:val="58595B"/>
          <w:spacing w:val="2"/>
          <w:sz w:val="12"/>
        </w:rPr>
        <w:t xml:space="preserve">Smarter </w:t>
      </w:r>
      <w:r>
        <w:rPr>
          <w:i/>
          <w:color w:val="58595B"/>
          <w:sz w:val="12"/>
        </w:rPr>
        <w:t>urban renewal</w:t>
      </w:r>
      <w:r>
        <w:rPr>
          <w:color w:val="58595B"/>
          <w:sz w:val="12"/>
        </w:rPr>
        <w:t xml:space="preserve">, Melbourne, September, p.  </w:t>
      </w:r>
      <w:r>
        <w:rPr>
          <w:color w:val="58595B"/>
          <w:spacing w:val="1"/>
          <w:sz w:val="12"/>
        </w:rPr>
        <w:t xml:space="preserve"> </w:t>
      </w:r>
      <w:r>
        <w:rPr>
          <w:color w:val="58595B"/>
          <w:sz w:val="12"/>
        </w:rPr>
        <w:t>20.</w:t>
      </w:r>
    </w:p>
    <w:p w14:paraId="0A4E784D" w14:textId="77777777" w:rsidR="00160E7F" w:rsidRDefault="002B0299">
      <w:pPr>
        <w:pStyle w:val="ListParagraph"/>
        <w:numPr>
          <w:ilvl w:val="0"/>
          <w:numId w:val="23"/>
        </w:numPr>
        <w:tabs>
          <w:tab w:val="left" w:pos="1701"/>
        </w:tabs>
        <w:spacing w:line="242" w:lineRule="auto"/>
        <w:ind w:right="260" w:hanging="283"/>
        <w:jc w:val="left"/>
        <w:rPr>
          <w:sz w:val="12"/>
        </w:rPr>
      </w:pPr>
      <w:r>
        <w:rPr>
          <w:color w:val="58595B"/>
          <w:spacing w:val="2"/>
          <w:sz w:val="12"/>
        </w:rPr>
        <w:t xml:space="preserve">Department </w:t>
      </w:r>
      <w:r>
        <w:rPr>
          <w:color w:val="58595B"/>
          <w:sz w:val="12"/>
        </w:rPr>
        <w:t xml:space="preserve">of Environment, Land, Water and Planning 2015, </w:t>
      </w:r>
      <w:r>
        <w:rPr>
          <w:i/>
          <w:color w:val="58595B"/>
          <w:sz w:val="12"/>
        </w:rPr>
        <w:t>State Environment Protection Policy (Waters) review discussion paper</w:t>
      </w:r>
      <w:r>
        <w:rPr>
          <w:color w:val="58595B"/>
          <w:sz w:val="12"/>
        </w:rPr>
        <w:t>, Melbourne, June, p.</w:t>
      </w:r>
      <w:r>
        <w:rPr>
          <w:color w:val="58595B"/>
          <w:spacing w:val="29"/>
          <w:sz w:val="12"/>
        </w:rPr>
        <w:t xml:space="preserve"> </w:t>
      </w:r>
      <w:r>
        <w:rPr>
          <w:color w:val="58595B"/>
          <w:sz w:val="12"/>
        </w:rPr>
        <w:t>3.</w:t>
      </w:r>
    </w:p>
    <w:p w14:paraId="7F69DDB0" w14:textId="77777777" w:rsidR="00160E7F" w:rsidRDefault="002B0299">
      <w:pPr>
        <w:pStyle w:val="ListParagraph"/>
        <w:numPr>
          <w:ilvl w:val="0"/>
          <w:numId w:val="23"/>
        </w:numPr>
        <w:tabs>
          <w:tab w:val="left" w:pos="1701"/>
        </w:tabs>
        <w:spacing w:line="242" w:lineRule="auto"/>
        <w:ind w:right="266" w:hanging="283"/>
        <w:jc w:val="left"/>
        <w:rPr>
          <w:sz w:val="12"/>
        </w:rPr>
      </w:pPr>
      <w:r>
        <w:rPr>
          <w:color w:val="58595B"/>
          <w:sz w:val="12"/>
        </w:rPr>
        <w:t xml:space="preserve">The </w:t>
      </w:r>
      <w:r>
        <w:rPr>
          <w:color w:val="58595B"/>
          <w:spacing w:val="2"/>
          <w:sz w:val="12"/>
        </w:rPr>
        <w:t xml:space="preserve">Property </w:t>
      </w:r>
      <w:r>
        <w:rPr>
          <w:color w:val="58595B"/>
          <w:sz w:val="12"/>
        </w:rPr>
        <w:t xml:space="preserve">Council of Australia also advocates for this change in approach in its submission, p. </w:t>
      </w:r>
      <w:r>
        <w:rPr>
          <w:color w:val="58595B"/>
          <w:spacing w:val="8"/>
          <w:sz w:val="12"/>
        </w:rPr>
        <w:t xml:space="preserve"> </w:t>
      </w:r>
      <w:r>
        <w:rPr>
          <w:color w:val="58595B"/>
          <w:sz w:val="12"/>
        </w:rPr>
        <w:t>2.</w:t>
      </w:r>
    </w:p>
    <w:p w14:paraId="1B6AA03A" w14:textId="77777777" w:rsidR="00160E7F" w:rsidRDefault="002B0299">
      <w:pPr>
        <w:pStyle w:val="ListParagraph"/>
        <w:numPr>
          <w:ilvl w:val="0"/>
          <w:numId w:val="23"/>
        </w:numPr>
        <w:tabs>
          <w:tab w:val="left" w:pos="1701"/>
        </w:tabs>
        <w:spacing w:line="242" w:lineRule="auto"/>
        <w:ind w:right="277" w:hanging="283"/>
        <w:jc w:val="left"/>
        <w:rPr>
          <w:sz w:val="12"/>
        </w:rPr>
      </w:pPr>
      <w:r>
        <w:rPr>
          <w:color w:val="58595B"/>
          <w:sz w:val="12"/>
        </w:rPr>
        <w:t xml:space="preserve">Australian Mesothelioma Registry 2012, </w:t>
      </w:r>
      <w:r>
        <w:rPr>
          <w:i/>
          <w:color w:val="58595B"/>
          <w:sz w:val="12"/>
        </w:rPr>
        <w:t xml:space="preserve">Mesothelioma in </w:t>
      </w:r>
      <w:r>
        <w:rPr>
          <w:i/>
          <w:color w:val="58595B"/>
          <w:spacing w:val="2"/>
          <w:sz w:val="12"/>
        </w:rPr>
        <w:t xml:space="preserve">Australia </w:t>
      </w:r>
      <w:r>
        <w:rPr>
          <w:i/>
          <w:color w:val="58595B"/>
          <w:sz w:val="12"/>
        </w:rPr>
        <w:t>2012</w:t>
      </w:r>
      <w:r>
        <w:rPr>
          <w:color w:val="58595B"/>
          <w:sz w:val="12"/>
        </w:rPr>
        <w:t xml:space="preserve">, 2nd Annual </w:t>
      </w:r>
      <w:r>
        <w:rPr>
          <w:color w:val="58595B"/>
          <w:spacing w:val="2"/>
          <w:sz w:val="12"/>
        </w:rPr>
        <w:t xml:space="preserve">Report, </w:t>
      </w:r>
      <w:r>
        <w:rPr>
          <w:color w:val="58595B"/>
          <w:sz w:val="12"/>
        </w:rPr>
        <w:t>p.</w:t>
      </w:r>
      <w:r>
        <w:rPr>
          <w:color w:val="58595B"/>
          <w:spacing w:val="16"/>
          <w:sz w:val="12"/>
        </w:rPr>
        <w:t xml:space="preserve"> </w:t>
      </w:r>
      <w:r>
        <w:rPr>
          <w:color w:val="58595B"/>
          <w:sz w:val="12"/>
        </w:rPr>
        <w:t>8.</w:t>
      </w:r>
    </w:p>
    <w:p w14:paraId="64918B23" w14:textId="1F840777" w:rsidR="00160E7F" w:rsidRDefault="002B0299">
      <w:pPr>
        <w:pStyle w:val="ListParagraph"/>
        <w:numPr>
          <w:ilvl w:val="0"/>
          <w:numId w:val="23"/>
        </w:numPr>
        <w:tabs>
          <w:tab w:val="left" w:pos="1701"/>
        </w:tabs>
        <w:spacing w:line="242" w:lineRule="auto"/>
        <w:ind w:right="60" w:hanging="283"/>
        <w:jc w:val="left"/>
        <w:rPr>
          <w:sz w:val="12"/>
        </w:rPr>
      </w:pPr>
      <w:r>
        <w:rPr>
          <w:color w:val="58595B"/>
          <w:sz w:val="12"/>
        </w:rPr>
        <w:t xml:space="preserve">Environmental Health Standing Committee (enHealth) 2013, </w:t>
      </w:r>
      <w:r>
        <w:rPr>
          <w:i/>
          <w:color w:val="58595B"/>
          <w:sz w:val="12"/>
        </w:rPr>
        <w:t>Asbestos:   a guide for householders and the general public</w:t>
      </w:r>
      <w:r>
        <w:rPr>
          <w:color w:val="58595B"/>
          <w:sz w:val="12"/>
        </w:rPr>
        <w:t>, Canberra, February,</w:t>
      </w:r>
    </w:p>
    <w:p w14:paraId="3E93B527" w14:textId="77777777" w:rsidR="00160E7F" w:rsidRDefault="002B0299">
      <w:pPr>
        <w:ind w:left="1700" w:right="83"/>
        <w:rPr>
          <w:sz w:val="12"/>
        </w:rPr>
      </w:pPr>
      <w:r>
        <w:rPr>
          <w:color w:val="58595B"/>
          <w:sz w:val="12"/>
        </w:rPr>
        <w:t>p. 4.</w:t>
      </w:r>
    </w:p>
    <w:p w14:paraId="4399612D" w14:textId="77777777" w:rsidR="00160E7F" w:rsidRDefault="002B0299">
      <w:pPr>
        <w:pStyle w:val="ListParagraph"/>
        <w:numPr>
          <w:ilvl w:val="0"/>
          <w:numId w:val="23"/>
        </w:numPr>
        <w:tabs>
          <w:tab w:val="left" w:pos="1701"/>
        </w:tabs>
        <w:spacing w:before="30" w:line="242" w:lineRule="auto"/>
        <w:ind w:right="277" w:hanging="283"/>
        <w:jc w:val="left"/>
        <w:rPr>
          <w:sz w:val="12"/>
        </w:rPr>
      </w:pPr>
      <w:r>
        <w:rPr>
          <w:color w:val="58595B"/>
          <w:sz w:val="12"/>
        </w:rPr>
        <w:t xml:space="preserve">Australian Mesothelioma Registry 2012, </w:t>
      </w:r>
      <w:r>
        <w:rPr>
          <w:i/>
          <w:color w:val="58595B"/>
          <w:sz w:val="12"/>
        </w:rPr>
        <w:t xml:space="preserve">Mesothelioma in </w:t>
      </w:r>
      <w:r>
        <w:rPr>
          <w:i/>
          <w:color w:val="58595B"/>
          <w:spacing w:val="2"/>
          <w:sz w:val="12"/>
        </w:rPr>
        <w:t xml:space="preserve">Australia </w:t>
      </w:r>
      <w:r>
        <w:rPr>
          <w:i/>
          <w:color w:val="58595B"/>
          <w:sz w:val="12"/>
        </w:rPr>
        <w:t>2012</w:t>
      </w:r>
      <w:r>
        <w:rPr>
          <w:color w:val="58595B"/>
          <w:sz w:val="12"/>
        </w:rPr>
        <w:t xml:space="preserve">, 2nd Annual </w:t>
      </w:r>
      <w:r>
        <w:rPr>
          <w:color w:val="58595B"/>
          <w:spacing w:val="2"/>
          <w:sz w:val="12"/>
        </w:rPr>
        <w:t xml:space="preserve">Report, </w:t>
      </w:r>
      <w:r>
        <w:rPr>
          <w:color w:val="58595B"/>
          <w:sz w:val="12"/>
        </w:rPr>
        <w:t>p.</w:t>
      </w:r>
      <w:r>
        <w:rPr>
          <w:color w:val="58595B"/>
          <w:spacing w:val="16"/>
          <w:sz w:val="12"/>
        </w:rPr>
        <w:t xml:space="preserve"> </w:t>
      </w:r>
      <w:r>
        <w:rPr>
          <w:color w:val="58595B"/>
          <w:sz w:val="12"/>
        </w:rPr>
        <w:t>8.</w:t>
      </w:r>
    </w:p>
    <w:p w14:paraId="063FE178" w14:textId="1F84D0D1" w:rsidR="00160E7F" w:rsidRPr="008E0296" w:rsidRDefault="002B0299" w:rsidP="008E0296">
      <w:pPr>
        <w:pStyle w:val="ListParagraph"/>
        <w:numPr>
          <w:ilvl w:val="0"/>
          <w:numId w:val="23"/>
        </w:numPr>
        <w:tabs>
          <w:tab w:val="left" w:pos="486"/>
        </w:tabs>
        <w:spacing w:before="47" w:line="242" w:lineRule="auto"/>
        <w:ind w:left="485" w:right="197" w:hanging="283"/>
        <w:jc w:val="left"/>
        <w:rPr>
          <w:sz w:val="12"/>
        </w:rPr>
      </w:pPr>
      <w:r>
        <w:rPr>
          <w:color w:val="58595B"/>
          <w:spacing w:val="1"/>
          <w:sz w:val="12"/>
        </w:rPr>
        <w:br w:type="column"/>
      </w:r>
      <w:r>
        <w:rPr>
          <w:color w:val="58595B"/>
          <w:sz w:val="12"/>
        </w:rPr>
        <w:lastRenderedPageBreak/>
        <w:t xml:space="preserve">Environmental Health Standing Committee (enHealth) 2013, </w:t>
      </w:r>
      <w:r w:rsidR="008E0296">
        <w:rPr>
          <w:i/>
          <w:color w:val="58595B"/>
          <w:sz w:val="12"/>
        </w:rPr>
        <w:t xml:space="preserve">Asbestos:  </w:t>
      </w:r>
      <w:r>
        <w:rPr>
          <w:i/>
          <w:color w:val="58595B"/>
          <w:sz w:val="12"/>
        </w:rPr>
        <w:t>a guide for householders and the general public</w:t>
      </w:r>
      <w:r>
        <w:rPr>
          <w:color w:val="58595B"/>
          <w:sz w:val="12"/>
        </w:rPr>
        <w:t xml:space="preserve">, Canberra, </w:t>
      </w:r>
      <w:r w:rsidR="00223325">
        <w:rPr>
          <w:color w:val="58595B"/>
          <w:sz w:val="12"/>
        </w:rPr>
        <w:tab/>
      </w:r>
      <w:r>
        <w:rPr>
          <w:color w:val="58595B"/>
          <w:sz w:val="12"/>
        </w:rPr>
        <w:t>February,</w:t>
      </w:r>
      <w:r w:rsidR="008E0296">
        <w:rPr>
          <w:color w:val="58595B"/>
          <w:sz w:val="12"/>
        </w:rPr>
        <w:t xml:space="preserve"> </w:t>
      </w:r>
      <w:r w:rsidRPr="008E0296">
        <w:rPr>
          <w:color w:val="58595B"/>
          <w:sz w:val="12"/>
        </w:rPr>
        <w:t>p. 4.</w:t>
      </w:r>
    </w:p>
    <w:p w14:paraId="5BB97A74" w14:textId="77777777" w:rsidR="00160E7F" w:rsidRDefault="002B0299">
      <w:pPr>
        <w:pStyle w:val="ListParagraph"/>
        <w:numPr>
          <w:ilvl w:val="0"/>
          <w:numId w:val="23"/>
        </w:numPr>
        <w:tabs>
          <w:tab w:val="left" w:pos="486"/>
        </w:tabs>
        <w:spacing w:before="30" w:line="242" w:lineRule="auto"/>
        <w:ind w:left="485" w:right="285" w:hanging="283"/>
        <w:jc w:val="left"/>
        <w:rPr>
          <w:sz w:val="12"/>
        </w:rPr>
      </w:pPr>
      <w:r>
        <w:rPr>
          <w:color w:val="58595B"/>
          <w:sz w:val="12"/>
        </w:rPr>
        <w:t>A single, dedicated asbestos website: asbestos.vic.gov.au (accessed 10 March</w:t>
      </w:r>
      <w:r>
        <w:rPr>
          <w:color w:val="58595B"/>
          <w:spacing w:val="7"/>
          <w:sz w:val="12"/>
        </w:rPr>
        <w:t xml:space="preserve"> </w:t>
      </w:r>
      <w:r>
        <w:rPr>
          <w:color w:val="58595B"/>
          <w:sz w:val="12"/>
        </w:rPr>
        <w:t>2016).</w:t>
      </w:r>
    </w:p>
    <w:p w14:paraId="759BA761" w14:textId="77777777" w:rsidR="00160E7F" w:rsidRDefault="002B0299">
      <w:pPr>
        <w:pStyle w:val="ListParagraph"/>
        <w:numPr>
          <w:ilvl w:val="0"/>
          <w:numId w:val="23"/>
        </w:numPr>
        <w:tabs>
          <w:tab w:val="left" w:pos="486"/>
        </w:tabs>
        <w:spacing w:line="242" w:lineRule="auto"/>
        <w:ind w:left="485" w:right="218" w:hanging="283"/>
        <w:jc w:val="left"/>
        <w:rPr>
          <w:sz w:val="12"/>
        </w:rPr>
      </w:pPr>
      <w:r>
        <w:rPr>
          <w:color w:val="58595B"/>
          <w:sz w:val="12"/>
        </w:rPr>
        <w:t xml:space="preserve">The Australian Contaminated Land Consultants </w:t>
      </w:r>
      <w:r>
        <w:rPr>
          <w:color w:val="58595B"/>
          <w:spacing w:val="2"/>
          <w:sz w:val="12"/>
        </w:rPr>
        <w:t xml:space="preserve">Association </w:t>
      </w:r>
      <w:r>
        <w:rPr>
          <w:color w:val="58595B"/>
          <w:sz w:val="12"/>
        </w:rPr>
        <w:t xml:space="preserve">noted in   its submission, </w:t>
      </w:r>
      <w:r>
        <w:rPr>
          <w:color w:val="58595B"/>
          <w:spacing w:val="2"/>
          <w:sz w:val="12"/>
        </w:rPr>
        <w:t xml:space="preserve">‘There </w:t>
      </w:r>
      <w:r>
        <w:rPr>
          <w:color w:val="58595B"/>
          <w:sz w:val="12"/>
        </w:rPr>
        <w:t xml:space="preserve">is a mismatch between environmental guidance and OHS Regulation relating to the assessment and management of residual asbestos materials in soils.’, p. </w:t>
      </w:r>
      <w:r>
        <w:rPr>
          <w:color w:val="58595B"/>
          <w:spacing w:val="12"/>
          <w:sz w:val="12"/>
        </w:rPr>
        <w:t xml:space="preserve"> </w:t>
      </w:r>
      <w:r>
        <w:rPr>
          <w:color w:val="58595B"/>
          <w:sz w:val="12"/>
        </w:rPr>
        <w:t>6.</w:t>
      </w:r>
    </w:p>
    <w:p w14:paraId="6F711C03" w14:textId="77777777" w:rsidR="00160E7F" w:rsidRDefault="00160E7F">
      <w:pPr>
        <w:spacing w:line="242" w:lineRule="auto"/>
        <w:rPr>
          <w:sz w:val="12"/>
        </w:rPr>
        <w:sectPr w:rsidR="00160E7F">
          <w:type w:val="continuous"/>
          <w:pgSz w:w="11910" w:h="16840"/>
          <w:pgMar w:top="0" w:right="1680" w:bottom="0" w:left="0" w:header="720" w:footer="720" w:gutter="0"/>
          <w:cols w:num="2" w:space="720" w:equalWidth="0">
            <w:col w:w="5633" w:space="40"/>
            <w:col w:w="4557"/>
          </w:cols>
        </w:sectPr>
      </w:pPr>
    </w:p>
    <w:p w14:paraId="614C8EF5" w14:textId="77777777" w:rsidR="00160E7F" w:rsidRDefault="000638CB">
      <w:pPr>
        <w:spacing w:before="61"/>
        <w:jc w:val="right"/>
        <w:rPr>
          <w:sz w:val="15"/>
        </w:rPr>
      </w:pPr>
      <w:r>
        <w:lastRenderedPageBreak/>
        <w:pict w14:anchorId="4A4C5047">
          <v:group id="_x0000_s1075" style="position:absolute;left:0;text-align:left;margin-left:0;margin-top:0;width:598.8pt;height:841.9pt;z-index:-90088;mso-position-horizontal-relative:page;mso-position-vertical-relative:page" coordsize="11976,16838">
            <v:shape id="_x0000_s1077" type="#_x0000_t75" style="position:absolute;width:11904;height:16838">
              <v:imagedata r:id="rId69" o:title=""/>
            </v:shape>
            <v:line id="_x0000_s1076" style="position:absolute" from="10700,917" to="11906,917" strokecolor="#0095a7" strokeweight="7pt"/>
            <w10:wrap anchorx="page" anchory="page"/>
          </v:group>
        </w:pict>
      </w:r>
      <w:r w:rsidR="002B0299">
        <w:rPr>
          <w:color w:val="FFFFFF"/>
          <w:sz w:val="15"/>
        </w:rPr>
        <w:t>CHAPTER 14</w:t>
      </w:r>
    </w:p>
    <w:p w14:paraId="51152E2F" w14:textId="77777777" w:rsidR="00160E7F" w:rsidRDefault="002B0299">
      <w:pPr>
        <w:spacing w:before="61"/>
        <w:ind w:left="111"/>
        <w:rPr>
          <w:sz w:val="15"/>
        </w:rPr>
      </w:pPr>
      <w:r>
        <w:br w:type="column"/>
      </w:r>
      <w:r>
        <w:rPr>
          <w:color w:val="FFFFFF"/>
          <w:sz w:val="15"/>
        </w:rPr>
        <w:lastRenderedPageBreak/>
        <w:t>MANAGING LEGACY RISKS</w:t>
      </w:r>
    </w:p>
    <w:p w14:paraId="3499B178" w14:textId="77777777" w:rsidR="00160E7F" w:rsidRDefault="002B0299">
      <w:pPr>
        <w:spacing w:before="61"/>
        <w:ind w:left="214"/>
        <w:rPr>
          <w:sz w:val="15"/>
        </w:rPr>
      </w:pPr>
      <w:r>
        <w:br w:type="column"/>
      </w:r>
      <w:r>
        <w:rPr>
          <w:color w:val="FFFFFF"/>
          <w:sz w:val="15"/>
        </w:rPr>
        <w:lastRenderedPageBreak/>
        <w:t>263</w:t>
      </w:r>
    </w:p>
    <w:p w14:paraId="073A0DC2" w14:textId="77777777" w:rsidR="00160E7F" w:rsidRDefault="00160E7F">
      <w:pPr>
        <w:rPr>
          <w:sz w:val="15"/>
        </w:rPr>
        <w:sectPr w:rsidR="00160E7F">
          <w:headerReference w:type="even" r:id="rId70"/>
          <w:pgSz w:w="11910" w:h="16840"/>
          <w:pgMar w:top="740" w:right="1300" w:bottom="280" w:left="1680" w:header="0" w:footer="0" w:gutter="0"/>
          <w:cols w:num="3" w:space="720" w:equalWidth="0">
            <w:col w:w="6128" w:space="40"/>
            <w:col w:w="2131" w:space="40"/>
            <w:col w:w="591"/>
          </w:cols>
        </w:sectPr>
      </w:pPr>
    </w:p>
    <w:p w14:paraId="592E71B0" w14:textId="77777777" w:rsidR="00160E7F" w:rsidRDefault="002B0299">
      <w:pPr>
        <w:pStyle w:val="BodyText"/>
        <w:spacing w:before="4"/>
        <w:rPr>
          <w:rFonts w:ascii="Times New Roman"/>
          <w:sz w:val="17"/>
        </w:rPr>
      </w:pPr>
      <w:r>
        <w:rPr>
          <w:noProof/>
        </w:rPr>
        <w:lastRenderedPageBreak/>
        <w:drawing>
          <wp:anchor distT="0" distB="0" distL="0" distR="0" simplePos="0" relativeHeight="268345391" behindDoc="1" locked="0" layoutInCell="1" allowOverlap="1" wp14:anchorId="6CB0835D" wp14:editId="26A9C871">
            <wp:simplePos x="0" y="0"/>
            <wp:positionH relativeFrom="page">
              <wp:posOffset>0</wp:posOffset>
            </wp:positionH>
            <wp:positionV relativeFrom="page">
              <wp:posOffset>0</wp:posOffset>
            </wp:positionV>
            <wp:extent cx="7560268" cy="10692384"/>
            <wp:effectExtent l="0" t="0" r="0" b="0"/>
            <wp:wrapNone/>
            <wp:docPr id="2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png"/>
                    <pic:cNvPicPr/>
                  </pic:nvPicPr>
                  <pic:blipFill>
                    <a:blip r:embed="rId11"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65CC5F33" w14:textId="77777777" w:rsidR="00160E7F" w:rsidRDefault="00160E7F">
      <w:pPr>
        <w:rPr>
          <w:rFonts w:ascii="Times New Roman"/>
          <w:sz w:val="17"/>
        </w:rPr>
        <w:sectPr w:rsidR="00160E7F">
          <w:headerReference w:type="default" r:id="rId71"/>
          <w:pgSz w:w="11910" w:h="16840"/>
          <w:pgMar w:top="0" w:right="0" w:bottom="0" w:left="0" w:header="0" w:footer="0" w:gutter="0"/>
          <w:cols w:space="720"/>
        </w:sectPr>
      </w:pPr>
    </w:p>
    <w:p w14:paraId="6C6D27CD" w14:textId="77777777" w:rsidR="00160E7F" w:rsidRDefault="000638CB">
      <w:pPr>
        <w:spacing w:before="61"/>
        <w:ind w:right="115"/>
        <w:jc w:val="right"/>
        <w:rPr>
          <w:sz w:val="15"/>
        </w:rPr>
      </w:pPr>
      <w:r>
        <w:lastRenderedPageBreak/>
        <w:pict w14:anchorId="5733B01F">
          <v:group id="_x0000_s1072" style="position:absolute;left:0;text-align:left;margin-left:0;margin-top:0;width:598.8pt;height:841.9pt;z-index:-90040;mso-position-horizontal-relative:page;mso-position-vertical-relative:page" coordsize="11976,16838">
            <v:shape id="_x0000_s1074" type="#_x0000_t75" style="position:absolute;width:11906;height:16838">
              <v:imagedata r:id="rId72" o:title=""/>
            </v:shape>
            <v:line id="_x0000_s1073" style="position:absolute" from="10700,917" to="11906,917" strokecolor="#0095a7" strokeweight="7pt"/>
            <w10:wrap anchorx="page" anchory="page"/>
          </v:group>
        </w:pict>
      </w:r>
      <w:r w:rsidR="002B0299">
        <w:rPr>
          <w:color w:val="58595B"/>
          <w:sz w:val="15"/>
        </w:rPr>
        <w:t>265</w:t>
      </w:r>
    </w:p>
    <w:p w14:paraId="329CE27A" w14:textId="77777777" w:rsidR="00160E7F" w:rsidRDefault="00160E7F">
      <w:pPr>
        <w:pStyle w:val="BodyText"/>
      </w:pPr>
    </w:p>
    <w:p w14:paraId="47A937AA" w14:textId="77777777" w:rsidR="00160E7F" w:rsidRDefault="00160E7F">
      <w:pPr>
        <w:pStyle w:val="BodyText"/>
      </w:pPr>
    </w:p>
    <w:p w14:paraId="41C94A53" w14:textId="77777777" w:rsidR="00160E7F" w:rsidRDefault="00160E7F">
      <w:pPr>
        <w:pStyle w:val="BodyText"/>
      </w:pPr>
    </w:p>
    <w:p w14:paraId="62353CA0" w14:textId="77777777" w:rsidR="00160E7F" w:rsidRDefault="00160E7F">
      <w:pPr>
        <w:pStyle w:val="BodyText"/>
      </w:pPr>
    </w:p>
    <w:p w14:paraId="2F63A43C" w14:textId="77777777" w:rsidR="00160E7F" w:rsidRDefault="00160E7F">
      <w:pPr>
        <w:pStyle w:val="BodyText"/>
        <w:spacing w:before="5"/>
        <w:rPr>
          <w:sz w:val="17"/>
        </w:rPr>
      </w:pPr>
    </w:p>
    <w:p w14:paraId="1CA07109" w14:textId="77777777" w:rsidR="00160E7F" w:rsidRDefault="002B0299">
      <w:pPr>
        <w:pStyle w:val="Heading4"/>
        <w:spacing w:before="0"/>
        <w:ind w:left="134" w:right="822"/>
      </w:pPr>
      <w:r>
        <w:rPr>
          <w:color w:val="0095A7"/>
        </w:rPr>
        <w:t>CHAPTER 15</w:t>
      </w:r>
    </w:p>
    <w:p w14:paraId="521D1493" w14:textId="77777777" w:rsidR="00160E7F" w:rsidRDefault="002B0299">
      <w:pPr>
        <w:spacing w:before="79" w:line="450" w:lineRule="exact"/>
        <w:ind w:left="134" w:right="822"/>
        <w:rPr>
          <w:sz w:val="40"/>
        </w:rPr>
      </w:pPr>
      <w:r>
        <w:rPr>
          <w:color w:val="58595B"/>
          <w:sz w:val="40"/>
        </w:rPr>
        <w:t>A NEW APPROACH</w:t>
      </w:r>
    </w:p>
    <w:p w14:paraId="40AB2EFB" w14:textId="77777777" w:rsidR="00160E7F" w:rsidRDefault="002B0299">
      <w:pPr>
        <w:spacing w:line="450" w:lineRule="exact"/>
        <w:ind w:left="134" w:right="822"/>
        <w:rPr>
          <w:sz w:val="40"/>
        </w:rPr>
      </w:pPr>
      <w:r>
        <w:rPr>
          <w:color w:val="58595B"/>
          <w:sz w:val="40"/>
        </w:rPr>
        <w:t>TO STANDARD SETTING</w:t>
      </w:r>
    </w:p>
    <w:p w14:paraId="02363C63" w14:textId="77777777" w:rsidR="00160E7F" w:rsidRDefault="00160E7F">
      <w:pPr>
        <w:spacing w:line="450" w:lineRule="exact"/>
        <w:rPr>
          <w:sz w:val="40"/>
        </w:rPr>
        <w:sectPr w:rsidR="00160E7F">
          <w:headerReference w:type="even" r:id="rId73"/>
          <w:pgSz w:w="11910" w:h="16840"/>
          <w:pgMar w:top="740" w:right="1300" w:bottom="280" w:left="1680" w:header="0" w:footer="0" w:gutter="0"/>
          <w:cols w:space="720"/>
        </w:sectPr>
      </w:pPr>
    </w:p>
    <w:p w14:paraId="75B75656" w14:textId="77777777" w:rsidR="00160E7F" w:rsidRDefault="00160E7F">
      <w:pPr>
        <w:pStyle w:val="BodyText"/>
      </w:pPr>
    </w:p>
    <w:p w14:paraId="1578202D" w14:textId="77777777" w:rsidR="00160E7F" w:rsidRDefault="00160E7F">
      <w:pPr>
        <w:pStyle w:val="BodyText"/>
      </w:pPr>
    </w:p>
    <w:p w14:paraId="3C771D5D" w14:textId="77777777" w:rsidR="00160E7F" w:rsidRDefault="00160E7F">
      <w:pPr>
        <w:pStyle w:val="BodyText"/>
      </w:pPr>
    </w:p>
    <w:p w14:paraId="40AE4969" w14:textId="77777777" w:rsidR="00160E7F" w:rsidRDefault="00160E7F">
      <w:pPr>
        <w:pStyle w:val="BodyText"/>
      </w:pPr>
    </w:p>
    <w:p w14:paraId="794305B3" w14:textId="77777777" w:rsidR="00160E7F" w:rsidRDefault="002B0299">
      <w:pPr>
        <w:pStyle w:val="Heading2"/>
      </w:pPr>
      <w:r>
        <w:rPr>
          <w:color w:val="0095A7"/>
        </w:rPr>
        <w:t>A NEW APPROACH TO STANDARD SETTING</w:t>
      </w:r>
    </w:p>
    <w:p w14:paraId="1B3EABF3" w14:textId="77777777" w:rsidR="00160E7F" w:rsidRDefault="000638CB">
      <w:pPr>
        <w:pStyle w:val="BodyText"/>
        <w:spacing w:before="4"/>
        <w:rPr>
          <w:sz w:val="17"/>
        </w:rPr>
      </w:pPr>
      <w:r>
        <w:pict w14:anchorId="74F883DA">
          <v:shape id="_x0000_s1071" type="#_x0000_t202" style="position:absolute;margin-left:70.85pt;margin-top:11.2pt;width:432.7pt;height:168.5pt;z-index:2080;mso-wrap-distance-left:0;mso-wrap-distance-right:0;mso-position-horizontal-relative:page" fillcolor="#eff6f0" stroked="f">
            <v:textbox inset="0,0,0,0">
              <w:txbxContent>
                <w:p w14:paraId="02BC55F3" w14:textId="77777777" w:rsidR="00804E46" w:rsidRDefault="00804E46">
                  <w:pPr>
                    <w:spacing w:before="128"/>
                    <w:ind w:left="170"/>
                    <w:jc w:val="both"/>
                    <w:rPr>
                      <w:b/>
                      <w:sz w:val="20"/>
                    </w:rPr>
                  </w:pPr>
                  <w:r>
                    <w:rPr>
                      <w:b/>
                      <w:color w:val="0095A7"/>
                      <w:sz w:val="20"/>
                    </w:rPr>
                    <w:t>KEY MESSAGES</w:t>
                  </w:r>
                </w:p>
                <w:p w14:paraId="0E39F52A" w14:textId="77777777" w:rsidR="00804E46" w:rsidRDefault="00804E46">
                  <w:pPr>
                    <w:pStyle w:val="BodyText"/>
                    <w:spacing w:before="153" w:line="280" w:lineRule="auto"/>
                    <w:ind w:left="170" w:right="177"/>
                  </w:pPr>
                  <w:r>
                    <w:rPr>
                      <w:color w:val="58595B"/>
                    </w:rPr>
                    <w:t>Good regulatory practice means standards are set by the regulator, are contemporary and reflect improvements in current knowledge.</w:t>
                  </w:r>
                </w:p>
                <w:p w14:paraId="607F1457" w14:textId="77777777" w:rsidR="00804E46" w:rsidRDefault="00804E46">
                  <w:pPr>
                    <w:pStyle w:val="BodyText"/>
                    <w:spacing w:before="172" w:line="280" w:lineRule="auto"/>
                    <w:ind w:left="170"/>
                  </w:pPr>
                  <w:r>
                    <w:rPr>
                      <w:color w:val="58595B"/>
                    </w:rPr>
                    <w:t>The EPA’s enhanced scientific expertise will support a more active role in setting environment protection standards and ensuring that they are kept up-to-date, and to support guidance</w:t>
                  </w:r>
                </w:p>
                <w:p w14:paraId="063C3469" w14:textId="77777777" w:rsidR="00804E46" w:rsidRDefault="00804E46">
                  <w:pPr>
                    <w:pStyle w:val="BodyText"/>
                    <w:spacing w:before="2" w:line="280" w:lineRule="auto"/>
                    <w:ind w:left="170" w:right="177"/>
                  </w:pPr>
                  <w:r>
                    <w:rPr>
                      <w:color w:val="58595B"/>
                    </w:rPr>
                    <w:t>and compliance obligations for a broader range of duty holders as part of the implementation of the general duty.</w:t>
                  </w:r>
                </w:p>
                <w:p w14:paraId="4EB35BB6" w14:textId="77777777" w:rsidR="00804E46" w:rsidRDefault="00804E46">
                  <w:pPr>
                    <w:pStyle w:val="BodyText"/>
                    <w:spacing w:before="172" w:line="280" w:lineRule="auto"/>
                    <w:ind w:left="170" w:right="797"/>
                    <w:jc w:val="both"/>
                  </w:pPr>
                  <w:r>
                    <w:rPr>
                      <w:color w:val="58595B"/>
                    </w:rPr>
                    <w:t>The EPA has an important role in advocating on behalf of Victoria for the right national standards (for example, national standards on air quality) and reporting and monitoring against those standards.</w:t>
                  </w:r>
                </w:p>
              </w:txbxContent>
            </v:textbox>
            <w10:wrap type="topAndBottom" anchorx="page"/>
          </v:shape>
        </w:pict>
      </w:r>
    </w:p>
    <w:p w14:paraId="4E574FEF" w14:textId="77777777" w:rsidR="00160E7F" w:rsidRDefault="00160E7F">
      <w:pPr>
        <w:pStyle w:val="BodyText"/>
        <w:spacing w:before="7"/>
        <w:rPr>
          <w:sz w:val="28"/>
        </w:rPr>
      </w:pPr>
    </w:p>
    <w:p w14:paraId="06A268AE" w14:textId="77777777" w:rsidR="00160E7F" w:rsidRDefault="002B0299">
      <w:pPr>
        <w:pStyle w:val="ListParagraph"/>
        <w:numPr>
          <w:ilvl w:val="1"/>
          <w:numId w:val="22"/>
        </w:numPr>
        <w:tabs>
          <w:tab w:val="left" w:pos="1979"/>
        </w:tabs>
        <w:spacing w:before="69"/>
        <w:jc w:val="left"/>
        <w:rPr>
          <w:sz w:val="24"/>
        </w:rPr>
      </w:pPr>
      <w:r>
        <w:rPr>
          <w:color w:val="0095A7"/>
          <w:sz w:val="24"/>
        </w:rPr>
        <w:t>Introduction</w:t>
      </w:r>
    </w:p>
    <w:p w14:paraId="1F96A16C" w14:textId="71ADB11C" w:rsidR="00160E7F" w:rsidRDefault="002B0299">
      <w:pPr>
        <w:pStyle w:val="BodyText"/>
        <w:spacing w:before="145" w:line="280" w:lineRule="auto"/>
        <w:ind w:left="1417" w:right="395"/>
      </w:pPr>
      <w:r>
        <w:rPr>
          <w:color w:val="58595B"/>
        </w:rPr>
        <w:t xml:space="preserve">We propose an </w:t>
      </w:r>
      <w:r>
        <w:rPr>
          <w:color w:val="58595B"/>
          <w:spacing w:val="-4"/>
        </w:rPr>
        <w:t xml:space="preserve">EPA </w:t>
      </w:r>
      <w:r>
        <w:rPr>
          <w:color w:val="58595B"/>
        </w:rPr>
        <w:t xml:space="preserve">of the future that can meet community expectations for protection – that ‘combine environmental protection with economic viability’ – and anticipate new environmental dangers, responding quickly to issues as they arise. In </w:t>
      </w:r>
      <w:r w:rsidR="007F382C">
        <w:rPr>
          <w:color w:val="58595B"/>
        </w:rPr>
        <w:t xml:space="preserve">practice this is demanding and </w:t>
      </w:r>
      <w:r>
        <w:rPr>
          <w:color w:val="58595B"/>
        </w:rPr>
        <w:t>complex. It requires high order scientific expertise, and understanding of regulatory design and operational</w:t>
      </w:r>
      <w:r>
        <w:rPr>
          <w:color w:val="58595B"/>
          <w:spacing w:val="7"/>
        </w:rPr>
        <w:t xml:space="preserve"> </w:t>
      </w:r>
      <w:r>
        <w:rPr>
          <w:color w:val="58595B"/>
        </w:rPr>
        <w:t>practicalities.</w:t>
      </w:r>
    </w:p>
    <w:p w14:paraId="70BB6746" w14:textId="0977BF11" w:rsidR="00160E7F" w:rsidRDefault="002B0299">
      <w:pPr>
        <w:pStyle w:val="BodyText"/>
        <w:spacing w:before="172" w:line="280" w:lineRule="auto"/>
        <w:ind w:left="1417" w:right="220"/>
      </w:pPr>
      <w:r>
        <w:rPr>
          <w:color w:val="58595B"/>
        </w:rPr>
        <w:t>Environmental standards and compliance obligations need to reflect contemporary science and the statutory requirements of ‘reasonable practicability’ to support the implementation of the general duty. They need to be framed and in a format that is capable of being kept up-to-date</w:t>
      </w:r>
      <w:r w:rsidR="00223325">
        <w:rPr>
          <w:color w:val="58595B"/>
        </w:rPr>
        <w:br/>
      </w:r>
      <w:r>
        <w:rPr>
          <w:color w:val="58595B"/>
        </w:rPr>
        <w:t xml:space="preserve">and that can be clearly communicated and understood by industry, practitioners and </w:t>
      </w:r>
      <w:r>
        <w:rPr>
          <w:color w:val="58595B"/>
          <w:spacing w:val="-3"/>
        </w:rPr>
        <w:t xml:space="preserve">key </w:t>
      </w:r>
      <w:r>
        <w:rPr>
          <w:color w:val="58595B"/>
        </w:rPr>
        <w:t>decision makers. They also need to be interpreted to the community – to build confidence in the system.</w:t>
      </w:r>
    </w:p>
    <w:p w14:paraId="6075EDBA" w14:textId="77777777" w:rsidR="00160E7F" w:rsidRDefault="002B0299">
      <w:pPr>
        <w:pStyle w:val="BodyText"/>
        <w:spacing w:before="172" w:line="280" w:lineRule="auto"/>
        <w:ind w:left="1417" w:right="185"/>
      </w:pPr>
      <w:r>
        <w:rPr>
          <w:color w:val="58595B"/>
        </w:rPr>
        <w:t>The EPA holds the technical expertise to set environmental standards and understands how they operate within the regulatory framework and in the practical settings of duty holder obligations.</w:t>
      </w:r>
    </w:p>
    <w:p w14:paraId="272DD7CE" w14:textId="77777777" w:rsidR="00160E7F" w:rsidRDefault="002B0299">
      <w:pPr>
        <w:pStyle w:val="BodyText"/>
        <w:spacing w:before="2" w:line="280" w:lineRule="auto"/>
        <w:ind w:left="1417" w:right="185"/>
      </w:pPr>
      <w:r>
        <w:rPr>
          <w:color w:val="58595B"/>
        </w:rPr>
        <w:t>The EPA should be evaluating the effectiveness of standards and identifying, from its monitoring and experience in the field, when there are deficiencies or gaps in standards. It needs to ‘own’ its standards and be accountable for them to business and the community.</w:t>
      </w:r>
    </w:p>
    <w:p w14:paraId="24BCCE82" w14:textId="3854BA33" w:rsidR="00160E7F" w:rsidRDefault="002B0299">
      <w:pPr>
        <w:pStyle w:val="BodyText"/>
        <w:spacing w:before="172" w:line="280" w:lineRule="auto"/>
        <w:ind w:left="1417" w:right="142"/>
      </w:pPr>
      <w:r>
        <w:rPr>
          <w:color w:val="58595B"/>
        </w:rPr>
        <w:t xml:space="preserve">This chapter examines ways to improve the </w:t>
      </w:r>
      <w:r>
        <w:rPr>
          <w:color w:val="58595B"/>
          <w:spacing w:val="-7"/>
        </w:rPr>
        <w:t xml:space="preserve">EPA’s </w:t>
      </w:r>
      <w:r>
        <w:rPr>
          <w:color w:val="58595B"/>
        </w:rPr>
        <w:t xml:space="preserve">statutory standards policies, both the environment protection standards </w:t>
      </w:r>
      <w:r>
        <w:rPr>
          <w:color w:val="58595B"/>
          <w:spacing w:val="-3"/>
        </w:rPr>
        <w:t xml:space="preserve">(or </w:t>
      </w:r>
      <w:r>
        <w:rPr>
          <w:color w:val="58595B"/>
        </w:rPr>
        <w:t>‘goal post’ standards) and the compliance obligations,</w:t>
      </w:r>
      <w:r w:rsidR="00223325">
        <w:rPr>
          <w:color w:val="58595B"/>
        </w:rPr>
        <w:br/>
      </w:r>
      <w:r>
        <w:rPr>
          <w:color w:val="58595B"/>
        </w:rPr>
        <w:t xml:space="preserve">which seek to improve environmental performance. In particular, we propose that these should be reframed to allow the </w:t>
      </w:r>
      <w:r>
        <w:rPr>
          <w:color w:val="58595B"/>
          <w:spacing w:val="-4"/>
        </w:rPr>
        <w:t xml:space="preserve">EPA </w:t>
      </w:r>
      <w:r>
        <w:rPr>
          <w:color w:val="58595B"/>
        </w:rPr>
        <w:t xml:space="preserve">to set environmental standards and to be accountable for the currency and effectiveness of the standards </w:t>
      </w:r>
      <w:r>
        <w:rPr>
          <w:color w:val="58595B"/>
          <w:spacing w:val="-4"/>
        </w:rPr>
        <w:t xml:space="preserve">(as </w:t>
      </w:r>
      <w:r>
        <w:rPr>
          <w:color w:val="58595B"/>
        </w:rPr>
        <w:t>outlined in the functions in chapter</w:t>
      </w:r>
      <w:r>
        <w:rPr>
          <w:color w:val="58595B"/>
          <w:spacing w:val="17"/>
        </w:rPr>
        <w:t xml:space="preserve"> </w:t>
      </w:r>
      <w:r>
        <w:rPr>
          <w:color w:val="58595B"/>
          <w:spacing w:val="-2"/>
        </w:rPr>
        <w:t>5).</w:t>
      </w:r>
    </w:p>
    <w:p w14:paraId="7A4B0E71" w14:textId="77777777" w:rsidR="00160E7F" w:rsidRDefault="00160E7F">
      <w:pPr>
        <w:pStyle w:val="BodyText"/>
        <w:spacing w:before="1"/>
        <w:rPr>
          <w:sz w:val="19"/>
        </w:rPr>
      </w:pPr>
    </w:p>
    <w:p w14:paraId="2C75EE40" w14:textId="77777777" w:rsidR="00160E7F" w:rsidRDefault="002B0299">
      <w:pPr>
        <w:pStyle w:val="Heading3"/>
        <w:numPr>
          <w:ilvl w:val="1"/>
          <w:numId w:val="22"/>
        </w:numPr>
        <w:tabs>
          <w:tab w:val="left" w:pos="2007"/>
        </w:tabs>
        <w:spacing w:before="0"/>
        <w:ind w:left="2006" w:hanging="589"/>
        <w:jc w:val="left"/>
      </w:pPr>
      <w:r>
        <w:rPr>
          <w:color w:val="0095A7"/>
        </w:rPr>
        <w:t>Statutory</w:t>
      </w:r>
      <w:r>
        <w:rPr>
          <w:color w:val="0095A7"/>
          <w:spacing w:val="26"/>
        </w:rPr>
        <w:t xml:space="preserve"> </w:t>
      </w:r>
      <w:r>
        <w:rPr>
          <w:color w:val="0095A7"/>
        </w:rPr>
        <w:t>policies</w:t>
      </w:r>
    </w:p>
    <w:p w14:paraId="4341E7FD" w14:textId="77777777" w:rsidR="00160E7F" w:rsidRDefault="002B0299">
      <w:pPr>
        <w:pStyle w:val="BodyText"/>
        <w:spacing w:before="145" w:line="280" w:lineRule="auto"/>
        <w:ind w:left="1417" w:right="343"/>
      </w:pPr>
      <w:r>
        <w:rPr>
          <w:color w:val="58595B"/>
        </w:rPr>
        <w:t>Currently, Victorian environmental standards have statutory force in the EP Act through state environment protection policies (SEPPs) and waste management policies (WMPs).</w:t>
      </w:r>
      <w:r>
        <w:rPr>
          <w:color w:val="58595B"/>
          <w:position w:val="7"/>
          <w:sz w:val="11"/>
        </w:rPr>
        <w:t xml:space="preserve">1 </w:t>
      </w:r>
      <w:r>
        <w:rPr>
          <w:color w:val="58595B"/>
        </w:rPr>
        <w:t>SEPPs aim to safeguard environmental values and human activities (beneficial uses) from pollution and waste. WMPs establish statewide standards and directions for waste management.</w:t>
      </w:r>
    </w:p>
    <w:p w14:paraId="526DAD79" w14:textId="77777777" w:rsidR="00160E7F" w:rsidRDefault="00160E7F">
      <w:pPr>
        <w:spacing w:line="280" w:lineRule="auto"/>
        <w:sectPr w:rsidR="00160E7F">
          <w:headerReference w:type="even" r:id="rId74"/>
          <w:headerReference w:type="default" r:id="rId75"/>
          <w:pgSz w:w="11910" w:h="16840"/>
          <w:pgMar w:top="980" w:right="1680" w:bottom="280" w:left="0" w:header="788" w:footer="0" w:gutter="0"/>
          <w:pgNumType w:start="266"/>
          <w:cols w:space="720"/>
        </w:sectPr>
      </w:pPr>
    </w:p>
    <w:p w14:paraId="54A4EF9F" w14:textId="77777777" w:rsidR="00160E7F" w:rsidRDefault="00160E7F">
      <w:pPr>
        <w:pStyle w:val="BodyText"/>
      </w:pPr>
    </w:p>
    <w:p w14:paraId="5689797B" w14:textId="77777777" w:rsidR="00160E7F" w:rsidRDefault="00160E7F">
      <w:pPr>
        <w:pStyle w:val="BodyText"/>
      </w:pPr>
    </w:p>
    <w:p w14:paraId="730651E6" w14:textId="77777777" w:rsidR="00160E7F" w:rsidRDefault="00160E7F">
      <w:pPr>
        <w:pStyle w:val="BodyText"/>
      </w:pPr>
    </w:p>
    <w:p w14:paraId="5480EC2D" w14:textId="77777777" w:rsidR="00160E7F" w:rsidRDefault="00160E7F">
      <w:pPr>
        <w:pStyle w:val="BodyText"/>
      </w:pPr>
    </w:p>
    <w:p w14:paraId="70F14B7E" w14:textId="77777777" w:rsidR="00160E7F" w:rsidRDefault="00160E7F">
      <w:pPr>
        <w:pStyle w:val="BodyText"/>
        <w:spacing w:before="8"/>
        <w:rPr>
          <w:sz w:val="17"/>
        </w:rPr>
      </w:pPr>
    </w:p>
    <w:p w14:paraId="73EA161C" w14:textId="77777777" w:rsidR="00160E7F" w:rsidRDefault="002B0299">
      <w:pPr>
        <w:pStyle w:val="BodyText"/>
        <w:spacing w:before="1" w:line="280" w:lineRule="auto"/>
        <w:ind w:left="134" w:right="1494"/>
      </w:pPr>
      <w:r>
        <w:rPr>
          <w:color w:val="58595B"/>
        </w:rPr>
        <w:t xml:space="preserve">SEPPs and WMPs are whole-of-government statutory commitments. Once established, statutory policies must be reviewed every </w:t>
      </w:r>
      <w:r>
        <w:rPr>
          <w:color w:val="58595B"/>
          <w:spacing w:val="-3"/>
        </w:rPr>
        <w:t xml:space="preserve">10 </w:t>
      </w:r>
      <w:r>
        <w:rPr>
          <w:color w:val="58595B"/>
        </w:rPr>
        <w:t>years to reflect updated scientific knowledge, but do not automatically sunset or cease to exist like regulations.</w:t>
      </w:r>
      <w:r>
        <w:rPr>
          <w:color w:val="58595B"/>
          <w:position w:val="7"/>
          <w:sz w:val="11"/>
        </w:rPr>
        <w:t xml:space="preserve">2 </w:t>
      </w:r>
      <w:r>
        <w:rPr>
          <w:color w:val="58595B"/>
        </w:rPr>
        <w:t xml:space="preserve">Statutory policies have been a core component of the EP Act since it was introduced in </w:t>
      </w:r>
      <w:r>
        <w:rPr>
          <w:color w:val="58595B"/>
          <w:spacing w:val="-3"/>
        </w:rPr>
        <w:t xml:space="preserve">1970. </w:t>
      </w:r>
      <w:r>
        <w:rPr>
          <w:color w:val="58595B"/>
        </w:rPr>
        <w:t>All other Australian states have statutory policies, in some form, under their environment protection</w:t>
      </w:r>
      <w:r>
        <w:rPr>
          <w:color w:val="58595B"/>
          <w:spacing w:val="11"/>
        </w:rPr>
        <w:t xml:space="preserve"> </w:t>
      </w:r>
      <w:r>
        <w:rPr>
          <w:color w:val="58595B"/>
        </w:rPr>
        <w:t>legislation.</w:t>
      </w:r>
    </w:p>
    <w:p w14:paraId="765F1B64" w14:textId="77777777" w:rsidR="00160E7F" w:rsidRDefault="002B0299">
      <w:pPr>
        <w:pStyle w:val="BodyText"/>
        <w:spacing w:before="172" w:line="280" w:lineRule="auto"/>
        <w:ind w:left="134" w:right="1433"/>
      </w:pPr>
      <w:r>
        <w:rPr>
          <w:color w:val="58595B"/>
        </w:rPr>
        <w:t>The EP Act specifies the process for making and reviewing statutory policies, which involves formal public consultation, preparing a Policy Impact Assessment and approval through the Governor in Council.</w:t>
      </w:r>
    </w:p>
    <w:p w14:paraId="39AAC8D5" w14:textId="77777777" w:rsidR="00160E7F" w:rsidRDefault="002B0299">
      <w:pPr>
        <w:pStyle w:val="BodyText"/>
        <w:spacing w:before="172" w:line="280" w:lineRule="auto"/>
        <w:ind w:left="134" w:right="1433"/>
      </w:pPr>
      <w:r>
        <w:rPr>
          <w:color w:val="58595B"/>
        </w:rPr>
        <w:t>The current SEPPs and WMPs contain different types of content. They identify beneficial uses, broad environmental standards, specific standards, environmental indicators, compliance obligations and implementation requirements. This approach, and calling them ‘policies’, creates confusion about their purpose and status.</w:t>
      </w:r>
    </w:p>
    <w:p w14:paraId="67E776CE" w14:textId="77777777" w:rsidR="00160E7F" w:rsidRDefault="002B0299">
      <w:pPr>
        <w:pStyle w:val="BodyText"/>
        <w:spacing w:before="172"/>
        <w:ind w:left="134" w:right="789"/>
      </w:pPr>
      <w:r>
        <w:rPr>
          <w:color w:val="58595B"/>
        </w:rPr>
        <w:t>Generally, statutory policies can contain two types of standards.</w:t>
      </w:r>
    </w:p>
    <w:p w14:paraId="35C5BE76" w14:textId="77777777" w:rsidR="00160E7F" w:rsidRDefault="002B0299">
      <w:pPr>
        <w:pStyle w:val="Heading4"/>
        <w:numPr>
          <w:ilvl w:val="0"/>
          <w:numId w:val="25"/>
        </w:numPr>
        <w:tabs>
          <w:tab w:val="left" w:pos="305"/>
        </w:tabs>
        <w:spacing w:before="153"/>
        <w:ind w:right="0" w:hanging="170"/>
      </w:pPr>
      <w:r>
        <w:rPr>
          <w:color w:val="58595B"/>
        </w:rPr>
        <w:t xml:space="preserve">Environment protection standards: </w:t>
      </w:r>
      <w:r>
        <w:rPr>
          <w:color w:val="58595B"/>
          <w:spacing w:val="2"/>
        </w:rPr>
        <w:t xml:space="preserve">‘the </w:t>
      </w:r>
      <w:r>
        <w:rPr>
          <w:color w:val="58595B"/>
        </w:rPr>
        <w:t>goal</w:t>
      </w:r>
      <w:r>
        <w:rPr>
          <w:color w:val="58595B"/>
          <w:spacing w:val="34"/>
        </w:rPr>
        <w:t xml:space="preserve"> </w:t>
      </w:r>
      <w:r>
        <w:rPr>
          <w:color w:val="58595B"/>
        </w:rPr>
        <w:t>posts’</w:t>
      </w:r>
    </w:p>
    <w:p w14:paraId="7E2897D8" w14:textId="77777777" w:rsidR="00160E7F" w:rsidRDefault="00160E7F">
      <w:pPr>
        <w:pStyle w:val="BodyText"/>
        <w:spacing w:before="3"/>
        <w:rPr>
          <w:b/>
          <w:sz w:val="18"/>
        </w:rPr>
      </w:pPr>
    </w:p>
    <w:p w14:paraId="765637A5" w14:textId="77777777" w:rsidR="00160E7F" w:rsidRDefault="002B0299">
      <w:pPr>
        <w:pStyle w:val="BodyText"/>
        <w:spacing w:line="280" w:lineRule="auto"/>
        <w:ind w:left="304" w:right="1494"/>
      </w:pPr>
      <w:r>
        <w:rPr>
          <w:color w:val="58595B"/>
        </w:rPr>
        <w:t>These</w:t>
      </w:r>
      <w:r>
        <w:rPr>
          <w:color w:val="58595B"/>
          <w:spacing w:val="-11"/>
        </w:rPr>
        <w:t xml:space="preserve"> </w:t>
      </w:r>
      <w:r>
        <w:rPr>
          <w:color w:val="58595B"/>
        </w:rPr>
        <w:t>define</w:t>
      </w:r>
      <w:r>
        <w:rPr>
          <w:color w:val="58595B"/>
          <w:spacing w:val="-11"/>
        </w:rPr>
        <w:t xml:space="preserve"> </w:t>
      </w:r>
      <w:r>
        <w:rPr>
          <w:color w:val="58595B"/>
        </w:rPr>
        <w:t>the</w:t>
      </w:r>
      <w:r>
        <w:rPr>
          <w:color w:val="58595B"/>
          <w:spacing w:val="-11"/>
        </w:rPr>
        <w:t xml:space="preserve"> </w:t>
      </w:r>
      <w:r>
        <w:rPr>
          <w:color w:val="58595B"/>
        </w:rPr>
        <w:t>broad</w:t>
      </w:r>
      <w:r>
        <w:rPr>
          <w:color w:val="58595B"/>
          <w:spacing w:val="-11"/>
        </w:rPr>
        <w:t xml:space="preserve"> </w:t>
      </w:r>
      <w:r>
        <w:rPr>
          <w:color w:val="58595B"/>
        </w:rPr>
        <w:t>environmental</w:t>
      </w:r>
      <w:r>
        <w:rPr>
          <w:color w:val="58595B"/>
          <w:spacing w:val="-11"/>
        </w:rPr>
        <w:t xml:space="preserve"> </w:t>
      </w:r>
      <w:r>
        <w:rPr>
          <w:color w:val="58595B"/>
        </w:rPr>
        <w:t>quality</w:t>
      </w:r>
      <w:r>
        <w:rPr>
          <w:color w:val="58595B"/>
          <w:spacing w:val="-11"/>
        </w:rPr>
        <w:t xml:space="preserve"> </w:t>
      </w:r>
      <w:r>
        <w:rPr>
          <w:color w:val="58595B"/>
        </w:rPr>
        <w:t>standards</w:t>
      </w:r>
      <w:r>
        <w:rPr>
          <w:color w:val="58595B"/>
          <w:spacing w:val="-11"/>
        </w:rPr>
        <w:t xml:space="preserve"> </w:t>
      </w:r>
      <w:r>
        <w:rPr>
          <w:color w:val="58595B"/>
        </w:rPr>
        <w:t>that</w:t>
      </w:r>
      <w:r>
        <w:rPr>
          <w:color w:val="58595B"/>
          <w:spacing w:val="-11"/>
        </w:rPr>
        <w:t xml:space="preserve"> </w:t>
      </w:r>
      <w:r>
        <w:rPr>
          <w:color w:val="58595B"/>
        </w:rPr>
        <w:t>the</w:t>
      </w:r>
      <w:r>
        <w:rPr>
          <w:color w:val="58595B"/>
          <w:spacing w:val="-11"/>
        </w:rPr>
        <w:t xml:space="preserve"> </w:t>
      </w:r>
      <w:r>
        <w:rPr>
          <w:color w:val="58595B"/>
          <w:spacing w:val="-5"/>
        </w:rPr>
        <w:t>EPA</w:t>
      </w:r>
      <w:r>
        <w:rPr>
          <w:color w:val="58595B"/>
          <w:spacing w:val="-11"/>
        </w:rPr>
        <w:t xml:space="preserve"> </w:t>
      </w:r>
      <w:r>
        <w:rPr>
          <w:color w:val="58595B"/>
        </w:rPr>
        <w:t>seeks</w:t>
      </w:r>
      <w:r>
        <w:rPr>
          <w:color w:val="58595B"/>
          <w:spacing w:val="-11"/>
        </w:rPr>
        <w:t xml:space="preserve"> </w:t>
      </w:r>
      <w:r>
        <w:rPr>
          <w:color w:val="58595B"/>
        </w:rPr>
        <w:t>to</w:t>
      </w:r>
      <w:r>
        <w:rPr>
          <w:color w:val="58595B"/>
          <w:spacing w:val="-11"/>
        </w:rPr>
        <w:t xml:space="preserve"> </w:t>
      </w:r>
      <w:r>
        <w:rPr>
          <w:color w:val="58595B"/>
        </w:rPr>
        <w:t>protect</w:t>
      </w:r>
      <w:r>
        <w:rPr>
          <w:color w:val="58595B"/>
          <w:spacing w:val="-11"/>
        </w:rPr>
        <w:t xml:space="preserve"> </w:t>
      </w:r>
      <w:r>
        <w:rPr>
          <w:color w:val="58595B"/>
        </w:rPr>
        <w:t>on</w:t>
      </w:r>
      <w:r>
        <w:rPr>
          <w:color w:val="58595B"/>
          <w:spacing w:val="-11"/>
        </w:rPr>
        <w:t xml:space="preserve"> </w:t>
      </w:r>
      <w:r>
        <w:rPr>
          <w:color w:val="58595B"/>
        </w:rPr>
        <w:t xml:space="preserve">behalf of the Victorian community. They also identify the management standards the </w:t>
      </w:r>
      <w:r>
        <w:rPr>
          <w:color w:val="58595B"/>
          <w:spacing w:val="-5"/>
        </w:rPr>
        <w:t xml:space="preserve">EPA </w:t>
      </w:r>
      <w:r>
        <w:rPr>
          <w:color w:val="58595B"/>
        </w:rPr>
        <w:t>applies through its regulatory framework (such as licensing and works approvals</w:t>
      </w:r>
      <w:r>
        <w:rPr>
          <w:color w:val="58595B"/>
          <w:position w:val="7"/>
          <w:sz w:val="11"/>
        </w:rPr>
        <w:t>3</w:t>
      </w:r>
      <w:r>
        <w:rPr>
          <w:color w:val="58595B"/>
        </w:rPr>
        <w:t>) to achieve environmental quality</w:t>
      </w:r>
      <w:r>
        <w:rPr>
          <w:color w:val="58595B"/>
          <w:spacing w:val="-30"/>
        </w:rPr>
        <w:t xml:space="preserve"> </w:t>
      </w:r>
      <w:r>
        <w:rPr>
          <w:color w:val="58595B"/>
        </w:rPr>
        <w:t>standards.</w:t>
      </w:r>
    </w:p>
    <w:p w14:paraId="64A1B0A5" w14:textId="77777777" w:rsidR="00160E7F" w:rsidRDefault="002B0299">
      <w:pPr>
        <w:pStyle w:val="BodyText"/>
        <w:spacing w:before="172" w:line="280" w:lineRule="auto"/>
        <w:ind w:left="304" w:right="1526"/>
      </w:pPr>
      <w:r>
        <w:rPr>
          <w:color w:val="58595B"/>
        </w:rPr>
        <w:t xml:space="preserve">SEPPs and WMPs are also the primary mechanism for adopting national standards, the National Environmental Protection Measures (NEPMs) established under the </w:t>
      </w:r>
      <w:r>
        <w:rPr>
          <w:i/>
          <w:color w:val="58595B"/>
        </w:rPr>
        <w:t>National Environment Protection Council (Victoria) Act 1995</w:t>
      </w:r>
      <w:r>
        <w:rPr>
          <w:color w:val="58595B"/>
        </w:rPr>
        <w:t>. There are NEPMs on ambient air quality, air toxics, assessment of site contamination, diesel vehicle emissions, movement of controlled waste, the national pollutant inventory and used packaging materials.</w:t>
      </w:r>
    </w:p>
    <w:p w14:paraId="2A02A5F3" w14:textId="77777777" w:rsidR="00160E7F" w:rsidRDefault="002B0299">
      <w:pPr>
        <w:pStyle w:val="BodyText"/>
        <w:spacing w:before="172" w:line="280" w:lineRule="auto"/>
        <w:ind w:left="304" w:right="1888"/>
      </w:pPr>
      <w:r>
        <w:rPr>
          <w:color w:val="58595B"/>
        </w:rPr>
        <w:t>Environmental standards are updated based on robust scientific analysis of new and emerging risks, as well as new technologies and approaches to managing those risks.  The government also assesses the relative costs and benefits of changes before changing environmental</w:t>
      </w:r>
      <w:r>
        <w:rPr>
          <w:color w:val="58595B"/>
          <w:spacing w:val="-6"/>
        </w:rPr>
        <w:t xml:space="preserve"> </w:t>
      </w:r>
      <w:r>
        <w:rPr>
          <w:color w:val="58595B"/>
        </w:rPr>
        <w:t>standards.</w:t>
      </w:r>
    </w:p>
    <w:p w14:paraId="42A5265B" w14:textId="77777777" w:rsidR="00160E7F" w:rsidRDefault="002B0299">
      <w:pPr>
        <w:pStyle w:val="Heading4"/>
        <w:numPr>
          <w:ilvl w:val="0"/>
          <w:numId w:val="25"/>
        </w:numPr>
        <w:tabs>
          <w:tab w:val="left" w:pos="305"/>
        </w:tabs>
        <w:spacing w:before="115"/>
        <w:ind w:right="0" w:hanging="170"/>
      </w:pPr>
      <w:r>
        <w:rPr>
          <w:color w:val="58595B"/>
        </w:rPr>
        <w:t>Compliance</w:t>
      </w:r>
      <w:r>
        <w:rPr>
          <w:color w:val="58595B"/>
          <w:spacing w:val="21"/>
        </w:rPr>
        <w:t xml:space="preserve"> </w:t>
      </w:r>
      <w:r>
        <w:rPr>
          <w:color w:val="58595B"/>
        </w:rPr>
        <w:t>obligations</w:t>
      </w:r>
    </w:p>
    <w:p w14:paraId="54BD4B0C" w14:textId="77777777" w:rsidR="00160E7F" w:rsidRDefault="00160E7F">
      <w:pPr>
        <w:pStyle w:val="BodyText"/>
        <w:spacing w:before="3"/>
        <w:rPr>
          <w:b/>
          <w:sz w:val="18"/>
        </w:rPr>
      </w:pPr>
    </w:p>
    <w:p w14:paraId="7CF4EAF7" w14:textId="77777777" w:rsidR="00160E7F" w:rsidRDefault="002B0299">
      <w:pPr>
        <w:pStyle w:val="BodyText"/>
        <w:spacing w:line="280" w:lineRule="auto"/>
        <w:ind w:left="304" w:right="1433"/>
      </w:pPr>
      <w:r>
        <w:rPr>
          <w:color w:val="58595B"/>
        </w:rPr>
        <w:t>Compliance obligations set out how duty holders are expected to meet their environment protection obligations. They should evolve over time as our understanding of the causes and methods for preventing impacts and incidents improves.</w:t>
      </w:r>
    </w:p>
    <w:p w14:paraId="5AE6FD3D" w14:textId="77777777" w:rsidR="00160E7F" w:rsidRDefault="002B0299">
      <w:pPr>
        <w:pStyle w:val="BodyText"/>
        <w:spacing w:before="172" w:line="280" w:lineRule="auto"/>
        <w:ind w:left="304" w:right="2190"/>
      </w:pPr>
      <w:r>
        <w:rPr>
          <w:color w:val="58595B"/>
        </w:rPr>
        <w:t>Currently, compliance obligations are set out in regulations, SEPPs and WMPs and incorporated into documents such as Best Practice Environmental Measures and other EPA guidance documents. However, under a general duty, codes of practice will be the primary method for specifying how to meet the duty, although regulations can set out specific requirements.</w:t>
      </w:r>
    </w:p>
    <w:p w14:paraId="6A8E0292" w14:textId="77777777" w:rsidR="00160E7F" w:rsidRDefault="002B0299">
      <w:pPr>
        <w:pStyle w:val="BodyText"/>
        <w:spacing w:before="172" w:line="280" w:lineRule="auto"/>
        <w:ind w:left="134" w:right="1433"/>
      </w:pPr>
      <w:r>
        <w:rPr>
          <w:color w:val="58595B"/>
        </w:rPr>
        <w:t>Monitoring and reporting against standards is an important task of the EPA. The EPA uses the data to provide information to the community, identify problem areas where action is required, evaluate the effectiveness of approaches taken to meet the standards, and inform the advocacy for and development of future standards on behalf of Victoria.</w:t>
      </w:r>
    </w:p>
    <w:p w14:paraId="65058D14" w14:textId="77777777" w:rsidR="00160E7F" w:rsidRDefault="002B0299">
      <w:pPr>
        <w:pStyle w:val="BodyText"/>
        <w:spacing w:before="172" w:line="280" w:lineRule="auto"/>
        <w:ind w:left="134" w:right="1479"/>
      </w:pPr>
      <w:r>
        <w:rPr>
          <w:color w:val="58595B"/>
        </w:rPr>
        <w:t xml:space="preserve">The </w:t>
      </w:r>
      <w:r>
        <w:rPr>
          <w:color w:val="58595B"/>
          <w:spacing w:val="-4"/>
        </w:rPr>
        <w:t xml:space="preserve">EPA </w:t>
      </w:r>
      <w:r>
        <w:rPr>
          <w:color w:val="58595B"/>
        </w:rPr>
        <w:t xml:space="preserve">has an important advocacy role on behalf of Victoria in driving improvements to national standards, particularly for air quality (box </w:t>
      </w:r>
      <w:r>
        <w:rPr>
          <w:color w:val="58595B"/>
          <w:spacing w:val="-9"/>
        </w:rPr>
        <w:t xml:space="preserve">15.1) </w:t>
      </w:r>
      <w:r>
        <w:rPr>
          <w:color w:val="58595B"/>
        </w:rPr>
        <w:t xml:space="preserve">and for chemicals regulation. This role reflects the </w:t>
      </w:r>
      <w:r>
        <w:rPr>
          <w:color w:val="58595B"/>
          <w:spacing w:val="-7"/>
        </w:rPr>
        <w:t xml:space="preserve">EPA’s </w:t>
      </w:r>
      <w:r>
        <w:rPr>
          <w:color w:val="58595B"/>
        </w:rPr>
        <w:t>expert monitoring and understanding of the impacts of pollution and waste on human health and the</w:t>
      </w:r>
      <w:r>
        <w:rPr>
          <w:color w:val="58595B"/>
          <w:spacing w:val="-5"/>
        </w:rPr>
        <w:t xml:space="preserve"> </w:t>
      </w:r>
      <w:r>
        <w:rPr>
          <w:color w:val="58595B"/>
        </w:rPr>
        <w:t>environment.</w:t>
      </w:r>
    </w:p>
    <w:p w14:paraId="210223A4" w14:textId="77777777" w:rsidR="00160E7F" w:rsidRDefault="00160E7F">
      <w:pPr>
        <w:spacing w:line="280" w:lineRule="auto"/>
        <w:sectPr w:rsidR="00160E7F">
          <w:pgSz w:w="11910" w:h="16840"/>
          <w:pgMar w:top="980" w:right="0" w:bottom="280" w:left="1680" w:header="788" w:footer="0" w:gutter="0"/>
          <w:cols w:space="720"/>
        </w:sectPr>
      </w:pPr>
    </w:p>
    <w:p w14:paraId="6A1E0937" w14:textId="77777777" w:rsidR="00160E7F" w:rsidRDefault="00160E7F">
      <w:pPr>
        <w:pStyle w:val="BodyText"/>
      </w:pPr>
    </w:p>
    <w:p w14:paraId="1D547D7E" w14:textId="77777777" w:rsidR="00160E7F" w:rsidRDefault="00160E7F">
      <w:pPr>
        <w:pStyle w:val="BodyText"/>
      </w:pPr>
    </w:p>
    <w:p w14:paraId="4D5EFD93" w14:textId="77777777" w:rsidR="00160E7F" w:rsidRDefault="00160E7F">
      <w:pPr>
        <w:pStyle w:val="BodyText"/>
      </w:pPr>
    </w:p>
    <w:p w14:paraId="5032D016" w14:textId="77777777" w:rsidR="00160E7F" w:rsidRDefault="00160E7F">
      <w:pPr>
        <w:pStyle w:val="BodyText"/>
      </w:pPr>
    </w:p>
    <w:p w14:paraId="4865B41C" w14:textId="77777777" w:rsidR="00160E7F" w:rsidRDefault="00160E7F">
      <w:pPr>
        <w:pStyle w:val="BodyText"/>
        <w:spacing w:before="1"/>
        <w:rPr>
          <w:sz w:val="26"/>
        </w:rPr>
      </w:pPr>
    </w:p>
    <w:p w14:paraId="00BB6108" w14:textId="77777777" w:rsidR="00160E7F" w:rsidRDefault="000638CB">
      <w:pPr>
        <w:pStyle w:val="BodyText"/>
        <w:spacing w:before="74"/>
        <w:ind w:left="1587" w:right="789"/>
      </w:pPr>
      <w:r>
        <w:pict w14:anchorId="7CE7464A">
          <v:rect id="_x0000_s1070" style="position:absolute;left:0;text-align:left;margin-left:70.85pt;margin-top:-2.7pt;width:432.7pt;height:611.65pt;z-index:-89992;mso-position-horizontal-relative:page" fillcolor="#eaf2f3" stroked="f">
            <w10:wrap anchorx="page"/>
          </v:rect>
        </w:pict>
      </w:r>
      <w:r w:rsidR="002B0299">
        <w:rPr>
          <w:b/>
          <w:color w:val="0095A7"/>
        </w:rPr>
        <w:t xml:space="preserve">BOX 15.1  </w:t>
      </w:r>
      <w:r w:rsidR="002B0299">
        <w:rPr>
          <w:color w:val="0095A7"/>
        </w:rPr>
        <w:t>NEW NATIONAL AMBIENT AIR QUALITY STANDARDS</w:t>
      </w:r>
    </w:p>
    <w:p w14:paraId="2F860EA1" w14:textId="77777777" w:rsidR="00160E7F" w:rsidRDefault="002B0299">
      <w:pPr>
        <w:pStyle w:val="BodyText"/>
        <w:spacing w:before="153" w:line="280" w:lineRule="auto"/>
        <w:ind w:left="1587" w:right="405"/>
      </w:pPr>
      <w:r>
        <w:rPr>
          <w:color w:val="58595B"/>
        </w:rPr>
        <w:t>The National Environment Protection Measure (Ambient Air Quality) (NEPM AAQ) was established in 1988 and sets national ambient (outdoor) air quality standards. These standards cover six common pollutants – particles (PM10), ozone, sulfur dioxide, nitrogen dioxide, carbon monoxide and lead. In 2003, the NEPM AAQ was varied to add an advisory reporting standard for PM2.5.</w:t>
      </w:r>
    </w:p>
    <w:p w14:paraId="44EBFC19" w14:textId="77777777" w:rsidR="00160E7F" w:rsidRDefault="002B0299">
      <w:pPr>
        <w:pStyle w:val="BodyText"/>
        <w:spacing w:before="172" w:line="280" w:lineRule="auto"/>
        <w:ind w:left="1587" w:right="642"/>
      </w:pPr>
      <w:r>
        <w:rPr>
          <w:color w:val="58595B"/>
        </w:rPr>
        <w:t xml:space="preserve">Under the </w:t>
      </w:r>
      <w:r>
        <w:rPr>
          <w:i/>
          <w:color w:val="58595B"/>
        </w:rPr>
        <w:t>National Environment Protection Council (Victoria) Act 1995</w:t>
      </w:r>
      <w:r>
        <w:rPr>
          <w:color w:val="58595B"/>
        </w:rPr>
        <w:t>, standards are set after considering environmental, health, technical, social, economic, political, legislative and cultural factors. Standards are primarily based on protecting human health or the environment. Each state and territory government implements legislation, statutory instruments, policies and programs to meet NEPM AAQ standards.</w:t>
      </w:r>
    </w:p>
    <w:p w14:paraId="2C33269C" w14:textId="77777777" w:rsidR="00160E7F" w:rsidRDefault="002B0299">
      <w:pPr>
        <w:pStyle w:val="BodyText"/>
        <w:spacing w:before="172" w:line="280" w:lineRule="auto"/>
        <w:ind w:left="1587" w:right="789"/>
      </w:pPr>
      <w:r>
        <w:rPr>
          <w:color w:val="58595B"/>
        </w:rPr>
        <w:t>Victoria was instrumental in leading agreement of Commonwealth, state and territory environment ministers to strengthen national ambient air quality reporting standards for airborne fine particles in December 2015.</w:t>
      </w:r>
      <w:r>
        <w:rPr>
          <w:color w:val="58595B"/>
          <w:position w:val="7"/>
          <w:sz w:val="11"/>
        </w:rPr>
        <w:t xml:space="preserve">4  </w:t>
      </w:r>
      <w:r>
        <w:rPr>
          <w:color w:val="58595B"/>
        </w:rPr>
        <w:t>The amendments to the NEPM (AAQ):</w:t>
      </w:r>
    </w:p>
    <w:p w14:paraId="415CF076" w14:textId="77777777" w:rsidR="00160E7F" w:rsidRDefault="002B0299">
      <w:pPr>
        <w:pStyle w:val="ListParagraph"/>
        <w:numPr>
          <w:ilvl w:val="1"/>
          <w:numId w:val="25"/>
        </w:numPr>
        <w:tabs>
          <w:tab w:val="left" w:pos="1758"/>
        </w:tabs>
        <w:spacing w:before="115" w:line="280" w:lineRule="auto"/>
        <w:ind w:left="1757" w:right="592" w:hanging="170"/>
        <w:rPr>
          <w:sz w:val="20"/>
        </w:rPr>
      </w:pPr>
      <w:r>
        <w:rPr>
          <w:color w:val="58595B"/>
          <w:sz w:val="20"/>
        </w:rPr>
        <w:t>change the status of the annual average and 24-hour average PM2.5 ‘advisory’ standard to a compliance</w:t>
      </w:r>
      <w:r>
        <w:rPr>
          <w:color w:val="58595B"/>
          <w:spacing w:val="5"/>
          <w:sz w:val="20"/>
        </w:rPr>
        <w:t xml:space="preserve"> </w:t>
      </w:r>
      <w:r>
        <w:rPr>
          <w:color w:val="58595B"/>
          <w:sz w:val="20"/>
        </w:rPr>
        <w:t>standard</w:t>
      </w:r>
    </w:p>
    <w:p w14:paraId="2581A4C7" w14:textId="77777777" w:rsidR="00160E7F" w:rsidRDefault="002B0299">
      <w:pPr>
        <w:pStyle w:val="ListParagraph"/>
        <w:numPr>
          <w:ilvl w:val="1"/>
          <w:numId w:val="25"/>
        </w:numPr>
        <w:tabs>
          <w:tab w:val="left" w:pos="1758"/>
        </w:tabs>
        <w:spacing w:before="115"/>
        <w:ind w:left="1757" w:hanging="170"/>
        <w:rPr>
          <w:sz w:val="20"/>
        </w:rPr>
      </w:pPr>
      <w:r>
        <w:rPr>
          <w:color w:val="58595B"/>
          <w:sz w:val="20"/>
        </w:rPr>
        <w:t xml:space="preserve">include an annual average </w:t>
      </w:r>
      <w:r>
        <w:rPr>
          <w:color w:val="58595B"/>
          <w:spacing w:val="-4"/>
          <w:sz w:val="20"/>
        </w:rPr>
        <w:t xml:space="preserve">PM10 </w:t>
      </w:r>
      <w:r>
        <w:rPr>
          <w:color w:val="58595B"/>
          <w:sz w:val="20"/>
        </w:rPr>
        <w:t>standard (25</w:t>
      </w:r>
      <w:r>
        <w:rPr>
          <w:color w:val="58595B"/>
          <w:spacing w:val="-46"/>
          <w:sz w:val="20"/>
        </w:rPr>
        <w:t xml:space="preserve"> </w:t>
      </w:r>
      <w:r>
        <w:rPr>
          <w:color w:val="58595B"/>
          <w:sz w:val="20"/>
        </w:rPr>
        <w:t>μg/m3)</w:t>
      </w:r>
    </w:p>
    <w:p w14:paraId="799B2BD3" w14:textId="77777777" w:rsidR="00160E7F" w:rsidRDefault="002B0299">
      <w:pPr>
        <w:pStyle w:val="ListParagraph"/>
        <w:numPr>
          <w:ilvl w:val="1"/>
          <w:numId w:val="25"/>
        </w:numPr>
        <w:tabs>
          <w:tab w:val="left" w:pos="1758"/>
        </w:tabs>
        <w:spacing w:before="153" w:line="280" w:lineRule="auto"/>
        <w:ind w:left="1757" w:right="705" w:hanging="170"/>
        <w:rPr>
          <w:sz w:val="20"/>
        </w:rPr>
      </w:pPr>
      <w:r>
        <w:rPr>
          <w:color w:val="58595B"/>
          <w:sz w:val="20"/>
        </w:rPr>
        <w:t>include an aim to move to annual average and 24-hour PM2.5 standards of 7μg/m3 and 20 μg/m3 by</w:t>
      </w:r>
      <w:r>
        <w:rPr>
          <w:color w:val="58595B"/>
          <w:spacing w:val="-38"/>
          <w:sz w:val="20"/>
        </w:rPr>
        <w:t xml:space="preserve"> </w:t>
      </w:r>
      <w:r>
        <w:rPr>
          <w:color w:val="58595B"/>
          <w:sz w:val="20"/>
        </w:rPr>
        <w:t>2025</w:t>
      </w:r>
    </w:p>
    <w:p w14:paraId="50ED2D12" w14:textId="77777777" w:rsidR="00160E7F" w:rsidRDefault="002B0299">
      <w:pPr>
        <w:pStyle w:val="ListParagraph"/>
        <w:numPr>
          <w:ilvl w:val="1"/>
          <w:numId w:val="25"/>
        </w:numPr>
        <w:tabs>
          <w:tab w:val="left" w:pos="1758"/>
        </w:tabs>
        <w:spacing w:before="115"/>
        <w:ind w:left="1757" w:hanging="170"/>
        <w:rPr>
          <w:sz w:val="20"/>
        </w:rPr>
      </w:pPr>
      <w:r>
        <w:rPr>
          <w:color w:val="58595B"/>
          <w:sz w:val="20"/>
        </w:rPr>
        <w:t>initiate a nationally consistent approach to reporting population exposure to</w:t>
      </w:r>
      <w:r>
        <w:rPr>
          <w:color w:val="58595B"/>
          <w:spacing w:val="9"/>
          <w:sz w:val="20"/>
        </w:rPr>
        <w:t xml:space="preserve"> </w:t>
      </w:r>
      <w:r>
        <w:rPr>
          <w:color w:val="58595B"/>
          <w:sz w:val="20"/>
        </w:rPr>
        <w:t>PM2.5</w:t>
      </w:r>
    </w:p>
    <w:p w14:paraId="35E6E946" w14:textId="77777777" w:rsidR="00160E7F" w:rsidRDefault="002B0299">
      <w:pPr>
        <w:pStyle w:val="ListParagraph"/>
        <w:numPr>
          <w:ilvl w:val="1"/>
          <w:numId w:val="25"/>
        </w:numPr>
        <w:tabs>
          <w:tab w:val="left" w:pos="1758"/>
        </w:tabs>
        <w:spacing w:before="153" w:line="280" w:lineRule="auto"/>
        <w:ind w:left="1757" w:right="427" w:hanging="170"/>
        <w:rPr>
          <w:sz w:val="20"/>
        </w:rPr>
      </w:pPr>
      <w:r>
        <w:rPr>
          <w:color w:val="58595B"/>
          <w:sz w:val="20"/>
        </w:rPr>
        <w:t xml:space="preserve">change the goal of the 24-hour PM2.5 and </w:t>
      </w:r>
      <w:r>
        <w:rPr>
          <w:color w:val="58595B"/>
          <w:spacing w:val="-4"/>
          <w:sz w:val="20"/>
        </w:rPr>
        <w:t xml:space="preserve">PM10 </w:t>
      </w:r>
      <w:r>
        <w:rPr>
          <w:color w:val="58595B"/>
          <w:sz w:val="20"/>
        </w:rPr>
        <w:t>standards from an allowable exceedance of five days to an exceptional event</w:t>
      </w:r>
      <w:r>
        <w:rPr>
          <w:color w:val="58595B"/>
          <w:spacing w:val="-19"/>
          <w:sz w:val="20"/>
        </w:rPr>
        <w:t xml:space="preserve"> </w:t>
      </w:r>
      <w:r>
        <w:rPr>
          <w:color w:val="58595B"/>
          <w:sz w:val="20"/>
        </w:rPr>
        <w:t>rule.</w:t>
      </w:r>
    </w:p>
    <w:p w14:paraId="7690052F" w14:textId="77777777" w:rsidR="00160E7F" w:rsidRDefault="002B0299">
      <w:pPr>
        <w:pStyle w:val="BodyText"/>
        <w:spacing w:before="172"/>
        <w:ind w:left="1587" w:right="789"/>
      </w:pPr>
      <w:r>
        <w:rPr>
          <w:color w:val="58595B"/>
        </w:rPr>
        <w:t>The following changes are particularly relevant for Victoria:</w:t>
      </w:r>
    </w:p>
    <w:p w14:paraId="0E23C55A" w14:textId="77777777" w:rsidR="00160E7F" w:rsidRDefault="002B0299">
      <w:pPr>
        <w:pStyle w:val="ListParagraph"/>
        <w:numPr>
          <w:ilvl w:val="1"/>
          <w:numId w:val="25"/>
        </w:numPr>
        <w:tabs>
          <w:tab w:val="left" w:pos="1758"/>
        </w:tabs>
        <w:spacing w:before="153" w:line="280" w:lineRule="auto"/>
        <w:ind w:left="1757" w:right="506" w:hanging="170"/>
        <w:rPr>
          <w:sz w:val="20"/>
        </w:rPr>
      </w:pPr>
      <w:r>
        <w:rPr>
          <w:color w:val="58595B"/>
          <w:sz w:val="20"/>
        </w:rPr>
        <w:t xml:space="preserve">The </w:t>
      </w:r>
      <w:r>
        <w:rPr>
          <w:i/>
          <w:color w:val="58595B"/>
          <w:sz w:val="20"/>
        </w:rPr>
        <w:t>Hazelwood Mine Fire Inquiry Report 2014</w:t>
      </w:r>
      <w:r>
        <w:rPr>
          <w:color w:val="58595B"/>
          <w:position w:val="7"/>
          <w:sz w:val="11"/>
        </w:rPr>
        <w:t xml:space="preserve">5 </w:t>
      </w:r>
      <w:r>
        <w:rPr>
          <w:color w:val="58595B"/>
          <w:sz w:val="20"/>
        </w:rPr>
        <w:t>and the Victorian Government</w:t>
      </w:r>
      <w:r>
        <w:rPr>
          <w:color w:val="58595B"/>
          <w:position w:val="7"/>
          <w:sz w:val="11"/>
        </w:rPr>
        <w:t xml:space="preserve">6 </w:t>
      </w:r>
      <w:r>
        <w:rPr>
          <w:color w:val="58595B"/>
          <w:sz w:val="20"/>
        </w:rPr>
        <w:t>advocated strongly to convert the advisory standard for PM2.5 to a compliance standard</w:t>
      </w:r>
      <w:r>
        <w:rPr>
          <w:color w:val="58595B"/>
          <w:spacing w:val="18"/>
          <w:sz w:val="20"/>
        </w:rPr>
        <w:t xml:space="preserve"> </w:t>
      </w:r>
      <w:r>
        <w:rPr>
          <w:color w:val="58595B"/>
          <w:sz w:val="20"/>
        </w:rPr>
        <w:t>via</w:t>
      </w:r>
    </w:p>
    <w:p w14:paraId="0D56C91E" w14:textId="77777777" w:rsidR="00160E7F" w:rsidRDefault="002B0299">
      <w:pPr>
        <w:pStyle w:val="BodyText"/>
        <w:spacing w:before="2"/>
        <w:ind w:left="1757" w:right="789"/>
      </w:pPr>
      <w:r>
        <w:rPr>
          <w:color w:val="58595B"/>
        </w:rPr>
        <w:t>national processes.</w:t>
      </w:r>
    </w:p>
    <w:p w14:paraId="556E38F2" w14:textId="77777777" w:rsidR="00160E7F" w:rsidRDefault="002B0299">
      <w:pPr>
        <w:pStyle w:val="ListParagraph"/>
        <w:numPr>
          <w:ilvl w:val="1"/>
          <w:numId w:val="25"/>
        </w:numPr>
        <w:tabs>
          <w:tab w:val="left" w:pos="1758"/>
        </w:tabs>
        <w:spacing w:before="153" w:line="280" w:lineRule="auto"/>
        <w:ind w:left="1757" w:right="535" w:hanging="170"/>
        <w:rPr>
          <w:sz w:val="20"/>
        </w:rPr>
      </w:pPr>
      <w:r>
        <w:rPr>
          <w:color w:val="58595B"/>
          <w:sz w:val="20"/>
        </w:rPr>
        <w:t xml:space="preserve">Victorian and </w:t>
      </w:r>
      <w:r>
        <w:rPr>
          <w:color w:val="58595B"/>
          <w:spacing w:val="-2"/>
          <w:sz w:val="20"/>
        </w:rPr>
        <w:t xml:space="preserve">ACT </w:t>
      </w:r>
      <w:r>
        <w:rPr>
          <w:color w:val="58595B"/>
          <w:sz w:val="20"/>
        </w:rPr>
        <w:t xml:space="preserve">ministers agreed to set </w:t>
      </w:r>
      <w:r>
        <w:rPr>
          <w:color w:val="58595B"/>
          <w:spacing w:val="-3"/>
          <w:sz w:val="20"/>
        </w:rPr>
        <w:t xml:space="preserve">(and </w:t>
      </w:r>
      <w:r>
        <w:rPr>
          <w:color w:val="58595B"/>
          <w:sz w:val="20"/>
        </w:rPr>
        <w:t xml:space="preserve">South Australia will consider) a more stringent annual average </w:t>
      </w:r>
      <w:r>
        <w:rPr>
          <w:color w:val="58595B"/>
          <w:spacing w:val="-4"/>
          <w:sz w:val="20"/>
        </w:rPr>
        <w:t xml:space="preserve">PM10 </w:t>
      </w:r>
      <w:r>
        <w:rPr>
          <w:color w:val="58595B"/>
          <w:sz w:val="20"/>
        </w:rPr>
        <w:t>standard of 20 μg/m3, consistent with World Health Organisation (WHO) guidelines. This is the only NEPM (AAQ) particulate matter standard which is less stringent than WHO standards. Jurisdictions are allowed to adopt more stringent standards under NEPM. Victoria will continue to monitor and report against the agreed NEPM (AAQ) standard to ensure national</w:t>
      </w:r>
      <w:r>
        <w:rPr>
          <w:color w:val="58595B"/>
          <w:spacing w:val="-14"/>
          <w:sz w:val="20"/>
        </w:rPr>
        <w:t xml:space="preserve"> </w:t>
      </w:r>
      <w:r>
        <w:rPr>
          <w:color w:val="58595B"/>
          <w:sz w:val="20"/>
        </w:rPr>
        <w:t>consistency.</w:t>
      </w:r>
    </w:p>
    <w:p w14:paraId="008B8CD6" w14:textId="77777777" w:rsidR="00160E7F" w:rsidRDefault="002B0299">
      <w:pPr>
        <w:pStyle w:val="BodyText"/>
        <w:spacing w:before="172" w:line="280" w:lineRule="auto"/>
        <w:ind w:left="1587" w:right="587"/>
        <w:jc w:val="both"/>
      </w:pPr>
      <w:r>
        <w:rPr>
          <w:color w:val="58595B"/>
        </w:rPr>
        <w:t>The EPA and DELWP contributed to developing the amendments to the NEPM (AAQ). The amendments, including the more stringent standard for PM10, will need to be incorporated into Victoria’s regulatory regime via the SEPP (AAQ).</w:t>
      </w:r>
    </w:p>
    <w:p w14:paraId="04A696F5" w14:textId="77777777" w:rsidR="00160E7F" w:rsidRDefault="002B0299">
      <w:pPr>
        <w:pStyle w:val="BodyText"/>
        <w:spacing w:before="172" w:line="280" w:lineRule="auto"/>
        <w:ind w:left="1587" w:right="405"/>
      </w:pPr>
      <w:r>
        <w:rPr>
          <w:color w:val="58595B"/>
        </w:rPr>
        <w:t>The EPA is leading the review of the national ozone, nitrogen dioxide and sulphur dioxide standards under the NEPM (AAQ). The draft variation and impact statement will be released later in 2016.</w:t>
      </w:r>
    </w:p>
    <w:p w14:paraId="05F9E4BD" w14:textId="77777777" w:rsidR="00160E7F" w:rsidRDefault="00160E7F">
      <w:pPr>
        <w:spacing w:line="280" w:lineRule="auto"/>
        <w:sectPr w:rsidR="00160E7F">
          <w:pgSz w:w="11910" w:h="16840"/>
          <w:pgMar w:top="980" w:right="1680" w:bottom="280" w:left="0" w:header="788" w:footer="0" w:gutter="0"/>
          <w:cols w:space="720"/>
        </w:sectPr>
      </w:pPr>
    </w:p>
    <w:p w14:paraId="5EC8DA51" w14:textId="77777777" w:rsidR="00160E7F" w:rsidRDefault="00160E7F">
      <w:pPr>
        <w:pStyle w:val="BodyText"/>
      </w:pPr>
    </w:p>
    <w:p w14:paraId="5A6C4412" w14:textId="77777777" w:rsidR="00160E7F" w:rsidRDefault="00160E7F">
      <w:pPr>
        <w:pStyle w:val="BodyText"/>
      </w:pPr>
    </w:p>
    <w:p w14:paraId="067C4B79" w14:textId="77777777" w:rsidR="00160E7F" w:rsidRDefault="00160E7F">
      <w:pPr>
        <w:pStyle w:val="BodyText"/>
      </w:pPr>
    </w:p>
    <w:p w14:paraId="696807C5" w14:textId="77777777" w:rsidR="00160E7F" w:rsidRDefault="00160E7F">
      <w:pPr>
        <w:pStyle w:val="BodyText"/>
      </w:pPr>
    </w:p>
    <w:p w14:paraId="56FEEDDA" w14:textId="77777777" w:rsidR="00160E7F" w:rsidRDefault="002B0299">
      <w:pPr>
        <w:pStyle w:val="Heading3"/>
        <w:numPr>
          <w:ilvl w:val="1"/>
          <w:numId w:val="22"/>
        </w:numPr>
        <w:tabs>
          <w:tab w:val="left" w:pos="720"/>
        </w:tabs>
        <w:ind w:left="720" w:hanging="586"/>
        <w:jc w:val="left"/>
      </w:pPr>
      <w:r>
        <w:rPr>
          <w:color w:val="0095A7"/>
        </w:rPr>
        <w:t>Shortcomings in the statutory policy</w:t>
      </w:r>
      <w:r>
        <w:rPr>
          <w:color w:val="0095A7"/>
          <w:spacing w:val="65"/>
        </w:rPr>
        <w:t xml:space="preserve"> </w:t>
      </w:r>
      <w:r>
        <w:rPr>
          <w:color w:val="0095A7"/>
        </w:rPr>
        <w:t>framework</w:t>
      </w:r>
    </w:p>
    <w:p w14:paraId="0CF7A382" w14:textId="77777777" w:rsidR="00160E7F" w:rsidRDefault="002B0299">
      <w:pPr>
        <w:pStyle w:val="BodyText"/>
        <w:spacing w:before="145" w:line="280" w:lineRule="auto"/>
        <w:ind w:left="134" w:right="1716"/>
      </w:pPr>
      <w:r>
        <w:rPr>
          <w:color w:val="58595B"/>
        </w:rPr>
        <w:t>The current statutory policy framework has shortcomings as a mechanism for setting and updating environmental standards, unnecessarily limiting Victoria’s ability to respond to environmental challenges. A 2013 review of the process found it complex and inflexible and recommended changes to be implemented in the next round of statutory policy reviews:</w:t>
      </w:r>
    </w:p>
    <w:p w14:paraId="13486781" w14:textId="77777777" w:rsidR="00160E7F" w:rsidRDefault="002B0299">
      <w:pPr>
        <w:spacing w:before="172" w:line="280" w:lineRule="auto"/>
        <w:ind w:left="701" w:right="1991"/>
        <w:rPr>
          <w:i/>
          <w:sz w:val="20"/>
        </w:rPr>
      </w:pPr>
      <w:r>
        <w:rPr>
          <w:i/>
          <w:color w:val="231F20"/>
          <w:sz w:val="20"/>
        </w:rPr>
        <w:t>Feedback from industry and other stakeholders indicates SEPPs and WMPs are often complex, difficult to access and poorly understood. A lack of coordinated and accountable implementation has limited their effectiveness and exposed EPA and other Victorian government agencies to legitimate criticism. Current statutory policies are not sufficiently flexible to respond well to emerging challenges. Many</w:t>
      </w:r>
      <w:r>
        <w:rPr>
          <w:i/>
          <w:color w:val="231F20"/>
          <w:spacing w:val="6"/>
          <w:sz w:val="20"/>
        </w:rPr>
        <w:t xml:space="preserve"> </w:t>
      </w:r>
      <w:r>
        <w:rPr>
          <w:i/>
          <w:color w:val="231F20"/>
          <w:sz w:val="20"/>
        </w:rPr>
        <w:t>SEPPs</w:t>
      </w:r>
    </w:p>
    <w:p w14:paraId="5BB778F5" w14:textId="77777777" w:rsidR="00160E7F" w:rsidRDefault="002B0299">
      <w:pPr>
        <w:spacing w:before="2" w:line="280" w:lineRule="auto"/>
        <w:ind w:left="701" w:right="2004"/>
        <w:rPr>
          <w:i/>
          <w:sz w:val="20"/>
        </w:rPr>
      </w:pPr>
      <w:r>
        <w:rPr>
          <w:i/>
          <w:color w:val="231F20"/>
          <w:sz w:val="20"/>
        </w:rPr>
        <w:t>and WMPs are overdue for review, undermining stakeholder confidence and creating uncertainty for decision makers. Despite these problems, feedback and analysis have confirmed the fundamental importance of statutory policy for environment protection in</w:t>
      </w:r>
      <w:r>
        <w:rPr>
          <w:i/>
          <w:color w:val="231F20"/>
          <w:spacing w:val="6"/>
          <w:sz w:val="20"/>
        </w:rPr>
        <w:t xml:space="preserve"> </w:t>
      </w:r>
      <w:r>
        <w:rPr>
          <w:i/>
          <w:color w:val="231F20"/>
          <w:sz w:val="20"/>
        </w:rPr>
        <w:t>Victoria.</w:t>
      </w:r>
    </w:p>
    <w:p w14:paraId="28A83894" w14:textId="77777777" w:rsidR="00160E7F" w:rsidRDefault="002B0299">
      <w:pPr>
        <w:spacing w:before="172" w:line="280" w:lineRule="auto"/>
        <w:ind w:left="701" w:right="2193"/>
        <w:rPr>
          <w:sz w:val="11"/>
        </w:rPr>
      </w:pPr>
      <w:r>
        <w:rPr>
          <w:i/>
          <w:color w:val="231F20"/>
          <w:sz w:val="20"/>
        </w:rPr>
        <w:t>This review proposes reforms to deliver a much simpler, streamlined and accountable statutory policy framework that will support industry and government agencies to act to prevent pollution and protect the environment. The review recommends actions that will simplify and clarify the focus of statutory policy and improve implementation and accountability, links with other statutory systems, and readability and accessibility.</w:t>
      </w:r>
      <w:r>
        <w:rPr>
          <w:color w:val="231F20"/>
          <w:position w:val="7"/>
          <w:sz w:val="11"/>
        </w:rPr>
        <w:t>7</w:t>
      </w:r>
    </w:p>
    <w:p w14:paraId="588F5CFB" w14:textId="77777777" w:rsidR="00160E7F" w:rsidRDefault="002B0299">
      <w:pPr>
        <w:pStyle w:val="BodyText"/>
        <w:spacing w:before="172" w:line="280" w:lineRule="auto"/>
        <w:ind w:left="134" w:right="1433"/>
      </w:pPr>
      <w:r>
        <w:rPr>
          <w:color w:val="58595B"/>
        </w:rPr>
        <w:t>Reviews of the Noise SEPPs and the Water SEPPs started in 2014 and 2015, respectively. However, even with proposed changes, there are still problems with the policies and the processes for updating them. First, SEPP reviews take several years and struggle to meet review time frames.</w:t>
      </w:r>
      <w:r>
        <w:rPr>
          <w:color w:val="58595B"/>
          <w:position w:val="7"/>
          <w:sz w:val="11"/>
        </w:rPr>
        <w:t xml:space="preserve">8 </w:t>
      </w:r>
      <w:r>
        <w:rPr>
          <w:color w:val="58595B"/>
        </w:rPr>
        <w:t>This reflects the complexity of the SEPPs, the scientific basis of the standards but also the complexity of the SEPPs and the process for making them. These delays undermine the EPA’s authority.</w:t>
      </w:r>
    </w:p>
    <w:p w14:paraId="0EEEF383" w14:textId="77777777" w:rsidR="00160E7F" w:rsidRDefault="002B0299">
      <w:pPr>
        <w:pStyle w:val="BodyText"/>
        <w:spacing w:before="172" w:line="280" w:lineRule="auto"/>
        <w:ind w:left="134" w:right="1716"/>
      </w:pPr>
      <w:r>
        <w:rPr>
          <w:color w:val="58595B"/>
        </w:rPr>
        <w:t>Second, the policies are difficult to understand. They need to translate science-based environmental knowledge into useful regulatory controls. However, the current policies do not fulfil this aim. They cannot be easily incorporated into planning controls, for example.</w:t>
      </w:r>
    </w:p>
    <w:p w14:paraId="00009267" w14:textId="77777777" w:rsidR="00160E7F" w:rsidRDefault="002B0299">
      <w:pPr>
        <w:pStyle w:val="BodyText"/>
        <w:spacing w:before="172"/>
        <w:ind w:left="134" w:right="789"/>
      </w:pPr>
      <w:r>
        <w:rPr>
          <w:color w:val="58595B"/>
        </w:rPr>
        <w:t>Stakeholders shared our concerns about the current SEPPs and WMPs:</w:t>
      </w:r>
    </w:p>
    <w:p w14:paraId="30FD3A88" w14:textId="77777777" w:rsidR="00160E7F" w:rsidRDefault="00160E7F">
      <w:pPr>
        <w:pStyle w:val="BodyText"/>
        <w:spacing w:before="3"/>
        <w:rPr>
          <w:sz w:val="18"/>
        </w:rPr>
      </w:pPr>
    </w:p>
    <w:p w14:paraId="7DBB4753" w14:textId="77777777" w:rsidR="00160E7F" w:rsidRDefault="002B0299">
      <w:pPr>
        <w:spacing w:line="280" w:lineRule="auto"/>
        <w:ind w:left="701" w:right="2071"/>
        <w:rPr>
          <w:sz w:val="20"/>
        </w:rPr>
      </w:pPr>
      <w:r>
        <w:rPr>
          <w:i/>
          <w:color w:val="231F20"/>
          <w:sz w:val="20"/>
        </w:rPr>
        <w:t xml:space="preserve">The EPA’s SEPPs and ‘Best Practices’ guidelines either do not provide enough guidance to decision makers or have been poorly interpreted. </w:t>
      </w:r>
      <w:r>
        <w:rPr>
          <w:color w:val="231F20"/>
          <w:sz w:val="20"/>
        </w:rPr>
        <w:t>(Environment Victoria submission, p. 4)</w:t>
      </w:r>
    </w:p>
    <w:p w14:paraId="14AC3391" w14:textId="77777777" w:rsidR="00160E7F" w:rsidRDefault="002B0299">
      <w:pPr>
        <w:spacing w:before="172" w:line="280" w:lineRule="auto"/>
        <w:ind w:left="701" w:right="2468"/>
        <w:jc w:val="both"/>
        <w:rPr>
          <w:sz w:val="20"/>
        </w:rPr>
      </w:pPr>
      <w:r>
        <w:rPr>
          <w:i/>
          <w:color w:val="231F20"/>
          <w:sz w:val="20"/>
        </w:rPr>
        <w:t xml:space="preserve">There is an absence of an enforcement framework around SEPPs. It is unclear whether they can be enforced, by whom, and in what circumstances. </w:t>
      </w:r>
      <w:r>
        <w:rPr>
          <w:color w:val="231F20"/>
          <w:sz w:val="20"/>
        </w:rPr>
        <w:t>(Municipal Association of Victoria submission, p. 10)</w:t>
      </w:r>
    </w:p>
    <w:p w14:paraId="2D42F142" w14:textId="77777777" w:rsidR="00160E7F" w:rsidRDefault="002B0299">
      <w:pPr>
        <w:spacing w:before="172" w:line="280" w:lineRule="auto"/>
        <w:ind w:left="701" w:right="1927"/>
        <w:rPr>
          <w:sz w:val="20"/>
        </w:rPr>
      </w:pPr>
      <w:r>
        <w:rPr>
          <w:i/>
          <w:color w:val="231F20"/>
          <w:sz w:val="20"/>
        </w:rPr>
        <w:t xml:space="preserve">The legal status of State environment planning policies (‘SEPPs’) is currently uncertain and should therefore be clarified and strengthened by drafting relevant provisions as regulations under the EP Act. </w:t>
      </w:r>
      <w:r>
        <w:rPr>
          <w:color w:val="231F20"/>
          <w:sz w:val="20"/>
        </w:rPr>
        <w:t>(Law Institute of Victoria submission, p. 6)</w:t>
      </w:r>
    </w:p>
    <w:p w14:paraId="7C2E3190" w14:textId="77777777" w:rsidR="00160E7F" w:rsidRDefault="00160E7F">
      <w:pPr>
        <w:spacing w:line="280" w:lineRule="auto"/>
        <w:rPr>
          <w:sz w:val="20"/>
        </w:rPr>
        <w:sectPr w:rsidR="00160E7F">
          <w:pgSz w:w="11910" w:h="16840"/>
          <w:pgMar w:top="980" w:right="0" w:bottom="280" w:left="1680" w:header="788" w:footer="0" w:gutter="0"/>
          <w:cols w:space="720"/>
        </w:sectPr>
      </w:pPr>
    </w:p>
    <w:p w14:paraId="1330512F" w14:textId="77777777" w:rsidR="00160E7F" w:rsidRDefault="00160E7F">
      <w:pPr>
        <w:pStyle w:val="BodyText"/>
      </w:pPr>
    </w:p>
    <w:p w14:paraId="3FA732E5" w14:textId="77777777" w:rsidR="00160E7F" w:rsidRDefault="00160E7F">
      <w:pPr>
        <w:pStyle w:val="BodyText"/>
      </w:pPr>
    </w:p>
    <w:p w14:paraId="0C584539" w14:textId="77777777" w:rsidR="00160E7F" w:rsidRDefault="00160E7F">
      <w:pPr>
        <w:pStyle w:val="BodyText"/>
      </w:pPr>
    </w:p>
    <w:p w14:paraId="316460DE" w14:textId="77777777" w:rsidR="00160E7F" w:rsidRDefault="00160E7F">
      <w:pPr>
        <w:pStyle w:val="BodyText"/>
      </w:pPr>
    </w:p>
    <w:p w14:paraId="72E4F139" w14:textId="77777777" w:rsidR="00160E7F" w:rsidRDefault="002B0299">
      <w:pPr>
        <w:pStyle w:val="Heading3"/>
        <w:numPr>
          <w:ilvl w:val="1"/>
          <w:numId w:val="22"/>
        </w:numPr>
        <w:tabs>
          <w:tab w:val="left" w:pos="2003"/>
        </w:tabs>
        <w:ind w:left="2002" w:hanging="585"/>
        <w:jc w:val="left"/>
      </w:pPr>
      <w:r>
        <w:rPr>
          <w:color w:val="0095A7"/>
        </w:rPr>
        <w:t>Proposed</w:t>
      </w:r>
      <w:r>
        <w:rPr>
          <w:color w:val="0095A7"/>
          <w:spacing w:val="15"/>
        </w:rPr>
        <w:t xml:space="preserve"> </w:t>
      </w:r>
      <w:r>
        <w:rPr>
          <w:color w:val="0095A7"/>
        </w:rPr>
        <w:t>approach</w:t>
      </w:r>
    </w:p>
    <w:p w14:paraId="540709F9" w14:textId="77777777" w:rsidR="00160E7F" w:rsidRDefault="002B0299">
      <w:pPr>
        <w:pStyle w:val="BodyText"/>
        <w:spacing w:before="145" w:line="280" w:lineRule="auto"/>
        <w:ind w:left="1417" w:right="610"/>
      </w:pPr>
      <w:r>
        <w:rPr>
          <w:color w:val="58595B"/>
        </w:rPr>
        <w:t>We propose phasing out SEPPs and WMPs, and splitting the component parts into separate fit-for-purpose instruments:</w:t>
      </w:r>
    </w:p>
    <w:p w14:paraId="2D166F73" w14:textId="77777777" w:rsidR="00160E7F" w:rsidRDefault="002B0299">
      <w:pPr>
        <w:pStyle w:val="ListParagraph"/>
        <w:numPr>
          <w:ilvl w:val="0"/>
          <w:numId w:val="21"/>
        </w:numPr>
        <w:tabs>
          <w:tab w:val="left" w:pos="1588"/>
        </w:tabs>
        <w:spacing w:before="115" w:line="280" w:lineRule="auto"/>
        <w:ind w:right="573" w:hanging="170"/>
        <w:rPr>
          <w:sz w:val="20"/>
        </w:rPr>
      </w:pPr>
      <w:r>
        <w:rPr>
          <w:color w:val="58595B"/>
          <w:sz w:val="20"/>
        </w:rPr>
        <w:t>A new instrument called environment protection standards will define environmental quality standards and adopt national</w:t>
      </w:r>
      <w:r>
        <w:rPr>
          <w:color w:val="58595B"/>
          <w:spacing w:val="-4"/>
          <w:sz w:val="20"/>
        </w:rPr>
        <w:t xml:space="preserve"> </w:t>
      </w:r>
      <w:r>
        <w:rPr>
          <w:color w:val="58595B"/>
          <w:sz w:val="20"/>
        </w:rPr>
        <w:t>standards</w:t>
      </w:r>
    </w:p>
    <w:p w14:paraId="50BE4806" w14:textId="77777777" w:rsidR="00160E7F" w:rsidRDefault="002B0299">
      <w:pPr>
        <w:pStyle w:val="ListParagraph"/>
        <w:numPr>
          <w:ilvl w:val="0"/>
          <w:numId w:val="21"/>
        </w:numPr>
        <w:tabs>
          <w:tab w:val="left" w:pos="1588"/>
        </w:tabs>
        <w:spacing w:before="115"/>
        <w:ind w:hanging="170"/>
        <w:rPr>
          <w:sz w:val="20"/>
        </w:rPr>
      </w:pPr>
      <w:r>
        <w:rPr>
          <w:color w:val="58595B"/>
          <w:sz w:val="20"/>
        </w:rPr>
        <w:t>Regulations will set out specific compliance</w:t>
      </w:r>
      <w:r>
        <w:rPr>
          <w:color w:val="58595B"/>
          <w:spacing w:val="12"/>
          <w:sz w:val="20"/>
        </w:rPr>
        <w:t xml:space="preserve"> </w:t>
      </w:r>
      <w:r>
        <w:rPr>
          <w:color w:val="58595B"/>
          <w:sz w:val="20"/>
        </w:rPr>
        <w:t>obligations</w:t>
      </w:r>
    </w:p>
    <w:p w14:paraId="2EDDDF54" w14:textId="77777777" w:rsidR="00160E7F" w:rsidRDefault="002B0299">
      <w:pPr>
        <w:pStyle w:val="ListParagraph"/>
        <w:numPr>
          <w:ilvl w:val="0"/>
          <w:numId w:val="21"/>
        </w:numPr>
        <w:tabs>
          <w:tab w:val="left" w:pos="1588"/>
        </w:tabs>
        <w:spacing w:before="153" w:line="280" w:lineRule="auto"/>
        <w:ind w:right="1201" w:hanging="170"/>
        <w:rPr>
          <w:sz w:val="20"/>
        </w:rPr>
      </w:pPr>
      <w:r>
        <w:rPr>
          <w:color w:val="58595B"/>
          <w:sz w:val="20"/>
        </w:rPr>
        <w:t>Statutory codes of practice will set out practical guidance on how to comply with the general</w:t>
      </w:r>
      <w:r>
        <w:rPr>
          <w:color w:val="58595B"/>
          <w:spacing w:val="3"/>
          <w:sz w:val="20"/>
        </w:rPr>
        <w:t xml:space="preserve"> </w:t>
      </w:r>
      <w:r>
        <w:rPr>
          <w:color w:val="58595B"/>
          <w:sz w:val="20"/>
        </w:rPr>
        <w:t>duty</w:t>
      </w:r>
    </w:p>
    <w:p w14:paraId="10CD687E" w14:textId="77777777" w:rsidR="00160E7F" w:rsidRDefault="002B0299">
      <w:pPr>
        <w:pStyle w:val="ListParagraph"/>
        <w:numPr>
          <w:ilvl w:val="0"/>
          <w:numId w:val="21"/>
        </w:numPr>
        <w:tabs>
          <w:tab w:val="left" w:pos="1588"/>
        </w:tabs>
        <w:spacing w:before="115" w:line="280" w:lineRule="auto"/>
        <w:ind w:right="762" w:hanging="170"/>
        <w:rPr>
          <w:sz w:val="20"/>
        </w:rPr>
      </w:pPr>
      <w:r>
        <w:rPr>
          <w:color w:val="58595B"/>
          <w:sz w:val="20"/>
        </w:rPr>
        <w:t>Non-statutory implementation plans and compliance strategies will contain attainment or implementation programs (actions required to meet the environmental quality</w:t>
      </w:r>
      <w:r>
        <w:rPr>
          <w:color w:val="58595B"/>
          <w:spacing w:val="-21"/>
          <w:sz w:val="20"/>
        </w:rPr>
        <w:t xml:space="preserve"> </w:t>
      </w:r>
      <w:r>
        <w:rPr>
          <w:color w:val="58595B"/>
          <w:sz w:val="20"/>
        </w:rPr>
        <w:t>standards).</w:t>
      </w:r>
    </w:p>
    <w:p w14:paraId="332E6E7C" w14:textId="77777777" w:rsidR="00160E7F" w:rsidRDefault="002B0299">
      <w:pPr>
        <w:pStyle w:val="BodyText"/>
        <w:spacing w:before="172" w:line="280" w:lineRule="auto"/>
        <w:ind w:left="1417" w:right="66"/>
      </w:pPr>
      <w:r>
        <w:rPr>
          <w:color w:val="58595B"/>
        </w:rPr>
        <w:t>Our proposed approach is consistent with the 2013 review findings and recommendations, but takes them further by recommending legislative changes. By deconstructing SEPPs and WMPs, the EPA will be able to review and update the different components more readily to maintain scientific currency. This approach also better separates the technical and regulatory elements from high level policy settings, clarifying the EPA’s responsibilities in line with the approach to policy discussed in chapter 5. The lead agency for the proposed new environment protection standards will depend on the proposed content of the standard and the requirement for technical expertise.</w:t>
      </w:r>
    </w:p>
    <w:p w14:paraId="1751542E" w14:textId="77777777" w:rsidR="00160E7F" w:rsidRDefault="002B0299">
      <w:pPr>
        <w:pStyle w:val="BodyText"/>
        <w:spacing w:before="172" w:line="280" w:lineRule="auto"/>
        <w:ind w:left="1417" w:right="185"/>
      </w:pPr>
      <w:r>
        <w:rPr>
          <w:color w:val="58595B"/>
        </w:rPr>
        <w:t>Table 15.1 sets out our proposed new approach for standard setting, noting the roles expected of the EPA and DELWP.</w:t>
      </w:r>
    </w:p>
    <w:p w14:paraId="261726FA" w14:textId="77777777" w:rsidR="00160E7F" w:rsidRDefault="00160E7F">
      <w:pPr>
        <w:pStyle w:val="BodyText"/>
        <w:spacing w:before="4"/>
        <w:rPr>
          <w:sz w:val="17"/>
        </w:rPr>
      </w:pPr>
    </w:p>
    <w:p w14:paraId="613F1C7C" w14:textId="77777777" w:rsidR="00160E7F" w:rsidRDefault="002B0299">
      <w:pPr>
        <w:spacing w:before="1"/>
        <w:ind w:left="1417" w:right="789"/>
        <w:rPr>
          <w:sz w:val="20"/>
        </w:rPr>
      </w:pPr>
      <w:r>
        <w:rPr>
          <w:b/>
          <w:color w:val="0095A7"/>
          <w:sz w:val="20"/>
        </w:rPr>
        <w:t xml:space="preserve">TABLE 15.1  </w:t>
      </w:r>
      <w:r>
        <w:rPr>
          <w:color w:val="0095A7"/>
          <w:sz w:val="20"/>
        </w:rPr>
        <w:t>PROPOSED NEW APPROACH FOR STANDARD SETTING</w:t>
      </w:r>
    </w:p>
    <w:p w14:paraId="4D34AED1" w14:textId="77777777" w:rsidR="00160E7F" w:rsidRDefault="00160E7F">
      <w:pPr>
        <w:pStyle w:val="BodyText"/>
        <w:spacing w:before="10"/>
        <w:rPr>
          <w:sz w:val="25"/>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474"/>
        <w:gridCol w:w="2524"/>
        <w:gridCol w:w="2642"/>
        <w:gridCol w:w="969"/>
        <w:gridCol w:w="1065"/>
      </w:tblGrid>
      <w:tr w:rsidR="00160E7F" w14:paraId="5BC022F8" w14:textId="77777777">
        <w:trPr>
          <w:trHeight w:hRule="exact" w:val="798"/>
        </w:trPr>
        <w:tc>
          <w:tcPr>
            <w:tcW w:w="1474" w:type="dxa"/>
            <w:shd w:val="clear" w:color="auto" w:fill="89BFCB"/>
          </w:tcPr>
          <w:p w14:paraId="792365BC" w14:textId="77777777" w:rsidR="00160E7F" w:rsidRDefault="00160E7F">
            <w:pPr>
              <w:pStyle w:val="TableParagraph"/>
              <w:spacing w:before="0"/>
              <w:rPr>
                <w:sz w:val="18"/>
              </w:rPr>
            </w:pPr>
          </w:p>
          <w:p w14:paraId="5E02C705" w14:textId="77777777" w:rsidR="00160E7F" w:rsidRDefault="00160E7F">
            <w:pPr>
              <w:pStyle w:val="TableParagraph"/>
              <w:spacing w:before="9"/>
              <w:rPr>
                <w:sz w:val="26"/>
              </w:rPr>
            </w:pPr>
          </w:p>
          <w:p w14:paraId="2B99F00C" w14:textId="77777777" w:rsidR="00160E7F" w:rsidRDefault="002B0299">
            <w:pPr>
              <w:pStyle w:val="TableParagraph"/>
              <w:spacing w:before="0"/>
              <w:ind w:left="56"/>
              <w:rPr>
                <w:sz w:val="18"/>
              </w:rPr>
            </w:pPr>
            <w:r>
              <w:rPr>
                <w:color w:val="FFFFFF"/>
                <w:sz w:val="18"/>
              </w:rPr>
              <w:t>Components</w:t>
            </w:r>
          </w:p>
        </w:tc>
        <w:tc>
          <w:tcPr>
            <w:tcW w:w="2524" w:type="dxa"/>
            <w:shd w:val="clear" w:color="auto" w:fill="89BFCB"/>
          </w:tcPr>
          <w:p w14:paraId="4B9ABF0C" w14:textId="77777777" w:rsidR="00160E7F" w:rsidRDefault="00160E7F">
            <w:pPr>
              <w:pStyle w:val="TableParagraph"/>
              <w:spacing w:before="0"/>
              <w:rPr>
                <w:sz w:val="18"/>
              </w:rPr>
            </w:pPr>
          </w:p>
          <w:p w14:paraId="0A9FFC2A" w14:textId="77777777" w:rsidR="00160E7F" w:rsidRDefault="00160E7F">
            <w:pPr>
              <w:pStyle w:val="TableParagraph"/>
              <w:spacing w:before="9"/>
              <w:rPr>
                <w:sz w:val="26"/>
              </w:rPr>
            </w:pPr>
          </w:p>
          <w:p w14:paraId="369991B4" w14:textId="77777777" w:rsidR="00160E7F" w:rsidRDefault="002B0299">
            <w:pPr>
              <w:pStyle w:val="TableParagraph"/>
              <w:spacing w:before="0"/>
              <w:ind w:left="56"/>
              <w:rPr>
                <w:sz w:val="18"/>
              </w:rPr>
            </w:pPr>
            <w:r>
              <w:rPr>
                <w:color w:val="FFFFFF"/>
                <w:sz w:val="18"/>
              </w:rPr>
              <w:t>Current tools</w:t>
            </w:r>
          </w:p>
        </w:tc>
        <w:tc>
          <w:tcPr>
            <w:tcW w:w="2642" w:type="dxa"/>
            <w:shd w:val="clear" w:color="auto" w:fill="89BFCB"/>
          </w:tcPr>
          <w:p w14:paraId="3C7773F1" w14:textId="77777777" w:rsidR="00160E7F" w:rsidRDefault="00160E7F">
            <w:pPr>
              <w:pStyle w:val="TableParagraph"/>
              <w:spacing w:before="0"/>
              <w:rPr>
                <w:sz w:val="18"/>
              </w:rPr>
            </w:pPr>
          </w:p>
          <w:p w14:paraId="4DA7BE50" w14:textId="77777777" w:rsidR="00160E7F" w:rsidRDefault="00160E7F">
            <w:pPr>
              <w:pStyle w:val="TableParagraph"/>
              <w:spacing w:before="9"/>
              <w:rPr>
                <w:sz w:val="26"/>
              </w:rPr>
            </w:pPr>
          </w:p>
          <w:p w14:paraId="373CF421" w14:textId="77777777" w:rsidR="00160E7F" w:rsidRDefault="002B0299">
            <w:pPr>
              <w:pStyle w:val="TableParagraph"/>
              <w:spacing w:before="0"/>
              <w:ind w:left="140" w:right="40"/>
              <w:rPr>
                <w:sz w:val="18"/>
              </w:rPr>
            </w:pPr>
            <w:r>
              <w:rPr>
                <w:color w:val="FFFFFF"/>
                <w:sz w:val="18"/>
              </w:rPr>
              <w:t>Proposed tools</w:t>
            </w:r>
          </w:p>
        </w:tc>
        <w:tc>
          <w:tcPr>
            <w:tcW w:w="969" w:type="dxa"/>
            <w:shd w:val="clear" w:color="auto" w:fill="89BFCB"/>
          </w:tcPr>
          <w:p w14:paraId="386E7380" w14:textId="77777777" w:rsidR="00160E7F" w:rsidRDefault="002B0299">
            <w:pPr>
              <w:pStyle w:val="TableParagraph"/>
              <w:spacing w:before="75" w:line="254" w:lineRule="auto"/>
              <w:ind w:left="105" w:right="153"/>
              <w:rPr>
                <w:sz w:val="18"/>
              </w:rPr>
            </w:pPr>
            <w:r>
              <w:rPr>
                <w:color w:val="FFFFFF"/>
                <w:sz w:val="18"/>
              </w:rPr>
              <w:t>Future statutory basis?</w:t>
            </w:r>
          </w:p>
        </w:tc>
        <w:tc>
          <w:tcPr>
            <w:tcW w:w="1065" w:type="dxa"/>
            <w:shd w:val="clear" w:color="auto" w:fill="89BFCB"/>
          </w:tcPr>
          <w:p w14:paraId="0051C35B" w14:textId="77777777" w:rsidR="00160E7F" w:rsidRDefault="002B0299">
            <w:pPr>
              <w:pStyle w:val="TableParagraph"/>
              <w:spacing w:before="75" w:line="254" w:lineRule="auto"/>
              <w:ind w:left="157" w:right="117"/>
              <w:rPr>
                <w:sz w:val="18"/>
              </w:rPr>
            </w:pPr>
            <w:r>
              <w:rPr>
                <w:color w:val="FFFFFF"/>
                <w:sz w:val="18"/>
              </w:rPr>
              <w:t>Proposed Lead agency</w:t>
            </w:r>
          </w:p>
        </w:tc>
      </w:tr>
      <w:tr w:rsidR="00160E7F" w14:paraId="48F77BB1" w14:textId="77777777">
        <w:trPr>
          <w:trHeight w:hRule="exact" w:val="519"/>
        </w:trPr>
        <w:tc>
          <w:tcPr>
            <w:tcW w:w="1474" w:type="dxa"/>
            <w:tcBorders>
              <w:bottom w:val="single" w:sz="2" w:space="0" w:color="939598"/>
            </w:tcBorders>
          </w:tcPr>
          <w:p w14:paraId="750A64AD" w14:textId="77777777" w:rsidR="00160E7F" w:rsidRDefault="002B0299">
            <w:pPr>
              <w:pStyle w:val="TableParagraph"/>
              <w:spacing w:line="254" w:lineRule="auto"/>
              <w:ind w:left="56"/>
              <w:rPr>
                <w:b/>
                <w:sz w:val="18"/>
              </w:rPr>
            </w:pPr>
            <w:r>
              <w:rPr>
                <w:b/>
                <w:color w:val="58595B"/>
                <w:sz w:val="18"/>
              </w:rPr>
              <w:t>Environment policy settings</w:t>
            </w:r>
          </w:p>
        </w:tc>
        <w:tc>
          <w:tcPr>
            <w:tcW w:w="2524" w:type="dxa"/>
            <w:tcBorders>
              <w:bottom w:val="single" w:sz="2" w:space="0" w:color="939598"/>
            </w:tcBorders>
          </w:tcPr>
          <w:p w14:paraId="2AC52E3F" w14:textId="77777777" w:rsidR="00160E7F" w:rsidRDefault="002B0299">
            <w:pPr>
              <w:pStyle w:val="TableParagraph"/>
              <w:ind w:left="56"/>
              <w:rPr>
                <w:sz w:val="18"/>
              </w:rPr>
            </w:pPr>
            <w:r>
              <w:rPr>
                <w:color w:val="58595B"/>
                <w:sz w:val="18"/>
              </w:rPr>
              <w:t>Policy statements</w:t>
            </w:r>
          </w:p>
        </w:tc>
        <w:tc>
          <w:tcPr>
            <w:tcW w:w="2642" w:type="dxa"/>
            <w:tcBorders>
              <w:bottom w:val="single" w:sz="2" w:space="0" w:color="939598"/>
            </w:tcBorders>
          </w:tcPr>
          <w:p w14:paraId="698BE1DA" w14:textId="77777777" w:rsidR="00160E7F" w:rsidRDefault="002B0299">
            <w:pPr>
              <w:pStyle w:val="TableParagraph"/>
              <w:ind w:left="140" w:right="40"/>
              <w:rPr>
                <w:sz w:val="18"/>
              </w:rPr>
            </w:pPr>
            <w:r>
              <w:rPr>
                <w:color w:val="58595B"/>
                <w:sz w:val="18"/>
              </w:rPr>
              <w:t>No change</w:t>
            </w:r>
          </w:p>
        </w:tc>
        <w:tc>
          <w:tcPr>
            <w:tcW w:w="969" w:type="dxa"/>
            <w:tcBorders>
              <w:bottom w:val="single" w:sz="2" w:space="0" w:color="939598"/>
            </w:tcBorders>
          </w:tcPr>
          <w:p w14:paraId="36646686" w14:textId="77777777" w:rsidR="00160E7F" w:rsidRDefault="002B0299">
            <w:pPr>
              <w:pStyle w:val="TableParagraph"/>
              <w:ind w:left="105" w:right="153"/>
              <w:rPr>
                <w:sz w:val="18"/>
              </w:rPr>
            </w:pPr>
            <w:r>
              <w:rPr>
                <w:color w:val="58595B"/>
                <w:sz w:val="18"/>
              </w:rPr>
              <w:t>No</w:t>
            </w:r>
          </w:p>
        </w:tc>
        <w:tc>
          <w:tcPr>
            <w:tcW w:w="1065" w:type="dxa"/>
            <w:tcBorders>
              <w:bottom w:val="single" w:sz="2" w:space="0" w:color="939598"/>
            </w:tcBorders>
          </w:tcPr>
          <w:p w14:paraId="44BE05F6" w14:textId="77777777" w:rsidR="00160E7F" w:rsidRDefault="002B0299">
            <w:pPr>
              <w:pStyle w:val="TableParagraph"/>
              <w:ind w:left="157" w:right="117"/>
              <w:rPr>
                <w:sz w:val="18"/>
              </w:rPr>
            </w:pPr>
            <w:r>
              <w:rPr>
                <w:color w:val="58595B"/>
                <w:sz w:val="18"/>
              </w:rPr>
              <w:t>DELWP</w:t>
            </w:r>
          </w:p>
        </w:tc>
      </w:tr>
      <w:tr w:rsidR="00160E7F" w14:paraId="34392746" w14:textId="77777777">
        <w:trPr>
          <w:trHeight w:hRule="exact" w:val="961"/>
        </w:trPr>
        <w:tc>
          <w:tcPr>
            <w:tcW w:w="1474" w:type="dxa"/>
            <w:tcBorders>
              <w:top w:val="single" w:sz="2" w:space="0" w:color="939598"/>
              <w:bottom w:val="single" w:sz="2" w:space="0" w:color="939598"/>
            </w:tcBorders>
          </w:tcPr>
          <w:p w14:paraId="59512086" w14:textId="77777777" w:rsidR="00160E7F" w:rsidRDefault="002B0299">
            <w:pPr>
              <w:pStyle w:val="TableParagraph"/>
              <w:spacing w:line="254" w:lineRule="auto"/>
              <w:ind w:left="56"/>
              <w:rPr>
                <w:b/>
                <w:sz w:val="18"/>
              </w:rPr>
            </w:pPr>
            <w:r>
              <w:rPr>
                <w:b/>
                <w:color w:val="58595B"/>
                <w:sz w:val="18"/>
              </w:rPr>
              <w:t>Environment protection standards: ‘the goal posts’</w:t>
            </w:r>
          </w:p>
        </w:tc>
        <w:tc>
          <w:tcPr>
            <w:tcW w:w="2524" w:type="dxa"/>
            <w:tcBorders>
              <w:top w:val="single" w:sz="2" w:space="0" w:color="939598"/>
              <w:bottom w:val="single" w:sz="2" w:space="0" w:color="939598"/>
            </w:tcBorders>
          </w:tcPr>
          <w:p w14:paraId="18598BC0" w14:textId="77777777" w:rsidR="00160E7F" w:rsidRDefault="002B0299">
            <w:pPr>
              <w:pStyle w:val="TableParagraph"/>
              <w:spacing w:line="254" w:lineRule="auto"/>
              <w:ind w:left="56"/>
              <w:rPr>
                <w:sz w:val="18"/>
              </w:rPr>
            </w:pPr>
            <w:r>
              <w:rPr>
                <w:color w:val="58595B"/>
                <w:sz w:val="18"/>
              </w:rPr>
              <w:t>State environment protection polices</w:t>
            </w:r>
          </w:p>
          <w:p w14:paraId="3E52FAC6" w14:textId="77777777" w:rsidR="00160E7F" w:rsidRDefault="00160E7F">
            <w:pPr>
              <w:pStyle w:val="TableParagraph"/>
              <w:spacing w:before="10"/>
              <w:rPr>
                <w:sz w:val="14"/>
              </w:rPr>
            </w:pPr>
          </w:p>
          <w:p w14:paraId="106B5659" w14:textId="77777777" w:rsidR="00160E7F" w:rsidRDefault="002B0299">
            <w:pPr>
              <w:pStyle w:val="TableParagraph"/>
              <w:spacing w:before="0"/>
              <w:ind w:left="56"/>
              <w:rPr>
                <w:sz w:val="18"/>
              </w:rPr>
            </w:pPr>
            <w:r>
              <w:rPr>
                <w:color w:val="58595B"/>
                <w:sz w:val="18"/>
              </w:rPr>
              <w:t>Waste management policies</w:t>
            </w:r>
          </w:p>
        </w:tc>
        <w:tc>
          <w:tcPr>
            <w:tcW w:w="2642" w:type="dxa"/>
            <w:tcBorders>
              <w:top w:val="single" w:sz="2" w:space="0" w:color="939598"/>
              <w:bottom w:val="single" w:sz="2" w:space="0" w:color="939598"/>
            </w:tcBorders>
          </w:tcPr>
          <w:p w14:paraId="00DC54B3" w14:textId="77777777" w:rsidR="00160E7F" w:rsidRDefault="002B0299">
            <w:pPr>
              <w:pStyle w:val="TableParagraph"/>
              <w:spacing w:line="254" w:lineRule="auto"/>
              <w:ind w:left="140" w:right="40"/>
              <w:rPr>
                <w:sz w:val="18"/>
              </w:rPr>
            </w:pPr>
            <w:r>
              <w:rPr>
                <w:color w:val="58595B"/>
                <w:sz w:val="18"/>
              </w:rPr>
              <w:t>Environment protection standards (new instrument), including national standards</w:t>
            </w:r>
          </w:p>
        </w:tc>
        <w:tc>
          <w:tcPr>
            <w:tcW w:w="969" w:type="dxa"/>
            <w:tcBorders>
              <w:top w:val="single" w:sz="2" w:space="0" w:color="939598"/>
              <w:bottom w:val="single" w:sz="2" w:space="0" w:color="939598"/>
            </w:tcBorders>
          </w:tcPr>
          <w:p w14:paraId="1FAA0BA1" w14:textId="77777777" w:rsidR="00160E7F" w:rsidRDefault="002B0299">
            <w:pPr>
              <w:pStyle w:val="TableParagraph"/>
              <w:ind w:left="105" w:right="153"/>
              <w:rPr>
                <w:sz w:val="18"/>
              </w:rPr>
            </w:pPr>
            <w:r>
              <w:rPr>
                <w:color w:val="58595B"/>
                <w:sz w:val="18"/>
              </w:rPr>
              <w:t>Yes</w:t>
            </w:r>
          </w:p>
        </w:tc>
        <w:tc>
          <w:tcPr>
            <w:tcW w:w="1065" w:type="dxa"/>
            <w:tcBorders>
              <w:top w:val="single" w:sz="2" w:space="0" w:color="939598"/>
              <w:bottom w:val="single" w:sz="2" w:space="0" w:color="939598"/>
            </w:tcBorders>
          </w:tcPr>
          <w:p w14:paraId="598CE698" w14:textId="77777777" w:rsidR="00160E7F" w:rsidRDefault="002B0299">
            <w:pPr>
              <w:pStyle w:val="TableParagraph"/>
              <w:ind w:left="157" w:right="117"/>
              <w:rPr>
                <w:sz w:val="18"/>
              </w:rPr>
            </w:pPr>
            <w:r>
              <w:rPr>
                <w:color w:val="58595B"/>
                <w:sz w:val="18"/>
              </w:rPr>
              <w:t>DELWP</w:t>
            </w:r>
          </w:p>
          <w:p w14:paraId="0D774906" w14:textId="77777777" w:rsidR="00160E7F" w:rsidRDefault="002B0299">
            <w:pPr>
              <w:pStyle w:val="TableParagraph"/>
              <w:spacing w:before="13"/>
              <w:ind w:left="157" w:right="117"/>
              <w:rPr>
                <w:sz w:val="18"/>
              </w:rPr>
            </w:pPr>
            <w:r>
              <w:rPr>
                <w:color w:val="58595B"/>
                <w:sz w:val="18"/>
              </w:rPr>
              <w:t>or EPA</w:t>
            </w:r>
          </w:p>
        </w:tc>
      </w:tr>
      <w:tr w:rsidR="00160E7F" w14:paraId="77AEF4A1" w14:textId="77777777">
        <w:trPr>
          <w:trHeight w:hRule="exact" w:val="2131"/>
        </w:trPr>
        <w:tc>
          <w:tcPr>
            <w:tcW w:w="1474" w:type="dxa"/>
            <w:tcBorders>
              <w:top w:val="single" w:sz="2" w:space="0" w:color="939598"/>
              <w:bottom w:val="single" w:sz="2" w:space="0" w:color="939598"/>
            </w:tcBorders>
          </w:tcPr>
          <w:p w14:paraId="0FA475D5" w14:textId="77777777" w:rsidR="00160E7F" w:rsidRDefault="002B0299">
            <w:pPr>
              <w:pStyle w:val="TableParagraph"/>
              <w:spacing w:line="254" w:lineRule="auto"/>
              <w:ind w:left="56"/>
              <w:rPr>
                <w:b/>
                <w:sz w:val="18"/>
              </w:rPr>
            </w:pPr>
            <w:r>
              <w:rPr>
                <w:b/>
                <w:color w:val="58595B"/>
                <w:sz w:val="18"/>
              </w:rPr>
              <w:t>Compliance obligations</w:t>
            </w:r>
          </w:p>
        </w:tc>
        <w:tc>
          <w:tcPr>
            <w:tcW w:w="2524" w:type="dxa"/>
            <w:tcBorders>
              <w:top w:val="single" w:sz="2" w:space="0" w:color="939598"/>
              <w:bottom w:val="single" w:sz="2" w:space="0" w:color="939598"/>
            </w:tcBorders>
          </w:tcPr>
          <w:p w14:paraId="33493835" w14:textId="77777777" w:rsidR="00160E7F" w:rsidRDefault="002B0299">
            <w:pPr>
              <w:pStyle w:val="TableParagraph"/>
              <w:ind w:left="56"/>
              <w:rPr>
                <w:sz w:val="18"/>
              </w:rPr>
            </w:pPr>
            <w:r>
              <w:rPr>
                <w:color w:val="58595B"/>
                <w:sz w:val="18"/>
              </w:rPr>
              <w:t>Regulations</w:t>
            </w:r>
          </w:p>
          <w:p w14:paraId="1AFE1C34" w14:textId="77777777" w:rsidR="00160E7F" w:rsidRDefault="00160E7F">
            <w:pPr>
              <w:pStyle w:val="TableParagraph"/>
              <w:spacing w:before="10"/>
              <w:rPr>
                <w:sz w:val="15"/>
              </w:rPr>
            </w:pPr>
          </w:p>
          <w:p w14:paraId="218CAD4A" w14:textId="77777777" w:rsidR="00160E7F" w:rsidRDefault="002B0299">
            <w:pPr>
              <w:pStyle w:val="TableParagraph"/>
              <w:spacing w:before="0" w:line="254" w:lineRule="auto"/>
              <w:ind w:left="56" w:right="987"/>
              <w:rPr>
                <w:sz w:val="18"/>
              </w:rPr>
            </w:pPr>
            <w:r>
              <w:rPr>
                <w:color w:val="58595B"/>
                <w:sz w:val="18"/>
              </w:rPr>
              <w:t>State environment protection polices</w:t>
            </w:r>
          </w:p>
          <w:p w14:paraId="2CE0C4C7" w14:textId="77777777" w:rsidR="00160E7F" w:rsidRDefault="00160E7F">
            <w:pPr>
              <w:pStyle w:val="TableParagraph"/>
              <w:spacing w:before="10"/>
              <w:rPr>
                <w:sz w:val="14"/>
              </w:rPr>
            </w:pPr>
          </w:p>
          <w:p w14:paraId="45E9D86A" w14:textId="77777777" w:rsidR="00160E7F" w:rsidRDefault="002B0299">
            <w:pPr>
              <w:pStyle w:val="TableParagraph"/>
              <w:spacing w:before="0"/>
              <w:ind w:left="56"/>
              <w:rPr>
                <w:sz w:val="18"/>
              </w:rPr>
            </w:pPr>
            <w:r>
              <w:rPr>
                <w:color w:val="58595B"/>
                <w:sz w:val="18"/>
              </w:rPr>
              <w:t>Waste management policies</w:t>
            </w:r>
          </w:p>
          <w:p w14:paraId="37203758" w14:textId="77777777" w:rsidR="00160E7F" w:rsidRDefault="00160E7F">
            <w:pPr>
              <w:pStyle w:val="TableParagraph"/>
              <w:spacing w:before="10"/>
              <w:rPr>
                <w:sz w:val="15"/>
              </w:rPr>
            </w:pPr>
          </w:p>
          <w:p w14:paraId="69F806D4" w14:textId="77777777" w:rsidR="00160E7F" w:rsidRDefault="002B0299">
            <w:pPr>
              <w:pStyle w:val="TableParagraph"/>
              <w:spacing w:before="0" w:line="254" w:lineRule="auto"/>
              <w:ind w:left="56" w:right="276"/>
              <w:rPr>
                <w:sz w:val="18"/>
              </w:rPr>
            </w:pPr>
            <w:r>
              <w:rPr>
                <w:color w:val="58595B"/>
                <w:sz w:val="18"/>
              </w:rPr>
              <w:t>Incorporated documents (for example, best practice environmental measures)</w:t>
            </w:r>
          </w:p>
        </w:tc>
        <w:tc>
          <w:tcPr>
            <w:tcW w:w="2642" w:type="dxa"/>
            <w:tcBorders>
              <w:top w:val="single" w:sz="2" w:space="0" w:color="939598"/>
              <w:bottom w:val="single" w:sz="2" w:space="0" w:color="939598"/>
            </w:tcBorders>
          </w:tcPr>
          <w:p w14:paraId="6B2AE760" w14:textId="77777777" w:rsidR="00160E7F" w:rsidRDefault="002B0299">
            <w:pPr>
              <w:pStyle w:val="TableParagraph"/>
              <w:spacing w:line="254" w:lineRule="auto"/>
              <w:ind w:left="140" w:right="390"/>
              <w:jc w:val="both"/>
              <w:rPr>
                <w:sz w:val="18"/>
              </w:rPr>
            </w:pPr>
            <w:r>
              <w:rPr>
                <w:color w:val="58595B"/>
                <w:sz w:val="18"/>
              </w:rPr>
              <w:t>Regulations – set specific requirements that must be complied with</w:t>
            </w:r>
          </w:p>
          <w:p w14:paraId="67FB5172" w14:textId="77777777" w:rsidR="00160E7F" w:rsidRDefault="00160E7F">
            <w:pPr>
              <w:pStyle w:val="TableParagraph"/>
              <w:spacing w:before="10"/>
              <w:rPr>
                <w:sz w:val="14"/>
              </w:rPr>
            </w:pPr>
          </w:p>
          <w:p w14:paraId="2F70811E" w14:textId="77777777" w:rsidR="00160E7F" w:rsidRDefault="002B0299">
            <w:pPr>
              <w:pStyle w:val="TableParagraph"/>
              <w:spacing w:before="0" w:line="254" w:lineRule="auto"/>
              <w:ind w:left="140" w:right="40"/>
              <w:rPr>
                <w:sz w:val="18"/>
              </w:rPr>
            </w:pPr>
            <w:r>
              <w:rPr>
                <w:color w:val="58595B"/>
                <w:sz w:val="18"/>
              </w:rPr>
              <w:t>Codes of practice – provide practical guidance on how to meet the general duty</w:t>
            </w:r>
          </w:p>
        </w:tc>
        <w:tc>
          <w:tcPr>
            <w:tcW w:w="969" w:type="dxa"/>
            <w:tcBorders>
              <w:top w:val="single" w:sz="2" w:space="0" w:color="939598"/>
              <w:bottom w:val="single" w:sz="2" w:space="0" w:color="939598"/>
            </w:tcBorders>
          </w:tcPr>
          <w:p w14:paraId="0A163BA9" w14:textId="77777777" w:rsidR="00160E7F" w:rsidRDefault="002B0299">
            <w:pPr>
              <w:pStyle w:val="TableParagraph"/>
              <w:ind w:left="105" w:right="153"/>
              <w:rPr>
                <w:sz w:val="18"/>
              </w:rPr>
            </w:pPr>
            <w:r>
              <w:rPr>
                <w:color w:val="58595B"/>
                <w:sz w:val="18"/>
              </w:rPr>
              <w:t>Yes</w:t>
            </w:r>
          </w:p>
        </w:tc>
        <w:tc>
          <w:tcPr>
            <w:tcW w:w="1065" w:type="dxa"/>
            <w:tcBorders>
              <w:top w:val="single" w:sz="2" w:space="0" w:color="939598"/>
              <w:bottom w:val="single" w:sz="2" w:space="0" w:color="939598"/>
            </w:tcBorders>
          </w:tcPr>
          <w:p w14:paraId="11FB7B1E" w14:textId="77777777" w:rsidR="00160E7F" w:rsidRDefault="002B0299">
            <w:pPr>
              <w:pStyle w:val="TableParagraph"/>
              <w:ind w:left="157" w:right="117"/>
              <w:rPr>
                <w:sz w:val="18"/>
              </w:rPr>
            </w:pPr>
            <w:r>
              <w:rPr>
                <w:color w:val="58595B"/>
                <w:sz w:val="18"/>
              </w:rPr>
              <w:t>EPA</w:t>
            </w:r>
          </w:p>
        </w:tc>
      </w:tr>
      <w:tr w:rsidR="00160E7F" w14:paraId="205AC9B0" w14:textId="77777777">
        <w:trPr>
          <w:trHeight w:hRule="exact" w:val="741"/>
        </w:trPr>
        <w:tc>
          <w:tcPr>
            <w:tcW w:w="1474" w:type="dxa"/>
            <w:tcBorders>
              <w:top w:val="single" w:sz="2" w:space="0" w:color="939598"/>
              <w:bottom w:val="single" w:sz="2" w:space="0" w:color="939598"/>
            </w:tcBorders>
          </w:tcPr>
          <w:p w14:paraId="0DEBB050" w14:textId="77777777" w:rsidR="00160E7F" w:rsidRDefault="002B0299">
            <w:pPr>
              <w:pStyle w:val="TableParagraph"/>
              <w:ind w:left="56"/>
              <w:rPr>
                <w:b/>
                <w:sz w:val="18"/>
              </w:rPr>
            </w:pPr>
            <w:r>
              <w:rPr>
                <w:b/>
                <w:color w:val="58595B"/>
                <w:sz w:val="18"/>
              </w:rPr>
              <w:t>Guidance</w:t>
            </w:r>
          </w:p>
        </w:tc>
        <w:tc>
          <w:tcPr>
            <w:tcW w:w="2524" w:type="dxa"/>
            <w:tcBorders>
              <w:top w:val="single" w:sz="2" w:space="0" w:color="939598"/>
              <w:bottom w:val="single" w:sz="2" w:space="0" w:color="939598"/>
            </w:tcBorders>
          </w:tcPr>
          <w:p w14:paraId="25D7AF3A" w14:textId="77777777" w:rsidR="00160E7F" w:rsidRDefault="002B0299">
            <w:pPr>
              <w:pStyle w:val="TableParagraph"/>
              <w:spacing w:line="254" w:lineRule="auto"/>
              <w:ind w:left="56" w:right="491"/>
              <w:jc w:val="both"/>
              <w:rPr>
                <w:sz w:val="18"/>
              </w:rPr>
            </w:pPr>
            <w:r>
              <w:rPr>
                <w:color w:val="58595B"/>
                <w:sz w:val="18"/>
              </w:rPr>
              <w:t>Other types of guidance (for example, guidelines, information bulletins)</w:t>
            </w:r>
          </w:p>
        </w:tc>
        <w:tc>
          <w:tcPr>
            <w:tcW w:w="2642" w:type="dxa"/>
            <w:tcBorders>
              <w:top w:val="single" w:sz="2" w:space="0" w:color="939598"/>
              <w:bottom w:val="single" w:sz="2" w:space="0" w:color="939598"/>
            </w:tcBorders>
          </w:tcPr>
          <w:p w14:paraId="5E6A0675" w14:textId="77777777" w:rsidR="00160E7F" w:rsidRDefault="002B0299">
            <w:pPr>
              <w:pStyle w:val="TableParagraph"/>
              <w:spacing w:line="254" w:lineRule="auto"/>
              <w:ind w:left="140" w:right="40"/>
              <w:rPr>
                <w:sz w:val="18"/>
              </w:rPr>
            </w:pPr>
            <w:r>
              <w:rPr>
                <w:color w:val="58595B"/>
                <w:sz w:val="18"/>
              </w:rPr>
              <w:t>Consolidated forms of guidance</w:t>
            </w:r>
          </w:p>
        </w:tc>
        <w:tc>
          <w:tcPr>
            <w:tcW w:w="969" w:type="dxa"/>
            <w:tcBorders>
              <w:top w:val="single" w:sz="2" w:space="0" w:color="939598"/>
              <w:bottom w:val="single" w:sz="2" w:space="0" w:color="939598"/>
            </w:tcBorders>
          </w:tcPr>
          <w:p w14:paraId="24868DCC" w14:textId="77777777" w:rsidR="00160E7F" w:rsidRDefault="002B0299">
            <w:pPr>
              <w:pStyle w:val="TableParagraph"/>
              <w:ind w:left="105" w:right="153"/>
              <w:rPr>
                <w:sz w:val="18"/>
              </w:rPr>
            </w:pPr>
            <w:r>
              <w:rPr>
                <w:color w:val="58595B"/>
                <w:sz w:val="18"/>
              </w:rPr>
              <w:t>No</w:t>
            </w:r>
          </w:p>
        </w:tc>
        <w:tc>
          <w:tcPr>
            <w:tcW w:w="1065" w:type="dxa"/>
            <w:tcBorders>
              <w:top w:val="single" w:sz="2" w:space="0" w:color="939598"/>
              <w:bottom w:val="single" w:sz="2" w:space="0" w:color="939598"/>
            </w:tcBorders>
          </w:tcPr>
          <w:p w14:paraId="58FA9609" w14:textId="77777777" w:rsidR="00160E7F" w:rsidRDefault="002B0299">
            <w:pPr>
              <w:pStyle w:val="TableParagraph"/>
              <w:ind w:left="157" w:right="117"/>
              <w:rPr>
                <w:sz w:val="18"/>
              </w:rPr>
            </w:pPr>
            <w:r>
              <w:rPr>
                <w:color w:val="58595B"/>
                <w:sz w:val="18"/>
              </w:rPr>
              <w:t>EPA</w:t>
            </w:r>
          </w:p>
        </w:tc>
      </w:tr>
      <w:tr w:rsidR="00160E7F" w14:paraId="7A4634B8" w14:textId="77777777">
        <w:trPr>
          <w:trHeight w:hRule="exact" w:val="911"/>
        </w:trPr>
        <w:tc>
          <w:tcPr>
            <w:tcW w:w="1474" w:type="dxa"/>
            <w:tcBorders>
              <w:top w:val="single" w:sz="2" w:space="0" w:color="939598"/>
              <w:bottom w:val="single" w:sz="2" w:space="0" w:color="939598"/>
            </w:tcBorders>
          </w:tcPr>
          <w:p w14:paraId="55F8266C" w14:textId="77777777" w:rsidR="00160E7F" w:rsidRDefault="002B0299">
            <w:pPr>
              <w:pStyle w:val="TableParagraph"/>
              <w:spacing w:line="254" w:lineRule="auto"/>
              <w:ind w:left="56"/>
              <w:rPr>
                <w:b/>
                <w:sz w:val="18"/>
              </w:rPr>
            </w:pPr>
            <w:r>
              <w:rPr>
                <w:b/>
                <w:color w:val="58595B"/>
                <w:sz w:val="18"/>
              </w:rPr>
              <w:t>Attainment or implementation programs</w:t>
            </w:r>
          </w:p>
        </w:tc>
        <w:tc>
          <w:tcPr>
            <w:tcW w:w="2524" w:type="dxa"/>
            <w:tcBorders>
              <w:top w:val="single" w:sz="2" w:space="0" w:color="939598"/>
              <w:bottom w:val="single" w:sz="2" w:space="0" w:color="939598"/>
            </w:tcBorders>
          </w:tcPr>
          <w:p w14:paraId="2BE6F3FF" w14:textId="77777777" w:rsidR="00160E7F" w:rsidRDefault="002B0299">
            <w:pPr>
              <w:pStyle w:val="TableParagraph"/>
              <w:spacing w:line="254" w:lineRule="auto"/>
              <w:ind w:left="56" w:right="987"/>
              <w:rPr>
                <w:sz w:val="18"/>
              </w:rPr>
            </w:pPr>
            <w:r>
              <w:rPr>
                <w:color w:val="58595B"/>
                <w:sz w:val="18"/>
              </w:rPr>
              <w:t>State environment protection polices</w:t>
            </w:r>
          </w:p>
          <w:p w14:paraId="562B53A7" w14:textId="77777777" w:rsidR="00160E7F" w:rsidRDefault="00160E7F">
            <w:pPr>
              <w:pStyle w:val="TableParagraph"/>
              <w:spacing w:before="10"/>
              <w:rPr>
                <w:sz w:val="14"/>
              </w:rPr>
            </w:pPr>
          </w:p>
          <w:p w14:paraId="57351B96" w14:textId="77777777" w:rsidR="00160E7F" w:rsidRDefault="002B0299">
            <w:pPr>
              <w:pStyle w:val="TableParagraph"/>
              <w:spacing w:before="0"/>
              <w:ind w:left="56"/>
              <w:rPr>
                <w:sz w:val="18"/>
              </w:rPr>
            </w:pPr>
            <w:r>
              <w:rPr>
                <w:color w:val="58595B"/>
                <w:sz w:val="18"/>
              </w:rPr>
              <w:t>Waste management policies</w:t>
            </w:r>
          </w:p>
        </w:tc>
        <w:tc>
          <w:tcPr>
            <w:tcW w:w="2642" w:type="dxa"/>
            <w:tcBorders>
              <w:top w:val="single" w:sz="2" w:space="0" w:color="939598"/>
              <w:bottom w:val="single" w:sz="2" w:space="0" w:color="939598"/>
            </w:tcBorders>
          </w:tcPr>
          <w:p w14:paraId="2B70353E" w14:textId="77777777" w:rsidR="00160E7F" w:rsidRDefault="002B0299">
            <w:pPr>
              <w:pStyle w:val="TableParagraph"/>
              <w:spacing w:line="254" w:lineRule="auto"/>
              <w:ind w:left="140" w:right="40"/>
              <w:rPr>
                <w:sz w:val="18"/>
              </w:rPr>
            </w:pPr>
            <w:r>
              <w:rPr>
                <w:color w:val="58595B"/>
                <w:sz w:val="18"/>
              </w:rPr>
              <w:t>Non-statutory implementation plans and compliance strategies</w:t>
            </w:r>
          </w:p>
        </w:tc>
        <w:tc>
          <w:tcPr>
            <w:tcW w:w="969" w:type="dxa"/>
            <w:tcBorders>
              <w:top w:val="single" w:sz="2" w:space="0" w:color="939598"/>
              <w:bottom w:val="single" w:sz="2" w:space="0" w:color="939598"/>
            </w:tcBorders>
          </w:tcPr>
          <w:p w14:paraId="0AB746A5" w14:textId="77777777" w:rsidR="00160E7F" w:rsidRDefault="002B0299">
            <w:pPr>
              <w:pStyle w:val="TableParagraph"/>
              <w:ind w:left="105" w:right="153"/>
              <w:rPr>
                <w:sz w:val="18"/>
              </w:rPr>
            </w:pPr>
            <w:r>
              <w:rPr>
                <w:color w:val="58595B"/>
                <w:sz w:val="18"/>
              </w:rPr>
              <w:t>No</w:t>
            </w:r>
          </w:p>
        </w:tc>
        <w:tc>
          <w:tcPr>
            <w:tcW w:w="1065" w:type="dxa"/>
            <w:tcBorders>
              <w:top w:val="single" w:sz="2" w:space="0" w:color="939598"/>
              <w:bottom w:val="single" w:sz="2" w:space="0" w:color="939598"/>
            </w:tcBorders>
          </w:tcPr>
          <w:p w14:paraId="341DE77B" w14:textId="77777777" w:rsidR="00160E7F" w:rsidRDefault="002B0299">
            <w:pPr>
              <w:pStyle w:val="TableParagraph"/>
              <w:ind w:left="157" w:right="117"/>
              <w:rPr>
                <w:sz w:val="18"/>
              </w:rPr>
            </w:pPr>
            <w:r>
              <w:rPr>
                <w:color w:val="58595B"/>
                <w:sz w:val="18"/>
              </w:rPr>
              <w:t>EPA</w:t>
            </w:r>
          </w:p>
        </w:tc>
      </w:tr>
    </w:tbl>
    <w:p w14:paraId="72616B48" w14:textId="77777777" w:rsidR="00160E7F" w:rsidRDefault="00160E7F">
      <w:pPr>
        <w:rPr>
          <w:sz w:val="18"/>
        </w:rPr>
        <w:sectPr w:rsidR="00160E7F">
          <w:headerReference w:type="even" r:id="rId76"/>
          <w:headerReference w:type="default" r:id="rId77"/>
          <w:pgSz w:w="11910" w:h="16840"/>
          <w:pgMar w:top="980" w:right="1680" w:bottom="280" w:left="0" w:header="788" w:footer="0" w:gutter="0"/>
          <w:cols w:space="720"/>
        </w:sectPr>
      </w:pPr>
    </w:p>
    <w:p w14:paraId="1E5D8D7D" w14:textId="77777777" w:rsidR="00160E7F" w:rsidRDefault="00160E7F">
      <w:pPr>
        <w:pStyle w:val="BodyText"/>
      </w:pPr>
    </w:p>
    <w:p w14:paraId="0609B048" w14:textId="77777777" w:rsidR="00160E7F" w:rsidRDefault="00160E7F">
      <w:pPr>
        <w:pStyle w:val="BodyText"/>
      </w:pPr>
    </w:p>
    <w:p w14:paraId="3CBC72A7" w14:textId="77777777" w:rsidR="00160E7F" w:rsidRDefault="00160E7F">
      <w:pPr>
        <w:pStyle w:val="BodyText"/>
      </w:pPr>
    </w:p>
    <w:p w14:paraId="248748DC" w14:textId="77777777" w:rsidR="00160E7F" w:rsidRDefault="00160E7F">
      <w:pPr>
        <w:pStyle w:val="BodyText"/>
      </w:pPr>
    </w:p>
    <w:p w14:paraId="7502F1BE" w14:textId="77777777" w:rsidR="00160E7F" w:rsidRDefault="002B0299">
      <w:pPr>
        <w:pStyle w:val="Heading3"/>
        <w:ind w:left="134" w:right="789"/>
      </w:pPr>
      <w:r>
        <w:rPr>
          <w:color w:val="0095A7"/>
        </w:rPr>
        <w:t>Recommendation</w:t>
      </w:r>
    </w:p>
    <w:p w14:paraId="0D00ED5A" w14:textId="77777777" w:rsidR="00160E7F" w:rsidRDefault="000638CB">
      <w:pPr>
        <w:pStyle w:val="BodyText"/>
        <w:rPr>
          <w:sz w:val="23"/>
        </w:rPr>
      </w:pPr>
      <w:r>
        <w:pict w14:anchorId="4F808E13">
          <v:shape id="_x0000_s1069" type="#_x0000_t202" style="position:absolute;margin-left:90.7pt;margin-top:14.45pt;width:432.75pt;height:128pt;z-index:2128;mso-wrap-distance-left:0;mso-wrap-distance-right:0;mso-position-horizontal-relative:page" fillcolor="#eff6f0" stroked="f">
            <v:textbox inset="0,0,0,0">
              <w:txbxContent>
                <w:p w14:paraId="09B343E9" w14:textId="77777777" w:rsidR="00804E46" w:rsidRDefault="00804E46">
                  <w:pPr>
                    <w:spacing w:before="128"/>
                    <w:ind w:left="170" w:right="311"/>
                    <w:rPr>
                      <w:b/>
                      <w:sz w:val="20"/>
                    </w:rPr>
                  </w:pPr>
                  <w:r>
                    <w:rPr>
                      <w:b/>
                      <w:color w:val="808285"/>
                      <w:sz w:val="20"/>
                    </w:rPr>
                    <w:t>RECOMMENDATION 15.1</w:t>
                  </w:r>
                </w:p>
                <w:p w14:paraId="3D40EB9B" w14:textId="77777777" w:rsidR="00804E46" w:rsidRDefault="00804E46">
                  <w:pPr>
                    <w:pStyle w:val="BodyText"/>
                    <w:spacing w:before="153"/>
                    <w:ind w:left="170" w:right="311"/>
                  </w:pPr>
                  <w:r>
                    <w:rPr>
                      <w:color w:val="58595B"/>
                    </w:rPr>
                    <w:t>Replace state environment protection policies and waste management policies with</w:t>
                  </w:r>
                </w:p>
                <w:p w14:paraId="7E9B685B" w14:textId="77777777" w:rsidR="00804E46" w:rsidRDefault="00804E46">
                  <w:pPr>
                    <w:pStyle w:val="BodyText"/>
                    <w:spacing w:before="40" w:line="280" w:lineRule="auto"/>
                    <w:ind w:left="170" w:right="311"/>
                  </w:pPr>
                  <w:r>
                    <w:rPr>
                      <w:color w:val="58595B"/>
                    </w:rPr>
                    <w:t>a simplified approach to standard setting that allows for timely review and updating of standalone elements, including:</w:t>
                  </w:r>
                </w:p>
                <w:p w14:paraId="2AFF5D1A" w14:textId="77777777" w:rsidR="00804E46" w:rsidRDefault="00804E46">
                  <w:pPr>
                    <w:pStyle w:val="ListParagraph"/>
                    <w:numPr>
                      <w:ilvl w:val="0"/>
                      <w:numId w:val="20"/>
                    </w:numPr>
                    <w:tabs>
                      <w:tab w:val="left" w:pos="511"/>
                    </w:tabs>
                    <w:spacing w:before="172"/>
                    <w:ind w:hanging="340"/>
                    <w:rPr>
                      <w:sz w:val="20"/>
                    </w:rPr>
                  </w:pPr>
                  <w:r>
                    <w:rPr>
                      <w:color w:val="58595B"/>
                      <w:sz w:val="20"/>
                    </w:rPr>
                    <w:t>overarching policy settings to be established by the Department of Environment,</w:t>
                  </w:r>
                  <w:r>
                    <w:rPr>
                      <w:color w:val="58595B"/>
                      <w:spacing w:val="-2"/>
                      <w:sz w:val="20"/>
                    </w:rPr>
                    <w:t xml:space="preserve"> </w:t>
                  </w:r>
                  <w:r>
                    <w:rPr>
                      <w:color w:val="58595B"/>
                      <w:sz w:val="20"/>
                    </w:rPr>
                    <w:t>Land,</w:t>
                  </w:r>
                </w:p>
                <w:p w14:paraId="21A3739B" w14:textId="77777777" w:rsidR="00804E46" w:rsidRDefault="00804E46">
                  <w:pPr>
                    <w:pStyle w:val="BodyText"/>
                    <w:spacing w:before="40"/>
                    <w:ind w:left="489" w:right="6368"/>
                    <w:jc w:val="center"/>
                  </w:pPr>
                  <w:r>
                    <w:rPr>
                      <w:color w:val="58595B"/>
                    </w:rPr>
                    <w:t>Water and Planning</w:t>
                  </w:r>
                </w:p>
                <w:p w14:paraId="1696CDE3" w14:textId="77777777" w:rsidR="00804E46" w:rsidRDefault="00804E46">
                  <w:pPr>
                    <w:pStyle w:val="BodyText"/>
                    <w:spacing w:before="3"/>
                    <w:rPr>
                      <w:sz w:val="18"/>
                    </w:rPr>
                  </w:pPr>
                </w:p>
                <w:p w14:paraId="3265495E" w14:textId="77777777" w:rsidR="00804E46" w:rsidRDefault="00804E46">
                  <w:pPr>
                    <w:pStyle w:val="ListParagraph"/>
                    <w:numPr>
                      <w:ilvl w:val="0"/>
                      <w:numId w:val="20"/>
                    </w:numPr>
                    <w:tabs>
                      <w:tab w:val="left" w:pos="511"/>
                    </w:tabs>
                    <w:spacing w:before="0"/>
                    <w:ind w:hanging="340"/>
                    <w:rPr>
                      <w:sz w:val="20"/>
                    </w:rPr>
                  </w:pPr>
                  <w:r>
                    <w:rPr>
                      <w:color w:val="58595B"/>
                      <w:sz w:val="20"/>
                    </w:rPr>
                    <w:t>technical standards to be determined by</w:t>
                  </w:r>
                  <w:r>
                    <w:rPr>
                      <w:color w:val="58595B"/>
                      <w:spacing w:val="-7"/>
                      <w:sz w:val="20"/>
                    </w:rPr>
                    <w:t xml:space="preserve"> </w:t>
                  </w:r>
                  <w:r>
                    <w:rPr>
                      <w:color w:val="58595B"/>
                      <w:sz w:val="20"/>
                    </w:rPr>
                    <w:t>EPA.</w:t>
                  </w:r>
                </w:p>
              </w:txbxContent>
            </v:textbox>
            <w10:wrap type="topAndBottom" anchorx="page"/>
          </v:shape>
        </w:pict>
      </w:r>
    </w:p>
    <w:p w14:paraId="779E5BC0" w14:textId="77777777" w:rsidR="00160E7F" w:rsidRDefault="00160E7F">
      <w:pPr>
        <w:rPr>
          <w:sz w:val="23"/>
        </w:rPr>
        <w:sectPr w:rsidR="00160E7F">
          <w:pgSz w:w="11910" w:h="16840"/>
          <w:pgMar w:top="980" w:right="0" w:bottom="280" w:left="1680" w:header="788" w:footer="0" w:gutter="0"/>
          <w:cols w:space="720"/>
        </w:sectPr>
      </w:pPr>
    </w:p>
    <w:p w14:paraId="1132CE96" w14:textId="77777777" w:rsidR="00160E7F" w:rsidRDefault="00160E7F">
      <w:pPr>
        <w:pStyle w:val="BodyText"/>
      </w:pPr>
    </w:p>
    <w:p w14:paraId="652C1174" w14:textId="77777777" w:rsidR="00160E7F" w:rsidRDefault="00160E7F">
      <w:pPr>
        <w:pStyle w:val="BodyText"/>
      </w:pPr>
    </w:p>
    <w:p w14:paraId="66A67B7C" w14:textId="77777777" w:rsidR="00160E7F" w:rsidRDefault="00160E7F">
      <w:pPr>
        <w:pStyle w:val="BodyText"/>
      </w:pPr>
    </w:p>
    <w:p w14:paraId="1BDC36EA" w14:textId="77777777" w:rsidR="00160E7F" w:rsidRDefault="00160E7F">
      <w:pPr>
        <w:pStyle w:val="BodyText"/>
      </w:pPr>
    </w:p>
    <w:p w14:paraId="6A3373F1" w14:textId="77777777" w:rsidR="00160E7F" w:rsidRDefault="00160E7F">
      <w:pPr>
        <w:pStyle w:val="BodyText"/>
        <w:spacing w:before="4"/>
        <w:rPr>
          <w:sz w:val="13"/>
        </w:rPr>
      </w:pPr>
    </w:p>
    <w:p w14:paraId="52F3C296" w14:textId="77777777" w:rsidR="00160E7F" w:rsidRDefault="000638CB">
      <w:pPr>
        <w:pStyle w:val="BodyText"/>
        <w:spacing w:line="20" w:lineRule="exact"/>
        <w:ind w:left="1412"/>
        <w:rPr>
          <w:sz w:val="2"/>
        </w:rPr>
      </w:pPr>
      <w:r>
        <w:rPr>
          <w:sz w:val="2"/>
        </w:rPr>
      </w:r>
      <w:r>
        <w:rPr>
          <w:sz w:val="2"/>
        </w:rPr>
        <w:pict w14:anchorId="0E6CCBE7">
          <v:group id="_x0000_s1067" style="width:211.35pt;height:.5pt;mso-position-horizontal-relative:char;mso-position-vertical-relative:line" coordsize="4227,10">
            <v:line id="_x0000_s1068" style="position:absolute" from="5,5" to="4222,5" strokecolor="#58595b" strokeweight=".5pt"/>
            <w10:wrap type="none"/>
            <w10:anchorlock/>
          </v:group>
        </w:pict>
      </w:r>
    </w:p>
    <w:p w14:paraId="6C7CCCC1" w14:textId="2F7065C0" w:rsidR="00160E7F" w:rsidRDefault="002B0299">
      <w:pPr>
        <w:pStyle w:val="ListParagraph"/>
        <w:numPr>
          <w:ilvl w:val="0"/>
          <w:numId w:val="19"/>
        </w:numPr>
        <w:tabs>
          <w:tab w:val="left" w:pos="1701"/>
        </w:tabs>
        <w:spacing w:before="47"/>
        <w:ind w:hanging="283"/>
        <w:rPr>
          <w:sz w:val="12"/>
        </w:rPr>
      </w:pPr>
      <w:r>
        <w:rPr>
          <w:color w:val="58595B"/>
          <w:sz w:val="12"/>
        </w:rPr>
        <w:t xml:space="preserve">Sections 16, 16A, </w:t>
      </w:r>
      <w:r>
        <w:rPr>
          <w:i/>
          <w:color w:val="58595B"/>
          <w:sz w:val="12"/>
        </w:rPr>
        <w:t>Environment Protection Act 1970</w:t>
      </w:r>
      <w:r>
        <w:rPr>
          <w:color w:val="58595B"/>
          <w:sz w:val="12"/>
        </w:rPr>
        <w:t>.</w:t>
      </w:r>
    </w:p>
    <w:p w14:paraId="0AC80745" w14:textId="77777777" w:rsidR="00160E7F" w:rsidRDefault="002B0299">
      <w:pPr>
        <w:pStyle w:val="ListParagraph"/>
        <w:numPr>
          <w:ilvl w:val="0"/>
          <w:numId w:val="19"/>
        </w:numPr>
        <w:tabs>
          <w:tab w:val="left" w:pos="1701"/>
        </w:tabs>
        <w:spacing w:before="30" w:line="242" w:lineRule="auto"/>
        <w:ind w:right="4848" w:hanging="283"/>
        <w:rPr>
          <w:sz w:val="12"/>
        </w:rPr>
      </w:pPr>
      <w:r>
        <w:rPr>
          <w:color w:val="58595B"/>
          <w:spacing w:val="2"/>
          <w:sz w:val="12"/>
        </w:rPr>
        <w:t xml:space="preserve">Department </w:t>
      </w:r>
      <w:r>
        <w:rPr>
          <w:color w:val="58595B"/>
          <w:sz w:val="12"/>
        </w:rPr>
        <w:t xml:space="preserve">of Environment, Land, Water and Planning and EPA </w:t>
      </w:r>
      <w:r>
        <w:rPr>
          <w:color w:val="58595B"/>
          <w:spacing w:val="2"/>
          <w:sz w:val="12"/>
        </w:rPr>
        <w:t xml:space="preserve">Victoria </w:t>
      </w:r>
      <w:r>
        <w:rPr>
          <w:color w:val="58595B"/>
          <w:sz w:val="12"/>
        </w:rPr>
        <w:t xml:space="preserve">2011, </w:t>
      </w:r>
      <w:r>
        <w:rPr>
          <w:i/>
          <w:color w:val="58595B"/>
          <w:spacing w:val="2"/>
          <w:sz w:val="12"/>
        </w:rPr>
        <w:t xml:space="preserve">Statutory </w:t>
      </w:r>
      <w:r>
        <w:rPr>
          <w:i/>
          <w:color w:val="58595B"/>
          <w:sz w:val="12"/>
        </w:rPr>
        <w:t>policy review discussion paper</w:t>
      </w:r>
      <w:r>
        <w:rPr>
          <w:color w:val="58595B"/>
          <w:sz w:val="12"/>
        </w:rPr>
        <w:t>, Melbourne, June, p.</w:t>
      </w:r>
      <w:r>
        <w:rPr>
          <w:color w:val="58595B"/>
          <w:spacing w:val="9"/>
          <w:sz w:val="12"/>
        </w:rPr>
        <w:t xml:space="preserve"> </w:t>
      </w:r>
      <w:r>
        <w:rPr>
          <w:color w:val="58595B"/>
          <w:sz w:val="12"/>
        </w:rPr>
        <w:t>6.</w:t>
      </w:r>
    </w:p>
    <w:p w14:paraId="36CB9EFC" w14:textId="77777777" w:rsidR="00160E7F" w:rsidRDefault="002B0299">
      <w:pPr>
        <w:pStyle w:val="ListParagraph"/>
        <w:numPr>
          <w:ilvl w:val="0"/>
          <w:numId w:val="19"/>
        </w:numPr>
        <w:tabs>
          <w:tab w:val="left" w:pos="1701"/>
        </w:tabs>
        <w:spacing w:line="242" w:lineRule="auto"/>
        <w:ind w:right="4776" w:hanging="283"/>
        <w:rPr>
          <w:sz w:val="12"/>
        </w:rPr>
      </w:pPr>
      <w:r>
        <w:rPr>
          <w:color w:val="58595B"/>
          <w:sz w:val="12"/>
        </w:rPr>
        <w:t xml:space="preserve">EPA </w:t>
      </w:r>
      <w:r>
        <w:rPr>
          <w:color w:val="58595B"/>
          <w:spacing w:val="2"/>
          <w:sz w:val="12"/>
        </w:rPr>
        <w:t xml:space="preserve">Victoria </w:t>
      </w:r>
      <w:r>
        <w:rPr>
          <w:color w:val="58595B"/>
          <w:sz w:val="12"/>
        </w:rPr>
        <w:t xml:space="preserve">2014, </w:t>
      </w:r>
      <w:r>
        <w:rPr>
          <w:color w:val="58595B"/>
          <w:spacing w:val="2"/>
          <w:sz w:val="12"/>
        </w:rPr>
        <w:t xml:space="preserve">Compliance </w:t>
      </w:r>
      <w:r>
        <w:rPr>
          <w:color w:val="58595B"/>
          <w:sz w:val="12"/>
        </w:rPr>
        <w:t>and Enforcement Policy, Melbourne, August, p.</w:t>
      </w:r>
      <w:r>
        <w:rPr>
          <w:color w:val="58595B"/>
          <w:spacing w:val="13"/>
          <w:sz w:val="12"/>
        </w:rPr>
        <w:t xml:space="preserve"> </w:t>
      </w:r>
      <w:r>
        <w:rPr>
          <w:color w:val="58595B"/>
          <w:sz w:val="12"/>
        </w:rPr>
        <w:t>8.</w:t>
      </w:r>
    </w:p>
    <w:p w14:paraId="3C9EF6E0" w14:textId="77777777" w:rsidR="00160E7F" w:rsidRDefault="002B0299">
      <w:pPr>
        <w:pStyle w:val="ListParagraph"/>
        <w:numPr>
          <w:ilvl w:val="0"/>
          <w:numId w:val="19"/>
        </w:numPr>
        <w:tabs>
          <w:tab w:val="left" w:pos="1701"/>
        </w:tabs>
        <w:spacing w:line="242" w:lineRule="auto"/>
        <w:ind w:right="4801" w:hanging="283"/>
        <w:rPr>
          <w:sz w:val="12"/>
        </w:rPr>
      </w:pPr>
      <w:r>
        <w:rPr>
          <w:color w:val="58595B"/>
          <w:sz w:val="12"/>
        </w:rPr>
        <w:t xml:space="preserve">Agreed Statement, Meeting of Environment Ministers, 15 </w:t>
      </w:r>
      <w:r>
        <w:rPr>
          <w:color w:val="58595B"/>
          <w:spacing w:val="2"/>
          <w:sz w:val="12"/>
        </w:rPr>
        <w:t xml:space="preserve">December </w:t>
      </w:r>
      <w:r>
        <w:rPr>
          <w:color w:val="58595B"/>
          <w:sz w:val="12"/>
        </w:rPr>
        <w:t>2015</w:t>
      </w:r>
      <w:hyperlink r:id="rId78">
        <w:r>
          <w:rPr>
            <w:color w:val="58595B"/>
            <w:sz w:val="12"/>
          </w:rPr>
          <w:t>, http://www.environment.gov.au/system/files/pages/4f59b654-</w:t>
        </w:r>
      </w:hyperlink>
      <w:r>
        <w:rPr>
          <w:color w:val="58595B"/>
          <w:sz w:val="12"/>
        </w:rPr>
        <w:t xml:space="preserve"> </w:t>
      </w:r>
      <w:r>
        <w:rPr>
          <w:color w:val="58595B"/>
          <w:spacing w:val="2"/>
          <w:sz w:val="12"/>
        </w:rPr>
        <w:t xml:space="preserve">53aa-43df-b9d1-b21f9caa500c/files/mem-meeting4-statement.pdf </w:t>
      </w:r>
      <w:r>
        <w:rPr>
          <w:color w:val="58595B"/>
          <w:sz w:val="12"/>
        </w:rPr>
        <w:t>(accessed 10 March</w:t>
      </w:r>
      <w:r>
        <w:rPr>
          <w:color w:val="58595B"/>
          <w:spacing w:val="21"/>
          <w:sz w:val="12"/>
        </w:rPr>
        <w:t xml:space="preserve"> </w:t>
      </w:r>
      <w:r>
        <w:rPr>
          <w:color w:val="58595B"/>
          <w:sz w:val="12"/>
        </w:rPr>
        <w:t>2016).</w:t>
      </w:r>
    </w:p>
    <w:p w14:paraId="3971B43C" w14:textId="77777777" w:rsidR="00160E7F" w:rsidRDefault="002B0299">
      <w:pPr>
        <w:pStyle w:val="ListParagraph"/>
        <w:numPr>
          <w:ilvl w:val="0"/>
          <w:numId w:val="19"/>
        </w:numPr>
        <w:tabs>
          <w:tab w:val="left" w:pos="1701"/>
        </w:tabs>
        <w:spacing w:line="242" w:lineRule="auto"/>
        <w:ind w:right="4689" w:hanging="283"/>
        <w:rPr>
          <w:sz w:val="12"/>
        </w:rPr>
      </w:pPr>
      <w:r>
        <w:rPr>
          <w:color w:val="58595B"/>
          <w:sz w:val="12"/>
        </w:rPr>
        <w:t xml:space="preserve">Hazelwood Mine Fire </w:t>
      </w:r>
      <w:r>
        <w:rPr>
          <w:color w:val="58595B"/>
          <w:spacing w:val="2"/>
          <w:sz w:val="12"/>
        </w:rPr>
        <w:t xml:space="preserve">Inquiry </w:t>
      </w:r>
      <w:r>
        <w:rPr>
          <w:color w:val="58595B"/>
          <w:sz w:val="12"/>
        </w:rPr>
        <w:t xml:space="preserve">2014, </w:t>
      </w:r>
      <w:r>
        <w:rPr>
          <w:i/>
          <w:color w:val="58595B"/>
          <w:sz w:val="12"/>
        </w:rPr>
        <w:t xml:space="preserve">Hazelwood mine </w:t>
      </w:r>
      <w:r>
        <w:rPr>
          <w:i/>
          <w:color w:val="58595B"/>
          <w:spacing w:val="2"/>
          <w:sz w:val="12"/>
        </w:rPr>
        <w:t xml:space="preserve">fire inquiry report </w:t>
      </w:r>
      <w:r>
        <w:rPr>
          <w:i/>
          <w:color w:val="58595B"/>
          <w:sz w:val="12"/>
        </w:rPr>
        <w:t>2014</w:t>
      </w:r>
      <w:r>
        <w:rPr>
          <w:color w:val="58595B"/>
          <w:sz w:val="12"/>
        </w:rPr>
        <w:t xml:space="preserve">, Melbourne, August, p. </w:t>
      </w:r>
      <w:r>
        <w:rPr>
          <w:color w:val="58595B"/>
          <w:spacing w:val="5"/>
          <w:sz w:val="12"/>
        </w:rPr>
        <w:t xml:space="preserve"> </w:t>
      </w:r>
      <w:r>
        <w:rPr>
          <w:color w:val="58595B"/>
          <w:sz w:val="12"/>
        </w:rPr>
        <w:t>292.</w:t>
      </w:r>
    </w:p>
    <w:p w14:paraId="5A1C38DD" w14:textId="77777777" w:rsidR="00160E7F" w:rsidRDefault="002B0299">
      <w:pPr>
        <w:pStyle w:val="ListParagraph"/>
        <w:numPr>
          <w:ilvl w:val="0"/>
          <w:numId w:val="19"/>
        </w:numPr>
        <w:tabs>
          <w:tab w:val="left" w:pos="1701"/>
        </w:tabs>
        <w:spacing w:line="242" w:lineRule="auto"/>
        <w:ind w:right="4857" w:hanging="283"/>
        <w:rPr>
          <w:sz w:val="12"/>
        </w:rPr>
      </w:pPr>
      <w:r>
        <w:rPr>
          <w:color w:val="58595B"/>
          <w:sz w:val="12"/>
        </w:rPr>
        <w:t xml:space="preserve">Hazelwood Mine Fire </w:t>
      </w:r>
      <w:r>
        <w:rPr>
          <w:color w:val="58595B"/>
          <w:spacing w:val="2"/>
          <w:sz w:val="12"/>
        </w:rPr>
        <w:t xml:space="preserve">Inquiry </w:t>
      </w:r>
      <w:r>
        <w:rPr>
          <w:color w:val="58595B"/>
          <w:sz w:val="12"/>
        </w:rPr>
        <w:t xml:space="preserve">Implementation Monitor 2015, </w:t>
      </w:r>
      <w:r>
        <w:rPr>
          <w:i/>
          <w:color w:val="58595B"/>
          <w:sz w:val="12"/>
        </w:rPr>
        <w:t xml:space="preserve">Annual </w:t>
      </w:r>
      <w:r>
        <w:rPr>
          <w:i/>
          <w:color w:val="58595B"/>
          <w:spacing w:val="2"/>
          <w:sz w:val="12"/>
        </w:rPr>
        <w:t>report</w:t>
      </w:r>
      <w:r>
        <w:rPr>
          <w:color w:val="58595B"/>
          <w:spacing w:val="2"/>
          <w:sz w:val="12"/>
        </w:rPr>
        <w:t xml:space="preserve">, </w:t>
      </w:r>
      <w:r>
        <w:rPr>
          <w:color w:val="58595B"/>
          <w:sz w:val="12"/>
        </w:rPr>
        <w:t>Melbourne, October, p.</w:t>
      </w:r>
      <w:r>
        <w:rPr>
          <w:color w:val="58595B"/>
          <w:spacing w:val="30"/>
          <w:sz w:val="12"/>
        </w:rPr>
        <w:t xml:space="preserve"> </w:t>
      </w:r>
      <w:r>
        <w:rPr>
          <w:color w:val="58595B"/>
          <w:sz w:val="12"/>
        </w:rPr>
        <w:t>49.</w:t>
      </w:r>
    </w:p>
    <w:p w14:paraId="07BE52AD" w14:textId="0B177216" w:rsidR="00160E7F" w:rsidRDefault="002B0299">
      <w:pPr>
        <w:pStyle w:val="ListParagraph"/>
        <w:numPr>
          <w:ilvl w:val="0"/>
          <w:numId w:val="19"/>
        </w:numPr>
        <w:tabs>
          <w:tab w:val="left" w:pos="1701"/>
        </w:tabs>
        <w:spacing w:line="242" w:lineRule="auto"/>
        <w:ind w:right="4620" w:hanging="283"/>
        <w:rPr>
          <w:sz w:val="12"/>
        </w:rPr>
      </w:pPr>
      <w:r>
        <w:rPr>
          <w:color w:val="58595B"/>
          <w:spacing w:val="2"/>
          <w:sz w:val="12"/>
        </w:rPr>
        <w:t xml:space="preserve">Department </w:t>
      </w:r>
      <w:r>
        <w:rPr>
          <w:color w:val="58595B"/>
          <w:sz w:val="12"/>
        </w:rPr>
        <w:t xml:space="preserve">of Environment, Land, Water and Planning and EPA </w:t>
      </w:r>
      <w:r w:rsidR="00223325">
        <w:rPr>
          <w:color w:val="58595B"/>
          <w:sz w:val="12"/>
        </w:rPr>
        <w:br/>
      </w:r>
      <w:r>
        <w:rPr>
          <w:color w:val="58595B"/>
          <w:spacing w:val="2"/>
          <w:sz w:val="12"/>
        </w:rPr>
        <w:t xml:space="preserve">Victoria </w:t>
      </w:r>
      <w:r>
        <w:rPr>
          <w:color w:val="58595B"/>
          <w:sz w:val="12"/>
        </w:rPr>
        <w:t xml:space="preserve">2013, </w:t>
      </w:r>
      <w:r>
        <w:rPr>
          <w:i/>
          <w:color w:val="58595B"/>
          <w:spacing w:val="2"/>
          <w:sz w:val="12"/>
        </w:rPr>
        <w:t xml:space="preserve">Statutory </w:t>
      </w:r>
      <w:r>
        <w:rPr>
          <w:i/>
          <w:color w:val="58595B"/>
          <w:sz w:val="12"/>
        </w:rPr>
        <w:t xml:space="preserve">policy review final </w:t>
      </w:r>
      <w:r>
        <w:rPr>
          <w:i/>
          <w:color w:val="58595B"/>
          <w:spacing w:val="2"/>
          <w:sz w:val="12"/>
        </w:rPr>
        <w:t>report</w:t>
      </w:r>
      <w:r>
        <w:rPr>
          <w:color w:val="58595B"/>
          <w:spacing w:val="2"/>
          <w:sz w:val="12"/>
        </w:rPr>
        <w:t xml:space="preserve">, </w:t>
      </w:r>
      <w:r>
        <w:rPr>
          <w:color w:val="58595B"/>
          <w:sz w:val="12"/>
        </w:rPr>
        <w:t xml:space="preserve">Melbourne, July, p. </w:t>
      </w:r>
      <w:r>
        <w:rPr>
          <w:color w:val="58595B"/>
          <w:spacing w:val="9"/>
          <w:sz w:val="12"/>
        </w:rPr>
        <w:t xml:space="preserve"> </w:t>
      </w:r>
      <w:r>
        <w:rPr>
          <w:color w:val="58595B"/>
          <w:sz w:val="12"/>
        </w:rPr>
        <w:t>1.</w:t>
      </w:r>
    </w:p>
    <w:p w14:paraId="2B7668E7" w14:textId="5C7E19FF" w:rsidR="00160E7F" w:rsidRDefault="002B0299">
      <w:pPr>
        <w:pStyle w:val="ListParagraph"/>
        <w:numPr>
          <w:ilvl w:val="0"/>
          <w:numId w:val="19"/>
        </w:numPr>
        <w:tabs>
          <w:tab w:val="left" w:pos="1701"/>
        </w:tabs>
        <w:spacing w:line="242" w:lineRule="auto"/>
        <w:ind w:right="4886" w:hanging="283"/>
        <w:rPr>
          <w:sz w:val="12"/>
        </w:rPr>
      </w:pPr>
      <w:r>
        <w:rPr>
          <w:color w:val="58595B"/>
          <w:sz w:val="12"/>
        </w:rPr>
        <w:t>For example, SEPP (Control of Music Noise from Public Premises)</w:t>
      </w:r>
      <w:r w:rsidR="00223325">
        <w:rPr>
          <w:color w:val="58595B"/>
          <w:sz w:val="12"/>
        </w:rPr>
        <w:br/>
      </w:r>
      <w:r>
        <w:rPr>
          <w:color w:val="58595B"/>
          <w:sz w:val="12"/>
        </w:rPr>
        <w:t xml:space="preserve">is </w:t>
      </w:r>
      <w:r>
        <w:rPr>
          <w:color w:val="58595B"/>
          <w:spacing w:val="2"/>
          <w:sz w:val="12"/>
        </w:rPr>
        <w:t xml:space="preserve">currently </w:t>
      </w:r>
      <w:r>
        <w:rPr>
          <w:color w:val="58595B"/>
          <w:sz w:val="12"/>
        </w:rPr>
        <w:t>being reviewed but was last varied in 1999.</w:t>
      </w:r>
    </w:p>
    <w:p w14:paraId="78A32647" w14:textId="77777777" w:rsidR="00160E7F" w:rsidRDefault="00160E7F">
      <w:pPr>
        <w:spacing w:line="242" w:lineRule="auto"/>
        <w:rPr>
          <w:sz w:val="12"/>
        </w:rPr>
        <w:sectPr w:rsidR="00160E7F">
          <w:headerReference w:type="default" r:id="rId79"/>
          <w:pgSz w:w="11910" w:h="16840"/>
          <w:pgMar w:top="980" w:right="1680" w:bottom="280" w:left="0" w:header="788" w:footer="0" w:gutter="0"/>
          <w:cols w:space="720"/>
        </w:sectPr>
      </w:pPr>
    </w:p>
    <w:p w14:paraId="2600731F" w14:textId="77777777" w:rsidR="00160E7F" w:rsidRDefault="000638CB">
      <w:pPr>
        <w:spacing w:before="61"/>
        <w:jc w:val="right"/>
        <w:rPr>
          <w:sz w:val="15"/>
        </w:rPr>
      </w:pPr>
      <w:r>
        <w:lastRenderedPageBreak/>
        <w:pict w14:anchorId="7ED70740">
          <v:group id="_x0000_s1064" style="position:absolute;left:0;text-align:left;margin-left:0;margin-top:0;width:598.8pt;height:841.9pt;z-index:-89920;mso-position-horizontal-relative:page;mso-position-vertical-relative:page" coordsize="11976,16838">
            <v:shape id="_x0000_s1066" type="#_x0000_t75" style="position:absolute;width:11903;height:16838">
              <v:imagedata r:id="rId80" o:title=""/>
            </v:shape>
            <v:line id="_x0000_s1065" style="position:absolute" from="10700,917" to="11906,917" strokecolor="#0095a7" strokeweight="7pt"/>
            <w10:wrap anchorx="page" anchory="page"/>
          </v:group>
        </w:pict>
      </w:r>
      <w:r w:rsidR="002B0299">
        <w:rPr>
          <w:color w:val="FFFFFF"/>
          <w:sz w:val="15"/>
        </w:rPr>
        <w:t>CHAPTER 15</w:t>
      </w:r>
    </w:p>
    <w:p w14:paraId="7A4D3384" w14:textId="77777777" w:rsidR="00160E7F" w:rsidRDefault="002B0299">
      <w:pPr>
        <w:spacing w:before="61"/>
        <w:ind w:left="111"/>
        <w:rPr>
          <w:sz w:val="15"/>
        </w:rPr>
      </w:pPr>
      <w:r>
        <w:br w:type="column"/>
      </w:r>
      <w:r>
        <w:rPr>
          <w:color w:val="FFFFFF"/>
          <w:sz w:val="15"/>
        </w:rPr>
        <w:lastRenderedPageBreak/>
        <w:t>A NEW APPROACH TO STANDARD  SETTING</w:t>
      </w:r>
    </w:p>
    <w:p w14:paraId="7EBE4530" w14:textId="77777777" w:rsidR="00160E7F" w:rsidRDefault="002B0299">
      <w:pPr>
        <w:spacing w:before="61"/>
        <w:ind w:left="217"/>
        <w:rPr>
          <w:sz w:val="15"/>
        </w:rPr>
      </w:pPr>
      <w:r>
        <w:br w:type="column"/>
      </w:r>
      <w:r>
        <w:rPr>
          <w:color w:val="FFFFFF"/>
          <w:sz w:val="15"/>
        </w:rPr>
        <w:lastRenderedPageBreak/>
        <w:t>273</w:t>
      </w:r>
    </w:p>
    <w:p w14:paraId="6471348D" w14:textId="77777777" w:rsidR="00160E7F" w:rsidRDefault="00160E7F">
      <w:pPr>
        <w:rPr>
          <w:sz w:val="15"/>
        </w:rPr>
        <w:sectPr w:rsidR="00160E7F">
          <w:headerReference w:type="even" r:id="rId81"/>
          <w:pgSz w:w="11910" w:h="16840"/>
          <w:pgMar w:top="740" w:right="1300" w:bottom="280" w:left="1680" w:header="0" w:footer="0" w:gutter="0"/>
          <w:cols w:num="3" w:space="720" w:equalWidth="0">
            <w:col w:w="4871" w:space="40"/>
            <w:col w:w="3389" w:space="40"/>
            <w:col w:w="590"/>
          </w:cols>
        </w:sectPr>
      </w:pPr>
    </w:p>
    <w:p w14:paraId="65F9F7A3" w14:textId="77777777" w:rsidR="00160E7F" w:rsidRDefault="002B0299">
      <w:pPr>
        <w:pStyle w:val="BodyText"/>
        <w:ind w:right="-39"/>
      </w:pPr>
      <w:r>
        <w:rPr>
          <w:noProof/>
        </w:rPr>
        <w:lastRenderedPageBreak/>
        <w:drawing>
          <wp:inline distT="0" distB="0" distL="0" distR="0" wp14:anchorId="1A3E1425" wp14:editId="5A7B602E">
            <wp:extent cx="7559310" cy="10692384"/>
            <wp:effectExtent l="0" t="0" r="0" b="0"/>
            <wp:docPr id="2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jpeg"/>
                    <pic:cNvPicPr/>
                  </pic:nvPicPr>
                  <pic:blipFill>
                    <a:blip r:embed="rId22"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419E1011" w14:textId="77777777" w:rsidR="00160E7F" w:rsidRDefault="00160E7F">
      <w:pPr>
        <w:sectPr w:rsidR="00160E7F">
          <w:headerReference w:type="default" r:id="rId82"/>
          <w:pgSz w:w="11910" w:h="16840"/>
          <w:pgMar w:top="0" w:right="0" w:bottom="0" w:left="0" w:header="0" w:footer="0" w:gutter="0"/>
          <w:cols w:space="720"/>
        </w:sectPr>
      </w:pPr>
    </w:p>
    <w:p w14:paraId="67DB2C92" w14:textId="77777777" w:rsidR="00160E7F" w:rsidRDefault="000638CB">
      <w:pPr>
        <w:spacing w:before="61"/>
        <w:ind w:right="116"/>
        <w:jc w:val="right"/>
        <w:rPr>
          <w:sz w:val="15"/>
        </w:rPr>
      </w:pPr>
      <w:r>
        <w:lastRenderedPageBreak/>
        <w:pict w14:anchorId="02103CD7">
          <v:group id="_x0000_s1061" style="position:absolute;left:0;text-align:left;margin-left:.05pt;margin-top:0;width:598.7pt;height:841.9pt;z-index:-89896;mso-position-horizontal-relative:page;mso-position-vertical-relative:page" coordorigin="2" coordsize="11974,16838">
            <v:shape id="_x0000_s1063" type="#_x0000_t75" style="position:absolute;left:2;width:11904;height:16838">
              <v:imagedata r:id="rId83" o:title=""/>
            </v:shape>
            <v:line id="_x0000_s1062" style="position:absolute" from="10700,917" to="11906,917" strokecolor="#0095a7" strokeweight="7pt"/>
            <w10:wrap anchorx="page" anchory="page"/>
          </v:group>
        </w:pict>
      </w:r>
      <w:r w:rsidR="002B0299">
        <w:rPr>
          <w:color w:val="58595B"/>
          <w:sz w:val="15"/>
        </w:rPr>
        <w:t>275</w:t>
      </w:r>
    </w:p>
    <w:p w14:paraId="5E49D96B" w14:textId="77777777" w:rsidR="00160E7F" w:rsidRDefault="00160E7F">
      <w:pPr>
        <w:pStyle w:val="BodyText"/>
      </w:pPr>
    </w:p>
    <w:p w14:paraId="5226CBCA" w14:textId="77777777" w:rsidR="00160E7F" w:rsidRDefault="00160E7F">
      <w:pPr>
        <w:pStyle w:val="BodyText"/>
      </w:pPr>
    </w:p>
    <w:p w14:paraId="3564F021" w14:textId="77777777" w:rsidR="00160E7F" w:rsidRDefault="00160E7F">
      <w:pPr>
        <w:pStyle w:val="BodyText"/>
      </w:pPr>
    </w:p>
    <w:p w14:paraId="7C5D0377" w14:textId="77777777" w:rsidR="00160E7F" w:rsidRDefault="00160E7F">
      <w:pPr>
        <w:pStyle w:val="BodyText"/>
      </w:pPr>
    </w:p>
    <w:p w14:paraId="175AF880" w14:textId="77777777" w:rsidR="00160E7F" w:rsidRDefault="00160E7F">
      <w:pPr>
        <w:pStyle w:val="BodyText"/>
        <w:spacing w:before="5"/>
        <w:rPr>
          <w:sz w:val="17"/>
        </w:rPr>
      </w:pPr>
    </w:p>
    <w:p w14:paraId="17FBFB2D" w14:textId="77777777" w:rsidR="00160E7F" w:rsidRDefault="002B0299">
      <w:pPr>
        <w:pStyle w:val="Heading4"/>
        <w:spacing w:before="0"/>
        <w:ind w:left="134" w:right="822"/>
      </w:pPr>
      <w:r>
        <w:rPr>
          <w:color w:val="0095A7"/>
        </w:rPr>
        <w:t>CHAPTER 16</w:t>
      </w:r>
    </w:p>
    <w:p w14:paraId="38DFBB6C" w14:textId="77777777" w:rsidR="00160E7F" w:rsidRDefault="002B0299">
      <w:pPr>
        <w:spacing w:before="102" w:line="440" w:lineRule="exact"/>
        <w:ind w:left="134" w:right="3254"/>
        <w:rPr>
          <w:sz w:val="40"/>
        </w:rPr>
      </w:pPr>
      <w:r>
        <w:rPr>
          <w:color w:val="58595B"/>
          <w:spacing w:val="-12"/>
          <w:sz w:val="40"/>
        </w:rPr>
        <w:t xml:space="preserve">DEPLOYING </w:t>
      </w:r>
      <w:r>
        <w:rPr>
          <w:color w:val="58595B"/>
          <w:sz w:val="40"/>
        </w:rPr>
        <w:t xml:space="preserve">A </w:t>
      </w:r>
      <w:r>
        <w:rPr>
          <w:color w:val="58595B"/>
          <w:spacing w:val="-8"/>
          <w:sz w:val="40"/>
        </w:rPr>
        <w:t xml:space="preserve">WIDER </w:t>
      </w:r>
      <w:r>
        <w:rPr>
          <w:color w:val="58595B"/>
          <w:sz w:val="40"/>
        </w:rPr>
        <w:t xml:space="preserve">RANGE </w:t>
      </w:r>
      <w:r>
        <w:rPr>
          <w:color w:val="58595B"/>
          <w:spacing w:val="-4"/>
          <w:sz w:val="40"/>
        </w:rPr>
        <w:t xml:space="preserve">OF </w:t>
      </w:r>
      <w:r>
        <w:rPr>
          <w:color w:val="58595B"/>
          <w:spacing w:val="-9"/>
          <w:sz w:val="40"/>
        </w:rPr>
        <w:t>INSTRUMENTS</w:t>
      </w:r>
    </w:p>
    <w:p w14:paraId="7A260269" w14:textId="77777777" w:rsidR="00160E7F" w:rsidRDefault="00160E7F">
      <w:pPr>
        <w:spacing w:line="440" w:lineRule="exact"/>
        <w:rPr>
          <w:sz w:val="40"/>
        </w:rPr>
        <w:sectPr w:rsidR="00160E7F">
          <w:headerReference w:type="even" r:id="rId84"/>
          <w:pgSz w:w="11910" w:h="16840"/>
          <w:pgMar w:top="740" w:right="1300" w:bottom="280" w:left="1680" w:header="0" w:footer="0" w:gutter="0"/>
          <w:cols w:space="720"/>
        </w:sectPr>
      </w:pPr>
    </w:p>
    <w:p w14:paraId="1F3770BB" w14:textId="77777777" w:rsidR="00160E7F" w:rsidRDefault="00160E7F">
      <w:pPr>
        <w:pStyle w:val="BodyText"/>
      </w:pPr>
    </w:p>
    <w:p w14:paraId="2CEC6FB4" w14:textId="77777777" w:rsidR="00160E7F" w:rsidRDefault="00160E7F">
      <w:pPr>
        <w:pStyle w:val="BodyText"/>
      </w:pPr>
    </w:p>
    <w:p w14:paraId="058627F5" w14:textId="77777777" w:rsidR="00160E7F" w:rsidRDefault="00160E7F">
      <w:pPr>
        <w:pStyle w:val="BodyText"/>
      </w:pPr>
    </w:p>
    <w:p w14:paraId="06B79422" w14:textId="77777777" w:rsidR="00160E7F" w:rsidRDefault="00160E7F">
      <w:pPr>
        <w:pStyle w:val="BodyText"/>
      </w:pPr>
    </w:p>
    <w:p w14:paraId="4BBAA3AF" w14:textId="77777777" w:rsidR="00160E7F" w:rsidRDefault="002B0299">
      <w:pPr>
        <w:pStyle w:val="Heading2"/>
      </w:pPr>
      <w:r>
        <w:rPr>
          <w:color w:val="0095A7"/>
        </w:rPr>
        <w:t>DEPLOYING A WIDER RANGE OF INSTRUMENTS</w:t>
      </w:r>
    </w:p>
    <w:p w14:paraId="5226476A" w14:textId="77777777" w:rsidR="00160E7F" w:rsidRDefault="000638CB">
      <w:pPr>
        <w:pStyle w:val="BodyText"/>
        <w:spacing w:before="4"/>
        <w:rPr>
          <w:sz w:val="17"/>
        </w:rPr>
      </w:pPr>
      <w:r>
        <w:pict w14:anchorId="43FAB123">
          <v:shape id="_x0000_s1060" type="#_x0000_t202" style="position:absolute;margin-left:70.85pt;margin-top:11.2pt;width:432.7pt;height:163.5pt;z-index:2224;mso-wrap-distance-left:0;mso-wrap-distance-right:0;mso-position-horizontal-relative:page" fillcolor="#eff6f0" stroked="f">
            <v:textbox inset="0,0,0,0">
              <w:txbxContent>
                <w:p w14:paraId="42E3BF74" w14:textId="77777777" w:rsidR="00804E46" w:rsidRDefault="00804E46">
                  <w:pPr>
                    <w:spacing w:before="128"/>
                    <w:ind w:left="170" w:right="567"/>
                    <w:rPr>
                      <w:b/>
                      <w:sz w:val="20"/>
                    </w:rPr>
                  </w:pPr>
                  <w:r>
                    <w:rPr>
                      <w:b/>
                      <w:color w:val="0095A7"/>
                      <w:sz w:val="20"/>
                    </w:rPr>
                    <w:t>KEY MESSAGES</w:t>
                  </w:r>
                </w:p>
                <w:p w14:paraId="36349A7C" w14:textId="77777777" w:rsidR="00804E46" w:rsidRDefault="00804E46">
                  <w:pPr>
                    <w:pStyle w:val="BodyText"/>
                    <w:spacing w:before="153" w:line="280" w:lineRule="auto"/>
                    <w:ind w:left="170" w:right="567"/>
                  </w:pPr>
                  <w:r>
                    <w:rPr>
                      <w:color w:val="58595B"/>
                    </w:rPr>
                    <w:t>The EPA could enhance its current toolkit, with greater use of economic instruments and information regulation.</w:t>
                  </w:r>
                </w:p>
                <w:p w14:paraId="1B175C9E" w14:textId="77777777" w:rsidR="00804E46" w:rsidRDefault="00804E46">
                  <w:pPr>
                    <w:pStyle w:val="BodyText"/>
                    <w:spacing w:before="172" w:line="280" w:lineRule="auto"/>
                    <w:ind w:left="170" w:right="832"/>
                  </w:pPr>
                  <w:r>
                    <w:rPr>
                      <w:color w:val="58595B"/>
                    </w:rPr>
                    <w:t>Instruments should be outcome focused, economically efficient and provide appropriate incentives.</w:t>
                  </w:r>
                </w:p>
                <w:p w14:paraId="6A48DD82" w14:textId="77777777" w:rsidR="00804E46" w:rsidRDefault="00804E46">
                  <w:pPr>
                    <w:pStyle w:val="BodyText"/>
                    <w:spacing w:before="172" w:line="280" w:lineRule="auto"/>
                    <w:ind w:left="170" w:right="567"/>
                  </w:pPr>
                  <w:r>
                    <w:rPr>
                      <w:color w:val="58595B"/>
                    </w:rPr>
                    <w:t>The EPA must scan and assess risks from pollution and waste. It must identify and understand the problems inherent in managing risks.</w:t>
                  </w:r>
                </w:p>
                <w:p w14:paraId="0866A257" w14:textId="77777777" w:rsidR="00804E46" w:rsidRDefault="00804E46">
                  <w:pPr>
                    <w:pStyle w:val="BodyText"/>
                    <w:spacing w:before="172" w:line="280" w:lineRule="auto"/>
                    <w:ind w:left="170" w:right="214"/>
                  </w:pPr>
                  <w:r>
                    <w:rPr>
                      <w:color w:val="58595B"/>
                    </w:rPr>
                    <w:t>The EPA must be proactive in designing and testing new instruments, including by leveraging best practice developments across government.</w:t>
                  </w:r>
                </w:p>
              </w:txbxContent>
            </v:textbox>
            <w10:wrap type="topAndBottom" anchorx="page"/>
          </v:shape>
        </w:pict>
      </w:r>
    </w:p>
    <w:p w14:paraId="218E9B5B" w14:textId="77777777" w:rsidR="00160E7F" w:rsidRDefault="00160E7F">
      <w:pPr>
        <w:pStyle w:val="BodyText"/>
        <w:spacing w:before="7"/>
        <w:rPr>
          <w:sz w:val="28"/>
        </w:rPr>
      </w:pPr>
    </w:p>
    <w:p w14:paraId="76EAB079" w14:textId="77777777" w:rsidR="00160E7F" w:rsidRDefault="002B0299">
      <w:pPr>
        <w:pStyle w:val="ListParagraph"/>
        <w:numPr>
          <w:ilvl w:val="1"/>
          <w:numId w:val="18"/>
        </w:numPr>
        <w:tabs>
          <w:tab w:val="left" w:pos="1981"/>
        </w:tabs>
        <w:spacing w:before="69"/>
        <w:ind w:hanging="563"/>
        <w:jc w:val="left"/>
        <w:rPr>
          <w:sz w:val="24"/>
        </w:rPr>
      </w:pPr>
      <w:r>
        <w:rPr>
          <w:color w:val="0095A7"/>
          <w:sz w:val="24"/>
        </w:rPr>
        <w:t>Introduction</w:t>
      </w:r>
    </w:p>
    <w:p w14:paraId="2480F790" w14:textId="77777777" w:rsidR="00160E7F" w:rsidRDefault="002B0299">
      <w:pPr>
        <w:pStyle w:val="BodyText"/>
        <w:spacing w:before="145" w:line="280" w:lineRule="auto"/>
        <w:ind w:left="1417" w:right="343"/>
      </w:pPr>
      <w:r>
        <w:rPr>
          <w:color w:val="58595B"/>
        </w:rPr>
        <w:t>Identifying the risks and impacts from pollution and waste is a key task of the EPA, as reflected in two of our proposed legislative functions:</w:t>
      </w:r>
    </w:p>
    <w:p w14:paraId="02A60E7B" w14:textId="77777777" w:rsidR="00160E7F" w:rsidRDefault="002B0299">
      <w:pPr>
        <w:pStyle w:val="ListParagraph"/>
        <w:numPr>
          <w:ilvl w:val="0"/>
          <w:numId w:val="21"/>
        </w:numPr>
        <w:tabs>
          <w:tab w:val="left" w:pos="1588"/>
        </w:tabs>
        <w:spacing w:before="115"/>
        <w:ind w:hanging="170"/>
        <w:rPr>
          <w:sz w:val="20"/>
        </w:rPr>
      </w:pPr>
      <w:r>
        <w:rPr>
          <w:color w:val="58595B"/>
          <w:sz w:val="20"/>
        </w:rPr>
        <w:t>monitor and identify impacts and risks to public health and the</w:t>
      </w:r>
      <w:r>
        <w:rPr>
          <w:color w:val="58595B"/>
          <w:spacing w:val="2"/>
          <w:sz w:val="20"/>
        </w:rPr>
        <w:t xml:space="preserve"> </w:t>
      </w:r>
      <w:r>
        <w:rPr>
          <w:color w:val="58595B"/>
          <w:sz w:val="20"/>
        </w:rPr>
        <w:t>environment</w:t>
      </w:r>
    </w:p>
    <w:p w14:paraId="37863CE1" w14:textId="77777777" w:rsidR="00160E7F" w:rsidRDefault="002B0299">
      <w:pPr>
        <w:pStyle w:val="ListParagraph"/>
        <w:numPr>
          <w:ilvl w:val="0"/>
          <w:numId w:val="21"/>
        </w:numPr>
        <w:tabs>
          <w:tab w:val="left" w:pos="1588"/>
        </w:tabs>
        <w:spacing w:before="153"/>
        <w:ind w:hanging="170"/>
        <w:rPr>
          <w:sz w:val="20"/>
        </w:rPr>
      </w:pPr>
      <w:r>
        <w:rPr>
          <w:color w:val="58595B"/>
          <w:sz w:val="20"/>
        </w:rPr>
        <w:t>proactively adapt tools and instruments to prevent and reduce impacts and</w:t>
      </w:r>
      <w:r>
        <w:rPr>
          <w:color w:val="58595B"/>
          <w:spacing w:val="-9"/>
          <w:sz w:val="20"/>
        </w:rPr>
        <w:t xml:space="preserve"> </w:t>
      </w:r>
      <w:r>
        <w:rPr>
          <w:color w:val="58595B"/>
          <w:sz w:val="20"/>
        </w:rPr>
        <w:t>risks.</w:t>
      </w:r>
    </w:p>
    <w:p w14:paraId="33DA666C" w14:textId="77777777" w:rsidR="00160E7F" w:rsidRDefault="00160E7F">
      <w:pPr>
        <w:pStyle w:val="BodyText"/>
        <w:spacing w:before="3"/>
        <w:rPr>
          <w:sz w:val="18"/>
        </w:rPr>
      </w:pPr>
    </w:p>
    <w:p w14:paraId="5C98102E" w14:textId="4B68B36C" w:rsidR="00160E7F" w:rsidRDefault="002B0299">
      <w:pPr>
        <w:pStyle w:val="BodyText"/>
        <w:spacing w:line="280" w:lineRule="auto"/>
        <w:ind w:left="1417" w:right="131"/>
      </w:pPr>
      <w:r>
        <w:rPr>
          <w:color w:val="58595B"/>
          <w:spacing w:val="-8"/>
        </w:rPr>
        <w:t xml:space="preserve">To </w:t>
      </w:r>
      <w:r>
        <w:rPr>
          <w:color w:val="58595B"/>
        </w:rPr>
        <w:t xml:space="preserve">complete this task, the </w:t>
      </w:r>
      <w:r>
        <w:rPr>
          <w:color w:val="58595B"/>
          <w:spacing w:val="-4"/>
        </w:rPr>
        <w:t xml:space="preserve">EPA </w:t>
      </w:r>
      <w:r>
        <w:rPr>
          <w:color w:val="58595B"/>
        </w:rPr>
        <w:t>needs a risk-based approach to problem solving and responding</w:t>
      </w:r>
      <w:r w:rsidR="00223325">
        <w:rPr>
          <w:color w:val="58595B"/>
        </w:rPr>
        <w:br/>
      </w:r>
      <w:r>
        <w:rPr>
          <w:color w:val="58595B"/>
        </w:rPr>
        <w:t xml:space="preserve">to priority and emerging impacts and risks (chapter </w:t>
      </w:r>
      <w:r>
        <w:rPr>
          <w:color w:val="58595B"/>
          <w:spacing w:val="-9"/>
        </w:rPr>
        <w:t xml:space="preserve">11). </w:t>
      </w:r>
      <w:r>
        <w:rPr>
          <w:color w:val="58595B"/>
        </w:rPr>
        <w:t>And it must draw on the full range of tools, instruments and approaches at its disposal to implement proportionate responses to pollution and waste impacts. It should consider innovative approaches to tackling pollution and waste, including greater use of economic instruments and data, information and</w:t>
      </w:r>
      <w:r>
        <w:rPr>
          <w:color w:val="58595B"/>
          <w:spacing w:val="-3"/>
        </w:rPr>
        <w:t xml:space="preserve"> </w:t>
      </w:r>
      <w:r>
        <w:rPr>
          <w:color w:val="58595B"/>
        </w:rPr>
        <w:t>technology.</w:t>
      </w:r>
    </w:p>
    <w:p w14:paraId="50B19179" w14:textId="77777777" w:rsidR="00160E7F" w:rsidRDefault="002B0299">
      <w:pPr>
        <w:pStyle w:val="BodyText"/>
        <w:spacing w:before="172" w:line="280" w:lineRule="auto"/>
        <w:ind w:left="1417" w:right="96"/>
      </w:pPr>
      <w:r>
        <w:rPr>
          <w:color w:val="58595B"/>
        </w:rPr>
        <w:t xml:space="preserve">We identified a range of opportunities to better prevent risks of harm (chapter </w:t>
      </w:r>
      <w:r>
        <w:rPr>
          <w:color w:val="58595B"/>
          <w:spacing w:val="-6"/>
        </w:rPr>
        <w:t xml:space="preserve">12) </w:t>
      </w:r>
      <w:r>
        <w:rPr>
          <w:color w:val="58595B"/>
        </w:rPr>
        <w:t xml:space="preserve">and to hold polluters to account (chapter </w:t>
      </w:r>
      <w:r>
        <w:rPr>
          <w:color w:val="58595B"/>
          <w:spacing w:val="-5"/>
        </w:rPr>
        <w:t xml:space="preserve">13). </w:t>
      </w:r>
      <w:r>
        <w:rPr>
          <w:color w:val="58595B"/>
        </w:rPr>
        <w:t xml:space="preserve">Keeping standards up to date (chapter </w:t>
      </w:r>
      <w:r>
        <w:rPr>
          <w:color w:val="58595B"/>
          <w:spacing w:val="-4"/>
        </w:rPr>
        <w:t xml:space="preserve">15) </w:t>
      </w:r>
      <w:r>
        <w:rPr>
          <w:color w:val="58595B"/>
        </w:rPr>
        <w:t xml:space="preserve">and reviewing operating conditions for licences </w:t>
      </w:r>
      <w:r>
        <w:rPr>
          <w:color w:val="58595B"/>
          <w:spacing w:val="-3"/>
        </w:rPr>
        <w:t>(chapter</w:t>
      </w:r>
      <w:r>
        <w:rPr>
          <w:color w:val="58595B"/>
          <w:spacing w:val="-7"/>
        </w:rPr>
        <w:t xml:space="preserve"> 12) </w:t>
      </w:r>
      <w:r>
        <w:rPr>
          <w:color w:val="58595B"/>
        </w:rPr>
        <w:t xml:space="preserve">will support the </w:t>
      </w:r>
      <w:r>
        <w:rPr>
          <w:color w:val="58595B"/>
          <w:spacing w:val="-3"/>
        </w:rPr>
        <w:t xml:space="preserve">improvement over </w:t>
      </w:r>
      <w:r>
        <w:rPr>
          <w:color w:val="58595B"/>
        </w:rPr>
        <w:t xml:space="preserve">time of businesses’ </w:t>
      </w:r>
      <w:r>
        <w:rPr>
          <w:color w:val="58595B"/>
          <w:spacing w:val="-3"/>
        </w:rPr>
        <w:t xml:space="preserve">environmental </w:t>
      </w:r>
      <w:r>
        <w:rPr>
          <w:color w:val="58595B"/>
        </w:rPr>
        <w:t xml:space="preserve">performance </w:t>
      </w:r>
      <w:r>
        <w:rPr>
          <w:color w:val="58595B"/>
          <w:spacing w:val="-3"/>
        </w:rPr>
        <w:t xml:space="preserve">(another </w:t>
      </w:r>
      <w:r>
        <w:rPr>
          <w:color w:val="58595B"/>
        </w:rPr>
        <w:t xml:space="preserve">proposed legislated </w:t>
      </w:r>
      <w:r>
        <w:rPr>
          <w:color w:val="58595B"/>
          <w:spacing w:val="-3"/>
        </w:rPr>
        <w:t xml:space="preserve">function). </w:t>
      </w:r>
      <w:r>
        <w:rPr>
          <w:color w:val="58595B"/>
        </w:rPr>
        <w:t xml:space="preserve">One aspect of this last function is supporting businesses to </w:t>
      </w:r>
      <w:r>
        <w:rPr>
          <w:color w:val="58595B"/>
          <w:spacing w:val="-3"/>
        </w:rPr>
        <w:t xml:space="preserve">move </w:t>
      </w:r>
      <w:r>
        <w:rPr>
          <w:color w:val="58595B"/>
        </w:rPr>
        <w:t>‘beyond compliance’.</w:t>
      </w:r>
    </w:p>
    <w:p w14:paraId="4726A3DA" w14:textId="77777777" w:rsidR="00160E7F" w:rsidRDefault="002B0299">
      <w:pPr>
        <w:pStyle w:val="BodyText"/>
        <w:spacing w:before="172" w:line="280" w:lineRule="auto"/>
        <w:ind w:left="1417" w:right="301"/>
      </w:pPr>
      <w:r>
        <w:rPr>
          <w:color w:val="58595B"/>
        </w:rPr>
        <w:t xml:space="preserve">We also examine environmental improvement plans </w:t>
      </w:r>
      <w:r>
        <w:rPr>
          <w:color w:val="58595B"/>
          <w:spacing w:val="-3"/>
        </w:rPr>
        <w:t xml:space="preserve">(EIPs), </w:t>
      </w:r>
      <w:r>
        <w:rPr>
          <w:color w:val="58595B"/>
        </w:rPr>
        <w:t>which are used in New South Wales to encourage licensees to take actions that lead to environmental improvements or a reduction in pollution. Licensees voluntarily undertake a program of actions to improve environmental outcomes in a negotiated timeframe, in consultation with the NSW EPA. EIPs are</w:t>
      </w:r>
      <w:r>
        <w:rPr>
          <w:color w:val="58595B"/>
          <w:spacing w:val="5"/>
        </w:rPr>
        <w:t xml:space="preserve"> </w:t>
      </w:r>
      <w:r>
        <w:rPr>
          <w:color w:val="58595B"/>
        </w:rPr>
        <w:t>attached</w:t>
      </w:r>
    </w:p>
    <w:p w14:paraId="3068B451" w14:textId="77777777" w:rsidR="00160E7F" w:rsidRDefault="002B0299">
      <w:pPr>
        <w:pStyle w:val="BodyText"/>
        <w:spacing w:before="2" w:line="280" w:lineRule="auto"/>
        <w:ind w:left="1417" w:right="185"/>
        <w:rPr>
          <w:sz w:val="11"/>
        </w:rPr>
      </w:pPr>
      <w:r>
        <w:rPr>
          <w:color w:val="58595B"/>
        </w:rPr>
        <w:t>as conditions of a licence and are therefore enforceable. EIPs are intended to encourage environmental improvements by providing a potential financial incentive through reduced licence administration fees.</w:t>
      </w:r>
      <w:r>
        <w:rPr>
          <w:color w:val="58595B"/>
          <w:position w:val="7"/>
          <w:sz w:val="11"/>
        </w:rPr>
        <w:t xml:space="preserve">1 </w:t>
      </w:r>
      <w:r>
        <w:rPr>
          <w:color w:val="58595B"/>
        </w:rPr>
        <w:t>In other jurisdictions, EIPs have been used to improve the performance of ‘poor performers’.</w:t>
      </w:r>
      <w:r>
        <w:rPr>
          <w:color w:val="58595B"/>
          <w:position w:val="7"/>
          <w:sz w:val="11"/>
        </w:rPr>
        <w:t>2</w:t>
      </w:r>
    </w:p>
    <w:p w14:paraId="3BDA6443" w14:textId="77777777" w:rsidR="00160E7F" w:rsidRDefault="002B0299">
      <w:pPr>
        <w:pStyle w:val="BodyText"/>
        <w:spacing w:before="172" w:line="280" w:lineRule="auto"/>
        <w:ind w:left="1417" w:right="223"/>
      </w:pPr>
      <w:r>
        <w:rPr>
          <w:color w:val="58595B"/>
        </w:rPr>
        <w:t xml:space="preserve">As part of the overhaul of the EP Act, the government should consider appropriate mechanisms for supporting ‘beyond compliance’ actions. The </w:t>
      </w:r>
      <w:r>
        <w:rPr>
          <w:color w:val="58595B"/>
          <w:spacing w:val="-4"/>
        </w:rPr>
        <w:t xml:space="preserve">EPA </w:t>
      </w:r>
      <w:r>
        <w:rPr>
          <w:color w:val="58595B"/>
        </w:rPr>
        <w:t>commenced an ‘earned autonomy’ pilot program involving 23 licensed sites. The program’s aim is to encourage, recognise and reward superior environmental performance.</w:t>
      </w:r>
      <w:r>
        <w:rPr>
          <w:color w:val="58595B"/>
          <w:position w:val="7"/>
          <w:sz w:val="11"/>
        </w:rPr>
        <w:t xml:space="preserve">3 </w:t>
      </w:r>
      <w:r>
        <w:rPr>
          <w:color w:val="58595B"/>
        </w:rPr>
        <w:t>There could be consideration of providing a statutory basis for the earned autonomy program or other mechanisms for encouraging beyond compliance, such as</w:t>
      </w:r>
      <w:r>
        <w:rPr>
          <w:color w:val="58595B"/>
          <w:spacing w:val="-4"/>
        </w:rPr>
        <w:t xml:space="preserve"> </w:t>
      </w:r>
      <w:r>
        <w:rPr>
          <w:color w:val="58595B"/>
        </w:rPr>
        <w:t>EIPs.</w:t>
      </w:r>
    </w:p>
    <w:p w14:paraId="44453A34" w14:textId="77777777" w:rsidR="00160E7F" w:rsidRDefault="00160E7F">
      <w:pPr>
        <w:spacing w:line="280" w:lineRule="auto"/>
        <w:sectPr w:rsidR="00160E7F">
          <w:headerReference w:type="even" r:id="rId85"/>
          <w:headerReference w:type="default" r:id="rId86"/>
          <w:pgSz w:w="11910" w:h="16840"/>
          <w:pgMar w:top="980" w:right="1680" w:bottom="280" w:left="0" w:header="788" w:footer="0" w:gutter="0"/>
          <w:pgNumType w:start="276"/>
          <w:cols w:space="720"/>
        </w:sectPr>
      </w:pPr>
    </w:p>
    <w:p w14:paraId="2ED6AAE4" w14:textId="77777777" w:rsidR="00160E7F" w:rsidRDefault="00160E7F">
      <w:pPr>
        <w:pStyle w:val="BodyText"/>
      </w:pPr>
    </w:p>
    <w:p w14:paraId="7C66CA09" w14:textId="77777777" w:rsidR="00160E7F" w:rsidRDefault="00160E7F">
      <w:pPr>
        <w:pStyle w:val="BodyText"/>
      </w:pPr>
    </w:p>
    <w:p w14:paraId="0E61B9FA" w14:textId="77777777" w:rsidR="00160E7F" w:rsidRDefault="00160E7F">
      <w:pPr>
        <w:pStyle w:val="BodyText"/>
      </w:pPr>
    </w:p>
    <w:p w14:paraId="5628654A" w14:textId="77777777" w:rsidR="00160E7F" w:rsidRDefault="00160E7F">
      <w:pPr>
        <w:pStyle w:val="BodyText"/>
      </w:pPr>
    </w:p>
    <w:p w14:paraId="66C2ADEF" w14:textId="77777777" w:rsidR="00160E7F" w:rsidRDefault="002B0299">
      <w:pPr>
        <w:pStyle w:val="Heading3"/>
        <w:numPr>
          <w:ilvl w:val="1"/>
          <w:numId w:val="18"/>
        </w:numPr>
        <w:tabs>
          <w:tab w:val="left" w:pos="726"/>
        </w:tabs>
        <w:ind w:left="725" w:hanging="591"/>
        <w:jc w:val="left"/>
      </w:pPr>
      <w:r>
        <w:rPr>
          <w:color w:val="0095A7"/>
        </w:rPr>
        <w:t>Economic</w:t>
      </w:r>
      <w:r>
        <w:rPr>
          <w:color w:val="0095A7"/>
          <w:spacing w:val="16"/>
        </w:rPr>
        <w:t xml:space="preserve"> </w:t>
      </w:r>
      <w:r>
        <w:rPr>
          <w:color w:val="0095A7"/>
        </w:rPr>
        <w:t>instruments</w:t>
      </w:r>
    </w:p>
    <w:p w14:paraId="559792CC" w14:textId="77777777" w:rsidR="00160E7F" w:rsidRDefault="002B0299">
      <w:pPr>
        <w:pStyle w:val="BodyText"/>
        <w:spacing w:before="145" w:line="280" w:lineRule="auto"/>
        <w:ind w:left="134" w:right="1494"/>
      </w:pPr>
      <w:r>
        <w:rPr>
          <w:color w:val="58595B"/>
        </w:rPr>
        <w:t>The EP Act provides the EPA with power to develop economic instruments, including tradeable permits and environmental offsets.</w:t>
      </w:r>
      <w:r>
        <w:rPr>
          <w:color w:val="58595B"/>
          <w:position w:val="7"/>
          <w:sz w:val="11"/>
        </w:rPr>
        <w:t xml:space="preserve">4 </w:t>
      </w:r>
      <w:r>
        <w:rPr>
          <w:color w:val="58595B"/>
        </w:rPr>
        <w:t>The EPA has seldom, if ever, used these powers. We consider that economic instruments can be a valuable tool and should be more actively considered by the EPA, working with other agencies with relevant expertise, and the</w:t>
      </w:r>
    </w:p>
    <w:p w14:paraId="32E7884F" w14:textId="77777777" w:rsidR="00160E7F" w:rsidRDefault="002B0299">
      <w:pPr>
        <w:pStyle w:val="BodyText"/>
        <w:spacing w:before="2"/>
        <w:ind w:left="134" w:right="789"/>
        <w:rPr>
          <w:sz w:val="11"/>
        </w:rPr>
      </w:pPr>
      <w:r>
        <w:rPr>
          <w:color w:val="58595B"/>
        </w:rPr>
        <w:t>Victorian Government.</w:t>
      </w:r>
      <w:r>
        <w:rPr>
          <w:color w:val="58595B"/>
          <w:position w:val="7"/>
          <w:sz w:val="11"/>
        </w:rPr>
        <w:t>5</w:t>
      </w:r>
    </w:p>
    <w:p w14:paraId="7764FD43" w14:textId="77777777" w:rsidR="00160E7F" w:rsidRDefault="00160E7F">
      <w:pPr>
        <w:pStyle w:val="BodyText"/>
        <w:spacing w:before="3"/>
        <w:rPr>
          <w:sz w:val="18"/>
        </w:rPr>
      </w:pPr>
    </w:p>
    <w:p w14:paraId="7854E6E0" w14:textId="77777777" w:rsidR="00160E7F" w:rsidRDefault="002B0299">
      <w:pPr>
        <w:pStyle w:val="BodyText"/>
        <w:spacing w:line="280" w:lineRule="auto"/>
        <w:ind w:left="134" w:right="1583"/>
      </w:pPr>
      <w:r>
        <w:rPr>
          <w:color w:val="58595B"/>
        </w:rPr>
        <w:t>Economic instruments provide positive or negative incentives to incorporate environmental costs and benefits into the decisions businesses and households make. Pollution and waste are byproducts of decisions made by businesses or households, but businesses and households</w:t>
      </w:r>
      <w:r>
        <w:rPr>
          <w:color w:val="58595B"/>
          <w:spacing w:val="-2"/>
        </w:rPr>
        <w:t xml:space="preserve"> </w:t>
      </w:r>
      <w:r>
        <w:rPr>
          <w:color w:val="58595B"/>
        </w:rPr>
        <w:t>do</w:t>
      </w:r>
    </w:p>
    <w:p w14:paraId="6C2A232C" w14:textId="77777777" w:rsidR="00160E7F" w:rsidRDefault="002B0299">
      <w:pPr>
        <w:pStyle w:val="BodyText"/>
        <w:spacing w:before="2" w:line="280" w:lineRule="auto"/>
        <w:ind w:left="134" w:right="789"/>
      </w:pPr>
      <w:r>
        <w:rPr>
          <w:color w:val="58595B"/>
        </w:rPr>
        <w:t>not account for the ‘external’ impacts on others. Economic instruments are designed to make the ‘external’ impacts of pollution and waste ‘internal’ to decision making processes.</w:t>
      </w:r>
    </w:p>
    <w:p w14:paraId="27943C4E" w14:textId="77777777" w:rsidR="00160E7F" w:rsidRDefault="002B0299">
      <w:pPr>
        <w:pStyle w:val="BodyText"/>
        <w:spacing w:before="172" w:line="280" w:lineRule="auto"/>
        <w:ind w:left="134" w:right="1526"/>
      </w:pPr>
      <w:r>
        <w:rPr>
          <w:color w:val="58595B"/>
        </w:rPr>
        <w:t>Pollution and waste issues are also often associated with information problems, which can make it difficult to identify and quantify the nature and cost of pollution or waste.</w:t>
      </w:r>
    </w:p>
    <w:p w14:paraId="7CDA56C5" w14:textId="77777777" w:rsidR="00160E7F" w:rsidRDefault="002B0299">
      <w:pPr>
        <w:pStyle w:val="BodyText"/>
        <w:spacing w:before="172" w:line="280" w:lineRule="auto"/>
        <w:ind w:left="134" w:right="1667"/>
      </w:pPr>
      <w:r>
        <w:rPr>
          <w:color w:val="58595B"/>
        </w:rPr>
        <w:t>Command and control measures mandate a certain process or level of abatement, regardless of the cost to each business. Economic instruments aim to provide incentives for businesses to</w:t>
      </w:r>
    </w:p>
    <w:p w14:paraId="5F3FCCFC" w14:textId="77777777" w:rsidR="00160E7F" w:rsidRDefault="002B0299">
      <w:pPr>
        <w:pStyle w:val="BodyText"/>
        <w:spacing w:before="2" w:line="280" w:lineRule="auto"/>
        <w:ind w:left="134" w:right="1470"/>
      </w:pPr>
      <w:r>
        <w:rPr>
          <w:color w:val="58595B"/>
        </w:rPr>
        <w:t>abate based on their individual cost of abatement and their emissions. In the right circumstances, well-designed economic instruments can deliver abatement at a lower cost than command and control measures. They provide ongoing incentives for continuous improvement and innovation. Most economic instruments involve measuring the amount of pollution or waste and then imposing a cost or charge per unit. This approach not only internalises the cost to the producer, but also allows the regulator to evaluate the effectiveness of the instrument, and improve the instrument’s design if necessary.</w:t>
      </w:r>
    </w:p>
    <w:p w14:paraId="2DA7BE7C" w14:textId="77777777" w:rsidR="00160E7F" w:rsidRDefault="002B0299">
      <w:pPr>
        <w:pStyle w:val="BodyText"/>
        <w:spacing w:before="172" w:line="280" w:lineRule="auto"/>
        <w:ind w:left="134" w:right="1937"/>
      </w:pPr>
      <w:r>
        <w:rPr>
          <w:color w:val="58595B"/>
        </w:rPr>
        <w:t>There are a range of different types of economic instruments, including pollution charges and levies, offsets and tradeable permits. Individual instruments can vary significantly within these broad categories, depending on the nature of the problem. Each instrument must</w:t>
      </w:r>
      <w:r>
        <w:rPr>
          <w:color w:val="58595B"/>
          <w:spacing w:val="7"/>
        </w:rPr>
        <w:t xml:space="preserve"> </w:t>
      </w:r>
      <w:r>
        <w:rPr>
          <w:color w:val="58595B"/>
        </w:rPr>
        <w:t>be</w:t>
      </w:r>
    </w:p>
    <w:p w14:paraId="174353D8" w14:textId="77777777" w:rsidR="00160E7F" w:rsidRDefault="002B0299">
      <w:pPr>
        <w:pStyle w:val="BodyText"/>
        <w:spacing w:before="2" w:line="280" w:lineRule="auto"/>
        <w:ind w:left="134" w:right="1433"/>
      </w:pPr>
      <w:r>
        <w:rPr>
          <w:color w:val="58595B"/>
        </w:rPr>
        <w:t>designed to suit the problem at hand. Otherwise, the instrument may not work and may create perverse outcomes.</w:t>
      </w:r>
    </w:p>
    <w:p w14:paraId="0CF4532C" w14:textId="77777777" w:rsidR="00160E7F" w:rsidRDefault="00160E7F">
      <w:pPr>
        <w:pStyle w:val="BodyText"/>
        <w:spacing w:before="4"/>
        <w:rPr>
          <w:sz w:val="22"/>
        </w:rPr>
      </w:pPr>
    </w:p>
    <w:p w14:paraId="14278053" w14:textId="77777777" w:rsidR="00160E7F" w:rsidRDefault="002B0299">
      <w:pPr>
        <w:pStyle w:val="ListParagraph"/>
        <w:numPr>
          <w:ilvl w:val="2"/>
          <w:numId w:val="18"/>
        </w:numPr>
        <w:tabs>
          <w:tab w:val="left" w:pos="773"/>
        </w:tabs>
        <w:spacing w:before="0"/>
        <w:jc w:val="left"/>
        <w:rPr>
          <w:sz w:val="20"/>
        </w:rPr>
      </w:pPr>
      <w:r>
        <w:rPr>
          <w:color w:val="0095A7"/>
          <w:sz w:val="20"/>
        </w:rPr>
        <w:t>Pollution</w:t>
      </w:r>
      <w:r>
        <w:rPr>
          <w:color w:val="0095A7"/>
          <w:spacing w:val="3"/>
          <w:sz w:val="20"/>
        </w:rPr>
        <w:t xml:space="preserve"> </w:t>
      </w:r>
      <w:r>
        <w:rPr>
          <w:color w:val="0095A7"/>
          <w:sz w:val="20"/>
        </w:rPr>
        <w:t>charges</w:t>
      </w:r>
    </w:p>
    <w:p w14:paraId="4A72B29D" w14:textId="77777777" w:rsidR="00160E7F" w:rsidRDefault="002B0299">
      <w:pPr>
        <w:pStyle w:val="BodyText"/>
        <w:spacing w:before="153" w:line="280" w:lineRule="auto"/>
        <w:ind w:left="134" w:right="1500"/>
      </w:pPr>
      <w:r>
        <w:rPr>
          <w:color w:val="58595B"/>
        </w:rPr>
        <w:t>We recommend amending the EP Act to facilitate a load-based licensing scheme. This approach involves allowing licence fees to be set at a level beyond cost-recovery and removing the fee caps in the EP Act.</w:t>
      </w:r>
    </w:p>
    <w:p w14:paraId="2D3B0F4C" w14:textId="77777777" w:rsidR="00160E7F" w:rsidRDefault="002B0299">
      <w:pPr>
        <w:pStyle w:val="BodyText"/>
        <w:spacing w:before="172" w:line="280" w:lineRule="auto"/>
        <w:ind w:left="134" w:right="1433"/>
      </w:pPr>
      <w:r>
        <w:rPr>
          <w:color w:val="58595B"/>
        </w:rPr>
        <w:t>Levies on pollutant emissions are often advocated as an incentive for businesses to reduce pollution where they can do so cost effectively (box 16.1). Without an emissions charge (or an abatement subsidy), firms face no economic incentive to reduce pollution. By contrast, levying an emissions charge creates an incentive for profit-maximising businesses to reduce their emissions to avoid or lessen the cost of the charge. Businesses have an incentive to abate their pollution or waste to the point where abatement costs exceed the charge. In some instances, this approach can deliver abatement at lower cost than command and control measures – businesses with</w:t>
      </w:r>
    </w:p>
    <w:p w14:paraId="4DC69D6B" w14:textId="77777777" w:rsidR="00160E7F" w:rsidRDefault="002B0299">
      <w:pPr>
        <w:pStyle w:val="BodyText"/>
        <w:spacing w:before="2"/>
        <w:ind w:left="134" w:right="789"/>
      </w:pPr>
      <w:r>
        <w:rPr>
          <w:color w:val="58595B"/>
        </w:rPr>
        <w:t>a lower cost of abatement have an incentive to reduce pollution further than the average level.</w:t>
      </w:r>
    </w:p>
    <w:p w14:paraId="5791DE4C" w14:textId="77777777" w:rsidR="00160E7F" w:rsidRDefault="00160E7F">
      <w:pPr>
        <w:sectPr w:rsidR="00160E7F">
          <w:pgSz w:w="11910" w:h="16840"/>
          <w:pgMar w:top="980" w:right="0" w:bottom="280" w:left="1680" w:header="788" w:footer="0" w:gutter="0"/>
          <w:cols w:space="720"/>
        </w:sectPr>
      </w:pPr>
    </w:p>
    <w:p w14:paraId="1209EDF1" w14:textId="77777777" w:rsidR="00160E7F" w:rsidRDefault="00160E7F">
      <w:pPr>
        <w:pStyle w:val="BodyText"/>
      </w:pPr>
    </w:p>
    <w:p w14:paraId="21F9F259" w14:textId="77777777" w:rsidR="00160E7F" w:rsidRDefault="00160E7F">
      <w:pPr>
        <w:pStyle w:val="BodyText"/>
      </w:pPr>
    </w:p>
    <w:p w14:paraId="0CD2F1DD" w14:textId="77777777" w:rsidR="00160E7F" w:rsidRDefault="00160E7F">
      <w:pPr>
        <w:pStyle w:val="BodyText"/>
      </w:pPr>
    </w:p>
    <w:p w14:paraId="1395613D" w14:textId="77777777" w:rsidR="00160E7F" w:rsidRDefault="00160E7F">
      <w:pPr>
        <w:pStyle w:val="BodyText"/>
      </w:pPr>
    </w:p>
    <w:p w14:paraId="64C00C3E" w14:textId="77777777" w:rsidR="00160E7F" w:rsidRDefault="00160E7F">
      <w:pPr>
        <w:pStyle w:val="BodyText"/>
        <w:spacing w:before="1"/>
        <w:rPr>
          <w:sz w:val="26"/>
        </w:rPr>
      </w:pPr>
    </w:p>
    <w:p w14:paraId="36A2915F" w14:textId="77777777" w:rsidR="00160E7F" w:rsidRDefault="000638CB">
      <w:pPr>
        <w:pStyle w:val="BodyText"/>
        <w:spacing w:before="74"/>
        <w:ind w:left="1587" w:right="789"/>
      </w:pPr>
      <w:r>
        <w:pict w14:anchorId="036A6BEE">
          <v:rect id="_x0000_s1059" style="position:absolute;left:0;text-align:left;margin-left:70.85pt;margin-top:-2.7pt;width:433.7pt;height:630.9pt;z-index:-89848;mso-position-horizontal-relative:page" fillcolor="#eaf2f3" stroked="f">
            <w10:wrap anchorx="page"/>
          </v:rect>
        </w:pict>
      </w:r>
      <w:r w:rsidR="002B0299">
        <w:rPr>
          <w:b/>
          <w:color w:val="0095A7"/>
        </w:rPr>
        <w:t xml:space="preserve">BOX 16.1 </w:t>
      </w:r>
      <w:r w:rsidR="002B0299">
        <w:rPr>
          <w:color w:val="0095A7"/>
        </w:rPr>
        <w:t>DESIGN PRINCIPLES FOR POLLUTION CHARGES</w:t>
      </w:r>
    </w:p>
    <w:p w14:paraId="15AFC41A" w14:textId="77777777" w:rsidR="00160E7F" w:rsidRDefault="00160E7F">
      <w:pPr>
        <w:pStyle w:val="BodyText"/>
        <w:spacing w:before="9"/>
        <w:rPr>
          <w:sz w:val="15"/>
        </w:rPr>
      </w:pPr>
    </w:p>
    <w:p w14:paraId="1302E414" w14:textId="77777777" w:rsidR="00160E7F" w:rsidRDefault="002B0299">
      <w:pPr>
        <w:pStyle w:val="BodyText"/>
        <w:ind w:left="1587" w:right="789"/>
      </w:pPr>
      <w:r>
        <w:rPr>
          <w:color w:val="6D6E71"/>
        </w:rPr>
        <w:t>Pollution charges should directly target environmental damage</w:t>
      </w:r>
    </w:p>
    <w:p w14:paraId="70F48371" w14:textId="77777777" w:rsidR="00160E7F" w:rsidRDefault="002B0299">
      <w:pPr>
        <w:pStyle w:val="BodyText"/>
        <w:spacing w:before="125" w:line="280" w:lineRule="auto"/>
        <w:ind w:left="1587" w:right="438"/>
      </w:pPr>
      <w:r>
        <w:rPr>
          <w:color w:val="58595B"/>
        </w:rPr>
        <w:t>An environmental charge should generally be levied as directly as possible on the pollutant or action causing the environmental damage, with the relationship between the pollutant and the damage established scientifically. In some cases, a proxy for the polluting activity can be used. For</w:t>
      </w:r>
      <w:r>
        <w:rPr>
          <w:color w:val="58595B"/>
          <w:spacing w:val="-15"/>
        </w:rPr>
        <w:t xml:space="preserve"> </w:t>
      </w:r>
      <w:r>
        <w:rPr>
          <w:color w:val="58595B"/>
        </w:rPr>
        <w:t>example:</w:t>
      </w:r>
    </w:p>
    <w:p w14:paraId="6F637E62" w14:textId="6DC8DEFC" w:rsidR="00160E7F" w:rsidRDefault="002B0299">
      <w:pPr>
        <w:spacing w:before="172" w:line="280" w:lineRule="auto"/>
        <w:ind w:left="2154" w:right="912"/>
        <w:rPr>
          <w:i/>
          <w:sz w:val="20"/>
        </w:rPr>
      </w:pPr>
      <w:r>
        <w:rPr>
          <w:i/>
          <w:color w:val="231F20"/>
          <w:sz w:val="20"/>
        </w:rPr>
        <w:t>[Because] the release of carbon into the atmosp</w:t>
      </w:r>
      <w:r w:rsidR="00223325">
        <w:rPr>
          <w:i/>
          <w:color w:val="231F20"/>
          <w:sz w:val="20"/>
        </w:rPr>
        <w:t>here is highly correlated with</w:t>
      </w:r>
      <w:r w:rsidR="00223325">
        <w:rPr>
          <w:i/>
          <w:color w:val="231F20"/>
          <w:sz w:val="20"/>
        </w:rPr>
        <w:br/>
      </w:r>
      <w:r>
        <w:rPr>
          <w:i/>
          <w:color w:val="231F20"/>
          <w:sz w:val="20"/>
        </w:rPr>
        <w:t>fuel use, … taxes on motor vehicle fuels are efficient proxies for taxing CO2 emissions, since the CO2 intensity of petrol and diesel combustion is essentially fixed. These taxes can also be collected efficiently at the level of the refinery or wholesaler. By contrast, for pollutants such as NOx emissions, where the level</w:t>
      </w:r>
      <w:r>
        <w:rPr>
          <w:i/>
          <w:color w:val="231F20"/>
          <w:spacing w:val="-22"/>
          <w:sz w:val="20"/>
        </w:rPr>
        <w:t xml:space="preserve"> </w:t>
      </w:r>
      <w:r>
        <w:rPr>
          <w:i/>
          <w:color w:val="231F20"/>
          <w:sz w:val="20"/>
        </w:rPr>
        <w:t>of</w:t>
      </w:r>
    </w:p>
    <w:p w14:paraId="56F46B03" w14:textId="77777777" w:rsidR="00160E7F" w:rsidRDefault="002B0299">
      <w:pPr>
        <w:spacing w:before="2" w:line="280" w:lineRule="auto"/>
        <w:ind w:left="2154" w:right="789"/>
        <w:rPr>
          <w:sz w:val="11"/>
        </w:rPr>
      </w:pPr>
      <w:r>
        <w:rPr>
          <w:i/>
          <w:color w:val="231F20"/>
          <w:sz w:val="20"/>
        </w:rPr>
        <w:t>emissions varies across different combustion processes, levying the tax at higher levels of the supply chain would not treat the full range of solutions equally.</w:t>
      </w:r>
      <w:r>
        <w:rPr>
          <w:color w:val="231F20"/>
          <w:position w:val="7"/>
          <w:sz w:val="11"/>
        </w:rPr>
        <w:t>6</w:t>
      </w:r>
    </w:p>
    <w:p w14:paraId="79BA4434" w14:textId="77777777" w:rsidR="00160E7F" w:rsidRDefault="00160E7F">
      <w:pPr>
        <w:pStyle w:val="BodyText"/>
        <w:spacing w:before="10"/>
        <w:rPr>
          <w:sz w:val="19"/>
        </w:rPr>
      </w:pPr>
    </w:p>
    <w:p w14:paraId="79D7713A" w14:textId="77777777" w:rsidR="00160E7F" w:rsidRDefault="002B0299">
      <w:pPr>
        <w:ind w:left="1587" w:right="789"/>
        <w:rPr>
          <w:i/>
          <w:sz w:val="20"/>
        </w:rPr>
      </w:pPr>
      <w:r>
        <w:rPr>
          <w:i/>
          <w:color w:val="6D6E71"/>
          <w:sz w:val="20"/>
        </w:rPr>
        <w:t>Emissions must be able to be measured reliably and at reasonable cost</w:t>
      </w:r>
    </w:p>
    <w:p w14:paraId="591FC577" w14:textId="77777777" w:rsidR="00160E7F" w:rsidRDefault="002B0299">
      <w:pPr>
        <w:pStyle w:val="BodyText"/>
        <w:spacing w:before="125" w:line="280" w:lineRule="auto"/>
        <w:ind w:left="1587" w:right="300"/>
      </w:pPr>
      <w:r>
        <w:rPr>
          <w:color w:val="58595B"/>
          <w:spacing w:val="-10"/>
        </w:rPr>
        <w:t xml:space="preserve">To </w:t>
      </w:r>
      <w:r>
        <w:rPr>
          <w:color w:val="58595B"/>
        </w:rPr>
        <w:t xml:space="preserve">be </w:t>
      </w:r>
      <w:r>
        <w:rPr>
          <w:color w:val="58595B"/>
          <w:spacing w:val="-4"/>
        </w:rPr>
        <w:t xml:space="preserve">effective, </w:t>
      </w:r>
      <w:r>
        <w:rPr>
          <w:color w:val="58595B"/>
        </w:rPr>
        <w:t xml:space="preserve">an </w:t>
      </w:r>
      <w:r>
        <w:rPr>
          <w:color w:val="58595B"/>
          <w:spacing w:val="-4"/>
        </w:rPr>
        <w:t xml:space="preserve">emissions </w:t>
      </w:r>
      <w:r>
        <w:rPr>
          <w:color w:val="58595B"/>
          <w:spacing w:val="-3"/>
        </w:rPr>
        <w:t xml:space="preserve">charge </w:t>
      </w:r>
      <w:r>
        <w:rPr>
          <w:color w:val="58595B"/>
          <w:spacing w:val="-4"/>
        </w:rPr>
        <w:t xml:space="preserve">should </w:t>
      </w:r>
      <w:r>
        <w:rPr>
          <w:color w:val="58595B"/>
        </w:rPr>
        <w:t xml:space="preserve">be </w:t>
      </w:r>
      <w:r>
        <w:rPr>
          <w:color w:val="58595B"/>
          <w:spacing w:val="-4"/>
        </w:rPr>
        <w:t xml:space="preserve">calibrated </w:t>
      </w:r>
      <w:r>
        <w:rPr>
          <w:color w:val="58595B"/>
          <w:spacing w:val="-3"/>
        </w:rPr>
        <w:t xml:space="preserve">as </w:t>
      </w:r>
      <w:r>
        <w:rPr>
          <w:color w:val="58595B"/>
          <w:spacing w:val="-4"/>
        </w:rPr>
        <w:t xml:space="preserve">precisely </w:t>
      </w:r>
      <w:r>
        <w:rPr>
          <w:color w:val="58595B"/>
          <w:spacing w:val="-3"/>
        </w:rPr>
        <w:t xml:space="preserve">as </w:t>
      </w:r>
      <w:r>
        <w:rPr>
          <w:color w:val="58595B"/>
          <w:spacing w:val="-4"/>
        </w:rPr>
        <w:t xml:space="preserve">possible </w:t>
      </w:r>
      <w:r>
        <w:rPr>
          <w:color w:val="58595B"/>
          <w:spacing w:val="-3"/>
        </w:rPr>
        <w:t xml:space="preserve">to the </w:t>
      </w:r>
      <w:r>
        <w:rPr>
          <w:color w:val="58595B"/>
          <w:spacing w:val="-4"/>
        </w:rPr>
        <w:t xml:space="preserve">volume </w:t>
      </w:r>
      <w:r>
        <w:rPr>
          <w:color w:val="58595B"/>
          <w:spacing w:val="-3"/>
        </w:rPr>
        <w:t xml:space="preserve">of </w:t>
      </w:r>
      <w:r>
        <w:rPr>
          <w:color w:val="58595B"/>
          <w:spacing w:val="-4"/>
        </w:rPr>
        <w:t xml:space="preserve">emissions </w:t>
      </w:r>
      <w:r>
        <w:rPr>
          <w:color w:val="58595B"/>
          <w:spacing w:val="-3"/>
        </w:rPr>
        <w:t xml:space="preserve">to </w:t>
      </w:r>
      <w:r>
        <w:rPr>
          <w:color w:val="58595B"/>
        </w:rPr>
        <w:t xml:space="preserve">be </w:t>
      </w:r>
      <w:r>
        <w:rPr>
          <w:color w:val="58595B"/>
          <w:spacing w:val="-4"/>
        </w:rPr>
        <w:t xml:space="preserve">controlled. </w:t>
      </w:r>
      <w:r>
        <w:rPr>
          <w:color w:val="58595B"/>
          <w:spacing w:val="-10"/>
        </w:rPr>
        <w:t xml:space="preserve">To </w:t>
      </w:r>
      <w:r>
        <w:rPr>
          <w:color w:val="58595B"/>
          <w:spacing w:val="-3"/>
        </w:rPr>
        <w:t xml:space="preserve">send the </w:t>
      </w:r>
      <w:r>
        <w:rPr>
          <w:color w:val="58595B"/>
          <w:spacing w:val="-4"/>
        </w:rPr>
        <w:t xml:space="preserve">appropriate </w:t>
      </w:r>
      <w:r>
        <w:rPr>
          <w:color w:val="58595B"/>
        </w:rPr>
        <w:t xml:space="preserve">price </w:t>
      </w:r>
      <w:r>
        <w:rPr>
          <w:color w:val="58595B"/>
          <w:spacing w:val="-4"/>
        </w:rPr>
        <w:t xml:space="preserve">signal, </w:t>
      </w:r>
      <w:r>
        <w:rPr>
          <w:color w:val="58595B"/>
          <w:spacing w:val="-3"/>
        </w:rPr>
        <w:t xml:space="preserve">the charge </w:t>
      </w:r>
      <w:r>
        <w:rPr>
          <w:color w:val="58595B"/>
          <w:spacing w:val="-4"/>
        </w:rPr>
        <w:t xml:space="preserve">should ideally </w:t>
      </w:r>
      <w:r>
        <w:rPr>
          <w:color w:val="58595B"/>
          <w:spacing w:val="-5"/>
        </w:rPr>
        <w:t xml:space="preserve">apply </w:t>
      </w:r>
      <w:r>
        <w:rPr>
          <w:color w:val="58595B"/>
          <w:spacing w:val="-3"/>
        </w:rPr>
        <w:t xml:space="preserve">to each </w:t>
      </w:r>
      <w:r>
        <w:rPr>
          <w:color w:val="58595B"/>
          <w:spacing w:val="-4"/>
        </w:rPr>
        <w:t xml:space="preserve">additional measurable unit </w:t>
      </w:r>
      <w:r>
        <w:rPr>
          <w:color w:val="58595B"/>
          <w:spacing w:val="-3"/>
        </w:rPr>
        <w:t xml:space="preserve">of </w:t>
      </w:r>
      <w:r>
        <w:rPr>
          <w:color w:val="58595B"/>
          <w:spacing w:val="-4"/>
        </w:rPr>
        <w:t xml:space="preserve">pollution </w:t>
      </w:r>
      <w:r>
        <w:rPr>
          <w:color w:val="58595B"/>
          <w:spacing w:val="-3"/>
        </w:rPr>
        <w:t xml:space="preserve">emitted from </w:t>
      </w:r>
      <w:r>
        <w:rPr>
          <w:color w:val="58595B"/>
        </w:rPr>
        <w:t xml:space="preserve">a </w:t>
      </w:r>
      <w:r>
        <w:rPr>
          <w:color w:val="58595B"/>
          <w:spacing w:val="-4"/>
        </w:rPr>
        <w:t xml:space="preserve">given source. Emissions must </w:t>
      </w:r>
      <w:r>
        <w:rPr>
          <w:color w:val="58595B"/>
        </w:rPr>
        <w:t xml:space="preserve">be </w:t>
      </w:r>
      <w:r>
        <w:rPr>
          <w:color w:val="58595B"/>
          <w:spacing w:val="-3"/>
        </w:rPr>
        <w:t xml:space="preserve">able to </w:t>
      </w:r>
      <w:r>
        <w:rPr>
          <w:color w:val="58595B"/>
        </w:rPr>
        <w:t xml:space="preserve">be </w:t>
      </w:r>
      <w:r>
        <w:rPr>
          <w:color w:val="58595B"/>
          <w:spacing w:val="-4"/>
        </w:rPr>
        <w:t xml:space="preserve">measured reliably </w:t>
      </w:r>
      <w:r>
        <w:rPr>
          <w:color w:val="58595B"/>
          <w:spacing w:val="-3"/>
        </w:rPr>
        <w:t xml:space="preserve">and </w:t>
      </w:r>
      <w:r>
        <w:rPr>
          <w:color w:val="58595B"/>
          <w:spacing w:val="-4"/>
        </w:rPr>
        <w:t xml:space="preserve">consistently </w:t>
      </w:r>
      <w:r>
        <w:rPr>
          <w:color w:val="58595B"/>
          <w:spacing w:val="-5"/>
        </w:rPr>
        <w:t xml:space="preserve">over </w:t>
      </w:r>
      <w:r>
        <w:rPr>
          <w:color w:val="58595B"/>
          <w:spacing w:val="-4"/>
        </w:rPr>
        <w:t xml:space="preserve">time, </w:t>
      </w:r>
      <w:r>
        <w:rPr>
          <w:color w:val="58595B"/>
          <w:spacing w:val="-3"/>
        </w:rPr>
        <w:t xml:space="preserve">and </w:t>
      </w:r>
      <w:r>
        <w:rPr>
          <w:color w:val="58595B"/>
          <w:spacing w:val="-5"/>
        </w:rPr>
        <w:t xml:space="preserve">measurement </w:t>
      </w:r>
      <w:r>
        <w:rPr>
          <w:color w:val="58595B"/>
          <w:spacing w:val="-3"/>
        </w:rPr>
        <w:t xml:space="preserve">costs </w:t>
      </w:r>
      <w:r>
        <w:rPr>
          <w:color w:val="58595B"/>
          <w:spacing w:val="-4"/>
        </w:rPr>
        <w:t xml:space="preserve">cannot </w:t>
      </w:r>
      <w:r>
        <w:rPr>
          <w:color w:val="58595B"/>
          <w:spacing w:val="-3"/>
        </w:rPr>
        <w:t xml:space="preserve">outweigh the benefits of the </w:t>
      </w:r>
      <w:r>
        <w:rPr>
          <w:color w:val="58595B"/>
          <w:spacing w:val="-4"/>
        </w:rPr>
        <w:t xml:space="preserve">abatement. </w:t>
      </w:r>
      <w:r>
        <w:rPr>
          <w:color w:val="58595B"/>
        </w:rPr>
        <w:t xml:space="preserve">In </w:t>
      </w:r>
      <w:r>
        <w:rPr>
          <w:color w:val="58595B"/>
          <w:spacing w:val="-3"/>
        </w:rPr>
        <w:t xml:space="preserve">some </w:t>
      </w:r>
      <w:r>
        <w:rPr>
          <w:color w:val="58595B"/>
          <w:spacing w:val="-4"/>
        </w:rPr>
        <w:t xml:space="preserve">industries, </w:t>
      </w:r>
      <w:r>
        <w:rPr>
          <w:color w:val="58595B"/>
          <w:spacing w:val="-3"/>
        </w:rPr>
        <w:t xml:space="preserve">this will mean that only </w:t>
      </w:r>
      <w:r>
        <w:rPr>
          <w:color w:val="58595B"/>
        </w:rPr>
        <w:t xml:space="preserve">firms </w:t>
      </w:r>
      <w:r>
        <w:rPr>
          <w:color w:val="58595B"/>
          <w:spacing w:val="-5"/>
        </w:rPr>
        <w:t xml:space="preserve">above </w:t>
      </w:r>
      <w:r>
        <w:rPr>
          <w:color w:val="58595B"/>
        </w:rPr>
        <w:t xml:space="preserve">a certain </w:t>
      </w:r>
      <w:r>
        <w:rPr>
          <w:color w:val="58595B"/>
          <w:spacing w:val="-5"/>
        </w:rPr>
        <w:t xml:space="preserve">size, </w:t>
      </w:r>
      <w:r>
        <w:rPr>
          <w:color w:val="58595B"/>
        </w:rPr>
        <w:t xml:space="preserve">or </w:t>
      </w:r>
      <w:r>
        <w:rPr>
          <w:color w:val="58595B"/>
          <w:spacing w:val="-3"/>
        </w:rPr>
        <w:t xml:space="preserve">with </w:t>
      </w:r>
      <w:r>
        <w:rPr>
          <w:color w:val="58595B"/>
          <w:spacing w:val="-4"/>
        </w:rPr>
        <w:t xml:space="preserve">emissions </w:t>
      </w:r>
      <w:r>
        <w:rPr>
          <w:color w:val="58595B"/>
          <w:spacing w:val="-5"/>
        </w:rPr>
        <w:t xml:space="preserve">above </w:t>
      </w:r>
      <w:r>
        <w:rPr>
          <w:color w:val="58595B"/>
        </w:rPr>
        <w:t xml:space="preserve">a certain </w:t>
      </w:r>
      <w:r>
        <w:rPr>
          <w:color w:val="58595B"/>
          <w:spacing w:val="-4"/>
        </w:rPr>
        <w:t xml:space="preserve">threshold, should </w:t>
      </w:r>
      <w:r>
        <w:rPr>
          <w:color w:val="58595B"/>
        </w:rPr>
        <w:t xml:space="preserve">be </w:t>
      </w:r>
      <w:r>
        <w:rPr>
          <w:color w:val="58595B"/>
          <w:spacing w:val="-4"/>
        </w:rPr>
        <w:t xml:space="preserve">subject </w:t>
      </w:r>
      <w:r>
        <w:rPr>
          <w:color w:val="58595B"/>
          <w:spacing w:val="-3"/>
        </w:rPr>
        <w:t xml:space="preserve">to </w:t>
      </w:r>
      <w:r>
        <w:rPr>
          <w:color w:val="58595B"/>
        </w:rPr>
        <w:t xml:space="preserve">an </w:t>
      </w:r>
      <w:r>
        <w:rPr>
          <w:color w:val="58595B"/>
          <w:spacing w:val="-4"/>
        </w:rPr>
        <w:t xml:space="preserve">emissions charge, because </w:t>
      </w:r>
      <w:r>
        <w:rPr>
          <w:color w:val="58595B"/>
          <w:spacing w:val="-3"/>
        </w:rPr>
        <w:t xml:space="preserve">the </w:t>
      </w:r>
      <w:r>
        <w:rPr>
          <w:color w:val="58595B"/>
          <w:spacing w:val="-5"/>
        </w:rPr>
        <w:t xml:space="preserve">measurement </w:t>
      </w:r>
      <w:r>
        <w:rPr>
          <w:color w:val="58595B"/>
          <w:spacing w:val="-3"/>
        </w:rPr>
        <w:t xml:space="preserve">costs for </w:t>
      </w:r>
      <w:r>
        <w:rPr>
          <w:color w:val="58595B"/>
          <w:spacing w:val="-4"/>
        </w:rPr>
        <w:t xml:space="preserve">smaller </w:t>
      </w:r>
      <w:r>
        <w:rPr>
          <w:color w:val="58595B"/>
        </w:rPr>
        <w:t xml:space="preserve">or </w:t>
      </w:r>
      <w:r>
        <w:rPr>
          <w:color w:val="58595B"/>
          <w:spacing w:val="-4"/>
        </w:rPr>
        <w:t xml:space="preserve">lower </w:t>
      </w:r>
      <w:r>
        <w:rPr>
          <w:color w:val="58595B"/>
          <w:spacing w:val="-3"/>
        </w:rPr>
        <w:t xml:space="preserve">emitting </w:t>
      </w:r>
      <w:r>
        <w:rPr>
          <w:color w:val="58595B"/>
        </w:rPr>
        <w:t xml:space="preserve">firms </w:t>
      </w:r>
      <w:r>
        <w:rPr>
          <w:color w:val="58595B"/>
          <w:spacing w:val="-4"/>
        </w:rPr>
        <w:t xml:space="preserve">may </w:t>
      </w:r>
      <w:r>
        <w:rPr>
          <w:color w:val="58595B"/>
        </w:rPr>
        <w:t xml:space="preserve">be </w:t>
      </w:r>
      <w:r>
        <w:rPr>
          <w:color w:val="58595B"/>
          <w:spacing w:val="-5"/>
        </w:rPr>
        <w:t>prohibitive.</w:t>
      </w:r>
    </w:p>
    <w:p w14:paraId="32E748C3" w14:textId="77777777" w:rsidR="00160E7F" w:rsidRDefault="00160E7F">
      <w:pPr>
        <w:pStyle w:val="BodyText"/>
        <w:spacing w:before="10"/>
        <w:rPr>
          <w:sz w:val="19"/>
        </w:rPr>
      </w:pPr>
    </w:p>
    <w:p w14:paraId="6DDF3535" w14:textId="77777777" w:rsidR="00160E7F" w:rsidRDefault="002B0299">
      <w:pPr>
        <w:ind w:left="1587" w:right="789"/>
        <w:rPr>
          <w:i/>
          <w:sz w:val="20"/>
        </w:rPr>
      </w:pPr>
      <w:r>
        <w:rPr>
          <w:i/>
          <w:color w:val="6D6E71"/>
          <w:sz w:val="20"/>
        </w:rPr>
        <w:t>Uniform or differential charging</w:t>
      </w:r>
    </w:p>
    <w:p w14:paraId="27092053" w14:textId="77777777" w:rsidR="00160E7F" w:rsidRDefault="002B0299">
      <w:pPr>
        <w:spacing w:before="125" w:line="280" w:lineRule="auto"/>
        <w:ind w:left="1587" w:right="342"/>
        <w:rPr>
          <w:sz w:val="11"/>
        </w:rPr>
      </w:pPr>
      <w:r>
        <w:rPr>
          <w:color w:val="58595B"/>
          <w:spacing w:val="-3"/>
          <w:sz w:val="20"/>
        </w:rPr>
        <w:t xml:space="preserve">In the </w:t>
      </w:r>
      <w:r>
        <w:rPr>
          <w:color w:val="58595B"/>
          <w:spacing w:val="-4"/>
          <w:sz w:val="20"/>
        </w:rPr>
        <w:t xml:space="preserve">case </w:t>
      </w:r>
      <w:r>
        <w:rPr>
          <w:color w:val="58595B"/>
          <w:spacing w:val="-3"/>
          <w:sz w:val="20"/>
        </w:rPr>
        <w:t xml:space="preserve">of </w:t>
      </w:r>
      <w:r>
        <w:rPr>
          <w:color w:val="58595B"/>
          <w:spacing w:val="-5"/>
          <w:sz w:val="20"/>
        </w:rPr>
        <w:t xml:space="preserve">uniformly </w:t>
      </w:r>
      <w:r>
        <w:rPr>
          <w:color w:val="58595B"/>
          <w:spacing w:val="-4"/>
          <w:sz w:val="20"/>
        </w:rPr>
        <w:t xml:space="preserve">mixing </w:t>
      </w:r>
      <w:r>
        <w:rPr>
          <w:color w:val="58595B"/>
          <w:spacing w:val="-5"/>
          <w:sz w:val="20"/>
        </w:rPr>
        <w:t xml:space="preserve">pollutants, </w:t>
      </w:r>
      <w:r>
        <w:rPr>
          <w:color w:val="58595B"/>
          <w:spacing w:val="-4"/>
          <w:sz w:val="20"/>
        </w:rPr>
        <w:t xml:space="preserve">where </w:t>
      </w:r>
      <w:r>
        <w:rPr>
          <w:color w:val="58595B"/>
          <w:spacing w:val="-3"/>
          <w:sz w:val="20"/>
        </w:rPr>
        <w:t xml:space="preserve">the </w:t>
      </w:r>
      <w:r>
        <w:rPr>
          <w:color w:val="58595B"/>
          <w:spacing w:val="-5"/>
          <w:sz w:val="20"/>
        </w:rPr>
        <w:t xml:space="preserve">damage created by </w:t>
      </w:r>
      <w:r>
        <w:rPr>
          <w:color w:val="58595B"/>
          <w:sz w:val="20"/>
        </w:rPr>
        <w:t xml:space="preserve">a </w:t>
      </w:r>
      <w:r>
        <w:rPr>
          <w:color w:val="58595B"/>
          <w:spacing w:val="-5"/>
          <w:sz w:val="20"/>
        </w:rPr>
        <w:t xml:space="preserve">unit </w:t>
      </w:r>
      <w:r>
        <w:rPr>
          <w:color w:val="58595B"/>
          <w:spacing w:val="-3"/>
          <w:sz w:val="20"/>
        </w:rPr>
        <w:t xml:space="preserve">of </w:t>
      </w:r>
      <w:r>
        <w:rPr>
          <w:color w:val="58595B"/>
          <w:spacing w:val="-5"/>
          <w:sz w:val="20"/>
        </w:rPr>
        <w:t xml:space="preserve">emissions </w:t>
      </w:r>
      <w:r>
        <w:rPr>
          <w:color w:val="58595B"/>
          <w:spacing w:val="-3"/>
          <w:sz w:val="20"/>
        </w:rPr>
        <w:t xml:space="preserve">is </w:t>
      </w:r>
      <w:r>
        <w:rPr>
          <w:color w:val="58595B"/>
          <w:spacing w:val="-5"/>
          <w:sz w:val="20"/>
        </w:rPr>
        <w:t xml:space="preserve">independent </w:t>
      </w:r>
      <w:r>
        <w:rPr>
          <w:color w:val="58595B"/>
          <w:spacing w:val="-3"/>
          <w:sz w:val="20"/>
        </w:rPr>
        <w:t xml:space="preserve">of the </w:t>
      </w:r>
      <w:r>
        <w:rPr>
          <w:color w:val="58595B"/>
          <w:spacing w:val="-4"/>
          <w:sz w:val="20"/>
        </w:rPr>
        <w:t xml:space="preserve">location </w:t>
      </w:r>
      <w:r>
        <w:rPr>
          <w:color w:val="58595B"/>
          <w:spacing w:val="-3"/>
          <w:sz w:val="20"/>
        </w:rPr>
        <w:t xml:space="preserve">of its </w:t>
      </w:r>
      <w:r>
        <w:rPr>
          <w:color w:val="58595B"/>
          <w:spacing w:val="-5"/>
          <w:sz w:val="20"/>
        </w:rPr>
        <w:t xml:space="preserve">source, </w:t>
      </w:r>
      <w:r>
        <w:rPr>
          <w:color w:val="58595B"/>
          <w:spacing w:val="-4"/>
          <w:sz w:val="20"/>
        </w:rPr>
        <w:t xml:space="preserve">charges </w:t>
      </w:r>
      <w:r>
        <w:rPr>
          <w:color w:val="58595B"/>
          <w:sz w:val="20"/>
        </w:rPr>
        <w:t xml:space="preserve">on </w:t>
      </w:r>
      <w:r>
        <w:rPr>
          <w:color w:val="58595B"/>
          <w:spacing w:val="-5"/>
          <w:sz w:val="20"/>
        </w:rPr>
        <w:t xml:space="preserve">emissions should </w:t>
      </w:r>
      <w:r>
        <w:rPr>
          <w:color w:val="58595B"/>
          <w:spacing w:val="-3"/>
          <w:sz w:val="20"/>
        </w:rPr>
        <w:t xml:space="preserve">be </w:t>
      </w:r>
      <w:r>
        <w:rPr>
          <w:color w:val="58595B"/>
          <w:spacing w:val="-5"/>
          <w:sz w:val="20"/>
        </w:rPr>
        <w:t xml:space="preserve">homogeneous. </w:t>
      </w:r>
      <w:r>
        <w:rPr>
          <w:color w:val="58595B"/>
          <w:spacing w:val="-4"/>
          <w:sz w:val="20"/>
        </w:rPr>
        <w:t xml:space="preserve">This will </w:t>
      </w:r>
      <w:r>
        <w:rPr>
          <w:i/>
          <w:color w:val="58595B"/>
          <w:spacing w:val="-5"/>
          <w:sz w:val="20"/>
        </w:rPr>
        <w:t xml:space="preserve">‘…. encourage abatement </w:t>
      </w:r>
      <w:r>
        <w:rPr>
          <w:i/>
          <w:color w:val="58595B"/>
          <w:spacing w:val="-3"/>
          <w:sz w:val="20"/>
        </w:rPr>
        <w:t xml:space="preserve">at </w:t>
      </w:r>
      <w:r>
        <w:rPr>
          <w:i/>
          <w:color w:val="58595B"/>
          <w:spacing w:val="-4"/>
          <w:sz w:val="20"/>
        </w:rPr>
        <w:t xml:space="preserve">the lowest-cost source, </w:t>
      </w:r>
      <w:r>
        <w:rPr>
          <w:i/>
          <w:color w:val="58595B"/>
          <w:spacing w:val="-5"/>
          <w:sz w:val="20"/>
        </w:rPr>
        <w:t xml:space="preserve">helping </w:t>
      </w:r>
      <w:r>
        <w:rPr>
          <w:i/>
          <w:color w:val="58595B"/>
          <w:spacing w:val="-3"/>
          <w:sz w:val="20"/>
        </w:rPr>
        <w:t xml:space="preserve">to </w:t>
      </w:r>
      <w:r>
        <w:rPr>
          <w:i/>
          <w:color w:val="58595B"/>
          <w:spacing w:val="-5"/>
          <w:sz w:val="20"/>
        </w:rPr>
        <w:t xml:space="preserve">ensure that environmental goals </w:t>
      </w:r>
      <w:r>
        <w:rPr>
          <w:i/>
          <w:color w:val="58595B"/>
          <w:spacing w:val="-3"/>
          <w:sz w:val="20"/>
        </w:rPr>
        <w:t xml:space="preserve">are </w:t>
      </w:r>
      <w:r>
        <w:rPr>
          <w:i/>
          <w:color w:val="58595B"/>
          <w:spacing w:val="-6"/>
          <w:sz w:val="20"/>
        </w:rPr>
        <w:t xml:space="preserve">achieved </w:t>
      </w:r>
      <w:r>
        <w:rPr>
          <w:i/>
          <w:color w:val="58595B"/>
          <w:spacing w:val="-3"/>
          <w:sz w:val="20"/>
        </w:rPr>
        <w:t xml:space="preserve">at </w:t>
      </w:r>
      <w:r>
        <w:rPr>
          <w:i/>
          <w:color w:val="58595B"/>
          <w:spacing w:val="-4"/>
          <w:sz w:val="20"/>
        </w:rPr>
        <w:t xml:space="preserve">the </w:t>
      </w:r>
      <w:r>
        <w:rPr>
          <w:i/>
          <w:color w:val="58595B"/>
          <w:spacing w:val="-5"/>
          <w:sz w:val="20"/>
        </w:rPr>
        <w:t xml:space="preserve">lowest </w:t>
      </w:r>
      <w:r>
        <w:rPr>
          <w:i/>
          <w:color w:val="58595B"/>
          <w:spacing w:val="-4"/>
          <w:sz w:val="20"/>
        </w:rPr>
        <w:t xml:space="preserve">social </w:t>
      </w:r>
      <w:r>
        <w:rPr>
          <w:i/>
          <w:color w:val="58595B"/>
          <w:spacing w:val="-5"/>
          <w:sz w:val="20"/>
        </w:rPr>
        <w:t>cost.’</w:t>
      </w:r>
      <w:r>
        <w:rPr>
          <w:color w:val="58595B"/>
          <w:spacing w:val="-5"/>
          <w:position w:val="7"/>
          <w:sz w:val="11"/>
        </w:rPr>
        <w:t xml:space="preserve">7 </w:t>
      </w:r>
      <w:r>
        <w:rPr>
          <w:color w:val="58595B"/>
          <w:spacing w:val="-7"/>
          <w:sz w:val="20"/>
        </w:rPr>
        <w:t xml:space="preserve">However, </w:t>
      </w:r>
      <w:r>
        <w:rPr>
          <w:color w:val="58595B"/>
          <w:spacing w:val="-4"/>
          <w:sz w:val="20"/>
        </w:rPr>
        <w:t xml:space="preserve">where </w:t>
      </w:r>
      <w:r>
        <w:rPr>
          <w:color w:val="58595B"/>
          <w:spacing w:val="-3"/>
          <w:sz w:val="20"/>
        </w:rPr>
        <w:t xml:space="preserve">the </w:t>
      </w:r>
      <w:r>
        <w:rPr>
          <w:color w:val="58595B"/>
          <w:spacing w:val="-4"/>
          <w:sz w:val="20"/>
        </w:rPr>
        <w:t xml:space="preserve">effects </w:t>
      </w:r>
      <w:r>
        <w:rPr>
          <w:color w:val="58595B"/>
          <w:spacing w:val="-3"/>
          <w:sz w:val="20"/>
        </w:rPr>
        <w:t xml:space="preserve">of </w:t>
      </w:r>
      <w:r>
        <w:rPr>
          <w:color w:val="58595B"/>
          <w:sz w:val="20"/>
        </w:rPr>
        <w:t xml:space="preserve">a </w:t>
      </w:r>
      <w:r>
        <w:rPr>
          <w:color w:val="58595B"/>
          <w:spacing w:val="-5"/>
          <w:sz w:val="20"/>
        </w:rPr>
        <w:t xml:space="preserve">pollutant </w:t>
      </w:r>
      <w:r>
        <w:rPr>
          <w:color w:val="58595B"/>
          <w:spacing w:val="-4"/>
          <w:sz w:val="20"/>
        </w:rPr>
        <w:t xml:space="preserve">are </w:t>
      </w:r>
      <w:r>
        <w:rPr>
          <w:color w:val="58595B"/>
          <w:spacing w:val="-6"/>
          <w:sz w:val="20"/>
        </w:rPr>
        <w:t xml:space="preserve">spatially, </w:t>
      </w:r>
      <w:r>
        <w:rPr>
          <w:color w:val="58595B"/>
          <w:spacing w:val="-5"/>
          <w:sz w:val="20"/>
        </w:rPr>
        <w:t xml:space="preserve">temporally </w:t>
      </w:r>
      <w:r>
        <w:rPr>
          <w:color w:val="58595B"/>
          <w:sz w:val="20"/>
        </w:rPr>
        <w:t xml:space="preserve">or </w:t>
      </w:r>
      <w:r>
        <w:rPr>
          <w:color w:val="58595B"/>
          <w:spacing w:val="-4"/>
          <w:sz w:val="20"/>
        </w:rPr>
        <w:t xml:space="preserve">otherwise </w:t>
      </w:r>
      <w:r>
        <w:rPr>
          <w:color w:val="58595B"/>
          <w:spacing w:val="-5"/>
          <w:sz w:val="20"/>
        </w:rPr>
        <w:t xml:space="preserve">differentiated </w:t>
      </w:r>
      <w:r>
        <w:rPr>
          <w:color w:val="58595B"/>
          <w:sz w:val="20"/>
        </w:rPr>
        <w:t xml:space="preserve">– </w:t>
      </w:r>
      <w:r>
        <w:rPr>
          <w:color w:val="58595B"/>
          <w:spacing w:val="-3"/>
          <w:sz w:val="20"/>
        </w:rPr>
        <w:t xml:space="preserve">for </w:t>
      </w:r>
      <w:r>
        <w:rPr>
          <w:color w:val="58595B"/>
          <w:spacing w:val="-6"/>
          <w:sz w:val="20"/>
        </w:rPr>
        <w:t xml:space="preserve">example, </w:t>
      </w:r>
      <w:r>
        <w:rPr>
          <w:color w:val="58595B"/>
          <w:spacing w:val="-5"/>
          <w:sz w:val="20"/>
        </w:rPr>
        <w:t xml:space="preserve">depending </w:t>
      </w:r>
      <w:r>
        <w:rPr>
          <w:color w:val="58595B"/>
          <w:sz w:val="20"/>
        </w:rPr>
        <w:t xml:space="preserve">on </w:t>
      </w:r>
      <w:r>
        <w:rPr>
          <w:color w:val="58595B"/>
          <w:spacing w:val="-3"/>
          <w:sz w:val="20"/>
        </w:rPr>
        <w:t xml:space="preserve">the </w:t>
      </w:r>
      <w:r>
        <w:rPr>
          <w:color w:val="58595B"/>
          <w:spacing w:val="-5"/>
          <w:sz w:val="20"/>
        </w:rPr>
        <w:t xml:space="preserve">proximity </w:t>
      </w:r>
      <w:r>
        <w:rPr>
          <w:color w:val="58595B"/>
          <w:spacing w:val="-3"/>
          <w:sz w:val="20"/>
        </w:rPr>
        <w:t xml:space="preserve">of the </w:t>
      </w:r>
      <w:r>
        <w:rPr>
          <w:color w:val="58595B"/>
          <w:spacing w:val="-5"/>
          <w:sz w:val="20"/>
        </w:rPr>
        <w:t xml:space="preserve">emissions </w:t>
      </w:r>
      <w:r>
        <w:rPr>
          <w:color w:val="58595B"/>
          <w:spacing w:val="-3"/>
          <w:sz w:val="20"/>
        </w:rPr>
        <w:t xml:space="preserve">to </w:t>
      </w:r>
      <w:r>
        <w:rPr>
          <w:color w:val="58595B"/>
          <w:spacing w:val="-5"/>
          <w:sz w:val="20"/>
        </w:rPr>
        <w:t xml:space="preserve">human settlements </w:t>
      </w:r>
      <w:r>
        <w:rPr>
          <w:color w:val="58595B"/>
          <w:sz w:val="20"/>
        </w:rPr>
        <w:t xml:space="preserve">or </w:t>
      </w:r>
      <w:r>
        <w:rPr>
          <w:color w:val="58595B"/>
          <w:spacing w:val="-5"/>
          <w:sz w:val="20"/>
        </w:rPr>
        <w:t xml:space="preserve">sensitive environments </w:t>
      </w:r>
      <w:r>
        <w:rPr>
          <w:color w:val="58595B"/>
          <w:sz w:val="20"/>
        </w:rPr>
        <w:t xml:space="preserve">– </w:t>
      </w:r>
      <w:r>
        <w:rPr>
          <w:color w:val="58595B"/>
          <w:spacing w:val="-5"/>
          <w:sz w:val="20"/>
        </w:rPr>
        <w:t xml:space="preserve">differential </w:t>
      </w:r>
      <w:r>
        <w:rPr>
          <w:color w:val="58595B"/>
          <w:spacing w:val="-4"/>
          <w:sz w:val="20"/>
        </w:rPr>
        <w:t xml:space="preserve">charges that reflect these differences are </w:t>
      </w:r>
      <w:r>
        <w:rPr>
          <w:color w:val="58595B"/>
          <w:spacing w:val="-5"/>
          <w:sz w:val="20"/>
        </w:rPr>
        <w:t xml:space="preserve">appropriate </w:t>
      </w:r>
      <w:r>
        <w:rPr>
          <w:color w:val="58595B"/>
          <w:spacing w:val="-4"/>
          <w:sz w:val="20"/>
        </w:rPr>
        <w:t xml:space="preserve">and </w:t>
      </w:r>
      <w:r>
        <w:rPr>
          <w:color w:val="58595B"/>
          <w:spacing w:val="-5"/>
          <w:sz w:val="20"/>
        </w:rPr>
        <w:t xml:space="preserve">should encourage </w:t>
      </w:r>
      <w:r>
        <w:rPr>
          <w:color w:val="58595B"/>
          <w:spacing w:val="-4"/>
          <w:sz w:val="20"/>
        </w:rPr>
        <w:t xml:space="preserve">emitters </w:t>
      </w:r>
      <w:r>
        <w:rPr>
          <w:color w:val="58595B"/>
          <w:spacing w:val="-3"/>
          <w:sz w:val="20"/>
        </w:rPr>
        <w:t xml:space="preserve">to </w:t>
      </w:r>
      <w:r>
        <w:rPr>
          <w:color w:val="58595B"/>
          <w:spacing w:val="-4"/>
          <w:sz w:val="20"/>
        </w:rPr>
        <w:t xml:space="preserve">locate where </w:t>
      </w:r>
      <w:r>
        <w:rPr>
          <w:color w:val="58595B"/>
          <w:spacing w:val="-5"/>
          <w:sz w:val="20"/>
        </w:rPr>
        <w:t xml:space="preserve">emissions </w:t>
      </w:r>
      <w:r>
        <w:rPr>
          <w:color w:val="58595B"/>
          <w:spacing w:val="-4"/>
          <w:sz w:val="20"/>
        </w:rPr>
        <w:t xml:space="preserve">cause </w:t>
      </w:r>
      <w:r>
        <w:rPr>
          <w:color w:val="58595B"/>
          <w:spacing w:val="-5"/>
          <w:sz w:val="20"/>
        </w:rPr>
        <w:t xml:space="preserve">least </w:t>
      </w:r>
      <w:r>
        <w:rPr>
          <w:color w:val="58595B"/>
          <w:spacing w:val="-4"/>
          <w:sz w:val="20"/>
        </w:rPr>
        <w:t>harm.</w:t>
      </w:r>
      <w:r>
        <w:rPr>
          <w:color w:val="58595B"/>
          <w:spacing w:val="-4"/>
          <w:position w:val="7"/>
          <w:sz w:val="11"/>
        </w:rPr>
        <w:t>8</w:t>
      </w:r>
    </w:p>
    <w:p w14:paraId="2429E38D" w14:textId="77777777" w:rsidR="00160E7F" w:rsidRDefault="00160E7F">
      <w:pPr>
        <w:pStyle w:val="BodyText"/>
        <w:spacing w:before="10"/>
        <w:rPr>
          <w:sz w:val="19"/>
        </w:rPr>
      </w:pPr>
    </w:p>
    <w:p w14:paraId="760B5210" w14:textId="77777777" w:rsidR="00160E7F" w:rsidRDefault="002B0299">
      <w:pPr>
        <w:ind w:left="1587" w:right="789"/>
        <w:rPr>
          <w:i/>
          <w:sz w:val="20"/>
        </w:rPr>
      </w:pPr>
      <w:r>
        <w:rPr>
          <w:i/>
          <w:color w:val="6D6E71"/>
          <w:sz w:val="20"/>
        </w:rPr>
        <w:t>Setting the rate for an emissions charge</w:t>
      </w:r>
    </w:p>
    <w:p w14:paraId="2B5838B5" w14:textId="77777777" w:rsidR="00160E7F" w:rsidRDefault="002B0299">
      <w:pPr>
        <w:pStyle w:val="BodyText"/>
        <w:spacing w:before="125" w:line="280" w:lineRule="auto"/>
        <w:ind w:left="1587" w:right="449"/>
      </w:pPr>
      <w:r>
        <w:rPr>
          <w:color w:val="58595B"/>
        </w:rPr>
        <w:t>Determining a rate that will achieve the desired level of emissions abatement presents significant challenges. Perman et al set out alternative approaches for determining the appropriate rate.</w:t>
      </w:r>
      <w:r>
        <w:rPr>
          <w:color w:val="58595B"/>
          <w:position w:val="7"/>
          <w:sz w:val="11"/>
        </w:rPr>
        <w:t xml:space="preserve">9 </w:t>
      </w:r>
      <w:r>
        <w:rPr>
          <w:color w:val="58595B"/>
        </w:rPr>
        <w:t>They note that the most efficient approach – the approach that achieves the abatement target at least cost – requires the regulator to know both the socially efficient aggregate level of pollution and the aggregate abatement cost function of businesses. When</w:t>
      </w:r>
    </w:p>
    <w:p w14:paraId="72844C32" w14:textId="77777777" w:rsidR="00160E7F" w:rsidRDefault="002B0299">
      <w:pPr>
        <w:pStyle w:val="BodyText"/>
        <w:spacing w:before="2" w:line="280" w:lineRule="auto"/>
        <w:ind w:left="1587" w:right="302"/>
      </w:pPr>
      <w:r>
        <w:rPr>
          <w:color w:val="58595B"/>
        </w:rPr>
        <w:t>neither of these pieces of information is known, an alternative is to simply set the charge at an arbitrary level, not knowing what level of pollution abatement it will achieve. Businesses could then be expected to reduce their emissions up to the point where the marginal abatement costs are equal to the charge rate – that is, where the cost to the business of achieving one more unit of emissions is equal to the charge it would pay if it did not abate this additional unit of emissions. This approach attains a given level of abatement at the least cost.</w:t>
      </w:r>
    </w:p>
    <w:p w14:paraId="586C0F33" w14:textId="77777777" w:rsidR="00160E7F" w:rsidRDefault="00160E7F">
      <w:pPr>
        <w:spacing w:line="280" w:lineRule="auto"/>
        <w:sectPr w:rsidR="00160E7F">
          <w:pgSz w:w="11910" w:h="16840"/>
          <w:pgMar w:top="980" w:right="1680" w:bottom="280" w:left="0" w:header="788" w:footer="0" w:gutter="0"/>
          <w:cols w:space="720"/>
        </w:sectPr>
      </w:pPr>
    </w:p>
    <w:p w14:paraId="44900D3D" w14:textId="77777777" w:rsidR="00160E7F" w:rsidRDefault="00160E7F">
      <w:pPr>
        <w:pStyle w:val="BodyText"/>
      </w:pPr>
    </w:p>
    <w:p w14:paraId="6558C4B6" w14:textId="77777777" w:rsidR="00160E7F" w:rsidRDefault="00160E7F">
      <w:pPr>
        <w:pStyle w:val="BodyText"/>
      </w:pPr>
    </w:p>
    <w:p w14:paraId="197F5502" w14:textId="77777777" w:rsidR="00160E7F" w:rsidRDefault="00160E7F">
      <w:pPr>
        <w:pStyle w:val="BodyText"/>
      </w:pPr>
    </w:p>
    <w:p w14:paraId="44ECEDDD" w14:textId="77777777" w:rsidR="00160E7F" w:rsidRDefault="00160E7F">
      <w:pPr>
        <w:pStyle w:val="BodyText"/>
      </w:pPr>
    </w:p>
    <w:p w14:paraId="506E23B5" w14:textId="77777777" w:rsidR="00160E7F" w:rsidRDefault="00160E7F">
      <w:pPr>
        <w:pStyle w:val="BodyText"/>
        <w:spacing w:before="4" w:after="1"/>
        <w:rPr>
          <w:sz w:val="21"/>
        </w:rPr>
      </w:pPr>
    </w:p>
    <w:p w14:paraId="2C5CAA3A" w14:textId="77777777" w:rsidR="00160E7F" w:rsidRDefault="000638CB">
      <w:pPr>
        <w:pStyle w:val="BodyText"/>
        <w:ind w:left="134"/>
      </w:pPr>
      <w:r>
        <w:pict w14:anchorId="3D1DC05F">
          <v:shape id="_x0000_s1058" type="#_x0000_t202" style="width:433.75pt;height:208.3pt;mso-left-percent:-10001;mso-top-percent:-10001;mso-position-horizontal:absolute;mso-position-horizontal-relative:char;mso-position-vertical:absolute;mso-position-vertical-relative:line;mso-left-percent:-10001;mso-top-percent:-10001" fillcolor="#eaf2f3" stroked="f">
            <v:textbox inset="0,0,0,0">
              <w:txbxContent>
                <w:p w14:paraId="0275C8FE" w14:textId="77777777" w:rsidR="00804E46" w:rsidRDefault="00804E46">
                  <w:pPr>
                    <w:pStyle w:val="BodyText"/>
                    <w:spacing w:before="128" w:line="280" w:lineRule="auto"/>
                    <w:ind w:left="170" w:right="476"/>
                  </w:pPr>
                  <w:r>
                    <w:rPr>
                      <w:color w:val="58595B"/>
                    </w:rPr>
                    <w:t>Of course, at some level, an emissions charge will impose costs that are disproportionate to the benefits of abatement. The regulator must account for the impacts of environmental charges on competitiveness, because high rates may simply encourage businesses to relocate to jurisdictions that do not apply pollution charges, leaving the overall level of</w:t>
                  </w:r>
                </w:p>
                <w:p w14:paraId="7BAC757D" w14:textId="77777777" w:rsidR="00804E46" w:rsidRDefault="00804E46">
                  <w:pPr>
                    <w:pStyle w:val="BodyText"/>
                    <w:spacing w:before="2" w:line="280" w:lineRule="auto"/>
                    <w:ind w:left="170" w:right="164"/>
                  </w:pPr>
                  <w:r>
                    <w:rPr>
                      <w:color w:val="58595B"/>
                    </w:rPr>
                    <w:t>pollution unchanged. Accordingly, Perman et al suggest setting rates on the low side initially and then assessing whether this is achieving a desirable level of abatement before raising rates, if necessary.</w:t>
                  </w:r>
                </w:p>
                <w:p w14:paraId="2224259D" w14:textId="77777777" w:rsidR="00804E46" w:rsidRDefault="00804E46">
                  <w:pPr>
                    <w:pStyle w:val="BodyText"/>
                    <w:spacing w:before="172" w:line="280" w:lineRule="auto"/>
                    <w:ind w:left="170" w:right="164"/>
                  </w:pPr>
                  <w:r>
                    <w:rPr>
                      <w:color w:val="58595B"/>
                    </w:rPr>
                    <w:t>When the environment is close to a threshold level of pollution, at which point science suggests that significant harm may occur, applying pollution charges may involve a risk of not abating pollution sufficiently to prevent the threshold being reached. If the community is not willing to bear this risk, the additional costs involved in implementing an economic instrument that places a hard cap on the level of pollution (such as a tradeable permit system) may be worth the benefits. By contrast, a command and control approach may be appropriate if</w:t>
                  </w:r>
                </w:p>
                <w:p w14:paraId="5FC3C37D" w14:textId="77777777" w:rsidR="00804E46" w:rsidRDefault="00804E46">
                  <w:pPr>
                    <w:pStyle w:val="BodyText"/>
                    <w:spacing w:before="2"/>
                    <w:ind w:left="170" w:right="476"/>
                  </w:pPr>
                  <w:r>
                    <w:rPr>
                      <w:color w:val="58595B"/>
                    </w:rPr>
                    <w:t>a more complex economic instrument (such as a tradeable permit system) is not feasible.</w:t>
                  </w:r>
                </w:p>
              </w:txbxContent>
            </v:textbox>
            <w10:wrap type="none"/>
            <w10:anchorlock/>
          </v:shape>
        </w:pict>
      </w:r>
    </w:p>
    <w:p w14:paraId="79FB33E1" w14:textId="77777777" w:rsidR="00160E7F" w:rsidRDefault="00160E7F">
      <w:pPr>
        <w:pStyle w:val="BodyText"/>
        <w:spacing w:before="7"/>
        <w:rPr>
          <w:sz w:val="23"/>
        </w:rPr>
      </w:pPr>
    </w:p>
    <w:p w14:paraId="35024383" w14:textId="77777777" w:rsidR="00160E7F" w:rsidRDefault="002B0299">
      <w:pPr>
        <w:pStyle w:val="BodyText"/>
        <w:spacing w:before="75" w:line="280" w:lineRule="auto"/>
        <w:ind w:left="134" w:right="1716"/>
      </w:pPr>
      <w:r>
        <w:rPr>
          <w:color w:val="58595B"/>
        </w:rPr>
        <w:t>Regulators should use pollution charges after assessing their relative effectiveness, efficiency and feasibility in achieving regulatory objectives; pollution should not be a potential revenue source to fund environmental programs. Indeed, pollution charges that reduce pollution will generate less revenue over time.</w:t>
      </w:r>
    </w:p>
    <w:p w14:paraId="32E4CD56" w14:textId="77777777" w:rsidR="00160E7F" w:rsidRDefault="002B0299">
      <w:pPr>
        <w:pStyle w:val="BodyText"/>
        <w:spacing w:before="172" w:line="280" w:lineRule="auto"/>
        <w:ind w:left="134" w:right="1337"/>
      </w:pPr>
      <w:r>
        <w:rPr>
          <w:color w:val="58595B"/>
        </w:rPr>
        <w:t>Several states use load-based licensing arrangements to encourage licensed businesses to invest in reducing pollutant loads. Some states (notably South Australia and Western Australia) cap these fees to maintain overall licence fee revenues at no more than cost recovery. By contrast, the NSW EPA can set load-based fees that exceed the cost of administering the licences. These fees are linked to actual emissions; a lower pollution load is rewarded with a lower fee.</w:t>
      </w:r>
    </w:p>
    <w:p w14:paraId="0EA6206E" w14:textId="77777777" w:rsidR="00160E7F" w:rsidRDefault="002B0299">
      <w:pPr>
        <w:pStyle w:val="BodyText"/>
        <w:spacing w:before="172" w:line="280" w:lineRule="auto"/>
        <w:ind w:left="134" w:right="1414"/>
      </w:pPr>
      <w:r>
        <w:rPr>
          <w:color w:val="58595B"/>
        </w:rPr>
        <w:t>While some Victorian licensees also pay a fee component linked to pollutant loads, these fees are based on allowable rather than actual emissions. As a result, there is no clear incentive to reduce emissions. In addition, the presence of legislated fee caps in Victoria means that the fee paid by  a licensee may be below the load-based fee that would apply without the cap. In this situation, the licensee faces no clear financial incentive to reduce pollutant</w:t>
      </w:r>
      <w:r>
        <w:rPr>
          <w:color w:val="58595B"/>
          <w:spacing w:val="10"/>
        </w:rPr>
        <w:t xml:space="preserve"> </w:t>
      </w:r>
      <w:r>
        <w:rPr>
          <w:color w:val="58595B"/>
        </w:rPr>
        <w:t>loads.</w:t>
      </w:r>
    </w:p>
    <w:p w14:paraId="1636DAAE" w14:textId="77777777" w:rsidR="00160E7F" w:rsidRDefault="00160E7F">
      <w:pPr>
        <w:pStyle w:val="BodyText"/>
        <w:spacing w:before="4"/>
        <w:rPr>
          <w:sz w:val="22"/>
        </w:rPr>
      </w:pPr>
    </w:p>
    <w:p w14:paraId="516FF9F6" w14:textId="77777777" w:rsidR="00160E7F" w:rsidRDefault="002B0299">
      <w:pPr>
        <w:pStyle w:val="ListParagraph"/>
        <w:numPr>
          <w:ilvl w:val="2"/>
          <w:numId w:val="18"/>
        </w:numPr>
        <w:tabs>
          <w:tab w:val="left" w:pos="795"/>
        </w:tabs>
        <w:spacing w:before="0"/>
        <w:ind w:left="794" w:hanging="660"/>
        <w:jc w:val="left"/>
        <w:rPr>
          <w:sz w:val="20"/>
        </w:rPr>
      </w:pPr>
      <w:r>
        <w:rPr>
          <w:color w:val="0095A7"/>
          <w:sz w:val="20"/>
        </w:rPr>
        <w:t>Landfill</w:t>
      </w:r>
      <w:r>
        <w:rPr>
          <w:color w:val="0095A7"/>
          <w:spacing w:val="6"/>
          <w:sz w:val="20"/>
        </w:rPr>
        <w:t xml:space="preserve"> </w:t>
      </w:r>
      <w:r>
        <w:rPr>
          <w:color w:val="0095A7"/>
          <w:sz w:val="20"/>
        </w:rPr>
        <w:t>levies</w:t>
      </w:r>
    </w:p>
    <w:p w14:paraId="4FD52769" w14:textId="77777777" w:rsidR="00160E7F" w:rsidRDefault="002B0299">
      <w:pPr>
        <w:pStyle w:val="BodyText"/>
        <w:spacing w:before="153" w:line="280" w:lineRule="auto"/>
        <w:ind w:left="134" w:right="1433"/>
      </w:pPr>
      <w:r>
        <w:rPr>
          <w:color w:val="58595B"/>
        </w:rPr>
        <w:t>Landfill levies are a pollution charge that is imposed on waste deposited to landfill. They are the most prominent economic instrument used for environment protection purposes in Victoria.</w:t>
      </w:r>
    </w:p>
    <w:p w14:paraId="3F55C734" w14:textId="77777777" w:rsidR="00160E7F" w:rsidRDefault="002B0299">
      <w:pPr>
        <w:pStyle w:val="BodyText"/>
        <w:spacing w:before="172" w:line="280" w:lineRule="auto"/>
        <w:ind w:left="134" w:right="1433"/>
      </w:pPr>
      <w:r>
        <w:rPr>
          <w:color w:val="58595B"/>
        </w:rPr>
        <w:t>Landfill levies for municipal and industrial waste and hazardous waste are applied at the point of disposal of waste to landfill. They aim to internalise negative externalities created by waste and create a financial incentive to consider alternatives to disposal to landfill, such as recycling and reuse. Government sets landfill levies and determines how landfill levy revenue is spent. Landfill levies can be spent only for environment protection and sustainability purposes. The levies have increased substantially in recent years and avoiding the levy has driven significant change in the waste management industry.</w:t>
      </w:r>
    </w:p>
    <w:p w14:paraId="58C7EA7C" w14:textId="77777777" w:rsidR="00160E7F" w:rsidRDefault="002B0299">
      <w:pPr>
        <w:pStyle w:val="BodyText"/>
        <w:spacing w:before="172" w:line="280" w:lineRule="auto"/>
        <w:ind w:left="134" w:right="1595"/>
      </w:pPr>
      <w:r>
        <w:rPr>
          <w:color w:val="58595B"/>
        </w:rPr>
        <w:t xml:space="preserve">Currently, the government uses the landfill levy to fund recycling and reuse opportunities that  do not attract the levy. </w:t>
      </w:r>
      <w:r>
        <w:rPr>
          <w:color w:val="58595B"/>
          <w:spacing w:val="-3"/>
        </w:rPr>
        <w:t xml:space="preserve">However, </w:t>
      </w:r>
      <w:r>
        <w:rPr>
          <w:color w:val="58595B"/>
        </w:rPr>
        <w:t>landfill levy settings, including different levy rates across jurisdictions, have also driven undesired outcomes to avoid paying the levy. Stakeholders have suggested that higher landfill levies have contributed to poor waste management practices such as stockpiling, illegal dumping and blending of contaminated waste with clean fill, for</w:t>
      </w:r>
      <w:r>
        <w:rPr>
          <w:color w:val="58595B"/>
          <w:spacing w:val="-9"/>
        </w:rPr>
        <w:t xml:space="preserve"> </w:t>
      </w:r>
      <w:r>
        <w:rPr>
          <w:color w:val="58595B"/>
        </w:rPr>
        <w:t>example:</w:t>
      </w:r>
    </w:p>
    <w:p w14:paraId="087B73A9" w14:textId="77777777" w:rsidR="00160E7F" w:rsidRDefault="00160E7F">
      <w:pPr>
        <w:spacing w:line="280" w:lineRule="auto"/>
        <w:sectPr w:rsidR="00160E7F">
          <w:pgSz w:w="11910" w:h="16840"/>
          <w:pgMar w:top="980" w:right="0" w:bottom="280" w:left="1680" w:header="788" w:footer="0" w:gutter="0"/>
          <w:cols w:space="720"/>
        </w:sectPr>
      </w:pPr>
    </w:p>
    <w:p w14:paraId="0310E15B" w14:textId="77777777" w:rsidR="00160E7F" w:rsidRDefault="00160E7F">
      <w:pPr>
        <w:pStyle w:val="BodyText"/>
      </w:pPr>
    </w:p>
    <w:p w14:paraId="39A2140F" w14:textId="77777777" w:rsidR="00160E7F" w:rsidRDefault="00160E7F">
      <w:pPr>
        <w:pStyle w:val="BodyText"/>
      </w:pPr>
    </w:p>
    <w:p w14:paraId="19E85F8B" w14:textId="77777777" w:rsidR="00160E7F" w:rsidRDefault="00160E7F">
      <w:pPr>
        <w:pStyle w:val="BodyText"/>
      </w:pPr>
    </w:p>
    <w:p w14:paraId="02A604AF" w14:textId="77777777" w:rsidR="00160E7F" w:rsidRDefault="00160E7F">
      <w:pPr>
        <w:pStyle w:val="BodyText"/>
      </w:pPr>
    </w:p>
    <w:p w14:paraId="360E4EFE" w14:textId="77777777" w:rsidR="00160E7F" w:rsidRDefault="00160E7F">
      <w:pPr>
        <w:pStyle w:val="BodyText"/>
        <w:spacing w:before="8"/>
        <w:rPr>
          <w:sz w:val="17"/>
        </w:rPr>
      </w:pPr>
    </w:p>
    <w:p w14:paraId="5DF94090" w14:textId="6FB368CB" w:rsidR="00160E7F" w:rsidRDefault="002B0299">
      <w:pPr>
        <w:spacing w:before="1" w:line="280" w:lineRule="auto"/>
        <w:ind w:left="1984" w:right="804"/>
        <w:rPr>
          <w:sz w:val="20"/>
        </w:rPr>
      </w:pPr>
      <w:r>
        <w:rPr>
          <w:i/>
          <w:color w:val="231F20"/>
          <w:sz w:val="20"/>
        </w:rPr>
        <w:t>EPA/State Government should consider waiving the landfill levy payable for waste asbestos in consideration that there is a significant legacy problem facing Victorian industry and the community (domestic sources). There is no ability to reuse, recycle or reduce the generation of waste asbestos. In that context the landfill levy provides no incentive. It is likely to have a counterproductive impact by deferring removal</w:t>
      </w:r>
      <w:r w:rsidR="00330F91">
        <w:rPr>
          <w:i/>
          <w:color w:val="231F20"/>
          <w:sz w:val="20"/>
        </w:rPr>
        <w:br/>
      </w:r>
      <w:r>
        <w:rPr>
          <w:i/>
          <w:color w:val="231F20"/>
          <w:sz w:val="20"/>
        </w:rPr>
        <w:t xml:space="preserve">and safe disposal of waste asbestos and causing increased illegal dumping. </w:t>
      </w:r>
      <w:r>
        <w:rPr>
          <w:color w:val="231F20"/>
          <w:sz w:val="20"/>
        </w:rPr>
        <w:t>(Stefan Fiedler submission, p.</w:t>
      </w:r>
      <w:r>
        <w:rPr>
          <w:color w:val="231F20"/>
          <w:spacing w:val="-5"/>
          <w:sz w:val="20"/>
        </w:rPr>
        <w:t xml:space="preserve"> </w:t>
      </w:r>
      <w:r>
        <w:rPr>
          <w:color w:val="231F20"/>
          <w:spacing w:val="-4"/>
          <w:sz w:val="20"/>
        </w:rPr>
        <w:t>9)</w:t>
      </w:r>
    </w:p>
    <w:p w14:paraId="3E2EC06F" w14:textId="26AF7A61" w:rsidR="00160E7F" w:rsidRDefault="002B0299">
      <w:pPr>
        <w:pStyle w:val="BodyText"/>
        <w:spacing w:before="172" w:line="280" w:lineRule="auto"/>
        <w:ind w:left="1417" w:right="139"/>
      </w:pPr>
      <w:r>
        <w:rPr>
          <w:color w:val="58595B"/>
        </w:rPr>
        <w:t>The</w:t>
      </w:r>
      <w:r>
        <w:rPr>
          <w:color w:val="58595B"/>
          <w:spacing w:val="-11"/>
        </w:rPr>
        <w:t xml:space="preserve"> </w:t>
      </w:r>
      <w:r>
        <w:rPr>
          <w:color w:val="58595B"/>
        </w:rPr>
        <w:t>design</w:t>
      </w:r>
      <w:r>
        <w:rPr>
          <w:color w:val="58595B"/>
          <w:spacing w:val="-11"/>
        </w:rPr>
        <w:t xml:space="preserve"> </w:t>
      </w:r>
      <w:r>
        <w:rPr>
          <w:color w:val="58595B"/>
        </w:rPr>
        <w:t>flaws</w:t>
      </w:r>
      <w:r>
        <w:rPr>
          <w:color w:val="58595B"/>
          <w:spacing w:val="-11"/>
        </w:rPr>
        <w:t xml:space="preserve"> </w:t>
      </w:r>
      <w:r>
        <w:rPr>
          <w:color w:val="58595B"/>
        </w:rPr>
        <w:t>that</w:t>
      </w:r>
      <w:r>
        <w:rPr>
          <w:color w:val="58595B"/>
          <w:spacing w:val="-11"/>
        </w:rPr>
        <w:t xml:space="preserve"> </w:t>
      </w:r>
      <w:r>
        <w:rPr>
          <w:color w:val="58595B"/>
        </w:rPr>
        <w:t>currently</w:t>
      </w:r>
      <w:r>
        <w:rPr>
          <w:color w:val="58595B"/>
          <w:spacing w:val="-11"/>
        </w:rPr>
        <w:t xml:space="preserve"> </w:t>
      </w:r>
      <w:r>
        <w:rPr>
          <w:color w:val="58595B"/>
        </w:rPr>
        <w:t>inhibit</w:t>
      </w:r>
      <w:r>
        <w:rPr>
          <w:color w:val="58595B"/>
          <w:spacing w:val="-11"/>
        </w:rPr>
        <w:t xml:space="preserve"> </w:t>
      </w:r>
      <w:r>
        <w:rPr>
          <w:color w:val="58595B"/>
        </w:rPr>
        <w:t>the</w:t>
      </w:r>
      <w:r>
        <w:rPr>
          <w:color w:val="58595B"/>
          <w:spacing w:val="-11"/>
        </w:rPr>
        <w:t xml:space="preserve"> </w:t>
      </w:r>
      <w:r>
        <w:rPr>
          <w:color w:val="58595B"/>
        </w:rPr>
        <w:t>effectiveness</w:t>
      </w:r>
      <w:r>
        <w:rPr>
          <w:color w:val="58595B"/>
          <w:spacing w:val="-11"/>
        </w:rPr>
        <w:t xml:space="preserve"> </w:t>
      </w:r>
      <w:r>
        <w:rPr>
          <w:color w:val="58595B"/>
        </w:rPr>
        <w:t>of</w:t>
      </w:r>
      <w:r>
        <w:rPr>
          <w:color w:val="58595B"/>
          <w:spacing w:val="-11"/>
        </w:rPr>
        <w:t xml:space="preserve"> </w:t>
      </w:r>
      <w:r>
        <w:rPr>
          <w:color w:val="58595B"/>
        </w:rPr>
        <w:t>the</w:t>
      </w:r>
      <w:r>
        <w:rPr>
          <w:color w:val="58595B"/>
          <w:spacing w:val="-11"/>
        </w:rPr>
        <w:t xml:space="preserve"> </w:t>
      </w:r>
      <w:r>
        <w:rPr>
          <w:color w:val="58595B"/>
        </w:rPr>
        <w:t>landfill</w:t>
      </w:r>
      <w:r>
        <w:rPr>
          <w:color w:val="58595B"/>
          <w:spacing w:val="-11"/>
        </w:rPr>
        <w:t xml:space="preserve"> </w:t>
      </w:r>
      <w:r>
        <w:rPr>
          <w:color w:val="58595B"/>
        </w:rPr>
        <w:t>levies</w:t>
      </w:r>
      <w:r>
        <w:rPr>
          <w:color w:val="58595B"/>
          <w:spacing w:val="-11"/>
        </w:rPr>
        <w:t xml:space="preserve"> </w:t>
      </w:r>
      <w:r>
        <w:rPr>
          <w:color w:val="58595B"/>
        </w:rPr>
        <w:t>are</w:t>
      </w:r>
      <w:r>
        <w:rPr>
          <w:color w:val="58595B"/>
          <w:spacing w:val="-11"/>
        </w:rPr>
        <w:t xml:space="preserve"> </w:t>
      </w:r>
      <w:r>
        <w:rPr>
          <w:color w:val="58595B"/>
        </w:rPr>
        <w:t>considered</w:t>
      </w:r>
      <w:r>
        <w:rPr>
          <w:color w:val="58595B"/>
          <w:spacing w:val="-11"/>
        </w:rPr>
        <w:t xml:space="preserve"> </w:t>
      </w:r>
      <w:r>
        <w:rPr>
          <w:color w:val="58595B"/>
        </w:rPr>
        <w:t>in</w:t>
      </w:r>
      <w:r>
        <w:rPr>
          <w:color w:val="58595B"/>
          <w:spacing w:val="-11"/>
        </w:rPr>
        <w:t xml:space="preserve"> </w:t>
      </w:r>
      <w:r>
        <w:rPr>
          <w:color w:val="58595B"/>
        </w:rPr>
        <w:t>more detail</w:t>
      </w:r>
      <w:r>
        <w:rPr>
          <w:color w:val="58595B"/>
          <w:spacing w:val="-9"/>
        </w:rPr>
        <w:t xml:space="preserve"> </w:t>
      </w:r>
      <w:r>
        <w:rPr>
          <w:color w:val="58595B"/>
        </w:rPr>
        <w:t>in</w:t>
      </w:r>
      <w:r>
        <w:rPr>
          <w:color w:val="58595B"/>
          <w:spacing w:val="-9"/>
        </w:rPr>
        <w:t xml:space="preserve"> </w:t>
      </w:r>
      <w:r>
        <w:rPr>
          <w:color w:val="58595B"/>
        </w:rPr>
        <w:t>chapter</w:t>
      </w:r>
      <w:r>
        <w:rPr>
          <w:color w:val="58595B"/>
          <w:spacing w:val="-9"/>
        </w:rPr>
        <w:t xml:space="preserve"> </w:t>
      </w:r>
      <w:r>
        <w:rPr>
          <w:color w:val="58595B"/>
          <w:spacing w:val="-6"/>
        </w:rPr>
        <w:t>21.</w:t>
      </w:r>
      <w:r>
        <w:rPr>
          <w:color w:val="58595B"/>
          <w:spacing w:val="-9"/>
        </w:rPr>
        <w:t xml:space="preserve"> </w:t>
      </w:r>
      <w:r>
        <w:rPr>
          <w:color w:val="58595B"/>
          <w:spacing w:val="-3"/>
        </w:rPr>
        <w:t>We</w:t>
      </w:r>
      <w:r>
        <w:rPr>
          <w:color w:val="58595B"/>
          <w:spacing w:val="-9"/>
        </w:rPr>
        <w:t xml:space="preserve"> </w:t>
      </w:r>
      <w:r>
        <w:rPr>
          <w:color w:val="58595B"/>
        </w:rPr>
        <w:t>recommend</w:t>
      </w:r>
      <w:r>
        <w:rPr>
          <w:color w:val="58595B"/>
          <w:spacing w:val="-9"/>
        </w:rPr>
        <w:t xml:space="preserve"> </w:t>
      </w:r>
      <w:r>
        <w:rPr>
          <w:color w:val="58595B"/>
          <w:spacing w:val="-3"/>
        </w:rPr>
        <w:t>reviewing</w:t>
      </w:r>
      <w:r>
        <w:rPr>
          <w:color w:val="58595B"/>
          <w:spacing w:val="-9"/>
        </w:rPr>
        <w:t xml:space="preserve"> </w:t>
      </w:r>
      <w:r>
        <w:rPr>
          <w:color w:val="58595B"/>
        </w:rPr>
        <w:t>and</w:t>
      </w:r>
      <w:r>
        <w:rPr>
          <w:color w:val="58595B"/>
          <w:spacing w:val="-9"/>
        </w:rPr>
        <w:t xml:space="preserve"> </w:t>
      </w:r>
      <w:r>
        <w:rPr>
          <w:color w:val="58595B"/>
        </w:rPr>
        <w:t>updating</w:t>
      </w:r>
      <w:r>
        <w:rPr>
          <w:color w:val="58595B"/>
          <w:spacing w:val="-9"/>
        </w:rPr>
        <w:t xml:space="preserve"> </w:t>
      </w:r>
      <w:r>
        <w:rPr>
          <w:color w:val="58595B"/>
        </w:rPr>
        <w:t>the</w:t>
      </w:r>
      <w:r>
        <w:rPr>
          <w:color w:val="58595B"/>
          <w:spacing w:val="-9"/>
        </w:rPr>
        <w:t xml:space="preserve"> </w:t>
      </w:r>
      <w:r>
        <w:rPr>
          <w:color w:val="58595B"/>
        </w:rPr>
        <w:t>landfill</w:t>
      </w:r>
      <w:r>
        <w:rPr>
          <w:color w:val="58595B"/>
          <w:spacing w:val="-9"/>
        </w:rPr>
        <w:t xml:space="preserve"> </w:t>
      </w:r>
      <w:r>
        <w:rPr>
          <w:color w:val="58595B"/>
        </w:rPr>
        <w:t>levy</w:t>
      </w:r>
      <w:r>
        <w:rPr>
          <w:color w:val="58595B"/>
          <w:spacing w:val="-9"/>
        </w:rPr>
        <w:t xml:space="preserve"> </w:t>
      </w:r>
      <w:r>
        <w:rPr>
          <w:color w:val="58595B"/>
        </w:rPr>
        <w:t>collection</w:t>
      </w:r>
      <w:r>
        <w:rPr>
          <w:color w:val="58595B"/>
          <w:spacing w:val="-9"/>
        </w:rPr>
        <w:t xml:space="preserve"> </w:t>
      </w:r>
      <w:r>
        <w:rPr>
          <w:color w:val="58595B"/>
          <w:spacing w:val="-3"/>
        </w:rPr>
        <w:t>provisions,</w:t>
      </w:r>
      <w:r w:rsidR="00330F91">
        <w:rPr>
          <w:color w:val="58595B"/>
          <w:spacing w:val="-6"/>
        </w:rPr>
        <w:br/>
      </w:r>
      <w:r>
        <w:rPr>
          <w:color w:val="58595B"/>
        </w:rPr>
        <w:t xml:space="preserve">as part of </w:t>
      </w:r>
      <w:r>
        <w:rPr>
          <w:color w:val="58595B"/>
          <w:spacing w:val="-3"/>
        </w:rPr>
        <w:t xml:space="preserve">overhauling </w:t>
      </w:r>
      <w:r>
        <w:rPr>
          <w:color w:val="58595B"/>
        </w:rPr>
        <w:t xml:space="preserve">the EP Act. Victoria has an opportunity to </w:t>
      </w:r>
      <w:r>
        <w:rPr>
          <w:color w:val="58595B"/>
          <w:spacing w:val="-3"/>
        </w:rPr>
        <w:t xml:space="preserve">review </w:t>
      </w:r>
      <w:r>
        <w:rPr>
          <w:color w:val="58595B"/>
        </w:rPr>
        <w:t xml:space="preserve">landfill levy settings to minimise perverse incentives, particularly for </w:t>
      </w:r>
      <w:r>
        <w:rPr>
          <w:color w:val="58595B"/>
          <w:spacing w:val="-3"/>
        </w:rPr>
        <w:t xml:space="preserve">waste </w:t>
      </w:r>
      <w:r>
        <w:rPr>
          <w:color w:val="58595B"/>
        </w:rPr>
        <w:t xml:space="preserve">streams without an alternative to landfill, such as asbestos and some types of contaminated soil. These provisions </w:t>
      </w:r>
      <w:r>
        <w:rPr>
          <w:color w:val="58595B"/>
          <w:spacing w:val="-3"/>
        </w:rPr>
        <w:t xml:space="preserve">have </w:t>
      </w:r>
      <w:r>
        <w:rPr>
          <w:color w:val="58595B"/>
        </w:rPr>
        <w:t xml:space="preserve">not </w:t>
      </w:r>
      <w:r>
        <w:rPr>
          <w:color w:val="58595B"/>
          <w:spacing w:val="-4"/>
        </w:rPr>
        <w:t xml:space="preserve">kept </w:t>
      </w:r>
      <w:r>
        <w:rPr>
          <w:color w:val="58595B"/>
        </w:rPr>
        <w:t xml:space="preserve">pace with changes in the </w:t>
      </w:r>
      <w:r>
        <w:rPr>
          <w:color w:val="58595B"/>
          <w:spacing w:val="-3"/>
        </w:rPr>
        <w:t xml:space="preserve">waste </w:t>
      </w:r>
      <w:r>
        <w:rPr>
          <w:color w:val="58595B"/>
        </w:rPr>
        <w:t xml:space="preserve">industry and </w:t>
      </w:r>
      <w:r>
        <w:rPr>
          <w:color w:val="58595B"/>
          <w:spacing w:val="-3"/>
        </w:rPr>
        <w:t xml:space="preserve">technology. </w:t>
      </w:r>
      <w:r>
        <w:rPr>
          <w:color w:val="58595B"/>
        </w:rPr>
        <w:t xml:space="preserve">Nor do </w:t>
      </w:r>
      <w:r>
        <w:rPr>
          <w:color w:val="58595B"/>
          <w:spacing w:val="-3"/>
        </w:rPr>
        <w:t xml:space="preserve">they </w:t>
      </w:r>
      <w:r>
        <w:rPr>
          <w:color w:val="58595B"/>
        </w:rPr>
        <w:t>include robust provisions for verifying landfill</w:t>
      </w:r>
      <w:r>
        <w:rPr>
          <w:color w:val="58595B"/>
          <w:spacing w:val="-8"/>
        </w:rPr>
        <w:t xml:space="preserve"> </w:t>
      </w:r>
      <w:r>
        <w:rPr>
          <w:color w:val="58595B"/>
        </w:rPr>
        <w:t>levy</w:t>
      </w:r>
      <w:r>
        <w:rPr>
          <w:color w:val="58595B"/>
          <w:spacing w:val="-8"/>
        </w:rPr>
        <w:t xml:space="preserve"> </w:t>
      </w:r>
      <w:r>
        <w:rPr>
          <w:color w:val="58595B"/>
          <w:spacing w:val="-3"/>
        </w:rPr>
        <w:t>rebate</w:t>
      </w:r>
      <w:r>
        <w:rPr>
          <w:color w:val="58595B"/>
          <w:spacing w:val="-8"/>
        </w:rPr>
        <w:t xml:space="preserve"> </w:t>
      </w:r>
      <w:r>
        <w:rPr>
          <w:color w:val="58595B"/>
        </w:rPr>
        <w:t>calculations.</w:t>
      </w:r>
      <w:r>
        <w:rPr>
          <w:color w:val="58595B"/>
          <w:spacing w:val="-8"/>
        </w:rPr>
        <w:t xml:space="preserve"> </w:t>
      </w:r>
      <w:r>
        <w:rPr>
          <w:color w:val="58595B"/>
        </w:rPr>
        <w:t>A</w:t>
      </w:r>
      <w:r>
        <w:rPr>
          <w:color w:val="58595B"/>
          <w:spacing w:val="-8"/>
        </w:rPr>
        <w:t xml:space="preserve"> </w:t>
      </w:r>
      <w:r>
        <w:rPr>
          <w:color w:val="58595B"/>
        </w:rPr>
        <w:t>landfill</w:t>
      </w:r>
      <w:r>
        <w:rPr>
          <w:color w:val="58595B"/>
          <w:spacing w:val="-8"/>
        </w:rPr>
        <w:t xml:space="preserve"> </w:t>
      </w:r>
      <w:r>
        <w:rPr>
          <w:color w:val="58595B"/>
        </w:rPr>
        <w:t>levy</w:t>
      </w:r>
      <w:r>
        <w:rPr>
          <w:color w:val="58595B"/>
          <w:spacing w:val="-8"/>
        </w:rPr>
        <w:t xml:space="preserve"> </w:t>
      </w:r>
      <w:r>
        <w:rPr>
          <w:color w:val="58595B"/>
          <w:spacing w:val="-3"/>
        </w:rPr>
        <w:t>review</w:t>
      </w:r>
      <w:r>
        <w:rPr>
          <w:color w:val="58595B"/>
          <w:spacing w:val="-8"/>
        </w:rPr>
        <w:t xml:space="preserve"> </w:t>
      </w:r>
      <w:r>
        <w:rPr>
          <w:color w:val="58595B"/>
        </w:rPr>
        <w:t>could</w:t>
      </w:r>
      <w:r>
        <w:rPr>
          <w:color w:val="58595B"/>
          <w:spacing w:val="-8"/>
        </w:rPr>
        <w:t xml:space="preserve"> </w:t>
      </w:r>
      <w:r>
        <w:rPr>
          <w:color w:val="58595B"/>
        </w:rPr>
        <w:t>be</w:t>
      </w:r>
      <w:r>
        <w:rPr>
          <w:color w:val="58595B"/>
          <w:spacing w:val="-8"/>
        </w:rPr>
        <w:t xml:space="preserve"> </w:t>
      </w:r>
      <w:r>
        <w:rPr>
          <w:color w:val="58595B"/>
        </w:rPr>
        <w:t>part</w:t>
      </w:r>
      <w:r>
        <w:rPr>
          <w:color w:val="58595B"/>
          <w:spacing w:val="-8"/>
        </w:rPr>
        <w:t xml:space="preserve"> </w:t>
      </w:r>
      <w:r>
        <w:rPr>
          <w:color w:val="58595B"/>
        </w:rPr>
        <w:t>of</w:t>
      </w:r>
      <w:r>
        <w:rPr>
          <w:color w:val="58595B"/>
          <w:spacing w:val="-8"/>
        </w:rPr>
        <w:t xml:space="preserve"> </w:t>
      </w:r>
      <w:r>
        <w:rPr>
          <w:color w:val="58595B"/>
        </w:rPr>
        <w:t>an</w:t>
      </w:r>
      <w:r>
        <w:rPr>
          <w:color w:val="58595B"/>
          <w:spacing w:val="-8"/>
        </w:rPr>
        <w:t xml:space="preserve"> </w:t>
      </w:r>
      <w:r>
        <w:rPr>
          <w:color w:val="58595B"/>
          <w:spacing w:val="-3"/>
        </w:rPr>
        <w:t>overhaul</w:t>
      </w:r>
      <w:r>
        <w:rPr>
          <w:color w:val="58595B"/>
          <w:spacing w:val="-8"/>
        </w:rPr>
        <w:t xml:space="preserve"> </w:t>
      </w:r>
      <w:r>
        <w:rPr>
          <w:color w:val="58595B"/>
        </w:rPr>
        <w:t>of</w:t>
      </w:r>
      <w:r>
        <w:rPr>
          <w:color w:val="58595B"/>
          <w:spacing w:val="-8"/>
        </w:rPr>
        <w:t xml:space="preserve"> </w:t>
      </w:r>
      <w:r>
        <w:rPr>
          <w:color w:val="58595B"/>
        </w:rPr>
        <w:t>the</w:t>
      </w:r>
      <w:r>
        <w:rPr>
          <w:color w:val="58595B"/>
          <w:spacing w:val="-8"/>
        </w:rPr>
        <w:t xml:space="preserve"> </w:t>
      </w:r>
      <w:r>
        <w:rPr>
          <w:color w:val="58595B"/>
        </w:rPr>
        <w:t>EP</w:t>
      </w:r>
      <w:r>
        <w:rPr>
          <w:color w:val="58595B"/>
          <w:spacing w:val="-8"/>
        </w:rPr>
        <w:t xml:space="preserve"> </w:t>
      </w:r>
      <w:r>
        <w:rPr>
          <w:color w:val="58595B"/>
        </w:rPr>
        <w:t>Act,</w:t>
      </w:r>
      <w:r>
        <w:rPr>
          <w:color w:val="58595B"/>
          <w:spacing w:val="-8"/>
        </w:rPr>
        <w:t xml:space="preserve"> </w:t>
      </w:r>
      <w:r>
        <w:rPr>
          <w:color w:val="58595B"/>
        </w:rPr>
        <w:t>and consider</w:t>
      </w:r>
      <w:r>
        <w:rPr>
          <w:color w:val="58595B"/>
          <w:spacing w:val="-13"/>
        </w:rPr>
        <w:t xml:space="preserve"> </w:t>
      </w:r>
      <w:r>
        <w:rPr>
          <w:color w:val="58595B"/>
        </w:rPr>
        <w:t>a</w:t>
      </w:r>
      <w:r>
        <w:rPr>
          <w:color w:val="58595B"/>
          <w:spacing w:val="-13"/>
        </w:rPr>
        <w:t xml:space="preserve"> </w:t>
      </w:r>
      <w:r>
        <w:rPr>
          <w:color w:val="58595B"/>
        </w:rPr>
        <w:t>full</w:t>
      </w:r>
      <w:r>
        <w:rPr>
          <w:color w:val="58595B"/>
          <w:spacing w:val="-13"/>
        </w:rPr>
        <w:t xml:space="preserve"> </w:t>
      </w:r>
      <w:r>
        <w:rPr>
          <w:color w:val="58595B"/>
          <w:spacing w:val="-2"/>
        </w:rPr>
        <w:t>set</w:t>
      </w:r>
      <w:r>
        <w:rPr>
          <w:color w:val="58595B"/>
          <w:spacing w:val="-13"/>
        </w:rPr>
        <w:t xml:space="preserve"> </w:t>
      </w:r>
      <w:r>
        <w:rPr>
          <w:color w:val="58595B"/>
        </w:rPr>
        <w:t>of</w:t>
      </w:r>
      <w:r>
        <w:rPr>
          <w:color w:val="58595B"/>
          <w:spacing w:val="-13"/>
        </w:rPr>
        <w:t xml:space="preserve"> </w:t>
      </w:r>
      <w:r>
        <w:rPr>
          <w:color w:val="58595B"/>
        </w:rPr>
        <w:t>instruments</w:t>
      </w:r>
      <w:r>
        <w:rPr>
          <w:color w:val="58595B"/>
          <w:spacing w:val="-13"/>
        </w:rPr>
        <w:t xml:space="preserve"> </w:t>
      </w:r>
      <w:r>
        <w:rPr>
          <w:color w:val="58595B"/>
        </w:rPr>
        <w:t>to</w:t>
      </w:r>
      <w:r>
        <w:rPr>
          <w:color w:val="58595B"/>
          <w:spacing w:val="-13"/>
        </w:rPr>
        <w:t xml:space="preserve"> </w:t>
      </w:r>
      <w:r>
        <w:rPr>
          <w:color w:val="58595B"/>
        </w:rPr>
        <w:t>address</w:t>
      </w:r>
      <w:r>
        <w:rPr>
          <w:color w:val="58595B"/>
          <w:spacing w:val="-13"/>
        </w:rPr>
        <w:t xml:space="preserve"> </w:t>
      </w:r>
      <w:r>
        <w:rPr>
          <w:color w:val="58595B"/>
        </w:rPr>
        <w:t>problems</w:t>
      </w:r>
      <w:r>
        <w:rPr>
          <w:color w:val="58595B"/>
          <w:spacing w:val="-13"/>
        </w:rPr>
        <w:t xml:space="preserve"> </w:t>
      </w:r>
      <w:r>
        <w:rPr>
          <w:color w:val="58595B"/>
        </w:rPr>
        <w:t>such</w:t>
      </w:r>
      <w:r>
        <w:rPr>
          <w:color w:val="58595B"/>
          <w:spacing w:val="-13"/>
        </w:rPr>
        <w:t xml:space="preserve"> </w:t>
      </w:r>
      <w:r>
        <w:rPr>
          <w:color w:val="58595B"/>
        </w:rPr>
        <w:t>as</w:t>
      </w:r>
      <w:r>
        <w:rPr>
          <w:color w:val="58595B"/>
          <w:spacing w:val="-13"/>
        </w:rPr>
        <w:t xml:space="preserve"> </w:t>
      </w:r>
      <w:r>
        <w:rPr>
          <w:color w:val="58595B"/>
        </w:rPr>
        <w:t>stockpiling,</w:t>
      </w:r>
      <w:r>
        <w:rPr>
          <w:color w:val="58595B"/>
          <w:spacing w:val="-13"/>
        </w:rPr>
        <w:t xml:space="preserve"> </w:t>
      </w:r>
      <w:r>
        <w:rPr>
          <w:color w:val="58595B"/>
        </w:rPr>
        <w:t>dumping</w:t>
      </w:r>
      <w:r>
        <w:rPr>
          <w:color w:val="58595B"/>
          <w:spacing w:val="-13"/>
        </w:rPr>
        <w:t xml:space="preserve"> </w:t>
      </w:r>
      <w:r>
        <w:rPr>
          <w:color w:val="58595B"/>
        </w:rPr>
        <w:t>and</w:t>
      </w:r>
      <w:r>
        <w:rPr>
          <w:color w:val="58595B"/>
          <w:spacing w:val="-13"/>
        </w:rPr>
        <w:t xml:space="preserve"> </w:t>
      </w:r>
      <w:r>
        <w:rPr>
          <w:color w:val="58595B"/>
        </w:rPr>
        <w:t>rorting.</w:t>
      </w:r>
    </w:p>
    <w:p w14:paraId="22994049" w14:textId="2562657F" w:rsidR="00160E7F" w:rsidRDefault="002B0299">
      <w:pPr>
        <w:pStyle w:val="BodyText"/>
        <w:spacing w:before="172" w:line="280" w:lineRule="auto"/>
        <w:ind w:left="1417" w:right="166"/>
      </w:pPr>
      <w:r>
        <w:rPr>
          <w:color w:val="58595B"/>
        </w:rPr>
        <w:t>Both</w:t>
      </w:r>
      <w:r>
        <w:rPr>
          <w:color w:val="58595B"/>
          <w:spacing w:val="-4"/>
        </w:rPr>
        <w:t xml:space="preserve"> </w:t>
      </w:r>
      <w:r>
        <w:rPr>
          <w:color w:val="58595B"/>
        </w:rPr>
        <w:t>New</w:t>
      </w:r>
      <w:r>
        <w:rPr>
          <w:color w:val="58595B"/>
          <w:spacing w:val="-4"/>
        </w:rPr>
        <w:t xml:space="preserve"> </w:t>
      </w:r>
      <w:r>
        <w:rPr>
          <w:color w:val="58595B"/>
        </w:rPr>
        <w:t>South</w:t>
      </w:r>
      <w:r>
        <w:rPr>
          <w:color w:val="58595B"/>
          <w:spacing w:val="-4"/>
        </w:rPr>
        <w:t xml:space="preserve"> </w:t>
      </w:r>
      <w:r>
        <w:rPr>
          <w:color w:val="58595B"/>
        </w:rPr>
        <w:t>Wales</w:t>
      </w:r>
      <w:r>
        <w:rPr>
          <w:color w:val="58595B"/>
          <w:spacing w:val="-4"/>
        </w:rPr>
        <w:t xml:space="preserve"> </w:t>
      </w:r>
      <w:r>
        <w:rPr>
          <w:color w:val="58595B"/>
        </w:rPr>
        <w:t>and</w:t>
      </w:r>
      <w:r>
        <w:rPr>
          <w:color w:val="58595B"/>
          <w:spacing w:val="-4"/>
        </w:rPr>
        <w:t xml:space="preserve"> </w:t>
      </w:r>
      <w:r>
        <w:rPr>
          <w:color w:val="58595B"/>
        </w:rPr>
        <w:t>South</w:t>
      </w:r>
      <w:r>
        <w:rPr>
          <w:color w:val="58595B"/>
          <w:spacing w:val="-4"/>
        </w:rPr>
        <w:t xml:space="preserve"> </w:t>
      </w:r>
      <w:r>
        <w:rPr>
          <w:color w:val="58595B"/>
        </w:rPr>
        <w:t>Australia,</w:t>
      </w:r>
      <w:r>
        <w:rPr>
          <w:color w:val="58595B"/>
          <w:spacing w:val="-4"/>
        </w:rPr>
        <w:t xml:space="preserve"> </w:t>
      </w:r>
      <w:r>
        <w:rPr>
          <w:color w:val="58595B"/>
        </w:rPr>
        <w:t>for</w:t>
      </w:r>
      <w:r>
        <w:rPr>
          <w:color w:val="58595B"/>
          <w:spacing w:val="-4"/>
        </w:rPr>
        <w:t xml:space="preserve"> </w:t>
      </w:r>
      <w:r>
        <w:rPr>
          <w:color w:val="58595B"/>
        </w:rPr>
        <w:t>example,</w:t>
      </w:r>
      <w:r>
        <w:rPr>
          <w:color w:val="58595B"/>
          <w:spacing w:val="-4"/>
        </w:rPr>
        <w:t xml:space="preserve"> </w:t>
      </w:r>
      <w:r>
        <w:rPr>
          <w:color w:val="58595B"/>
        </w:rPr>
        <w:t>have</w:t>
      </w:r>
      <w:r>
        <w:rPr>
          <w:color w:val="58595B"/>
          <w:spacing w:val="-4"/>
        </w:rPr>
        <w:t xml:space="preserve"> </w:t>
      </w:r>
      <w:r>
        <w:rPr>
          <w:color w:val="58595B"/>
        </w:rPr>
        <w:t>reviewed</w:t>
      </w:r>
      <w:r>
        <w:rPr>
          <w:color w:val="58595B"/>
          <w:spacing w:val="-4"/>
        </w:rPr>
        <w:t xml:space="preserve"> </w:t>
      </w:r>
      <w:r>
        <w:rPr>
          <w:color w:val="58595B"/>
        </w:rPr>
        <w:t>how</w:t>
      </w:r>
      <w:r>
        <w:rPr>
          <w:color w:val="58595B"/>
          <w:spacing w:val="-4"/>
        </w:rPr>
        <w:t xml:space="preserve"> </w:t>
      </w:r>
      <w:r>
        <w:rPr>
          <w:color w:val="58595B"/>
        </w:rPr>
        <w:t>they</w:t>
      </w:r>
      <w:r>
        <w:rPr>
          <w:color w:val="58595B"/>
          <w:spacing w:val="-4"/>
        </w:rPr>
        <w:t xml:space="preserve"> </w:t>
      </w:r>
      <w:r>
        <w:rPr>
          <w:color w:val="58595B"/>
        </w:rPr>
        <w:t>regulate</w:t>
      </w:r>
      <w:r>
        <w:rPr>
          <w:color w:val="58595B"/>
          <w:spacing w:val="-4"/>
        </w:rPr>
        <w:t xml:space="preserve"> </w:t>
      </w:r>
      <w:r>
        <w:rPr>
          <w:color w:val="58595B"/>
        </w:rPr>
        <w:t xml:space="preserve">waste, and considered a full set of instruments, including licensing and waste levies. The NSW landfill levy now applies to waste going into transfer stations, and can be recovered when the operator can show that the waste has been legally recycled or disposed of within </w:t>
      </w:r>
      <w:r>
        <w:rPr>
          <w:color w:val="58595B"/>
          <w:spacing w:val="-5"/>
        </w:rPr>
        <w:t xml:space="preserve">12 </w:t>
      </w:r>
      <w:r w:rsidR="00223325">
        <w:rPr>
          <w:color w:val="58595B"/>
        </w:rPr>
        <w:t xml:space="preserve">months. This </w:t>
      </w:r>
      <w:r>
        <w:rPr>
          <w:color w:val="58595B"/>
        </w:rPr>
        <w:t>approach provides an incentive to avoid</w:t>
      </w:r>
      <w:r>
        <w:rPr>
          <w:color w:val="58595B"/>
          <w:spacing w:val="-7"/>
        </w:rPr>
        <w:t xml:space="preserve"> </w:t>
      </w:r>
      <w:r>
        <w:rPr>
          <w:color w:val="58595B"/>
        </w:rPr>
        <w:t>stockpiling.</w:t>
      </w:r>
    </w:p>
    <w:p w14:paraId="6C4401D0" w14:textId="77777777" w:rsidR="00160E7F" w:rsidRDefault="00160E7F">
      <w:pPr>
        <w:pStyle w:val="BodyText"/>
        <w:spacing w:before="4"/>
        <w:rPr>
          <w:sz w:val="22"/>
        </w:rPr>
      </w:pPr>
    </w:p>
    <w:p w14:paraId="08068BD7" w14:textId="77777777" w:rsidR="00160E7F" w:rsidRDefault="002B0299">
      <w:pPr>
        <w:pStyle w:val="ListParagraph"/>
        <w:numPr>
          <w:ilvl w:val="2"/>
          <w:numId w:val="18"/>
        </w:numPr>
        <w:tabs>
          <w:tab w:val="left" w:pos="2076"/>
        </w:tabs>
        <w:spacing w:before="0"/>
        <w:ind w:left="2075" w:hanging="658"/>
        <w:jc w:val="left"/>
        <w:rPr>
          <w:sz w:val="20"/>
        </w:rPr>
      </w:pPr>
      <w:r>
        <w:rPr>
          <w:color w:val="0095A7"/>
          <w:sz w:val="20"/>
        </w:rPr>
        <w:t>Tradeable</w:t>
      </w:r>
      <w:r>
        <w:rPr>
          <w:color w:val="0095A7"/>
          <w:spacing w:val="-11"/>
          <w:sz w:val="20"/>
        </w:rPr>
        <w:t xml:space="preserve"> </w:t>
      </w:r>
      <w:r>
        <w:rPr>
          <w:color w:val="0095A7"/>
          <w:sz w:val="20"/>
        </w:rPr>
        <w:t>permits</w:t>
      </w:r>
    </w:p>
    <w:p w14:paraId="7E2F7392" w14:textId="77777777" w:rsidR="00160E7F" w:rsidRDefault="002B0299">
      <w:pPr>
        <w:pStyle w:val="BodyText"/>
        <w:spacing w:before="153" w:line="280" w:lineRule="auto"/>
        <w:ind w:left="1417" w:right="139"/>
        <w:jc w:val="both"/>
        <w:rPr>
          <w:sz w:val="11"/>
        </w:rPr>
      </w:pPr>
      <w:r>
        <w:rPr>
          <w:color w:val="58595B"/>
        </w:rPr>
        <w:t>Tradeable permits have been widely used internationally to regulate pollutants. A tradeable permit scheme creates a market for pollution permits by setting a cap on the total number of permits and defining legally binding rights to pollute within the cap.</w:t>
      </w:r>
      <w:r>
        <w:rPr>
          <w:color w:val="58595B"/>
          <w:position w:val="7"/>
          <w:sz w:val="11"/>
        </w:rPr>
        <w:t>10</w:t>
      </w:r>
    </w:p>
    <w:p w14:paraId="7D719847" w14:textId="77777777" w:rsidR="00160E7F" w:rsidRDefault="002B0299">
      <w:pPr>
        <w:pStyle w:val="BodyText"/>
        <w:spacing w:before="172" w:line="280" w:lineRule="auto"/>
        <w:ind w:left="1417" w:right="303"/>
      </w:pPr>
      <w:r>
        <w:rPr>
          <w:color w:val="58595B"/>
        </w:rPr>
        <w:t xml:space="preserve">Tradeable permit systems offer the same benefit as pollution charges – businesses must internalise the cost of their pollution in their production decisions. </w:t>
      </w:r>
      <w:r>
        <w:rPr>
          <w:color w:val="58595B"/>
          <w:spacing w:val="-3"/>
        </w:rPr>
        <w:t xml:space="preserve">However, </w:t>
      </w:r>
      <w:r>
        <w:rPr>
          <w:color w:val="58595B"/>
        </w:rPr>
        <w:t>while pollution charges require government to guess businesses’ abatement costs to estimate the targeted level of pollution, government can set the cap on the total pollution allowed in a tradeable permit system. Businesses then trade the permits, revealing their marginal pollution abatement costs and determining the most efficient distribution of permits. These schemes are particularly useful when the government’s objective involves capping the level of emissions below a potentially harmful</w:t>
      </w:r>
      <w:r>
        <w:rPr>
          <w:color w:val="58595B"/>
          <w:spacing w:val="4"/>
        </w:rPr>
        <w:t xml:space="preserve"> </w:t>
      </w:r>
      <w:r>
        <w:rPr>
          <w:color w:val="58595B"/>
        </w:rPr>
        <w:t>threshold.</w:t>
      </w:r>
    </w:p>
    <w:p w14:paraId="09EBDFE5" w14:textId="77777777" w:rsidR="00160E7F" w:rsidRDefault="002B0299">
      <w:pPr>
        <w:pStyle w:val="BodyText"/>
        <w:spacing w:before="172" w:line="280" w:lineRule="auto"/>
        <w:ind w:left="1417" w:right="142"/>
      </w:pPr>
      <w:r>
        <w:rPr>
          <w:color w:val="58595B"/>
        </w:rPr>
        <w:t>The Victorian Competition and Efficiency Commission highlighted that a tradeable permit scheme resolves the problem of hidden information:</w:t>
      </w:r>
    </w:p>
    <w:p w14:paraId="38F910A9" w14:textId="77777777" w:rsidR="00160E7F" w:rsidRDefault="002B0299">
      <w:pPr>
        <w:spacing w:before="172" w:line="280" w:lineRule="auto"/>
        <w:ind w:left="1984" w:right="1022"/>
        <w:rPr>
          <w:sz w:val="11"/>
        </w:rPr>
      </w:pPr>
      <w:r>
        <w:rPr>
          <w:i/>
          <w:color w:val="231F20"/>
          <w:sz w:val="20"/>
        </w:rPr>
        <w:t>… firms with low cost abatement options self-select into abatement activities, and firms with high value products self-select as the buyers of pollution permits. This occurs because pollution permits can be traded in the same way as occurs in other markets.</w:t>
      </w:r>
      <w:r>
        <w:rPr>
          <w:color w:val="231F20"/>
          <w:position w:val="7"/>
          <w:sz w:val="11"/>
        </w:rPr>
        <w:t>11</w:t>
      </w:r>
    </w:p>
    <w:p w14:paraId="4600ED46" w14:textId="77777777" w:rsidR="00160E7F" w:rsidRDefault="002B0299">
      <w:pPr>
        <w:pStyle w:val="BodyText"/>
        <w:spacing w:before="172" w:line="280" w:lineRule="auto"/>
        <w:ind w:left="1417" w:right="67"/>
      </w:pPr>
      <w:r>
        <w:rPr>
          <w:color w:val="58595B"/>
        </w:rPr>
        <w:t>Tradeable permit systems require a number of conditions and can be costly to establish. Like pollution charges, pollution must be measured. Further, their benefits depend on trades occurring and a deep market with available abatement technology. However, once they are established they can offer significant benefits over time.</w:t>
      </w:r>
    </w:p>
    <w:p w14:paraId="2C9B7404" w14:textId="77777777" w:rsidR="00160E7F" w:rsidRDefault="00160E7F">
      <w:pPr>
        <w:spacing w:line="280" w:lineRule="auto"/>
        <w:sectPr w:rsidR="00160E7F">
          <w:headerReference w:type="even" r:id="rId87"/>
          <w:headerReference w:type="default" r:id="rId88"/>
          <w:pgSz w:w="11910" w:h="16840"/>
          <w:pgMar w:top="980" w:right="1680" w:bottom="280" w:left="0" w:header="788" w:footer="0" w:gutter="0"/>
          <w:pgNumType w:start="280"/>
          <w:cols w:space="720"/>
        </w:sectPr>
      </w:pPr>
    </w:p>
    <w:p w14:paraId="62BE9245" w14:textId="77777777" w:rsidR="00160E7F" w:rsidRDefault="00160E7F">
      <w:pPr>
        <w:pStyle w:val="BodyText"/>
      </w:pPr>
    </w:p>
    <w:p w14:paraId="43FE5295" w14:textId="77777777" w:rsidR="00160E7F" w:rsidRDefault="00160E7F">
      <w:pPr>
        <w:pStyle w:val="BodyText"/>
      </w:pPr>
    </w:p>
    <w:p w14:paraId="0EB2FF17" w14:textId="77777777" w:rsidR="00160E7F" w:rsidRDefault="00160E7F">
      <w:pPr>
        <w:pStyle w:val="BodyText"/>
      </w:pPr>
    </w:p>
    <w:p w14:paraId="03F0CA7C" w14:textId="77777777" w:rsidR="00160E7F" w:rsidRDefault="00160E7F">
      <w:pPr>
        <w:pStyle w:val="BodyText"/>
      </w:pPr>
    </w:p>
    <w:p w14:paraId="4794A235" w14:textId="77777777" w:rsidR="00160E7F" w:rsidRDefault="00160E7F">
      <w:pPr>
        <w:pStyle w:val="BodyText"/>
        <w:spacing w:before="8"/>
        <w:rPr>
          <w:sz w:val="17"/>
        </w:rPr>
      </w:pPr>
    </w:p>
    <w:p w14:paraId="2C1F96B5" w14:textId="19E16FB7" w:rsidR="00160E7F" w:rsidRDefault="002B0299">
      <w:pPr>
        <w:pStyle w:val="BodyText"/>
        <w:spacing w:before="1" w:line="280" w:lineRule="auto"/>
        <w:ind w:left="134" w:right="1433"/>
        <w:rPr>
          <w:sz w:val="11"/>
        </w:rPr>
      </w:pPr>
      <w:r>
        <w:rPr>
          <w:color w:val="58595B"/>
        </w:rPr>
        <w:t xml:space="preserve">As with all regulatory interventions, the success of tradeable </w:t>
      </w:r>
      <w:r w:rsidR="00C36C4A">
        <w:rPr>
          <w:color w:val="58595B"/>
        </w:rPr>
        <w:t>permit schemes ‘depends heavily</w:t>
      </w:r>
      <w:r w:rsidR="00C36C4A">
        <w:rPr>
          <w:color w:val="58595B"/>
        </w:rPr>
        <w:br/>
      </w:r>
      <w:r>
        <w:rPr>
          <w:color w:val="58595B"/>
        </w:rPr>
        <w:t>on sound design and implementation’ (box 16.2):</w:t>
      </w:r>
      <w:r>
        <w:rPr>
          <w:color w:val="58595B"/>
          <w:position w:val="7"/>
          <w:sz w:val="11"/>
        </w:rPr>
        <w:t>12</w:t>
      </w:r>
    </w:p>
    <w:p w14:paraId="52E57438" w14:textId="77777777" w:rsidR="00160E7F" w:rsidRDefault="002B0299">
      <w:pPr>
        <w:spacing w:before="172" w:line="280" w:lineRule="auto"/>
        <w:ind w:left="701" w:right="1747"/>
        <w:rPr>
          <w:sz w:val="11"/>
        </w:rPr>
      </w:pPr>
      <w:r>
        <w:rPr>
          <w:i/>
          <w:color w:val="231F20"/>
          <w:sz w:val="20"/>
        </w:rPr>
        <w:t>… the evidence suggests that if tradeable permit schemes are confined to circumstances where the use of permits can be easily monitored and verified, where there are good trading prospects and mindful of the design features of existing successful schemes, then they have the capacity to deliver substantially reduced pollution loads and a substantially lower cost to industry than traditional regulation.</w:t>
      </w:r>
      <w:r>
        <w:rPr>
          <w:color w:val="231F20"/>
          <w:position w:val="7"/>
          <w:sz w:val="11"/>
        </w:rPr>
        <w:t>13</w:t>
      </w:r>
    </w:p>
    <w:p w14:paraId="47A879B6" w14:textId="77777777" w:rsidR="00160E7F" w:rsidRDefault="000638CB">
      <w:pPr>
        <w:pStyle w:val="BodyText"/>
        <w:spacing w:before="7"/>
        <w:rPr>
          <w:sz w:val="10"/>
        </w:rPr>
      </w:pPr>
      <w:r>
        <w:pict w14:anchorId="3969C50B">
          <v:shape id="_x0000_s1057" type="#_x0000_t202" style="position:absolute;margin-left:90.7pt;margin-top:7.3pt;width:432.75pt;height:250.85pt;z-index:2296;mso-wrap-distance-left:0;mso-wrap-distance-right:0;mso-position-horizontal-relative:page" fillcolor="#eaf2f3" stroked="f">
            <v:textbox inset="0,0,0,0">
              <w:txbxContent>
                <w:p w14:paraId="59D74ABE" w14:textId="77777777" w:rsidR="00804E46" w:rsidRDefault="00804E46">
                  <w:pPr>
                    <w:spacing w:before="128"/>
                    <w:ind w:left="170" w:right="311"/>
                    <w:rPr>
                      <w:sz w:val="11"/>
                    </w:rPr>
                  </w:pPr>
                  <w:r>
                    <w:rPr>
                      <w:b/>
                      <w:color w:val="0095A7"/>
                      <w:sz w:val="20"/>
                    </w:rPr>
                    <w:t xml:space="preserve">BOX 16.2 </w:t>
                  </w:r>
                  <w:r>
                    <w:rPr>
                      <w:color w:val="0095A7"/>
                      <w:sz w:val="20"/>
                    </w:rPr>
                    <w:t>HUNTER RIVER SALINITY TRADING SCHEME</w:t>
                  </w:r>
                  <w:r>
                    <w:rPr>
                      <w:color w:val="0095A7"/>
                      <w:position w:val="7"/>
                      <w:sz w:val="11"/>
                    </w:rPr>
                    <w:t>14</w:t>
                  </w:r>
                </w:p>
                <w:p w14:paraId="335B2E1F" w14:textId="77777777" w:rsidR="00804E46" w:rsidRDefault="00804E46">
                  <w:pPr>
                    <w:pStyle w:val="BodyText"/>
                    <w:spacing w:before="153" w:line="280" w:lineRule="auto"/>
                    <w:ind w:left="170" w:right="166"/>
                  </w:pPr>
                  <w:r>
                    <w:rPr>
                      <w:color w:val="58595B"/>
                    </w:rPr>
                    <w:t>The New South Wales Government’s Hunter River Salinity Trading Scheme uses economic instruments to protect the region’s waterways. Agriculture benefits from fresh irrigation waters while miners and electricity generators can make controlled discharges of excess   waters.</w:t>
                  </w:r>
                </w:p>
                <w:p w14:paraId="4C051F99" w14:textId="77777777" w:rsidR="00804E46" w:rsidRDefault="00804E46">
                  <w:pPr>
                    <w:pStyle w:val="BodyText"/>
                    <w:spacing w:before="2" w:line="280" w:lineRule="auto"/>
                    <w:ind w:left="170" w:right="311"/>
                  </w:pPr>
                  <w:r>
                    <w:rPr>
                      <w:color w:val="58595B"/>
                    </w:rPr>
                    <w:t>The scheme protects the region’s most precious natural resource, encourages diverse interests to work together, and allows continued economic development.</w:t>
                  </w:r>
                </w:p>
                <w:p w14:paraId="7B99FD3B" w14:textId="77777777" w:rsidR="00804E46" w:rsidRDefault="00804E46">
                  <w:pPr>
                    <w:pStyle w:val="BodyText"/>
                    <w:spacing w:before="172"/>
                    <w:ind w:left="170" w:right="311"/>
                  </w:pPr>
                  <w:r>
                    <w:rPr>
                      <w:color w:val="58595B"/>
                    </w:rPr>
                    <w:t>The scheme achieves these benefits by:</w:t>
                  </w:r>
                </w:p>
                <w:p w14:paraId="5D94B9AB" w14:textId="77777777" w:rsidR="00804E46" w:rsidRDefault="00804E46">
                  <w:pPr>
                    <w:pStyle w:val="ListParagraph"/>
                    <w:numPr>
                      <w:ilvl w:val="0"/>
                      <w:numId w:val="17"/>
                    </w:numPr>
                    <w:tabs>
                      <w:tab w:val="left" w:pos="341"/>
                    </w:tabs>
                    <w:spacing w:before="153"/>
                    <w:ind w:hanging="170"/>
                    <w:rPr>
                      <w:sz w:val="20"/>
                    </w:rPr>
                  </w:pPr>
                  <w:r>
                    <w:rPr>
                      <w:color w:val="58595B"/>
                      <w:sz w:val="20"/>
                    </w:rPr>
                    <w:t>extensive and continuous real time monitoring of environmental conditions and</w:t>
                  </w:r>
                  <w:r>
                    <w:rPr>
                      <w:color w:val="58595B"/>
                      <w:spacing w:val="3"/>
                      <w:sz w:val="20"/>
                    </w:rPr>
                    <w:t xml:space="preserve"> </w:t>
                  </w:r>
                  <w:r>
                    <w:rPr>
                      <w:color w:val="58595B"/>
                      <w:sz w:val="20"/>
                    </w:rPr>
                    <w:t>discharges</w:t>
                  </w:r>
                </w:p>
                <w:p w14:paraId="2DA3AB11" w14:textId="77777777" w:rsidR="00804E46" w:rsidRDefault="00804E46">
                  <w:pPr>
                    <w:pStyle w:val="ListParagraph"/>
                    <w:numPr>
                      <w:ilvl w:val="0"/>
                      <w:numId w:val="17"/>
                    </w:numPr>
                    <w:tabs>
                      <w:tab w:val="left" w:pos="341"/>
                    </w:tabs>
                    <w:spacing w:before="153" w:line="280" w:lineRule="auto"/>
                    <w:ind w:right="654" w:hanging="170"/>
                    <w:rPr>
                      <w:sz w:val="20"/>
                    </w:rPr>
                  </w:pPr>
                  <w:r>
                    <w:rPr>
                      <w:color w:val="58595B"/>
                      <w:sz w:val="20"/>
                    </w:rPr>
                    <w:t>scheduling saline industrial discharges at times of high river flows and low background salinity levels so that salinity targets are not exceeded because of the discharges</w:t>
                  </w:r>
                </w:p>
                <w:p w14:paraId="7AE66BC3" w14:textId="77777777" w:rsidR="00804E46" w:rsidRDefault="00804E46">
                  <w:pPr>
                    <w:pStyle w:val="ListParagraph"/>
                    <w:numPr>
                      <w:ilvl w:val="0"/>
                      <w:numId w:val="17"/>
                    </w:numPr>
                    <w:tabs>
                      <w:tab w:val="left" w:pos="341"/>
                    </w:tabs>
                    <w:spacing w:before="115"/>
                    <w:ind w:hanging="170"/>
                    <w:rPr>
                      <w:sz w:val="20"/>
                    </w:rPr>
                  </w:pPr>
                  <w:r>
                    <w:rPr>
                      <w:color w:val="58595B"/>
                      <w:sz w:val="20"/>
                    </w:rPr>
                    <w:t>sharing the total allowable discharge across tradeable salinity credits held by</w:t>
                  </w:r>
                  <w:r>
                    <w:rPr>
                      <w:color w:val="58595B"/>
                      <w:spacing w:val="12"/>
                      <w:sz w:val="20"/>
                    </w:rPr>
                    <w:t xml:space="preserve"> </w:t>
                  </w:r>
                  <w:r>
                    <w:rPr>
                      <w:color w:val="58595B"/>
                      <w:sz w:val="20"/>
                    </w:rPr>
                    <w:t>dischargers</w:t>
                  </w:r>
                </w:p>
                <w:p w14:paraId="74C107B4" w14:textId="77777777" w:rsidR="00804E46" w:rsidRDefault="00804E46">
                  <w:pPr>
                    <w:pStyle w:val="ListParagraph"/>
                    <w:numPr>
                      <w:ilvl w:val="0"/>
                      <w:numId w:val="17"/>
                    </w:numPr>
                    <w:tabs>
                      <w:tab w:val="left" w:pos="341"/>
                    </w:tabs>
                    <w:spacing w:before="153"/>
                    <w:ind w:hanging="170"/>
                    <w:rPr>
                      <w:sz w:val="20"/>
                    </w:rPr>
                  </w:pPr>
                  <w:r>
                    <w:rPr>
                      <w:color w:val="58595B"/>
                      <w:sz w:val="20"/>
                    </w:rPr>
                    <w:t>issuing initial credits with different life spans (200 credits expire every two</w:t>
                  </w:r>
                  <w:r>
                    <w:rPr>
                      <w:color w:val="58595B"/>
                      <w:spacing w:val="9"/>
                      <w:sz w:val="20"/>
                    </w:rPr>
                    <w:t xml:space="preserve"> </w:t>
                  </w:r>
                  <w:r>
                    <w:rPr>
                      <w:color w:val="58595B"/>
                      <w:spacing w:val="-2"/>
                      <w:sz w:val="20"/>
                    </w:rPr>
                    <w:t>years)</w:t>
                  </w:r>
                </w:p>
                <w:p w14:paraId="2C518BF0" w14:textId="77777777" w:rsidR="00804E46" w:rsidRDefault="00804E46">
                  <w:pPr>
                    <w:pStyle w:val="ListParagraph"/>
                    <w:numPr>
                      <w:ilvl w:val="0"/>
                      <w:numId w:val="17"/>
                    </w:numPr>
                    <w:tabs>
                      <w:tab w:val="left" w:pos="341"/>
                    </w:tabs>
                    <w:spacing w:before="153"/>
                    <w:ind w:hanging="170"/>
                    <w:rPr>
                      <w:sz w:val="20"/>
                    </w:rPr>
                  </w:pPr>
                  <w:r>
                    <w:rPr>
                      <w:color w:val="58595B"/>
                      <w:sz w:val="20"/>
                    </w:rPr>
                    <w:t>using a public auction to fairly distribute 200 new credits every two</w:t>
                  </w:r>
                  <w:r>
                    <w:rPr>
                      <w:color w:val="58595B"/>
                      <w:spacing w:val="11"/>
                      <w:sz w:val="20"/>
                    </w:rPr>
                    <w:t xml:space="preserve"> </w:t>
                  </w:r>
                  <w:r>
                    <w:rPr>
                      <w:color w:val="58595B"/>
                      <w:sz w:val="20"/>
                    </w:rPr>
                    <w:t>years.</w:t>
                  </w:r>
                </w:p>
                <w:p w14:paraId="4F72404A" w14:textId="77777777" w:rsidR="00804E46" w:rsidRDefault="00804E46">
                  <w:pPr>
                    <w:pStyle w:val="BodyText"/>
                    <w:spacing w:before="3"/>
                    <w:rPr>
                      <w:sz w:val="18"/>
                    </w:rPr>
                  </w:pPr>
                </w:p>
                <w:p w14:paraId="6D19495F" w14:textId="77777777" w:rsidR="00804E46" w:rsidRDefault="00804E46">
                  <w:pPr>
                    <w:pStyle w:val="BodyText"/>
                    <w:ind w:left="170" w:right="311"/>
                  </w:pPr>
                  <w:r>
                    <w:rPr>
                      <w:color w:val="58595B"/>
                    </w:rPr>
                    <w:t>The scheme is currently under review.</w:t>
                  </w:r>
                </w:p>
              </w:txbxContent>
            </v:textbox>
            <w10:wrap type="topAndBottom" anchorx="page"/>
          </v:shape>
        </w:pict>
      </w:r>
    </w:p>
    <w:p w14:paraId="25520E24" w14:textId="77777777" w:rsidR="00160E7F" w:rsidRDefault="00160E7F">
      <w:pPr>
        <w:pStyle w:val="BodyText"/>
      </w:pPr>
    </w:p>
    <w:p w14:paraId="57F53871" w14:textId="77777777" w:rsidR="00160E7F" w:rsidRDefault="00160E7F">
      <w:pPr>
        <w:pStyle w:val="BodyText"/>
        <w:spacing w:before="10"/>
        <w:rPr>
          <w:sz w:val="17"/>
        </w:rPr>
      </w:pPr>
    </w:p>
    <w:p w14:paraId="75833E2F" w14:textId="77777777" w:rsidR="00160E7F" w:rsidRDefault="002B0299">
      <w:pPr>
        <w:pStyle w:val="ListParagraph"/>
        <w:numPr>
          <w:ilvl w:val="2"/>
          <w:numId w:val="18"/>
        </w:numPr>
        <w:tabs>
          <w:tab w:val="left" w:pos="792"/>
        </w:tabs>
        <w:spacing w:before="0"/>
        <w:ind w:left="791" w:hanging="657"/>
        <w:jc w:val="left"/>
        <w:rPr>
          <w:sz w:val="20"/>
        </w:rPr>
      </w:pPr>
      <w:r>
        <w:rPr>
          <w:color w:val="0095A7"/>
          <w:sz w:val="20"/>
        </w:rPr>
        <w:t>Environmental</w:t>
      </w:r>
      <w:r>
        <w:rPr>
          <w:color w:val="0095A7"/>
          <w:spacing w:val="1"/>
          <w:sz w:val="20"/>
        </w:rPr>
        <w:t xml:space="preserve"> </w:t>
      </w:r>
      <w:r>
        <w:rPr>
          <w:color w:val="0095A7"/>
          <w:sz w:val="20"/>
        </w:rPr>
        <w:t>offsets</w:t>
      </w:r>
    </w:p>
    <w:p w14:paraId="46F589EF" w14:textId="77777777" w:rsidR="00160E7F" w:rsidRDefault="002B0299">
      <w:pPr>
        <w:pStyle w:val="BodyText"/>
        <w:spacing w:before="153" w:line="280" w:lineRule="auto"/>
        <w:ind w:left="134" w:right="2171"/>
      </w:pPr>
      <w:r>
        <w:rPr>
          <w:color w:val="58595B"/>
        </w:rPr>
        <w:t>We recommend the EPA develop a policy to provide guidance and transparency on when businesses can use offsets.</w:t>
      </w:r>
    </w:p>
    <w:p w14:paraId="54B96F36" w14:textId="77777777" w:rsidR="00160E7F" w:rsidRDefault="002B0299">
      <w:pPr>
        <w:pStyle w:val="BodyText"/>
        <w:spacing w:before="172" w:line="280" w:lineRule="auto"/>
        <w:ind w:left="134" w:right="1516"/>
      </w:pPr>
      <w:r>
        <w:rPr>
          <w:color w:val="58595B"/>
        </w:rPr>
        <w:t>Environmental offsets allow the environmental impacts at one site to be offset by enhancements at another. Offsets are usually designed to create an equivalent or better environmental outcome to counterbalance a polluting activity. Whether this works effectively depends on the rules used to determine an appropriate</w:t>
      </w:r>
      <w:r>
        <w:rPr>
          <w:color w:val="58595B"/>
          <w:spacing w:val="-5"/>
        </w:rPr>
        <w:t xml:space="preserve"> </w:t>
      </w:r>
      <w:r>
        <w:rPr>
          <w:color w:val="58595B"/>
        </w:rPr>
        <w:t>‘offset’.</w:t>
      </w:r>
    </w:p>
    <w:p w14:paraId="68EC5F34" w14:textId="77777777" w:rsidR="00160E7F" w:rsidRDefault="002B0299">
      <w:pPr>
        <w:pStyle w:val="BodyText"/>
        <w:spacing w:before="172" w:line="280" w:lineRule="auto"/>
        <w:ind w:left="134" w:right="1526"/>
      </w:pPr>
      <w:r>
        <w:rPr>
          <w:color w:val="58595B"/>
        </w:rPr>
        <w:t>While the EP Act and the state environment protection policy (Waters of Victoria) provide a head of power for environmental offsets, the Victorian Water Industry Association argued that the EPA’s regulatory structure:</w:t>
      </w:r>
    </w:p>
    <w:p w14:paraId="4F0D4001" w14:textId="77777777" w:rsidR="00160E7F" w:rsidRDefault="002B0299">
      <w:pPr>
        <w:spacing w:before="172" w:line="280" w:lineRule="auto"/>
        <w:ind w:left="701" w:right="1999"/>
        <w:rPr>
          <w:sz w:val="20"/>
        </w:rPr>
      </w:pPr>
      <w:r>
        <w:rPr>
          <w:i/>
          <w:color w:val="231F20"/>
          <w:sz w:val="20"/>
        </w:rPr>
        <w:t xml:space="preserve">… is well suited to approving large, costly infrastructure upgrades, but poorly suited to exploring more experimental options that have potential to save money and deliver an overall better community and environmental outcome. </w:t>
      </w:r>
      <w:r>
        <w:rPr>
          <w:color w:val="231F20"/>
          <w:sz w:val="20"/>
        </w:rPr>
        <w:t>(Victorian Water Industry Association submission, p.</w:t>
      </w:r>
      <w:r>
        <w:rPr>
          <w:color w:val="231F20"/>
          <w:spacing w:val="-1"/>
          <w:sz w:val="20"/>
        </w:rPr>
        <w:t xml:space="preserve"> </w:t>
      </w:r>
      <w:r>
        <w:rPr>
          <w:color w:val="231F20"/>
          <w:sz w:val="20"/>
        </w:rPr>
        <w:t>5)</w:t>
      </w:r>
    </w:p>
    <w:p w14:paraId="4A5D58B4" w14:textId="77777777" w:rsidR="00160E7F" w:rsidRDefault="002B0299">
      <w:pPr>
        <w:pStyle w:val="BodyText"/>
        <w:spacing w:before="172" w:line="280" w:lineRule="auto"/>
        <w:ind w:left="134" w:right="1433"/>
        <w:rPr>
          <w:sz w:val="11"/>
        </w:rPr>
      </w:pPr>
      <w:r>
        <w:rPr>
          <w:color w:val="58595B"/>
        </w:rPr>
        <w:t>Critics of environmental offsets ‘…suggest that existing schemes are fraught with loopholes that make them vulnerable to manipulation by duty holders’.</w:t>
      </w:r>
      <w:r>
        <w:rPr>
          <w:color w:val="58595B"/>
          <w:position w:val="7"/>
          <w:sz w:val="11"/>
        </w:rPr>
        <w:t>15</w:t>
      </w:r>
    </w:p>
    <w:p w14:paraId="7A20D245" w14:textId="77777777" w:rsidR="00160E7F" w:rsidRDefault="00160E7F">
      <w:pPr>
        <w:spacing w:line="280" w:lineRule="auto"/>
        <w:rPr>
          <w:sz w:val="11"/>
        </w:rPr>
        <w:sectPr w:rsidR="00160E7F">
          <w:pgSz w:w="11910" w:h="16840"/>
          <w:pgMar w:top="980" w:right="0" w:bottom="280" w:left="1680" w:header="788" w:footer="0" w:gutter="0"/>
          <w:cols w:space="720"/>
        </w:sectPr>
      </w:pPr>
    </w:p>
    <w:p w14:paraId="582F9BF3" w14:textId="77777777" w:rsidR="00160E7F" w:rsidRDefault="00160E7F">
      <w:pPr>
        <w:pStyle w:val="BodyText"/>
      </w:pPr>
    </w:p>
    <w:p w14:paraId="357E8EEC" w14:textId="77777777" w:rsidR="00160E7F" w:rsidRDefault="00160E7F">
      <w:pPr>
        <w:pStyle w:val="BodyText"/>
      </w:pPr>
    </w:p>
    <w:p w14:paraId="533DBED0" w14:textId="77777777" w:rsidR="00160E7F" w:rsidRDefault="00160E7F">
      <w:pPr>
        <w:pStyle w:val="BodyText"/>
      </w:pPr>
    </w:p>
    <w:p w14:paraId="02CE0B8E" w14:textId="77777777" w:rsidR="00160E7F" w:rsidRDefault="00160E7F">
      <w:pPr>
        <w:pStyle w:val="BodyText"/>
      </w:pPr>
    </w:p>
    <w:p w14:paraId="359DFFD5" w14:textId="77777777" w:rsidR="00160E7F" w:rsidRDefault="00160E7F">
      <w:pPr>
        <w:pStyle w:val="BodyText"/>
        <w:spacing w:before="8"/>
        <w:rPr>
          <w:sz w:val="17"/>
        </w:rPr>
      </w:pPr>
    </w:p>
    <w:p w14:paraId="096C5F88" w14:textId="77777777" w:rsidR="00160E7F" w:rsidRDefault="002B0299">
      <w:pPr>
        <w:pStyle w:val="ListParagraph"/>
        <w:numPr>
          <w:ilvl w:val="2"/>
          <w:numId w:val="18"/>
        </w:numPr>
        <w:tabs>
          <w:tab w:val="left" w:pos="2076"/>
        </w:tabs>
        <w:spacing w:before="1"/>
        <w:ind w:left="2075" w:hanging="658"/>
        <w:jc w:val="left"/>
        <w:rPr>
          <w:sz w:val="20"/>
        </w:rPr>
      </w:pPr>
      <w:r>
        <w:rPr>
          <w:color w:val="0095A7"/>
          <w:sz w:val="20"/>
        </w:rPr>
        <w:t>Financial</w:t>
      </w:r>
      <w:r>
        <w:rPr>
          <w:color w:val="0095A7"/>
          <w:spacing w:val="2"/>
          <w:sz w:val="20"/>
        </w:rPr>
        <w:t xml:space="preserve"> </w:t>
      </w:r>
      <w:r>
        <w:rPr>
          <w:color w:val="0095A7"/>
          <w:sz w:val="20"/>
        </w:rPr>
        <w:t>assurances</w:t>
      </w:r>
    </w:p>
    <w:p w14:paraId="1D99A406" w14:textId="77777777" w:rsidR="00160E7F" w:rsidRDefault="002B0299">
      <w:pPr>
        <w:pStyle w:val="BodyText"/>
        <w:spacing w:before="153" w:line="280" w:lineRule="auto"/>
        <w:ind w:left="1417" w:right="142"/>
      </w:pPr>
      <w:r>
        <w:rPr>
          <w:color w:val="58595B"/>
        </w:rPr>
        <w:t xml:space="preserve">A financial assurance is designed to </w:t>
      </w:r>
      <w:r>
        <w:rPr>
          <w:color w:val="58595B"/>
          <w:spacing w:val="-3"/>
        </w:rPr>
        <w:t xml:space="preserve">prevent </w:t>
      </w:r>
      <w:r>
        <w:rPr>
          <w:color w:val="58595B"/>
        </w:rPr>
        <w:t xml:space="preserve">clean up costs being borne </w:t>
      </w:r>
      <w:r>
        <w:rPr>
          <w:color w:val="58595B"/>
          <w:spacing w:val="-3"/>
        </w:rPr>
        <w:t xml:space="preserve">by </w:t>
      </w:r>
      <w:r>
        <w:rPr>
          <w:color w:val="58595B"/>
        </w:rPr>
        <w:t xml:space="preserve">the Victorian community in the </w:t>
      </w:r>
      <w:r>
        <w:rPr>
          <w:color w:val="58595B"/>
          <w:spacing w:val="-4"/>
        </w:rPr>
        <w:t xml:space="preserve">event </w:t>
      </w:r>
      <w:r>
        <w:rPr>
          <w:color w:val="58595B"/>
        </w:rPr>
        <w:t xml:space="preserve">of a business </w:t>
      </w:r>
      <w:r>
        <w:rPr>
          <w:color w:val="58595B"/>
          <w:spacing w:val="-5"/>
        </w:rPr>
        <w:t>failure.</w:t>
      </w:r>
      <w:r>
        <w:rPr>
          <w:color w:val="58595B"/>
          <w:spacing w:val="-5"/>
          <w:position w:val="7"/>
          <w:sz w:val="11"/>
        </w:rPr>
        <w:t xml:space="preserve">16 </w:t>
      </w:r>
      <w:r>
        <w:rPr>
          <w:color w:val="58595B"/>
        </w:rPr>
        <w:t xml:space="preserve">The Scheduled Premises Regulations </w:t>
      </w:r>
      <w:r>
        <w:rPr>
          <w:color w:val="58595B"/>
          <w:spacing w:val="-2"/>
        </w:rPr>
        <w:t xml:space="preserve">set </w:t>
      </w:r>
      <w:r>
        <w:rPr>
          <w:color w:val="58595B"/>
        </w:rPr>
        <w:t xml:space="preserve">out the types of activities that must provide the </w:t>
      </w:r>
      <w:r>
        <w:rPr>
          <w:color w:val="58595B"/>
          <w:spacing w:val="-5"/>
        </w:rPr>
        <w:t xml:space="preserve">EPA </w:t>
      </w:r>
      <w:r>
        <w:rPr>
          <w:color w:val="58595B"/>
        </w:rPr>
        <w:t xml:space="preserve">with a financial assurance. Financial assurances can encourage businesses to clean up a </w:t>
      </w:r>
      <w:r>
        <w:rPr>
          <w:color w:val="58595B"/>
          <w:spacing w:val="-3"/>
        </w:rPr>
        <w:t xml:space="preserve">site, </w:t>
      </w:r>
      <w:r>
        <w:rPr>
          <w:color w:val="58595B"/>
        </w:rPr>
        <w:t xml:space="preserve">if the </w:t>
      </w:r>
      <w:r>
        <w:rPr>
          <w:color w:val="58595B"/>
          <w:spacing w:val="-2"/>
        </w:rPr>
        <w:t xml:space="preserve">amount </w:t>
      </w:r>
      <w:r>
        <w:rPr>
          <w:color w:val="58595B"/>
        </w:rPr>
        <w:t>of the assurance is greater than the clean up</w:t>
      </w:r>
      <w:r>
        <w:rPr>
          <w:color w:val="58595B"/>
          <w:spacing w:val="-11"/>
        </w:rPr>
        <w:t xml:space="preserve"> </w:t>
      </w:r>
      <w:r>
        <w:rPr>
          <w:color w:val="58595B"/>
        </w:rPr>
        <w:t>cost.</w:t>
      </w:r>
      <w:r>
        <w:rPr>
          <w:color w:val="58595B"/>
          <w:spacing w:val="-10"/>
        </w:rPr>
        <w:t xml:space="preserve"> </w:t>
      </w:r>
      <w:r>
        <w:rPr>
          <w:color w:val="58595B"/>
          <w:spacing w:val="-5"/>
        </w:rPr>
        <w:t>However,</w:t>
      </w:r>
      <w:r>
        <w:rPr>
          <w:color w:val="58595B"/>
          <w:spacing w:val="-11"/>
        </w:rPr>
        <w:t xml:space="preserve"> </w:t>
      </w:r>
      <w:r>
        <w:rPr>
          <w:color w:val="58595B"/>
        </w:rPr>
        <w:t>financial</w:t>
      </w:r>
      <w:r>
        <w:rPr>
          <w:color w:val="58595B"/>
          <w:spacing w:val="-11"/>
        </w:rPr>
        <w:t xml:space="preserve"> </w:t>
      </w:r>
      <w:r>
        <w:rPr>
          <w:color w:val="58595B"/>
        </w:rPr>
        <w:t>assurances</w:t>
      </w:r>
      <w:r>
        <w:rPr>
          <w:color w:val="58595B"/>
          <w:spacing w:val="-10"/>
        </w:rPr>
        <w:t xml:space="preserve"> </w:t>
      </w:r>
      <w:r>
        <w:rPr>
          <w:color w:val="58595B"/>
          <w:spacing w:val="-3"/>
        </w:rPr>
        <w:t>have</w:t>
      </w:r>
      <w:r>
        <w:rPr>
          <w:color w:val="58595B"/>
          <w:spacing w:val="-10"/>
        </w:rPr>
        <w:t xml:space="preserve"> </w:t>
      </w:r>
      <w:r>
        <w:rPr>
          <w:color w:val="58595B"/>
        </w:rPr>
        <w:t>often</w:t>
      </w:r>
      <w:r>
        <w:rPr>
          <w:color w:val="58595B"/>
          <w:spacing w:val="-11"/>
        </w:rPr>
        <w:t xml:space="preserve"> </w:t>
      </w:r>
      <w:r>
        <w:rPr>
          <w:color w:val="58595B"/>
        </w:rPr>
        <w:t>been</w:t>
      </w:r>
      <w:r>
        <w:rPr>
          <w:color w:val="58595B"/>
          <w:spacing w:val="-11"/>
        </w:rPr>
        <w:t xml:space="preserve"> </w:t>
      </w:r>
      <w:r>
        <w:rPr>
          <w:color w:val="58595B"/>
        </w:rPr>
        <w:t>insufficient</w:t>
      </w:r>
      <w:r>
        <w:rPr>
          <w:color w:val="58595B"/>
          <w:spacing w:val="-11"/>
        </w:rPr>
        <w:t xml:space="preserve"> </w:t>
      </w:r>
      <w:r>
        <w:rPr>
          <w:color w:val="58595B"/>
          <w:spacing w:val="-6"/>
        </w:rPr>
        <w:t>or,</w:t>
      </w:r>
      <w:r>
        <w:rPr>
          <w:color w:val="58595B"/>
          <w:spacing w:val="-11"/>
        </w:rPr>
        <w:t xml:space="preserve"> </w:t>
      </w:r>
      <w:r>
        <w:rPr>
          <w:color w:val="58595B"/>
        </w:rPr>
        <w:t>in</w:t>
      </w:r>
      <w:r>
        <w:rPr>
          <w:color w:val="58595B"/>
          <w:spacing w:val="-10"/>
        </w:rPr>
        <w:t xml:space="preserve"> </w:t>
      </w:r>
      <w:r>
        <w:rPr>
          <w:color w:val="58595B"/>
        </w:rPr>
        <w:t>some</w:t>
      </w:r>
      <w:r>
        <w:rPr>
          <w:color w:val="58595B"/>
          <w:spacing w:val="-11"/>
        </w:rPr>
        <w:t xml:space="preserve"> </w:t>
      </w:r>
      <w:r>
        <w:rPr>
          <w:color w:val="58595B"/>
        </w:rPr>
        <w:t>cases,</w:t>
      </w:r>
      <w:r>
        <w:rPr>
          <w:color w:val="58595B"/>
          <w:spacing w:val="-10"/>
        </w:rPr>
        <w:t xml:space="preserve"> </w:t>
      </w:r>
      <w:r>
        <w:rPr>
          <w:color w:val="58595B"/>
        </w:rPr>
        <w:t>not</w:t>
      </w:r>
      <w:r>
        <w:rPr>
          <w:color w:val="58595B"/>
          <w:spacing w:val="-11"/>
        </w:rPr>
        <w:t xml:space="preserve"> </w:t>
      </w:r>
      <w:r>
        <w:rPr>
          <w:color w:val="58595B"/>
        </w:rPr>
        <w:t>obtained.</w:t>
      </w:r>
    </w:p>
    <w:p w14:paraId="2A3635D3" w14:textId="77777777" w:rsidR="00160E7F" w:rsidRDefault="002B0299">
      <w:pPr>
        <w:pStyle w:val="BodyText"/>
        <w:spacing w:before="172" w:line="280" w:lineRule="auto"/>
        <w:ind w:left="1417" w:right="167"/>
      </w:pPr>
      <w:r>
        <w:rPr>
          <w:color w:val="58595B"/>
          <w:spacing w:val="-3"/>
        </w:rPr>
        <w:t xml:space="preserve">The </w:t>
      </w:r>
      <w:r>
        <w:rPr>
          <w:color w:val="58595B"/>
          <w:spacing w:val="-7"/>
        </w:rPr>
        <w:t xml:space="preserve">EPA </w:t>
      </w:r>
      <w:r>
        <w:rPr>
          <w:color w:val="58595B"/>
        </w:rPr>
        <w:t xml:space="preserve">is </w:t>
      </w:r>
      <w:r>
        <w:rPr>
          <w:color w:val="58595B"/>
          <w:spacing w:val="-4"/>
        </w:rPr>
        <w:t xml:space="preserve">currently reforming </w:t>
      </w:r>
      <w:r>
        <w:rPr>
          <w:color w:val="58595B"/>
          <w:spacing w:val="-3"/>
        </w:rPr>
        <w:t xml:space="preserve">the </w:t>
      </w:r>
      <w:r>
        <w:rPr>
          <w:color w:val="58595B"/>
          <w:spacing w:val="-4"/>
        </w:rPr>
        <w:t xml:space="preserve">requirements </w:t>
      </w:r>
      <w:r>
        <w:rPr>
          <w:color w:val="58595B"/>
          <w:spacing w:val="-3"/>
        </w:rPr>
        <w:t xml:space="preserve">for financial </w:t>
      </w:r>
      <w:r>
        <w:rPr>
          <w:color w:val="58595B"/>
          <w:spacing w:val="-4"/>
        </w:rPr>
        <w:t xml:space="preserve">assurances by updating guidelines, reviewing </w:t>
      </w:r>
      <w:r>
        <w:rPr>
          <w:color w:val="58595B"/>
          <w:spacing w:val="-3"/>
        </w:rPr>
        <w:t xml:space="preserve">and </w:t>
      </w:r>
      <w:r>
        <w:rPr>
          <w:color w:val="58595B"/>
          <w:spacing w:val="-4"/>
        </w:rPr>
        <w:t xml:space="preserve">updating </w:t>
      </w:r>
      <w:r>
        <w:rPr>
          <w:color w:val="58595B"/>
          <w:spacing w:val="-3"/>
        </w:rPr>
        <w:t xml:space="preserve">the </w:t>
      </w:r>
      <w:r>
        <w:rPr>
          <w:color w:val="58595B"/>
          <w:spacing w:val="-4"/>
        </w:rPr>
        <w:t xml:space="preserve">amount </w:t>
      </w:r>
      <w:r>
        <w:rPr>
          <w:color w:val="58595B"/>
          <w:spacing w:val="-3"/>
        </w:rPr>
        <w:t xml:space="preserve">of financial </w:t>
      </w:r>
      <w:r>
        <w:rPr>
          <w:color w:val="58595B"/>
          <w:spacing w:val="-4"/>
        </w:rPr>
        <w:t xml:space="preserve">assurance </w:t>
      </w:r>
      <w:r>
        <w:rPr>
          <w:color w:val="58595B"/>
          <w:spacing w:val="-3"/>
        </w:rPr>
        <w:t xml:space="preserve">held for all </w:t>
      </w:r>
      <w:r>
        <w:rPr>
          <w:color w:val="58595B"/>
          <w:spacing w:val="-4"/>
        </w:rPr>
        <w:t xml:space="preserve">premises </w:t>
      </w:r>
      <w:r>
        <w:rPr>
          <w:color w:val="58595B"/>
          <w:spacing w:val="-3"/>
        </w:rPr>
        <w:t xml:space="preserve">and </w:t>
      </w:r>
      <w:r>
        <w:rPr>
          <w:color w:val="58595B"/>
          <w:spacing w:val="-4"/>
        </w:rPr>
        <w:t xml:space="preserve">obtaining financial assurances </w:t>
      </w:r>
      <w:r>
        <w:rPr>
          <w:color w:val="58595B"/>
          <w:spacing w:val="-3"/>
        </w:rPr>
        <w:t xml:space="preserve">for </w:t>
      </w:r>
      <w:r>
        <w:rPr>
          <w:color w:val="58595B"/>
          <w:spacing w:val="-4"/>
        </w:rPr>
        <w:t xml:space="preserve">premises </w:t>
      </w:r>
      <w:r>
        <w:rPr>
          <w:color w:val="58595B"/>
          <w:spacing w:val="-3"/>
        </w:rPr>
        <w:t xml:space="preserve">that </w:t>
      </w:r>
      <w:r>
        <w:rPr>
          <w:color w:val="58595B"/>
        </w:rPr>
        <w:t xml:space="preserve">do </w:t>
      </w:r>
      <w:r>
        <w:rPr>
          <w:color w:val="58595B"/>
          <w:spacing w:val="-3"/>
        </w:rPr>
        <w:t xml:space="preserve">not </w:t>
      </w:r>
      <w:r>
        <w:rPr>
          <w:color w:val="58595B"/>
          <w:spacing w:val="-4"/>
        </w:rPr>
        <w:t xml:space="preserve">currently </w:t>
      </w:r>
      <w:r>
        <w:rPr>
          <w:color w:val="58595B"/>
          <w:spacing w:val="-5"/>
        </w:rPr>
        <w:t xml:space="preserve">have </w:t>
      </w:r>
      <w:r>
        <w:rPr>
          <w:color w:val="58595B"/>
          <w:spacing w:val="-8"/>
        </w:rPr>
        <w:t>one.</w:t>
      </w:r>
      <w:r>
        <w:rPr>
          <w:color w:val="58595B"/>
          <w:spacing w:val="-8"/>
          <w:position w:val="7"/>
          <w:sz w:val="11"/>
        </w:rPr>
        <w:t xml:space="preserve">17 </w:t>
      </w:r>
      <w:r>
        <w:rPr>
          <w:color w:val="58595B"/>
          <w:spacing w:val="-3"/>
        </w:rPr>
        <w:t xml:space="preserve">The </w:t>
      </w:r>
      <w:r>
        <w:rPr>
          <w:color w:val="58595B"/>
          <w:spacing w:val="-4"/>
        </w:rPr>
        <w:t xml:space="preserve">review </w:t>
      </w:r>
      <w:r>
        <w:rPr>
          <w:color w:val="58595B"/>
          <w:spacing w:val="-3"/>
        </w:rPr>
        <w:t xml:space="preserve">of the </w:t>
      </w:r>
      <w:r>
        <w:rPr>
          <w:color w:val="58595B"/>
          <w:spacing w:val="-4"/>
        </w:rPr>
        <w:t xml:space="preserve">Scheduled Premises Regulations </w:t>
      </w:r>
      <w:r>
        <w:rPr>
          <w:color w:val="58595B"/>
          <w:spacing w:val="-3"/>
        </w:rPr>
        <w:t xml:space="preserve">also </w:t>
      </w:r>
      <w:r>
        <w:rPr>
          <w:color w:val="58595B"/>
          <w:spacing w:val="-4"/>
        </w:rPr>
        <w:t xml:space="preserve">provides </w:t>
      </w:r>
      <w:r>
        <w:rPr>
          <w:color w:val="58595B"/>
        </w:rPr>
        <w:t xml:space="preserve">an </w:t>
      </w:r>
      <w:r>
        <w:rPr>
          <w:color w:val="58595B"/>
          <w:spacing w:val="-3"/>
        </w:rPr>
        <w:t xml:space="preserve">opportunity to </w:t>
      </w:r>
      <w:r>
        <w:rPr>
          <w:color w:val="58595B"/>
          <w:spacing w:val="-4"/>
        </w:rPr>
        <w:t xml:space="preserve">reconsider </w:t>
      </w:r>
      <w:r>
        <w:rPr>
          <w:color w:val="58595B"/>
          <w:spacing w:val="-3"/>
        </w:rPr>
        <w:t xml:space="preserve">which </w:t>
      </w:r>
      <w:r>
        <w:rPr>
          <w:color w:val="58595B"/>
          <w:spacing w:val="-4"/>
        </w:rPr>
        <w:t xml:space="preserve">activities warrant using </w:t>
      </w:r>
      <w:r>
        <w:rPr>
          <w:color w:val="58595B"/>
          <w:spacing w:val="-3"/>
        </w:rPr>
        <w:t xml:space="preserve">this </w:t>
      </w:r>
      <w:r>
        <w:rPr>
          <w:color w:val="58595B"/>
          <w:spacing w:val="-4"/>
        </w:rPr>
        <w:t>tool.</w:t>
      </w:r>
    </w:p>
    <w:p w14:paraId="7CBBA99A" w14:textId="77777777" w:rsidR="00160E7F" w:rsidRDefault="00160E7F">
      <w:pPr>
        <w:pStyle w:val="BodyText"/>
        <w:spacing w:before="4"/>
        <w:rPr>
          <w:sz w:val="22"/>
        </w:rPr>
      </w:pPr>
    </w:p>
    <w:p w14:paraId="466683DD" w14:textId="77777777" w:rsidR="00160E7F" w:rsidRDefault="002B0299">
      <w:pPr>
        <w:pStyle w:val="ListParagraph"/>
        <w:numPr>
          <w:ilvl w:val="2"/>
          <w:numId w:val="18"/>
        </w:numPr>
        <w:tabs>
          <w:tab w:val="left" w:pos="2074"/>
        </w:tabs>
        <w:spacing w:before="0"/>
        <w:ind w:left="2073" w:hanging="656"/>
        <w:jc w:val="left"/>
        <w:rPr>
          <w:sz w:val="20"/>
        </w:rPr>
      </w:pPr>
      <w:r>
        <w:rPr>
          <w:color w:val="0095A7"/>
          <w:sz w:val="20"/>
        </w:rPr>
        <w:t>Economic instruments and the future</w:t>
      </w:r>
      <w:r>
        <w:rPr>
          <w:color w:val="0095A7"/>
          <w:spacing w:val="4"/>
          <w:sz w:val="20"/>
        </w:rPr>
        <w:t xml:space="preserve"> </w:t>
      </w:r>
      <w:r>
        <w:rPr>
          <w:color w:val="0095A7"/>
          <w:spacing w:val="-4"/>
          <w:sz w:val="20"/>
        </w:rPr>
        <w:t>EPA</w:t>
      </w:r>
    </w:p>
    <w:p w14:paraId="65DD8621" w14:textId="77777777" w:rsidR="00160E7F" w:rsidRDefault="002B0299">
      <w:pPr>
        <w:pStyle w:val="BodyText"/>
        <w:spacing w:before="153" w:line="280" w:lineRule="auto"/>
        <w:ind w:left="1417" w:right="405"/>
      </w:pPr>
      <w:r>
        <w:rPr>
          <w:color w:val="58595B"/>
        </w:rPr>
        <w:t>A regulatory agency must have clear objectives and be able to measure the risk of harm of pollution to apply economic instruments effectively. The appropriateness of an economic instrument depends on many factors including:</w:t>
      </w:r>
    </w:p>
    <w:p w14:paraId="7E6F9FD0" w14:textId="77777777" w:rsidR="00160E7F" w:rsidRDefault="002B0299">
      <w:pPr>
        <w:pStyle w:val="ListParagraph"/>
        <w:numPr>
          <w:ilvl w:val="0"/>
          <w:numId w:val="16"/>
        </w:numPr>
        <w:tabs>
          <w:tab w:val="left" w:pos="1588"/>
        </w:tabs>
        <w:spacing w:before="115" w:line="280" w:lineRule="auto"/>
        <w:ind w:right="239" w:hanging="170"/>
        <w:rPr>
          <w:sz w:val="20"/>
        </w:rPr>
      </w:pPr>
      <w:r>
        <w:rPr>
          <w:color w:val="58595B"/>
          <w:sz w:val="20"/>
        </w:rPr>
        <w:t xml:space="preserve">the nature of the objective. For example, charges may be appropriate if the objective is to internalise some pollution cost and encourage businesses to find cost effective ways to reduce their emissions. By contrast, a tradeable permit system might be more appropriate if the objective is to ensure pollution stays below an imminent threshold level or cap. Offsets may be the best </w:t>
      </w:r>
      <w:r>
        <w:rPr>
          <w:color w:val="58595B"/>
          <w:spacing w:val="-2"/>
          <w:sz w:val="20"/>
        </w:rPr>
        <w:t xml:space="preserve">way </w:t>
      </w:r>
      <w:r>
        <w:rPr>
          <w:color w:val="58595B"/>
          <w:sz w:val="20"/>
        </w:rPr>
        <w:t>to ensure pollution does not rise above the current</w:t>
      </w:r>
      <w:r>
        <w:rPr>
          <w:color w:val="58595B"/>
          <w:spacing w:val="-5"/>
          <w:sz w:val="20"/>
        </w:rPr>
        <w:t xml:space="preserve"> </w:t>
      </w:r>
      <w:r>
        <w:rPr>
          <w:color w:val="58595B"/>
          <w:sz w:val="20"/>
        </w:rPr>
        <w:t>level.</w:t>
      </w:r>
    </w:p>
    <w:p w14:paraId="1B52EA1F" w14:textId="77777777" w:rsidR="00160E7F" w:rsidRDefault="002B0299">
      <w:pPr>
        <w:pStyle w:val="ListParagraph"/>
        <w:numPr>
          <w:ilvl w:val="0"/>
          <w:numId w:val="16"/>
        </w:numPr>
        <w:tabs>
          <w:tab w:val="left" w:pos="1588"/>
        </w:tabs>
        <w:spacing w:before="115" w:line="280" w:lineRule="auto"/>
        <w:ind w:right="532" w:hanging="170"/>
        <w:rPr>
          <w:sz w:val="20"/>
        </w:rPr>
      </w:pPr>
      <w:r>
        <w:rPr>
          <w:color w:val="58595B"/>
          <w:sz w:val="20"/>
        </w:rPr>
        <w:t>their implementation and operational costs. While it may be costly to establish an economic instrument, the costs of operating the instrument may decrease over</w:t>
      </w:r>
      <w:r>
        <w:rPr>
          <w:color w:val="58595B"/>
          <w:spacing w:val="-5"/>
          <w:sz w:val="20"/>
        </w:rPr>
        <w:t xml:space="preserve"> </w:t>
      </w:r>
      <w:r>
        <w:rPr>
          <w:color w:val="58595B"/>
          <w:sz w:val="20"/>
        </w:rPr>
        <w:t>time.</w:t>
      </w:r>
    </w:p>
    <w:p w14:paraId="56EC6EF8" w14:textId="77777777" w:rsidR="00160E7F" w:rsidRDefault="002B0299">
      <w:pPr>
        <w:pStyle w:val="ListParagraph"/>
        <w:numPr>
          <w:ilvl w:val="0"/>
          <w:numId w:val="16"/>
        </w:numPr>
        <w:tabs>
          <w:tab w:val="left" w:pos="1588"/>
        </w:tabs>
        <w:spacing w:before="115" w:line="280" w:lineRule="auto"/>
        <w:ind w:right="408" w:hanging="170"/>
        <w:rPr>
          <w:sz w:val="20"/>
        </w:rPr>
      </w:pPr>
      <w:r>
        <w:rPr>
          <w:color w:val="58595B"/>
          <w:sz w:val="20"/>
        </w:rPr>
        <w:t>the benefits they offer. These increase, for example, if abatement costs for business are very different and government does not know</w:t>
      </w:r>
      <w:r>
        <w:rPr>
          <w:color w:val="58595B"/>
          <w:spacing w:val="-1"/>
          <w:sz w:val="20"/>
        </w:rPr>
        <w:t xml:space="preserve"> </w:t>
      </w:r>
      <w:r>
        <w:rPr>
          <w:color w:val="58595B"/>
          <w:sz w:val="20"/>
        </w:rPr>
        <w:t>them.</w:t>
      </w:r>
    </w:p>
    <w:p w14:paraId="4769F36A" w14:textId="77777777" w:rsidR="00160E7F" w:rsidRDefault="002B0299">
      <w:pPr>
        <w:pStyle w:val="ListParagraph"/>
        <w:numPr>
          <w:ilvl w:val="0"/>
          <w:numId w:val="16"/>
        </w:numPr>
        <w:tabs>
          <w:tab w:val="left" w:pos="1588"/>
        </w:tabs>
        <w:spacing w:before="115"/>
        <w:ind w:hanging="170"/>
        <w:rPr>
          <w:sz w:val="20"/>
        </w:rPr>
      </w:pPr>
      <w:r>
        <w:rPr>
          <w:color w:val="58595B"/>
          <w:sz w:val="20"/>
        </w:rPr>
        <w:t>the costs and benefits of alternative regulatory approaches to the</w:t>
      </w:r>
      <w:r>
        <w:rPr>
          <w:color w:val="58595B"/>
          <w:spacing w:val="14"/>
          <w:sz w:val="20"/>
        </w:rPr>
        <w:t xml:space="preserve"> </w:t>
      </w:r>
      <w:r>
        <w:rPr>
          <w:color w:val="58595B"/>
          <w:sz w:val="20"/>
        </w:rPr>
        <w:t>problem.</w:t>
      </w:r>
    </w:p>
    <w:p w14:paraId="46AC02BF" w14:textId="77777777" w:rsidR="00160E7F" w:rsidRDefault="00160E7F">
      <w:pPr>
        <w:pStyle w:val="BodyText"/>
        <w:spacing w:before="3"/>
        <w:rPr>
          <w:sz w:val="18"/>
        </w:rPr>
      </w:pPr>
    </w:p>
    <w:p w14:paraId="4FF2400A" w14:textId="77777777" w:rsidR="00160E7F" w:rsidRDefault="002B0299">
      <w:pPr>
        <w:pStyle w:val="BodyText"/>
        <w:spacing w:line="280" w:lineRule="auto"/>
        <w:ind w:left="1417" w:right="185"/>
      </w:pPr>
      <w:r>
        <w:rPr>
          <w:color w:val="58595B"/>
        </w:rPr>
        <w:t>To implement economic instruments, the EPA needs the internal capability to identify where they may be appropriate and the capacity to access the appropriate design skills. It also needs to</w:t>
      </w:r>
    </w:p>
    <w:p w14:paraId="1B8F93A1" w14:textId="77777777" w:rsidR="00160E7F" w:rsidRDefault="002B0299">
      <w:pPr>
        <w:pStyle w:val="BodyText"/>
        <w:spacing w:before="2" w:line="280" w:lineRule="auto"/>
        <w:ind w:left="1417" w:right="142"/>
      </w:pPr>
      <w:r>
        <w:rPr>
          <w:color w:val="58595B"/>
        </w:rPr>
        <w:t>be able to identify and measure units of pollution. This task can be costly and, in the case of environmental issues, is often complex and subject to uncertainty. However, the EPA should seek to perform such tasks routinely. Identifying and measuring pollution will help the EPA evaluate the effectiveness of all its regulatory tools.</w:t>
      </w:r>
    </w:p>
    <w:p w14:paraId="6E1F52B7" w14:textId="77777777" w:rsidR="00160E7F" w:rsidRDefault="002B0299">
      <w:pPr>
        <w:pStyle w:val="BodyText"/>
        <w:spacing w:before="172" w:line="280" w:lineRule="auto"/>
        <w:ind w:left="1417" w:right="461"/>
      </w:pPr>
      <w:r>
        <w:rPr>
          <w:color w:val="58595B"/>
        </w:rPr>
        <w:t>Measuring outcomes relies on both policy and science; science must inform policy and vice versa. Measurement must directly inform the outcomes that the policy seeks to maintain; it must quantify the contribution of a business’s emissions to the increase in pollution. As with any regulatory tool, economic instruments should be well-informed by and inform field officers and operational staff. These staff understand and affect the implementation costs, including monitoring and enforcement required for trades and assessing offset suitability.</w:t>
      </w:r>
    </w:p>
    <w:p w14:paraId="42B51E68" w14:textId="77777777" w:rsidR="00160E7F" w:rsidRDefault="002B0299">
      <w:pPr>
        <w:pStyle w:val="BodyText"/>
        <w:spacing w:before="172" w:line="280" w:lineRule="auto"/>
        <w:ind w:left="1417" w:right="405"/>
      </w:pPr>
      <w:r>
        <w:rPr>
          <w:color w:val="58595B"/>
        </w:rPr>
        <w:t>Developments in science and technology, including digital and data innovations, are likely to reduce the costs involved in implementing economic instruments over time. This will make economic instruments more attractive in the future, particularly if pollution problems increase.</w:t>
      </w:r>
    </w:p>
    <w:p w14:paraId="395C5339" w14:textId="77777777" w:rsidR="00160E7F" w:rsidRDefault="002B0299">
      <w:pPr>
        <w:pStyle w:val="BodyText"/>
        <w:spacing w:before="172" w:line="280" w:lineRule="auto"/>
        <w:ind w:left="1417" w:right="643"/>
        <w:jc w:val="both"/>
      </w:pPr>
      <w:r>
        <w:rPr>
          <w:color w:val="58595B"/>
        </w:rPr>
        <w:t>The EPA should, as a starting point, identify specific pollution and waste issues that may be effectively and efficiently managed by economic instruments now and in the future. It should actively consider using the full suite of economic instruments for the future.</w:t>
      </w:r>
    </w:p>
    <w:p w14:paraId="25F18A93" w14:textId="77777777" w:rsidR="00160E7F" w:rsidRDefault="00160E7F">
      <w:pPr>
        <w:spacing w:line="280" w:lineRule="auto"/>
        <w:jc w:val="both"/>
        <w:sectPr w:rsidR="00160E7F">
          <w:pgSz w:w="11910" w:h="16840"/>
          <w:pgMar w:top="980" w:right="1680" w:bottom="280" w:left="0" w:header="788" w:footer="0" w:gutter="0"/>
          <w:cols w:space="720"/>
        </w:sectPr>
      </w:pPr>
    </w:p>
    <w:p w14:paraId="3E5DED36" w14:textId="77777777" w:rsidR="00160E7F" w:rsidRDefault="00160E7F">
      <w:pPr>
        <w:pStyle w:val="BodyText"/>
      </w:pPr>
    </w:p>
    <w:p w14:paraId="34621938" w14:textId="77777777" w:rsidR="00160E7F" w:rsidRDefault="00160E7F">
      <w:pPr>
        <w:pStyle w:val="BodyText"/>
      </w:pPr>
    </w:p>
    <w:p w14:paraId="326E42B3" w14:textId="77777777" w:rsidR="00160E7F" w:rsidRDefault="00160E7F">
      <w:pPr>
        <w:pStyle w:val="BodyText"/>
      </w:pPr>
    </w:p>
    <w:p w14:paraId="4B01A033" w14:textId="77777777" w:rsidR="00160E7F" w:rsidRDefault="00160E7F">
      <w:pPr>
        <w:pStyle w:val="BodyText"/>
      </w:pPr>
    </w:p>
    <w:p w14:paraId="186B8FD5" w14:textId="77777777" w:rsidR="00160E7F" w:rsidRDefault="002B0299">
      <w:pPr>
        <w:pStyle w:val="Heading3"/>
        <w:numPr>
          <w:ilvl w:val="1"/>
          <w:numId w:val="18"/>
        </w:numPr>
        <w:tabs>
          <w:tab w:val="left" w:pos="723"/>
        </w:tabs>
        <w:ind w:left="722" w:hanging="588"/>
        <w:jc w:val="left"/>
      </w:pPr>
      <w:r>
        <w:rPr>
          <w:color w:val="0095A7"/>
        </w:rPr>
        <w:t>Using data, information and</w:t>
      </w:r>
      <w:r>
        <w:rPr>
          <w:color w:val="0095A7"/>
          <w:spacing w:val="35"/>
        </w:rPr>
        <w:t xml:space="preserve"> </w:t>
      </w:r>
      <w:r>
        <w:rPr>
          <w:color w:val="0095A7"/>
        </w:rPr>
        <w:t>technology</w:t>
      </w:r>
    </w:p>
    <w:p w14:paraId="7179A6E8" w14:textId="77777777" w:rsidR="00160E7F" w:rsidRDefault="002B0299">
      <w:pPr>
        <w:pStyle w:val="ListParagraph"/>
        <w:numPr>
          <w:ilvl w:val="2"/>
          <w:numId w:val="18"/>
        </w:numPr>
        <w:tabs>
          <w:tab w:val="left" w:pos="770"/>
        </w:tabs>
        <w:spacing w:before="145"/>
        <w:ind w:left="769" w:hanging="635"/>
        <w:jc w:val="left"/>
        <w:rPr>
          <w:sz w:val="20"/>
        </w:rPr>
      </w:pPr>
      <w:r>
        <w:rPr>
          <w:color w:val="0095A7"/>
          <w:sz w:val="20"/>
        </w:rPr>
        <w:t>Next generation</w:t>
      </w:r>
      <w:r>
        <w:rPr>
          <w:color w:val="0095A7"/>
          <w:spacing w:val="9"/>
          <w:sz w:val="20"/>
        </w:rPr>
        <w:t xml:space="preserve"> </w:t>
      </w:r>
      <w:r>
        <w:rPr>
          <w:color w:val="0095A7"/>
          <w:sz w:val="20"/>
        </w:rPr>
        <w:t>compliance</w:t>
      </w:r>
    </w:p>
    <w:p w14:paraId="63050BE3" w14:textId="77777777" w:rsidR="00160E7F" w:rsidRDefault="002B0299">
      <w:pPr>
        <w:pStyle w:val="BodyText"/>
        <w:spacing w:before="153" w:line="280" w:lineRule="auto"/>
        <w:ind w:left="134" w:right="1769"/>
      </w:pPr>
      <w:r>
        <w:rPr>
          <w:color w:val="58595B"/>
        </w:rPr>
        <w:t>‘Mega trends’</w:t>
      </w:r>
      <w:r>
        <w:rPr>
          <w:color w:val="58595B"/>
          <w:position w:val="7"/>
          <w:sz w:val="11"/>
        </w:rPr>
        <w:t xml:space="preserve">18  </w:t>
      </w:r>
      <w:r>
        <w:rPr>
          <w:color w:val="58595B"/>
        </w:rPr>
        <w:t xml:space="preserve">in data and technology will fundamentally change how the </w:t>
      </w:r>
      <w:r>
        <w:rPr>
          <w:color w:val="58595B"/>
          <w:spacing w:val="-4"/>
        </w:rPr>
        <w:t xml:space="preserve">EPA </w:t>
      </w:r>
      <w:r>
        <w:rPr>
          <w:color w:val="58595B"/>
        </w:rPr>
        <w:t xml:space="preserve">regulates in the future by improving data capture, quality, analysis and dissemination. We consider there  is considerable potential for the </w:t>
      </w:r>
      <w:r>
        <w:rPr>
          <w:color w:val="58595B"/>
          <w:spacing w:val="-4"/>
        </w:rPr>
        <w:t xml:space="preserve">EPA </w:t>
      </w:r>
      <w:r>
        <w:rPr>
          <w:color w:val="58595B"/>
        </w:rPr>
        <w:t xml:space="preserve">to harness better data. An example is the US </w:t>
      </w:r>
      <w:r>
        <w:rPr>
          <w:color w:val="58595B"/>
          <w:spacing w:val="-7"/>
        </w:rPr>
        <w:t>EPA’s</w:t>
      </w:r>
      <w:r>
        <w:rPr>
          <w:color w:val="58595B"/>
          <w:spacing w:val="18"/>
        </w:rPr>
        <w:t xml:space="preserve"> </w:t>
      </w:r>
      <w:r>
        <w:rPr>
          <w:color w:val="58595B"/>
        </w:rPr>
        <w:t>Next</w:t>
      </w:r>
    </w:p>
    <w:p w14:paraId="53A5FC2C" w14:textId="77777777" w:rsidR="00160E7F" w:rsidRDefault="002B0299">
      <w:pPr>
        <w:pStyle w:val="BodyText"/>
        <w:spacing w:before="2" w:line="280" w:lineRule="auto"/>
        <w:ind w:left="134" w:right="1494"/>
      </w:pPr>
      <w:r>
        <w:rPr>
          <w:color w:val="58595B"/>
        </w:rPr>
        <w:t>Generation Compliance Initiative, which emphasises advanced monitoring, electronic reporting, transparency and innovative enforcement. Although operating at a significantly smaller scale, there are opportunities for the EPA in Victoria to exploit new developments in monitoring</w:t>
      </w:r>
    </w:p>
    <w:p w14:paraId="21C815BA" w14:textId="77777777" w:rsidR="00160E7F" w:rsidRDefault="002B0299">
      <w:pPr>
        <w:pStyle w:val="BodyText"/>
        <w:spacing w:before="2" w:line="280" w:lineRule="auto"/>
        <w:ind w:left="134" w:right="1433"/>
        <w:rPr>
          <w:sz w:val="11"/>
        </w:rPr>
      </w:pPr>
      <w:r>
        <w:rPr>
          <w:color w:val="58595B"/>
        </w:rPr>
        <w:t>and information technology to improve compliance monitoring and enforcement at relatively modest cost.</w:t>
      </w:r>
      <w:r>
        <w:rPr>
          <w:color w:val="58595B"/>
          <w:position w:val="7"/>
          <w:sz w:val="11"/>
        </w:rPr>
        <w:t>19</w:t>
      </w:r>
    </w:p>
    <w:p w14:paraId="13F65012" w14:textId="77777777" w:rsidR="00160E7F" w:rsidRDefault="002B0299">
      <w:pPr>
        <w:pStyle w:val="BodyText"/>
        <w:spacing w:before="172" w:line="280" w:lineRule="auto"/>
        <w:ind w:left="134" w:right="789"/>
      </w:pPr>
      <w:r>
        <w:rPr>
          <w:color w:val="58595B"/>
        </w:rPr>
        <w:t>Next generation compliance is not about collecting data; it is about using data and information for detection, investigation and evidence (box 16.3). This approach places greater discipline on how regulators use data and information effectively and helps to increase transparency, create greater deterrence and help build trust with the community.</w:t>
      </w:r>
    </w:p>
    <w:p w14:paraId="6B6A91A9" w14:textId="77777777" w:rsidR="00160E7F" w:rsidRDefault="002B0299">
      <w:pPr>
        <w:pStyle w:val="BodyText"/>
        <w:spacing w:before="172" w:line="280" w:lineRule="auto"/>
        <w:ind w:left="134" w:right="1433"/>
      </w:pPr>
      <w:r>
        <w:rPr>
          <w:color w:val="58595B"/>
        </w:rPr>
        <w:t>A key element of the US EPA’s initiative is to simplify the rules for business and to make them easy to understand without reducing standards. Simplifying rules leads to improved compliance. This will be critical for the EPA, with the introduction of the general duty and the need to provide clear guidance to duty holders about how to comply with the duty.</w:t>
      </w:r>
    </w:p>
    <w:p w14:paraId="7262F967" w14:textId="77777777" w:rsidR="00160E7F" w:rsidRDefault="00160E7F">
      <w:pPr>
        <w:pStyle w:val="BodyText"/>
        <w:spacing w:before="4"/>
        <w:rPr>
          <w:sz w:val="17"/>
        </w:rPr>
      </w:pPr>
    </w:p>
    <w:p w14:paraId="5A06CBBE" w14:textId="77777777" w:rsidR="00160E7F" w:rsidRDefault="000638CB">
      <w:pPr>
        <w:spacing w:before="75"/>
        <w:ind w:left="304" w:right="789"/>
        <w:rPr>
          <w:sz w:val="11"/>
        </w:rPr>
      </w:pPr>
      <w:r>
        <w:pict w14:anchorId="29B90A3E">
          <v:rect id="_x0000_s1056" style="position:absolute;left:0;text-align:left;margin-left:90.7pt;margin-top:-2.65pt;width:432.7pt;height:374.45pt;z-index:-89776;mso-position-horizontal-relative:page" fillcolor="#eaf2f3" stroked="f">
            <w10:wrap anchorx="page"/>
          </v:rect>
        </w:pict>
      </w:r>
      <w:r w:rsidR="002B0299">
        <w:rPr>
          <w:b/>
          <w:color w:val="0095A7"/>
          <w:sz w:val="20"/>
        </w:rPr>
        <w:t xml:space="preserve">BOX 16.3 </w:t>
      </w:r>
      <w:r w:rsidR="002B0299">
        <w:rPr>
          <w:color w:val="0095A7"/>
          <w:sz w:val="20"/>
        </w:rPr>
        <w:t>EXAMPLES OF NEXT GENERATION COMPLIANCE</w:t>
      </w:r>
      <w:r w:rsidR="002B0299">
        <w:rPr>
          <w:color w:val="0095A7"/>
          <w:position w:val="7"/>
          <w:sz w:val="11"/>
        </w:rPr>
        <w:t>20</w:t>
      </w:r>
    </w:p>
    <w:p w14:paraId="51C32472" w14:textId="77777777" w:rsidR="00160E7F" w:rsidRDefault="002B0299">
      <w:pPr>
        <w:pStyle w:val="BodyText"/>
        <w:spacing w:before="153" w:line="280" w:lineRule="auto"/>
        <w:ind w:left="304" w:right="1494"/>
        <w:rPr>
          <w:sz w:val="11"/>
        </w:rPr>
      </w:pPr>
      <w:r>
        <w:rPr>
          <w:color w:val="58595B"/>
        </w:rPr>
        <w:t>Following pressure from scientists and congress, BP agreed to post a live video feed of the Deepwater Horizon oil spill, 5,000 feet underwater. The public and the government could see the gusher of oil on the ocean floor and the progress to cap the leaking well.</w:t>
      </w:r>
      <w:r>
        <w:rPr>
          <w:color w:val="58595B"/>
          <w:position w:val="7"/>
          <w:sz w:val="11"/>
        </w:rPr>
        <w:t>21</w:t>
      </w:r>
    </w:p>
    <w:p w14:paraId="4659FCE2" w14:textId="77777777" w:rsidR="00160E7F" w:rsidRDefault="002B0299">
      <w:pPr>
        <w:pStyle w:val="BodyText"/>
        <w:spacing w:before="172" w:line="280" w:lineRule="auto"/>
        <w:ind w:left="304" w:right="1716"/>
      </w:pPr>
      <w:r>
        <w:rPr>
          <w:color w:val="58595B"/>
        </w:rPr>
        <w:t>The Washington State Department of Ecology has attached sensors to the Victoria Clipper IV, a private ferry that transits passengers between Seattle and Victoria, British Columbia. The sensors measure phytoplankton concentrations, turbidity, freshwater influence, salinity, and water temperatures during the ferry’s twice-daily runs. This information helps the department and the University of Washington better understand algal blooms, plankton food web interactions, river plumes, and changes over time in Puget Sound. The department also has sensors attached to the state’s public ferries to gather data, an example of finding cost efficiencies by using existing vessels and partnerships to gather environmental data.</w:t>
      </w:r>
    </w:p>
    <w:p w14:paraId="05475148" w14:textId="77777777" w:rsidR="00160E7F" w:rsidRDefault="002B0299">
      <w:pPr>
        <w:pStyle w:val="BodyText"/>
        <w:spacing w:before="172" w:line="280" w:lineRule="auto"/>
        <w:ind w:left="304" w:right="1690"/>
      </w:pPr>
      <w:r>
        <w:rPr>
          <w:color w:val="58595B"/>
        </w:rPr>
        <w:t>The US EPA’s Discharge Monitoring Report Pollutant Loading Tool is an online resource that allows the public to search nationwide pollution data to find who discharges pollution, the amounts of pollution generated and where, and what the pollutants are. The tool also ranks industries, dischargers and watersheds based on pollutant quantity and toxicity.</w:t>
      </w:r>
    </w:p>
    <w:p w14:paraId="1C05EF35" w14:textId="77777777" w:rsidR="00160E7F" w:rsidRDefault="002B0299">
      <w:pPr>
        <w:pStyle w:val="BodyText"/>
        <w:spacing w:before="172" w:line="280" w:lineRule="auto"/>
        <w:ind w:left="304" w:right="1731"/>
      </w:pPr>
      <w:r>
        <w:rPr>
          <w:color w:val="58595B"/>
        </w:rPr>
        <w:t xml:space="preserve">As part of a US </w:t>
      </w:r>
      <w:r>
        <w:rPr>
          <w:color w:val="58595B"/>
          <w:spacing w:val="-4"/>
        </w:rPr>
        <w:t xml:space="preserve">EPA </w:t>
      </w:r>
      <w:r>
        <w:rPr>
          <w:color w:val="58595B"/>
        </w:rPr>
        <w:t xml:space="preserve">enforcement settlement, the District of Columbia Water and Sewer Authority must operate Combined Sewer Overflow </w:t>
      </w:r>
      <w:r>
        <w:rPr>
          <w:color w:val="58595B"/>
          <w:spacing w:val="-3"/>
        </w:rPr>
        <w:t xml:space="preserve">(CSO) </w:t>
      </w:r>
      <w:r>
        <w:rPr>
          <w:color w:val="58595B"/>
        </w:rPr>
        <w:t>Event Indicator Lights to notify river users of CSO discharges. A red light must be illuminated during a CSO occurrence and a yellow light must be illuminated for 24 hours after a CSO has stopped. The CSO Event Indicator lights are operated via remote signals.</w:t>
      </w:r>
    </w:p>
    <w:p w14:paraId="2AB672A3" w14:textId="77777777" w:rsidR="00160E7F" w:rsidRDefault="002B0299">
      <w:pPr>
        <w:pStyle w:val="BodyText"/>
        <w:spacing w:before="172" w:line="280" w:lineRule="auto"/>
        <w:ind w:left="304" w:right="1990"/>
      </w:pPr>
      <w:r>
        <w:rPr>
          <w:color w:val="58595B"/>
        </w:rPr>
        <w:t>As part of a consent decree with the US EPA, Alpha Natural Resources, a large US coal company, agreed to independent auditing of the company’s environmental management system and to provide reports to the company, the US EPA and relevant state authorities.</w:t>
      </w:r>
    </w:p>
    <w:p w14:paraId="34589B67" w14:textId="77777777" w:rsidR="00160E7F" w:rsidRDefault="00160E7F">
      <w:pPr>
        <w:spacing w:line="280" w:lineRule="auto"/>
        <w:sectPr w:rsidR="00160E7F">
          <w:headerReference w:type="even" r:id="rId89"/>
          <w:headerReference w:type="default" r:id="rId90"/>
          <w:pgSz w:w="11910" w:h="16840"/>
          <w:pgMar w:top="980" w:right="0" w:bottom="280" w:left="1680" w:header="788" w:footer="0" w:gutter="0"/>
          <w:pgNumType w:start="283"/>
          <w:cols w:space="720"/>
        </w:sectPr>
      </w:pPr>
    </w:p>
    <w:p w14:paraId="464E7D22" w14:textId="77777777" w:rsidR="00160E7F" w:rsidRDefault="00160E7F">
      <w:pPr>
        <w:pStyle w:val="BodyText"/>
      </w:pPr>
    </w:p>
    <w:p w14:paraId="4C235C77" w14:textId="77777777" w:rsidR="00160E7F" w:rsidRDefault="00160E7F">
      <w:pPr>
        <w:pStyle w:val="BodyText"/>
      </w:pPr>
    </w:p>
    <w:p w14:paraId="039F1647" w14:textId="77777777" w:rsidR="00160E7F" w:rsidRDefault="00160E7F">
      <w:pPr>
        <w:pStyle w:val="BodyText"/>
      </w:pPr>
    </w:p>
    <w:p w14:paraId="09265B7E" w14:textId="77777777" w:rsidR="00160E7F" w:rsidRDefault="00160E7F">
      <w:pPr>
        <w:pStyle w:val="BodyText"/>
      </w:pPr>
    </w:p>
    <w:p w14:paraId="1F909F02" w14:textId="77777777" w:rsidR="00160E7F" w:rsidRDefault="00160E7F">
      <w:pPr>
        <w:pStyle w:val="BodyText"/>
        <w:spacing w:before="8"/>
        <w:rPr>
          <w:sz w:val="17"/>
        </w:rPr>
      </w:pPr>
    </w:p>
    <w:p w14:paraId="0A30C5FA" w14:textId="77777777" w:rsidR="00160E7F" w:rsidRDefault="002B0299">
      <w:pPr>
        <w:pStyle w:val="BodyText"/>
        <w:spacing w:before="1"/>
        <w:ind w:left="1417" w:right="405"/>
      </w:pPr>
      <w:r>
        <w:rPr>
          <w:color w:val="58595B"/>
        </w:rPr>
        <w:t>Technology and digital data can improve detection, investigation and evidence gathering by:</w:t>
      </w:r>
    </w:p>
    <w:p w14:paraId="0C27CEC8" w14:textId="77777777" w:rsidR="00160E7F" w:rsidRDefault="002B0299">
      <w:pPr>
        <w:pStyle w:val="ListParagraph"/>
        <w:numPr>
          <w:ilvl w:val="3"/>
          <w:numId w:val="18"/>
        </w:numPr>
        <w:tabs>
          <w:tab w:val="left" w:pos="1588"/>
        </w:tabs>
        <w:spacing w:before="153"/>
        <w:ind w:hanging="170"/>
        <w:rPr>
          <w:sz w:val="20"/>
        </w:rPr>
      </w:pPr>
      <w:r>
        <w:rPr>
          <w:color w:val="58595B"/>
          <w:sz w:val="20"/>
        </w:rPr>
        <w:t xml:space="preserve">facilitating more effective monitoring of pollution by the </w:t>
      </w:r>
      <w:r>
        <w:rPr>
          <w:color w:val="58595B"/>
          <w:spacing w:val="-4"/>
          <w:sz w:val="20"/>
        </w:rPr>
        <w:t xml:space="preserve">EPA </w:t>
      </w:r>
      <w:r>
        <w:rPr>
          <w:color w:val="58595B"/>
          <w:sz w:val="20"/>
        </w:rPr>
        <w:t>and relevant</w:t>
      </w:r>
      <w:r>
        <w:rPr>
          <w:color w:val="58595B"/>
          <w:spacing w:val="10"/>
          <w:sz w:val="20"/>
        </w:rPr>
        <w:t xml:space="preserve"> </w:t>
      </w:r>
      <w:r>
        <w:rPr>
          <w:color w:val="58595B"/>
          <w:sz w:val="20"/>
        </w:rPr>
        <w:t>impacts</w:t>
      </w:r>
    </w:p>
    <w:p w14:paraId="6E3482A7" w14:textId="77777777" w:rsidR="00160E7F" w:rsidRDefault="002B0299">
      <w:pPr>
        <w:pStyle w:val="ListParagraph"/>
        <w:numPr>
          <w:ilvl w:val="3"/>
          <w:numId w:val="18"/>
        </w:numPr>
        <w:tabs>
          <w:tab w:val="left" w:pos="1588"/>
        </w:tabs>
        <w:spacing w:before="153"/>
        <w:ind w:hanging="170"/>
        <w:rPr>
          <w:sz w:val="20"/>
        </w:rPr>
      </w:pPr>
      <w:r>
        <w:rPr>
          <w:color w:val="58595B"/>
          <w:sz w:val="20"/>
        </w:rPr>
        <w:t>providing a sound evidence base for regulatory</w:t>
      </w:r>
      <w:r>
        <w:rPr>
          <w:color w:val="58595B"/>
          <w:spacing w:val="4"/>
          <w:sz w:val="20"/>
        </w:rPr>
        <w:t xml:space="preserve"> </w:t>
      </w:r>
      <w:r>
        <w:rPr>
          <w:color w:val="58595B"/>
          <w:sz w:val="20"/>
        </w:rPr>
        <w:t>changes.</w:t>
      </w:r>
    </w:p>
    <w:p w14:paraId="6F85431E" w14:textId="77777777" w:rsidR="00160E7F" w:rsidRDefault="00160E7F">
      <w:pPr>
        <w:pStyle w:val="BodyText"/>
        <w:spacing w:before="3"/>
        <w:rPr>
          <w:sz w:val="18"/>
        </w:rPr>
      </w:pPr>
    </w:p>
    <w:p w14:paraId="666CB8E0" w14:textId="77777777" w:rsidR="00160E7F" w:rsidRDefault="002B0299">
      <w:pPr>
        <w:pStyle w:val="BodyText"/>
        <w:ind w:left="1417" w:right="185"/>
      </w:pPr>
      <w:r>
        <w:rPr>
          <w:color w:val="58595B"/>
        </w:rPr>
        <w:t>This will profoundly change how the EPA regulates, because it will have better information about:</w:t>
      </w:r>
    </w:p>
    <w:p w14:paraId="73FD67A0" w14:textId="77777777" w:rsidR="00160E7F" w:rsidRDefault="002B0299">
      <w:pPr>
        <w:pStyle w:val="ListParagraph"/>
        <w:numPr>
          <w:ilvl w:val="3"/>
          <w:numId w:val="18"/>
        </w:numPr>
        <w:tabs>
          <w:tab w:val="left" w:pos="1588"/>
        </w:tabs>
        <w:spacing w:before="153" w:line="280" w:lineRule="auto"/>
        <w:ind w:right="419" w:hanging="170"/>
        <w:rPr>
          <w:sz w:val="20"/>
        </w:rPr>
      </w:pPr>
      <w:r>
        <w:rPr>
          <w:color w:val="58595B"/>
          <w:sz w:val="20"/>
        </w:rPr>
        <w:t xml:space="preserve">risks, impacts and conditions when non-compliance is </w:t>
      </w:r>
      <w:r>
        <w:rPr>
          <w:color w:val="58595B"/>
          <w:spacing w:val="-3"/>
          <w:sz w:val="20"/>
        </w:rPr>
        <w:t xml:space="preserve">likely, </w:t>
      </w:r>
      <w:r>
        <w:rPr>
          <w:color w:val="58595B"/>
          <w:sz w:val="20"/>
        </w:rPr>
        <w:t>enabling more proactive, timely, informed and targeted action by the</w:t>
      </w:r>
      <w:r>
        <w:rPr>
          <w:color w:val="58595B"/>
          <w:spacing w:val="6"/>
          <w:sz w:val="20"/>
        </w:rPr>
        <w:t xml:space="preserve"> </w:t>
      </w:r>
      <w:r>
        <w:rPr>
          <w:color w:val="58595B"/>
          <w:spacing w:val="-4"/>
          <w:sz w:val="20"/>
        </w:rPr>
        <w:t>EPA</w:t>
      </w:r>
    </w:p>
    <w:p w14:paraId="5B7D67CC" w14:textId="77777777" w:rsidR="00160E7F" w:rsidRDefault="002B0299">
      <w:pPr>
        <w:pStyle w:val="ListParagraph"/>
        <w:numPr>
          <w:ilvl w:val="3"/>
          <w:numId w:val="18"/>
        </w:numPr>
        <w:tabs>
          <w:tab w:val="left" w:pos="1588"/>
        </w:tabs>
        <w:spacing w:before="115"/>
        <w:ind w:hanging="170"/>
        <w:rPr>
          <w:sz w:val="20"/>
        </w:rPr>
      </w:pPr>
      <w:r>
        <w:rPr>
          <w:color w:val="58595B"/>
          <w:sz w:val="20"/>
        </w:rPr>
        <w:t>the impacts of interventions, so it can adapt action to improve</w:t>
      </w:r>
      <w:r>
        <w:rPr>
          <w:color w:val="58595B"/>
          <w:spacing w:val="5"/>
          <w:sz w:val="20"/>
        </w:rPr>
        <w:t xml:space="preserve"> </w:t>
      </w:r>
      <w:r>
        <w:rPr>
          <w:color w:val="58595B"/>
          <w:sz w:val="20"/>
        </w:rPr>
        <w:t>effectiveness.</w:t>
      </w:r>
    </w:p>
    <w:p w14:paraId="7503F4EB" w14:textId="77777777" w:rsidR="00160E7F" w:rsidRDefault="00160E7F">
      <w:pPr>
        <w:pStyle w:val="BodyText"/>
        <w:spacing w:before="3"/>
        <w:rPr>
          <w:sz w:val="18"/>
        </w:rPr>
      </w:pPr>
    </w:p>
    <w:p w14:paraId="33D7C638" w14:textId="77777777" w:rsidR="00160E7F" w:rsidRDefault="002B0299">
      <w:pPr>
        <w:pStyle w:val="BodyText"/>
        <w:spacing w:line="280" w:lineRule="auto"/>
        <w:ind w:left="1417" w:right="185"/>
      </w:pPr>
      <w:r>
        <w:rPr>
          <w:color w:val="58595B"/>
        </w:rPr>
        <w:t>The challenge for the EPA includes being able to identify what new technologies to adopt, what data streams to use and how to best use its data. The EPA will need people, including data scientists, who can identify data needs, know how to treat different types of data, know what questions to ask and how to make data useful.</w:t>
      </w:r>
    </w:p>
    <w:p w14:paraId="77DC2D14" w14:textId="77777777" w:rsidR="00160E7F" w:rsidRDefault="002B0299">
      <w:pPr>
        <w:pStyle w:val="BodyText"/>
        <w:spacing w:before="172" w:line="280" w:lineRule="auto"/>
        <w:ind w:left="1417" w:right="387"/>
      </w:pPr>
      <w:r>
        <w:rPr>
          <w:color w:val="58595B"/>
        </w:rPr>
        <w:t>Digitally ‘disrupted’ organisations also use innovative and collaborative processes, citizen involvement and open source usage. Innovative processes include a culture and processes that support experiments or pilots, which test new technology and operations, allowing the organisation to learn and fail quickly. These processes must be enabled within the organisation through executive accountability and the availability of pilot funding, to be</w:t>
      </w:r>
      <w:r>
        <w:rPr>
          <w:color w:val="58595B"/>
          <w:spacing w:val="-7"/>
        </w:rPr>
        <w:t xml:space="preserve"> </w:t>
      </w:r>
      <w:r>
        <w:rPr>
          <w:color w:val="58595B"/>
        </w:rPr>
        <w:t>effective.</w:t>
      </w:r>
    </w:p>
    <w:p w14:paraId="54BA5731" w14:textId="77777777" w:rsidR="00160E7F" w:rsidRDefault="00160E7F">
      <w:pPr>
        <w:pStyle w:val="BodyText"/>
        <w:spacing w:before="4"/>
        <w:rPr>
          <w:sz w:val="22"/>
        </w:rPr>
      </w:pPr>
    </w:p>
    <w:p w14:paraId="0BAFE79E" w14:textId="77777777" w:rsidR="00160E7F" w:rsidRDefault="002B0299">
      <w:pPr>
        <w:pStyle w:val="ListParagraph"/>
        <w:numPr>
          <w:ilvl w:val="2"/>
          <w:numId w:val="18"/>
        </w:numPr>
        <w:tabs>
          <w:tab w:val="left" w:pos="2076"/>
        </w:tabs>
        <w:spacing w:before="0"/>
        <w:ind w:left="2075" w:hanging="658"/>
        <w:jc w:val="left"/>
        <w:rPr>
          <w:sz w:val="20"/>
        </w:rPr>
      </w:pPr>
      <w:r>
        <w:rPr>
          <w:color w:val="0095A7"/>
          <w:sz w:val="20"/>
        </w:rPr>
        <w:t>Information regulation and networked</w:t>
      </w:r>
      <w:r>
        <w:rPr>
          <w:color w:val="0095A7"/>
          <w:spacing w:val="10"/>
          <w:sz w:val="20"/>
        </w:rPr>
        <w:t xml:space="preserve"> </w:t>
      </w:r>
      <w:r>
        <w:rPr>
          <w:color w:val="0095A7"/>
          <w:sz w:val="20"/>
        </w:rPr>
        <w:t>governance</w:t>
      </w:r>
    </w:p>
    <w:p w14:paraId="765552B1" w14:textId="77777777" w:rsidR="00160E7F" w:rsidRDefault="002B0299">
      <w:pPr>
        <w:pStyle w:val="BodyText"/>
        <w:spacing w:before="153" w:line="280" w:lineRule="auto"/>
        <w:ind w:left="1417" w:right="185"/>
      </w:pPr>
      <w:r>
        <w:rPr>
          <w:color w:val="58595B"/>
        </w:rPr>
        <w:t>Organisations can strengthen data and information through information regulation, by harnessing third parties and through networked governance.</w:t>
      </w:r>
    </w:p>
    <w:p w14:paraId="42523647" w14:textId="77777777" w:rsidR="00160E7F" w:rsidRDefault="002B0299">
      <w:pPr>
        <w:pStyle w:val="BodyText"/>
        <w:spacing w:before="172" w:line="280" w:lineRule="auto"/>
        <w:ind w:left="1417" w:right="183"/>
      </w:pPr>
      <w:r>
        <w:rPr>
          <w:color w:val="58595B"/>
        </w:rPr>
        <w:t xml:space="preserve">Information regulation involves the regulator ‘…facilitating or requiring the provision of information about environmental impacts but </w:t>
      </w:r>
      <w:r>
        <w:rPr>
          <w:i/>
          <w:color w:val="58595B"/>
        </w:rPr>
        <w:t xml:space="preserve">without </w:t>
      </w:r>
      <w:r>
        <w:rPr>
          <w:color w:val="58595B"/>
        </w:rPr>
        <w:t>directly requiring a change in those practices’.</w:t>
      </w:r>
      <w:r>
        <w:rPr>
          <w:color w:val="58595B"/>
          <w:position w:val="7"/>
          <w:sz w:val="11"/>
        </w:rPr>
        <w:t xml:space="preserve">22 </w:t>
      </w:r>
      <w:r>
        <w:rPr>
          <w:color w:val="58595B"/>
        </w:rPr>
        <w:t>The value of this approach is the transparency of the information available to the public and markets, in particular capital markets.</w:t>
      </w:r>
    </w:p>
    <w:p w14:paraId="66F923DF" w14:textId="77777777" w:rsidR="00160E7F" w:rsidRDefault="002B0299">
      <w:pPr>
        <w:pStyle w:val="BodyText"/>
        <w:spacing w:before="172" w:line="280" w:lineRule="auto"/>
        <w:ind w:left="1417" w:right="278"/>
      </w:pPr>
      <w:r>
        <w:rPr>
          <w:color w:val="58595B"/>
        </w:rPr>
        <w:t>Informational regulation is most commonly targeted at large enterprises, and in particular at public companies (which are vulnerable to share price and investor perceptions) and others that are reputation sensitive. These enterprise are most capable of being rewarded or punished by consumers, investors, communities, financial institutions and insurers, based on their</w:t>
      </w:r>
    </w:p>
    <w:p w14:paraId="7EE2194B" w14:textId="77777777" w:rsidR="00160E7F" w:rsidRDefault="002B0299">
      <w:pPr>
        <w:pStyle w:val="BodyText"/>
        <w:spacing w:before="2" w:line="280" w:lineRule="auto"/>
        <w:ind w:left="1417" w:right="185"/>
        <w:rPr>
          <w:sz w:val="11"/>
        </w:rPr>
      </w:pPr>
      <w:r>
        <w:rPr>
          <w:color w:val="58595B"/>
        </w:rPr>
        <w:t>environmental performance. Regulators empower these groups to use their community or market power in the environmental interest, by providing them with a sufficient quality and quantity of information so that they can evaluate an enterprise’s environmental performance.</w:t>
      </w:r>
      <w:r>
        <w:rPr>
          <w:color w:val="58595B"/>
          <w:position w:val="7"/>
          <w:sz w:val="11"/>
        </w:rPr>
        <w:t>23</w:t>
      </w:r>
    </w:p>
    <w:p w14:paraId="42F1590B" w14:textId="77777777" w:rsidR="00160E7F" w:rsidRDefault="002B0299">
      <w:pPr>
        <w:pStyle w:val="BodyText"/>
        <w:spacing w:before="172" w:line="280" w:lineRule="auto"/>
        <w:ind w:left="1417" w:right="131"/>
      </w:pPr>
      <w:r>
        <w:rPr>
          <w:color w:val="58595B"/>
        </w:rPr>
        <w:t>We recommend the EPA use information regulation, where appropriate. One option is to impose licence conditions that require businesses to make information they collect on emissions available to the public. Further, information should be in real time or as close to real time as possible. This approach increases transparency and can help make businesses more accountable to their</w:t>
      </w:r>
    </w:p>
    <w:p w14:paraId="3FF1CC25" w14:textId="77777777" w:rsidR="00160E7F" w:rsidRDefault="002B0299">
      <w:pPr>
        <w:pStyle w:val="BodyText"/>
        <w:spacing w:before="2"/>
        <w:ind w:left="1417" w:right="789"/>
      </w:pPr>
      <w:r>
        <w:rPr>
          <w:color w:val="58595B"/>
        </w:rPr>
        <w:t>local communities.</w:t>
      </w:r>
    </w:p>
    <w:p w14:paraId="3A31766B" w14:textId="77777777" w:rsidR="00160E7F" w:rsidRDefault="00160E7F">
      <w:pPr>
        <w:pStyle w:val="BodyText"/>
        <w:spacing w:before="3"/>
        <w:rPr>
          <w:sz w:val="18"/>
        </w:rPr>
      </w:pPr>
    </w:p>
    <w:p w14:paraId="1698AB95" w14:textId="77777777" w:rsidR="00160E7F" w:rsidRDefault="002B0299">
      <w:pPr>
        <w:pStyle w:val="BodyText"/>
        <w:spacing w:line="280" w:lineRule="auto"/>
        <w:ind w:left="1417" w:right="405"/>
      </w:pPr>
      <w:r>
        <w:rPr>
          <w:color w:val="58595B"/>
        </w:rPr>
        <w:t>This approach will become increasingly viable and useful given increased accessibility to real time data and information through current and emerging technologies (box 16.4).</w:t>
      </w:r>
    </w:p>
    <w:p w14:paraId="79FB3C41" w14:textId="77777777" w:rsidR="00160E7F" w:rsidRDefault="00160E7F">
      <w:pPr>
        <w:spacing w:line="280" w:lineRule="auto"/>
        <w:sectPr w:rsidR="00160E7F">
          <w:pgSz w:w="11910" w:h="16840"/>
          <w:pgMar w:top="980" w:right="1680" w:bottom="280" w:left="0" w:header="788" w:footer="0" w:gutter="0"/>
          <w:cols w:space="720"/>
        </w:sectPr>
      </w:pPr>
    </w:p>
    <w:p w14:paraId="3643949B" w14:textId="77777777" w:rsidR="00160E7F" w:rsidRDefault="00160E7F">
      <w:pPr>
        <w:pStyle w:val="BodyText"/>
      </w:pPr>
    </w:p>
    <w:p w14:paraId="59A8D60C" w14:textId="77777777" w:rsidR="00160E7F" w:rsidRDefault="00160E7F">
      <w:pPr>
        <w:pStyle w:val="BodyText"/>
      </w:pPr>
    </w:p>
    <w:p w14:paraId="3D287F19" w14:textId="77777777" w:rsidR="00160E7F" w:rsidRDefault="00160E7F">
      <w:pPr>
        <w:pStyle w:val="BodyText"/>
      </w:pPr>
    </w:p>
    <w:p w14:paraId="55A0BBC5" w14:textId="77777777" w:rsidR="00160E7F" w:rsidRDefault="00160E7F">
      <w:pPr>
        <w:pStyle w:val="BodyText"/>
      </w:pPr>
    </w:p>
    <w:p w14:paraId="12505EAB" w14:textId="77777777" w:rsidR="00160E7F" w:rsidRDefault="00160E7F">
      <w:pPr>
        <w:pStyle w:val="BodyText"/>
        <w:spacing w:before="4" w:after="1"/>
        <w:rPr>
          <w:sz w:val="21"/>
        </w:rPr>
      </w:pPr>
    </w:p>
    <w:p w14:paraId="304C8164" w14:textId="77777777" w:rsidR="00160E7F" w:rsidRDefault="000638CB">
      <w:pPr>
        <w:pStyle w:val="BodyText"/>
        <w:ind w:left="134"/>
      </w:pPr>
      <w:r>
        <w:pict w14:anchorId="0F065C86">
          <v:shape id="_x0000_s1055" type="#_x0000_t202" style="width:432.75pt;height:227.5pt;mso-left-percent:-10001;mso-top-percent:-10001;mso-position-horizontal:absolute;mso-position-horizontal-relative:char;mso-position-vertical:absolute;mso-position-vertical-relative:line;mso-left-percent:-10001;mso-top-percent:-10001" fillcolor="#eaf2f3" stroked="f">
            <v:textbox inset="0,0,0,0">
              <w:txbxContent>
                <w:p w14:paraId="4719793B" w14:textId="77777777" w:rsidR="00804E46" w:rsidRDefault="00804E46">
                  <w:pPr>
                    <w:spacing w:before="128"/>
                    <w:ind w:left="170" w:right="311"/>
                    <w:rPr>
                      <w:sz w:val="11"/>
                    </w:rPr>
                  </w:pPr>
                  <w:r>
                    <w:rPr>
                      <w:b/>
                      <w:color w:val="0095A7"/>
                      <w:sz w:val="20"/>
                    </w:rPr>
                    <w:t xml:space="preserve">BOX 16.4  </w:t>
                  </w:r>
                  <w:r>
                    <w:rPr>
                      <w:color w:val="0095A7"/>
                      <w:sz w:val="20"/>
                    </w:rPr>
                    <w:t>EXAMPLES OF INFORMATION REGULATION</w:t>
                  </w:r>
                  <w:r>
                    <w:rPr>
                      <w:color w:val="0095A7"/>
                      <w:position w:val="7"/>
                      <w:sz w:val="11"/>
                    </w:rPr>
                    <w:t>24</w:t>
                  </w:r>
                </w:p>
                <w:p w14:paraId="374CA9DF" w14:textId="77777777" w:rsidR="00804E46" w:rsidRDefault="00804E46">
                  <w:pPr>
                    <w:pStyle w:val="BodyText"/>
                    <w:spacing w:before="153" w:line="280" w:lineRule="auto"/>
                    <w:ind w:left="170" w:right="311"/>
                  </w:pPr>
                  <w:r>
                    <w:rPr>
                      <w:color w:val="58595B"/>
                    </w:rPr>
                    <w:t>Pollution</w:t>
                  </w:r>
                  <w:r>
                    <w:rPr>
                      <w:color w:val="58595B"/>
                      <w:spacing w:val="-10"/>
                    </w:rPr>
                    <w:t xml:space="preserve"> </w:t>
                  </w:r>
                  <w:r>
                    <w:rPr>
                      <w:color w:val="58595B"/>
                      <w:spacing w:val="-3"/>
                    </w:rPr>
                    <w:t>inventories</w:t>
                  </w:r>
                  <w:r>
                    <w:rPr>
                      <w:color w:val="58595B"/>
                      <w:spacing w:val="-10"/>
                    </w:rPr>
                    <w:t xml:space="preserve"> </w:t>
                  </w:r>
                  <w:r>
                    <w:rPr>
                      <w:color w:val="58595B"/>
                    </w:rPr>
                    <w:t>are</w:t>
                  </w:r>
                  <w:r>
                    <w:rPr>
                      <w:color w:val="58595B"/>
                      <w:spacing w:val="-10"/>
                    </w:rPr>
                    <w:t xml:space="preserve"> </w:t>
                  </w:r>
                  <w:r>
                    <w:rPr>
                      <w:color w:val="58595B"/>
                    </w:rPr>
                    <w:t>perhaps</w:t>
                  </w:r>
                  <w:r>
                    <w:rPr>
                      <w:color w:val="58595B"/>
                      <w:spacing w:val="-10"/>
                    </w:rPr>
                    <w:t xml:space="preserve"> </w:t>
                  </w:r>
                  <w:r>
                    <w:rPr>
                      <w:color w:val="58595B"/>
                    </w:rPr>
                    <w:t>the</w:t>
                  </w:r>
                  <w:r>
                    <w:rPr>
                      <w:color w:val="58595B"/>
                      <w:spacing w:val="-10"/>
                    </w:rPr>
                    <w:t xml:space="preserve"> </w:t>
                  </w:r>
                  <w:r>
                    <w:rPr>
                      <w:color w:val="58595B"/>
                    </w:rPr>
                    <w:t>most</w:t>
                  </w:r>
                  <w:r>
                    <w:rPr>
                      <w:color w:val="58595B"/>
                      <w:spacing w:val="-10"/>
                    </w:rPr>
                    <w:t xml:space="preserve"> </w:t>
                  </w:r>
                  <w:r>
                    <w:rPr>
                      <w:color w:val="58595B"/>
                    </w:rPr>
                    <w:t>successful</w:t>
                  </w:r>
                  <w:r>
                    <w:rPr>
                      <w:color w:val="58595B"/>
                      <w:spacing w:val="-10"/>
                    </w:rPr>
                    <w:t xml:space="preserve"> </w:t>
                  </w:r>
                  <w:r>
                    <w:rPr>
                      <w:color w:val="58595B"/>
                    </w:rPr>
                    <w:t>and</w:t>
                  </w:r>
                  <w:r>
                    <w:rPr>
                      <w:color w:val="58595B"/>
                      <w:spacing w:val="-10"/>
                    </w:rPr>
                    <w:t xml:space="preserve"> </w:t>
                  </w:r>
                  <w:r>
                    <w:rPr>
                      <w:color w:val="58595B"/>
                    </w:rPr>
                    <w:t>best</w:t>
                  </w:r>
                  <w:r>
                    <w:rPr>
                      <w:color w:val="58595B"/>
                      <w:spacing w:val="-10"/>
                    </w:rPr>
                    <w:t xml:space="preserve"> </w:t>
                  </w:r>
                  <w:r>
                    <w:rPr>
                      <w:color w:val="58595B"/>
                    </w:rPr>
                    <w:t>known</w:t>
                  </w:r>
                  <w:r>
                    <w:rPr>
                      <w:color w:val="58595B"/>
                      <w:spacing w:val="-10"/>
                    </w:rPr>
                    <w:t xml:space="preserve"> </w:t>
                  </w:r>
                  <w:r>
                    <w:rPr>
                      <w:color w:val="58595B"/>
                      <w:spacing w:val="-3"/>
                    </w:rPr>
                    <w:t>example</w:t>
                  </w:r>
                  <w:r>
                    <w:rPr>
                      <w:color w:val="58595B"/>
                      <w:spacing w:val="-10"/>
                    </w:rPr>
                    <w:t xml:space="preserve"> </w:t>
                  </w:r>
                  <w:r>
                    <w:rPr>
                      <w:color w:val="58595B"/>
                    </w:rPr>
                    <w:t>of</w:t>
                  </w:r>
                  <w:r>
                    <w:rPr>
                      <w:color w:val="58595B"/>
                      <w:spacing w:val="-10"/>
                    </w:rPr>
                    <w:t xml:space="preserve"> </w:t>
                  </w:r>
                  <w:r>
                    <w:rPr>
                      <w:color w:val="58595B"/>
                    </w:rPr>
                    <w:t>information regulation.</w:t>
                  </w:r>
                  <w:r>
                    <w:rPr>
                      <w:color w:val="58595B"/>
                      <w:spacing w:val="-17"/>
                    </w:rPr>
                    <w:t xml:space="preserve"> </w:t>
                  </w:r>
                  <w:r>
                    <w:rPr>
                      <w:color w:val="58595B"/>
                    </w:rPr>
                    <w:t>These</w:t>
                  </w:r>
                  <w:r>
                    <w:rPr>
                      <w:color w:val="58595B"/>
                      <w:spacing w:val="-17"/>
                    </w:rPr>
                    <w:t xml:space="preserve"> </w:t>
                  </w:r>
                  <w:r>
                    <w:rPr>
                      <w:color w:val="58595B"/>
                    </w:rPr>
                    <w:t>policy</w:t>
                  </w:r>
                  <w:r>
                    <w:rPr>
                      <w:color w:val="58595B"/>
                      <w:spacing w:val="-17"/>
                    </w:rPr>
                    <w:t xml:space="preserve"> </w:t>
                  </w:r>
                  <w:r>
                    <w:rPr>
                      <w:color w:val="58595B"/>
                    </w:rPr>
                    <w:t>instruments</w:t>
                  </w:r>
                  <w:r>
                    <w:rPr>
                      <w:color w:val="58595B"/>
                      <w:spacing w:val="-17"/>
                    </w:rPr>
                    <w:t xml:space="preserve"> </w:t>
                  </w:r>
                  <w:r>
                    <w:rPr>
                      <w:color w:val="58595B"/>
                    </w:rPr>
                    <w:t>require</w:t>
                  </w:r>
                  <w:r>
                    <w:rPr>
                      <w:color w:val="58595B"/>
                      <w:spacing w:val="-17"/>
                    </w:rPr>
                    <w:t xml:space="preserve"> </w:t>
                  </w:r>
                  <w:r>
                    <w:rPr>
                      <w:color w:val="58595B"/>
                    </w:rPr>
                    <w:t>individual</w:t>
                  </w:r>
                  <w:r>
                    <w:rPr>
                      <w:color w:val="58595B"/>
                      <w:spacing w:val="-17"/>
                    </w:rPr>
                    <w:t xml:space="preserve"> </w:t>
                  </w:r>
                  <w:r>
                    <w:rPr>
                      <w:color w:val="58595B"/>
                    </w:rPr>
                    <w:t>companies</w:t>
                  </w:r>
                  <w:r>
                    <w:rPr>
                      <w:color w:val="58595B"/>
                      <w:spacing w:val="-17"/>
                    </w:rPr>
                    <w:t xml:space="preserve"> </w:t>
                  </w:r>
                  <w:r>
                    <w:rPr>
                      <w:color w:val="58595B"/>
                    </w:rPr>
                    <w:t>to</w:t>
                  </w:r>
                  <w:r>
                    <w:rPr>
                      <w:color w:val="58595B"/>
                      <w:spacing w:val="-17"/>
                    </w:rPr>
                    <w:t xml:space="preserve"> </w:t>
                  </w:r>
                  <w:r>
                    <w:rPr>
                      <w:color w:val="58595B"/>
                    </w:rPr>
                    <w:t>estimate</w:t>
                  </w:r>
                  <w:r>
                    <w:rPr>
                      <w:color w:val="58595B"/>
                      <w:spacing w:val="-17"/>
                    </w:rPr>
                    <w:t xml:space="preserve"> </w:t>
                  </w:r>
                  <w:r>
                    <w:rPr>
                      <w:color w:val="58595B"/>
                    </w:rPr>
                    <w:t>their</w:t>
                  </w:r>
                  <w:r>
                    <w:rPr>
                      <w:color w:val="58595B"/>
                      <w:spacing w:val="-17"/>
                    </w:rPr>
                    <w:t xml:space="preserve"> </w:t>
                  </w:r>
                  <w:r>
                    <w:rPr>
                      <w:color w:val="58595B"/>
                    </w:rPr>
                    <w:t xml:space="preserve">emissions of specified hazardous substances. This information is used to compile a publicly </w:t>
                  </w:r>
                  <w:r>
                    <w:rPr>
                      <w:color w:val="58595B"/>
                      <w:spacing w:val="-3"/>
                    </w:rPr>
                    <w:t xml:space="preserve">available </w:t>
                  </w:r>
                  <w:r>
                    <w:rPr>
                      <w:color w:val="58595B"/>
                      <w:spacing w:val="-4"/>
                    </w:rPr>
                    <w:t>inventory,</w:t>
                  </w:r>
                  <w:r>
                    <w:rPr>
                      <w:color w:val="58595B"/>
                      <w:spacing w:val="-11"/>
                    </w:rPr>
                    <w:t xml:space="preserve"> </w:t>
                  </w:r>
                  <w:r>
                    <w:rPr>
                      <w:color w:val="58595B"/>
                    </w:rPr>
                    <w:t>which</w:t>
                  </w:r>
                  <w:r>
                    <w:rPr>
                      <w:color w:val="58595B"/>
                      <w:spacing w:val="-11"/>
                    </w:rPr>
                    <w:t xml:space="preserve"> </w:t>
                  </w:r>
                  <w:r>
                    <w:rPr>
                      <w:color w:val="58595B"/>
                    </w:rPr>
                    <w:t>can</w:t>
                  </w:r>
                  <w:r>
                    <w:rPr>
                      <w:color w:val="58595B"/>
                      <w:spacing w:val="-11"/>
                    </w:rPr>
                    <w:t xml:space="preserve"> </w:t>
                  </w:r>
                  <w:r>
                    <w:rPr>
                      <w:color w:val="58595B"/>
                    </w:rPr>
                    <w:t>then</w:t>
                  </w:r>
                  <w:r>
                    <w:rPr>
                      <w:color w:val="58595B"/>
                      <w:spacing w:val="-11"/>
                    </w:rPr>
                    <w:t xml:space="preserve"> </w:t>
                  </w:r>
                  <w:r>
                    <w:rPr>
                      <w:color w:val="58595B"/>
                    </w:rPr>
                    <w:t>be</w:t>
                  </w:r>
                  <w:r>
                    <w:rPr>
                      <w:color w:val="58595B"/>
                      <w:spacing w:val="-11"/>
                    </w:rPr>
                    <w:t xml:space="preserve"> </w:t>
                  </w:r>
                  <w:r>
                    <w:rPr>
                      <w:color w:val="58595B"/>
                    </w:rPr>
                    <w:t>interrogated</w:t>
                  </w:r>
                  <w:r>
                    <w:rPr>
                      <w:color w:val="58595B"/>
                      <w:spacing w:val="-11"/>
                    </w:rPr>
                    <w:t xml:space="preserve"> </w:t>
                  </w:r>
                  <w:r>
                    <w:rPr>
                      <w:color w:val="58595B"/>
                      <w:spacing w:val="-3"/>
                    </w:rPr>
                    <w:t>by</w:t>
                  </w:r>
                  <w:r>
                    <w:rPr>
                      <w:color w:val="58595B"/>
                      <w:spacing w:val="-11"/>
                    </w:rPr>
                    <w:t xml:space="preserve"> </w:t>
                  </w:r>
                  <w:r>
                    <w:rPr>
                      <w:color w:val="58595B"/>
                    </w:rPr>
                    <w:t>communities,</w:t>
                  </w:r>
                  <w:r>
                    <w:rPr>
                      <w:color w:val="58595B"/>
                      <w:spacing w:val="-11"/>
                    </w:rPr>
                    <w:t xml:space="preserve"> </w:t>
                  </w:r>
                  <w:r>
                    <w:rPr>
                      <w:color w:val="58595B"/>
                    </w:rPr>
                    <w:t>the</w:t>
                  </w:r>
                  <w:r>
                    <w:rPr>
                      <w:color w:val="58595B"/>
                      <w:spacing w:val="-11"/>
                    </w:rPr>
                    <w:t xml:space="preserve"> </w:t>
                  </w:r>
                  <w:r>
                    <w:rPr>
                      <w:color w:val="58595B"/>
                    </w:rPr>
                    <w:t>media,</w:t>
                  </w:r>
                  <w:r>
                    <w:rPr>
                      <w:color w:val="58595B"/>
                      <w:spacing w:val="-11"/>
                    </w:rPr>
                    <w:t xml:space="preserve"> </w:t>
                  </w:r>
                  <w:r>
                    <w:rPr>
                      <w:color w:val="58595B"/>
                      <w:spacing w:val="-2"/>
                    </w:rPr>
                    <w:t>individuals,</w:t>
                  </w:r>
                  <w:r>
                    <w:rPr>
                      <w:color w:val="58595B"/>
                      <w:spacing w:val="-11"/>
                    </w:rPr>
                    <w:t xml:space="preserve"> </w:t>
                  </w:r>
                  <w:r>
                    <w:rPr>
                      <w:color w:val="58595B"/>
                    </w:rPr>
                    <w:t>lenders,</w:t>
                  </w:r>
                </w:p>
                <w:p w14:paraId="131D96E6" w14:textId="77777777" w:rsidR="00804E46" w:rsidRDefault="00804E46">
                  <w:pPr>
                    <w:pStyle w:val="BodyText"/>
                    <w:spacing w:before="2" w:line="280" w:lineRule="auto"/>
                    <w:ind w:left="170" w:right="166"/>
                  </w:pPr>
                  <w:r>
                    <w:rPr>
                      <w:color w:val="58595B"/>
                      <w:spacing w:val="-3"/>
                    </w:rPr>
                    <w:t>investors,</w:t>
                  </w:r>
                  <w:r>
                    <w:rPr>
                      <w:color w:val="58595B"/>
                      <w:spacing w:val="-11"/>
                    </w:rPr>
                    <w:t xml:space="preserve"> </w:t>
                  </w:r>
                  <w:r>
                    <w:rPr>
                      <w:color w:val="58595B"/>
                      <w:spacing w:val="-3"/>
                    </w:rPr>
                    <w:t>environmental</w:t>
                  </w:r>
                  <w:r>
                    <w:rPr>
                      <w:color w:val="58595B"/>
                      <w:spacing w:val="-11"/>
                    </w:rPr>
                    <w:t xml:space="preserve"> </w:t>
                  </w:r>
                  <w:r>
                    <w:rPr>
                      <w:color w:val="58595B"/>
                    </w:rPr>
                    <w:t>groups</w:t>
                  </w:r>
                  <w:r>
                    <w:rPr>
                      <w:color w:val="58595B"/>
                      <w:spacing w:val="-11"/>
                    </w:rPr>
                    <w:t xml:space="preserve"> </w:t>
                  </w:r>
                  <w:r>
                    <w:rPr>
                      <w:color w:val="58595B"/>
                    </w:rPr>
                    <w:t>and</w:t>
                  </w:r>
                  <w:r>
                    <w:rPr>
                      <w:color w:val="58595B"/>
                      <w:spacing w:val="-11"/>
                    </w:rPr>
                    <w:t xml:space="preserve"> </w:t>
                  </w:r>
                  <w:r>
                    <w:rPr>
                      <w:color w:val="58595B"/>
                    </w:rPr>
                    <w:t>other</w:t>
                  </w:r>
                  <w:r>
                    <w:rPr>
                      <w:color w:val="58595B"/>
                      <w:spacing w:val="-11"/>
                    </w:rPr>
                    <w:t xml:space="preserve"> </w:t>
                  </w:r>
                  <w:r>
                    <w:rPr>
                      <w:color w:val="58595B"/>
                    </w:rPr>
                    <w:t>non-government</w:t>
                  </w:r>
                  <w:r>
                    <w:rPr>
                      <w:color w:val="58595B"/>
                      <w:spacing w:val="-11"/>
                    </w:rPr>
                    <w:t xml:space="preserve"> </w:t>
                  </w:r>
                  <w:r>
                    <w:rPr>
                      <w:color w:val="58595B"/>
                    </w:rPr>
                    <w:t>organisations.</w:t>
                  </w:r>
                  <w:r>
                    <w:rPr>
                      <w:color w:val="58595B"/>
                      <w:spacing w:val="-11"/>
                    </w:rPr>
                    <w:t xml:space="preserve"> </w:t>
                  </w:r>
                  <w:r>
                    <w:rPr>
                      <w:color w:val="58595B"/>
                    </w:rPr>
                    <w:t>Users</w:t>
                  </w:r>
                  <w:r>
                    <w:rPr>
                      <w:color w:val="58595B"/>
                      <w:spacing w:val="-11"/>
                    </w:rPr>
                    <w:t xml:space="preserve"> </w:t>
                  </w:r>
                  <w:r>
                    <w:rPr>
                      <w:color w:val="58595B"/>
                    </w:rPr>
                    <w:t>can</w:t>
                  </w:r>
                  <w:r>
                    <w:rPr>
                      <w:color w:val="58595B"/>
                      <w:spacing w:val="-11"/>
                    </w:rPr>
                    <w:t xml:space="preserve"> </w:t>
                  </w:r>
                  <w:r>
                    <w:rPr>
                      <w:color w:val="58595B"/>
                    </w:rPr>
                    <w:t xml:space="preserve">ascertain, for </w:t>
                  </w:r>
                  <w:r>
                    <w:rPr>
                      <w:color w:val="58595B"/>
                      <w:spacing w:val="-3"/>
                    </w:rPr>
                    <w:t xml:space="preserve">example, </w:t>
                  </w:r>
                  <w:r>
                    <w:rPr>
                      <w:color w:val="58595B"/>
                    </w:rPr>
                    <w:t>the total emission load in a particular geographical area, or the total emissions of particular</w:t>
                  </w:r>
                  <w:r>
                    <w:rPr>
                      <w:color w:val="58595B"/>
                      <w:spacing w:val="-11"/>
                    </w:rPr>
                    <w:t xml:space="preserve"> </w:t>
                  </w:r>
                  <w:r>
                    <w:rPr>
                      <w:color w:val="58595B"/>
                    </w:rPr>
                    <w:t>companies.</w:t>
                  </w:r>
                  <w:r>
                    <w:rPr>
                      <w:color w:val="58595B"/>
                      <w:spacing w:val="-11"/>
                    </w:rPr>
                    <w:t xml:space="preserve"> </w:t>
                  </w:r>
                  <w:r>
                    <w:rPr>
                      <w:color w:val="58595B"/>
                    </w:rPr>
                    <w:t>The</w:t>
                  </w:r>
                  <w:r>
                    <w:rPr>
                      <w:color w:val="58595B"/>
                      <w:spacing w:val="-11"/>
                    </w:rPr>
                    <w:t xml:space="preserve"> </w:t>
                  </w:r>
                  <w:r>
                    <w:rPr>
                      <w:color w:val="58595B"/>
                    </w:rPr>
                    <w:t>foremost</w:t>
                  </w:r>
                  <w:r>
                    <w:rPr>
                      <w:color w:val="58595B"/>
                      <w:spacing w:val="-11"/>
                    </w:rPr>
                    <w:t xml:space="preserve"> </w:t>
                  </w:r>
                  <w:r>
                    <w:rPr>
                      <w:color w:val="58595B"/>
                      <w:spacing w:val="-4"/>
                    </w:rPr>
                    <w:t>(and</w:t>
                  </w:r>
                  <w:r>
                    <w:rPr>
                      <w:color w:val="58595B"/>
                      <w:spacing w:val="-11"/>
                    </w:rPr>
                    <w:t xml:space="preserve"> </w:t>
                  </w:r>
                  <w:r>
                    <w:rPr>
                      <w:color w:val="58595B"/>
                    </w:rPr>
                    <w:t>most</w:t>
                  </w:r>
                  <w:r>
                    <w:rPr>
                      <w:color w:val="58595B"/>
                      <w:spacing w:val="-11"/>
                    </w:rPr>
                    <w:t xml:space="preserve"> </w:t>
                  </w:r>
                  <w:r>
                    <w:rPr>
                      <w:color w:val="58595B"/>
                    </w:rPr>
                    <w:t>successful)</w:t>
                  </w:r>
                  <w:r>
                    <w:rPr>
                      <w:color w:val="58595B"/>
                      <w:spacing w:val="-11"/>
                    </w:rPr>
                    <w:t xml:space="preserve"> </w:t>
                  </w:r>
                  <w:r>
                    <w:rPr>
                      <w:color w:val="58595B"/>
                      <w:spacing w:val="-3"/>
                    </w:rPr>
                    <w:t>example</w:t>
                  </w:r>
                  <w:r>
                    <w:rPr>
                      <w:color w:val="58595B"/>
                      <w:spacing w:val="-11"/>
                    </w:rPr>
                    <w:t xml:space="preserve"> </w:t>
                  </w:r>
                  <w:r>
                    <w:rPr>
                      <w:color w:val="58595B"/>
                    </w:rPr>
                    <w:t>of</w:t>
                  </w:r>
                  <w:r>
                    <w:rPr>
                      <w:color w:val="58595B"/>
                      <w:spacing w:val="-11"/>
                    </w:rPr>
                    <w:t xml:space="preserve"> </w:t>
                  </w:r>
                  <w:r>
                    <w:rPr>
                      <w:color w:val="58595B"/>
                    </w:rPr>
                    <w:t>this</w:t>
                  </w:r>
                  <w:r>
                    <w:rPr>
                      <w:color w:val="58595B"/>
                      <w:spacing w:val="-11"/>
                    </w:rPr>
                    <w:t xml:space="preserve"> </w:t>
                  </w:r>
                  <w:r>
                    <w:rPr>
                      <w:color w:val="58595B"/>
                    </w:rPr>
                    <w:t>approach</w:t>
                  </w:r>
                  <w:r>
                    <w:rPr>
                      <w:color w:val="58595B"/>
                      <w:spacing w:val="-11"/>
                    </w:rPr>
                    <w:t xml:space="preserve"> </w:t>
                  </w:r>
                  <w:r>
                    <w:rPr>
                      <w:color w:val="58595B"/>
                    </w:rPr>
                    <w:t>is</w:t>
                  </w:r>
                  <w:r>
                    <w:rPr>
                      <w:color w:val="58595B"/>
                      <w:spacing w:val="-11"/>
                    </w:rPr>
                    <w:t xml:space="preserve"> </w:t>
                  </w:r>
                  <w:r>
                    <w:rPr>
                      <w:color w:val="58595B"/>
                    </w:rPr>
                    <w:t>the</w:t>
                  </w:r>
                  <w:r>
                    <w:rPr>
                      <w:color w:val="58595B"/>
                      <w:spacing w:val="-11"/>
                    </w:rPr>
                    <w:t xml:space="preserve"> </w:t>
                  </w:r>
                  <w:r>
                    <w:rPr>
                      <w:color w:val="58595B"/>
                    </w:rPr>
                    <w:t xml:space="preserve">USA </w:t>
                  </w:r>
                  <w:r>
                    <w:rPr>
                      <w:color w:val="58595B"/>
                      <w:spacing w:val="-6"/>
                    </w:rPr>
                    <w:t>Toxic</w:t>
                  </w:r>
                  <w:r>
                    <w:rPr>
                      <w:color w:val="58595B"/>
                      <w:spacing w:val="-8"/>
                    </w:rPr>
                    <w:t xml:space="preserve"> </w:t>
                  </w:r>
                  <w:r>
                    <w:rPr>
                      <w:color w:val="58595B"/>
                      <w:spacing w:val="-3"/>
                    </w:rPr>
                    <w:t>Release</w:t>
                  </w:r>
                  <w:r>
                    <w:rPr>
                      <w:color w:val="58595B"/>
                      <w:spacing w:val="-8"/>
                    </w:rPr>
                    <w:t xml:space="preserve"> </w:t>
                  </w:r>
                  <w:r>
                    <w:rPr>
                      <w:color w:val="58595B"/>
                      <w:spacing w:val="-4"/>
                    </w:rPr>
                    <w:t>Inventory.</w:t>
                  </w:r>
                  <w:r>
                    <w:rPr>
                      <w:color w:val="58595B"/>
                      <w:spacing w:val="-8"/>
                    </w:rPr>
                    <w:t xml:space="preserve"> </w:t>
                  </w:r>
                  <w:r>
                    <w:rPr>
                      <w:color w:val="58595B"/>
                    </w:rPr>
                    <w:t>The</w:t>
                  </w:r>
                  <w:r>
                    <w:rPr>
                      <w:color w:val="58595B"/>
                      <w:spacing w:val="-8"/>
                    </w:rPr>
                    <w:t xml:space="preserve"> </w:t>
                  </w:r>
                  <w:r>
                    <w:rPr>
                      <w:color w:val="58595B"/>
                    </w:rPr>
                    <w:t>Australian</w:t>
                  </w:r>
                  <w:r>
                    <w:rPr>
                      <w:color w:val="58595B"/>
                      <w:spacing w:val="-8"/>
                    </w:rPr>
                    <w:t xml:space="preserve"> </w:t>
                  </w:r>
                  <w:r>
                    <w:rPr>
                      <w:color w:val="58595B"/>
                    </w:rPr>
                    <w:t>National</w:t>
                  </w:r>
                  <w:r>
                    <w:rPr>
                      <w:color w:val="58595B"/>
                      <w:spacing w:val="-8"/>
                    </w:rPr>
                    <w:t xml:space="preserve"> </w:t>
                  </w:r>
                  <w:r>
                    <w:rPr>
                      <w:color w:val="58595B"/>
                      <w:spacing w:val="-3"/>
                    </w:rPr>
                    <w:t>Pollutant</w:t>
                  </w:r>
                  <w:r>
                    <w:rPr>
                      <w:color w:val="58595B"/>
                      <w:spacing w:val="-8"/>
                    </w:rPr>
                    <w:t xml:space="preserve"> </w:t>
                  </w:r>
                  <w:r>
                    <w:rPr>
                      <w:color w:val="58595B"/>
                    </w:rPr>
                    <w:t>Inventory</w:t>
                  </w:r>
                  <w:r>
                    <w:rPr>
                      <w:color w:val="58595B"/>
                      <w:spacing w:val="-8"/>
                    </w:rPr>
                    <w:t xml:space="preserve"> </w:t>
                  </w:r>
                  <w:r>
                    <w:rPr>
                      <w:color w:val="58595B"/>
                    </w:rPr>
                    <w:t>is</w:t>
                  </w:r>
                  <w:r>
                    <w:rPr>
                      <w:color w:val="58595B"/>
                      <w:spacing w:val="-8"/>
                    </w:rPr>
                    <w:t xml:space="preserve"> </w:t>
                  </w:r>
                  <w:r>
                    <w:rPr>
                      <w:color w:val="58595B"/>
                    </w:rPr>
                    <w:t>another</w:t>
                  </w:r>
                  <w:r>
                    <w:rPr>
                      <w:color w:val="58595B"/>
                      <w:spacing w:val="-8"/>
                    </w:rPr>
                    <w:t xml:space="preserve"> </w:t>
                  </w:r>
                  <w:r>
                    <w:rPr>
                      <w:color w:val="58595B"/>
                      <w:spacing w:val="-3"/>
                    </w:rPr>
                    <w:t>example.</w:t>
                  </w:r>
                </w:p>
                <w:p w14:paraId="7132A295" w14:textId="03B291F7" w:rsidR="00804E46" w:rsidRDefault="00804E46">
                  <w:pPr>
                    <w:pStyle w:val="BodyText"/>
                    <w:spacing w:before="172" w:line="280" w:lineRule="auto"/>
                    <w:ind w:left="170" w:right="222"/>
                  </w:pPr>
                  <w:r>
                    <w:rPr>
                      <w:color w:val="58595B"/>
                    </w:rPr>
                    <w:t>The cities of Cambridge and Chelsea, Massachusetts requ</w:t>
                  </w:r>
                  <w:r w:rsidR="00C36C4A">
                    <w:rPr>
                      <w:color w:val="58595B"/>
                    </w:rPr>
                    <w:t>ire permittees to notify local</w:t>
                  </w:r>
                  <w:r w:rsidR="00C36C4A">
                    <w:rPr>
                      <w:color w:val="58595B"/>
                    </w:rPr>
                    <w:br/>
                  </w:r>
                  <w:r>
                    <w:rPr>
                      <w:color w:val="58595B"/>
                    </w:rPr>
                    <w:t xml:space="preserve">health agents and watershed advocacy groups by email within 24 hours of a combined sewer outflow discharge event. Similarly, Ohio and New </w:t>
                  </w:r>
                  <w:r>
                    <w:rPr>
                      <w:color w:val="58595B"/>
                      <w:spacing w:val="-3"/>
                    </w:rPr>
                    <w:t xml:space="preserve">York </w:t>
                  </w:r>
                  <w:r>
                    <w:rPr>
                      <w:color w:val="58595B"/>
                    </w:rPr>
                    <w:t>regulations require permittees to post at their outfalls signs that provide the permittee’s contact information. The New Zealand Audited Self-Management Program provides another contemporary example of using advanced technology to provide real time</w:t>
                  </w:r>
                  <w:r>
                    <w:rPr>
                      <w:color w:val="58595B"/>
                      <w:spacing w:val="4"/>
                    </w:rPr>
                    <w:t xml:space="preserve"> </w:t>
                  </w:r>
                  <w:r>
                    <w:rPr>
                      <w:color w:val="58595B"/>
                    </w:rPr>
                    <w:t>information.</w:t>
                  </w:r>
                </w:p>
              </w:txbxContent>
            </v:textbox>
            <w10:wrap type="none"/>
            <w10:anchorlock/>
          </v:shape>
        </w:pict>
      </w:r>
    </w:p>
    <w:p w14:paraId="020CA6CF" w14:textId="77777777" w:rsidR="00160E7F" w:rsidRDefault="00160E7F">
      <w:pPr>
        <w:pStyle w:val="BodyText"/>
        <w:spacing w:before="1"/>
        <w:rPr>
          <w:sz w:val="23"/>
        </w:rPr>
      </w:pPr>
    </w:p>
    <w:p w14:paraId="3A67FFA2" w14:textId="77777777" w:rsidR="00160E7F" w:rsidRDefault="002B0299">
      <w:pPr>
        <w:pStyle w:val="BodyText"/>
        <w:spacing w:before="74" w:line="280" w:lineRule="auto"/>
        <w:ind w:left="134" w:right="1433"/>
      </w:pPr>
      <w:r>
        <w:rPr>
          <w:color w:val="58595B"/>
        </w:rPr>
        <w:t>We also consider the EPA could harness third parties and other regulators to help with environmental regulation. Increasing the amount of public information about pollution and waste performance by business has the potential to leverage third parties such as non-government organisations, community groups and markets.</w:t>
      </w:r>
    </w:p>
    <w:p w14:paraId="42C6B8AE" w14:textId="77777777" w:rsidR="00160E7F" w:rsidRDefault="002B0299">
      <w:pPr>
        <w:pStyle w:val="BodyText"/>
        <w:spacing w:before="172" w:line="280" w:lineRule="auto"/>
        <w:ind w:left="134" w:right="1495"/>
      </w:pPr>
      <w:r>
        <w:rPr>
          <w:color w:val="58595B"/>
        </w:rPr>
        <w:t xml:space="preserve">Networked governance involves developing coordinated and constructive relationships with government agencies that possess, on some issues, </w:t>
      </w:r>
      <w:r>
        <w:rPr>
          <w:color w:val="58595B"/>
          <w:spacing w:val="-3"/>
        </w:rPr>
        <w:t xml:space="preserve">overlapping </w:t>
      </w:r>
      <w:r>
        <w:rPr>
          <w:color w:val="58595B"/>
        </w:rPr>
        <w:t xml:space="preserve">authority or operate in the same </w:t>
      </w:r>
      <w:r>
        <w:rPr>
          <w:color w:val="58595B"/>
          <w:spacing w:val="-3"/>
        </w:rPr>
        <w:t xml:space="preserve">sphere. </w:t>
      </w:r>
      <w:r>
        <w:rPr>
          <w:color w:val="58595B"/>
        </w:rPr>
        <w:t>Opportunities afforded by harnessing third parties and networked governance include a:</w:t>
      </w:r>
    </w:p>
    <w:p w14:paraId="5CA7B8FC" w14:textId="77777777" w:rsidR="00160E7F" w:rsidRDefault="002B0299">
      <w:pPr>
        <w:spacing w:before="172" w:line="280" w:lineRule="auto"/>
        <w:ind w:left="701" w:right="2071"/>
        <w:rPr>
          <w:sz w:val="11"/>
        </w:rPr>
      </w:pPr>
      <w:r>
        <w:rPr>
          <w:i/>
          <w:color w:val="231F20"/>
          <w:sz w:val="20"/>
        </w:rPr>
        <w:t>… greater likelihood of achieving desired outcomes by engaging with other interested parties, whether they be other government agencies, the private sector or civil society, than by engaging in traditional hierarchical approaches to regulation.</w:t>
      </w:r>
      <w:r>
        <w:rPr>
          <w:color w:val="231F20"/>
          <w:position w:val="7"/>
          <w:sz w:val="11"/>
        </w:rPr>
        <w:t>25</w:t>
      </w:r>
    </w:p>
    <w:p w14:paraId="29708A38" w14:textId="77777777" w:rsidR="00160E7F" w:rsidRDefault="002B0299">
      <w:pPr>
        <w:pStyle w:val="BodyText"/>
        <w:spacing w:before="172" w:line="280" w:lineRule="auto"/>
        <w:ind w:left="134" w:right="2253"/>
      </w:pPr>
      <w:r>
        <w:rPr>
          <w:color w:val="58595B"/>
        </w:rPr>
        <w:t>Networked governance and harnessing third parties can overcome some shortcomings of traditional approaches to compliance. Third parties can be more potent and agile than government regulators. Supply chain pressure offers significant potential to influence</w:t>
      </w:r>
    </w:p>
    <w:p w14:paraId="5D7344AF" w14:textId="77777777" w:rsidR="00160E7F" w:rsidRDefault="002B0299">
      <w:pPr>
        <w:pStyle w:val="BodyText"/>
        <w:spacing w:before="2" w:line="280" w:lineRule="auto"/>
        <w:ind w:left="134" w:right="1433"/>
        <w:rPr>
          <w:sz w:val="11"/>
        </w:rPr>
      </w:pPr>
      <w:r>
        <w:rPr>
          <w:color w:val="58595B"/>
        </w:rPr>
        <w:t>environmental behaviour, particularly for small and medium sized enterprises. For example, access to capital has been constrained for poor environmental performers since the mid-1980s with the rise of environmental regulation. A number of studies report a high level of compliance with safety, health and environment requirements where these are addressed under customer dictated schemes.</w:t>
      </w:r>
      <w:r>
        <w:rPr>
          <w:color w:val="58595B"/>
          <w:position w:val="7"/>
          <w:sz w:val="11"/>
        </w:rPr>
        <w:t>26</w:t>
      </w:r>
    </w:p>
    <w:p w14:paraId="2A1ECC36" w14:textId="77777777" w:rsidR="00160E7F" w:rsidRDefault="002B0299">
      <w:pPr>
        <w:pStyle w:val="BodyText"/>
        <w:spacing w:before="172" w:line="280" w:lineRule="auto"/>
        <w:ind w:left="134" w:right="1405"/>
      </w:pPr>
      <w:r>
        <w:rPr>
          <w:color w:val="58595B"/>
        </w:rPr>
        <w:t>The EPA has recently explored options for harnessing third parties, including supply chains, as well as linking with other regulators. For example, the EPA has worked with the local governments that issue the majority of building demolition permits to obtain intelligence about potential illegal dumping of construction and demolition waste.</w:t>
      </w:r>
    </w:p>
    <w:p w14:paraId="7A8CF6E6" w14:textId="77777777" w:rsidR="00160E7F" w:rsidRDefault="00160E7F">
      <w:pPr>
        <w:spacing w:line="280" w:lineRule="auto"/>
        <w:sectPr w:rsidR="00160E7F">
          <w:pgSz w:w="11910" w:h="16840"/>
          <w:pgMar w:top="980" w:right="0" w:bottom="280" w:left="1680" w:header="788" w:footer="0" w:gutter="0"/>
          <w:cols w:space="720"/>
        </w:sectPr>
      </w:pPr>
    </w:p>
    <w:p w14:paraId="0CE8DA1B" w14:textId="77777777" w:rsidR="00160E7F" w:rsidRDefault="00160E7F">
      <w:pPr>
        <w:pStyle w:val="BodyText"/>
      </w:pPr>
    </w:p>
    <w:p w14:paraId="5C03FDB9" w14:textId="77777777" w:rsidR="00160E7F" w:rsidRDefault="00160E7F">
      <w:pPr>
        <w:pStyle w:val="BodyText"/>
      </w:pPr>
    </w:p>
    <w:p w14:paraId="202979BA" w14:textId="77777777" w:rsidR="00160E7F" w:rsidRDefault="00160E7F">
      <w:pPr>
        <w:pStyle w:val="BodyText"/>
      </w:pPr>
    </w:p>
    <w:p w14:paraId="722F8E0A" w14:textId="77777777" w:rsidR="00160E7F" w:rsidRDefault="00160E7F">
      <w:pPr>
        <w:pStyle w:val="BodyText"/>
      </w:pPr>
    </w:p>
    <w:p w14:paraId="2568FBB0" w14:textId="77777777" w:rsidR="00160E7F" w:rsidRDefault="00160E7F">
      <w:pPr>
        <w:pStyle w:val="BodyText"/>
        <w:spacing w:before="8"/>
        <w:rPr>
          <w:sz w:val="17"/>
        </w:rPr>
      </w:pPr>
    </w:p>
    <w:p w14:paraId="478C51B3" w14:textId="77777777" w:rsidR="00160E7F" w:rsidRDefault="002B0299">
      <w:pPr>
        <w:pStyle w:val="ListParagraph"/>
        <w:numPr>
          <w:ilvl w:val="2"/>
          <w:numId w:val="18"/>
        </w:numPr>
        <w:tabs>
          <w:tab w:val="left" w:pos="2073"/>
        </w:tabs>
        <w:spacing w:before="1"/>
        <w:ind w:left="2072" w:hanging="655"/>
        <w:jc w:val="left"/>
        <w:rPr>
          <w:sz w:val="20"/>
        </w:rPr>
      </w:pPr>
      <w:r>
        <w:rPr>
          <w:color w:val="0095A7"/>
          <w:sz w:val="20"/>
        </w:rPr>
        <w:t>Influencing behaviour through education and</w:t>
      </w:r>
      <w:r>
        <w:rPr>
          <w:color w:val="0095A7"/>
          <w:spacing w:val="12"/>
          <w:sz w:val="20"/>
        </w:rPr>
        <w:t xml:space="preserve"> </w:t>
      </w:r>
      <w:r>
        <w:rPr>
          <w:color w:val="0095A7"/>
          <w:sz w:val="20"/>
        </w:rPr>
        <w:t>information</w:t>
      </w:r>
    </w:p>
    <w:p w14:paraId="6D2713CB" w14:textId="77777777" w:rsidR="00160E7F" w:rsidRDefault="002B0299">
      <w:pPr>
        <w:pStyle w:val="BodyText"/>
        <w:spacing w:before="153" w:line="280" w:lineRule="auto"/>
        <w:ind w:left="1417" w:right="185"/>
      </w:pPr>
      <w:r>
        <w:rPr>
          <w:color w:val="58595B"/>
        </w:rPr>
        <w:t>An important element of a regulator’s toolkit is educating, informing, training and partnering with regulated entities to change behaviour and support compliance. Many inquiry participants argued the EPA should take an active role in informing and educating the community and industry:</w:t>
      </w:r>
    </w:p>
    <w:p w14:paraId="0F2F55CD" w14:textId="77777777" w:rsidR="00160E7F" w:rsidRDefault="002B0299">
      <w:pPr>
        <w:spacing w:before="172" w:line="280" w:lineRule="auto"/>
        <w:ind w:left="1984" w:right="1022"/>
        <w:rPr>
          <w:i/>
          <w:sz w:val="20"/>
        </w:rPr>
      </w:pPr>
      <w:r>
        <w:rPr>
          <w:i/>
          <w:color w:val="231F20"/>
          <w:sz w:val="20"/>
        </w:rPr>
        <w:t>The availability of information and education are essential for businesses to have a clear understanding of environmental compliance requirements. Making this</w:t>
      </w:r>
    </w:p>
    <w:p w14:paraId="25FB411D" w14:textId="77777777" w:rsidR="00160E7F" w:rsidRDefault="002B0299">
      <w:pPr>
        <w:spacing w:before="2" w:line="280" w:lineRule="auto"/>
        <w:ind w:left="1984" w:right="405"/>
        <w:rPr>
          <w:sz w:val="20"/>
        </w:rPr>
      </w:pPr>
      <w:r>
        <w:rPr>
          <w:i/>
          <w:color w:val="231F20"/>
          <w:sz w:val="20"/>
        </w:rPr>
        <w:t xml:space="preserve">information transparent and accessible particularly for those living in remote areas is crucial. </w:t>
      </w:r>
      <w:r>
        <w:rPr>
          <w:color w:val="231F20"/>
          <w:sz w:val="20"/>
        </w:rPr>
        <w:t>(Victorian Farmers’ Federation submission, p. 7)</w:t>
      </w:r>
    </w:p>
    <w:p w14:paraId="32FDAC62" w14:textId="77777777" w:rsidR="00160E7F" w:rsidRDefault="002B0299">
      <w:pPr>
        <w:spacing w:before="172" w:line="280" w:lineRule="auto"/>
        <w:ind w:left="1984" w:right="405"/>
        <w:rPr>
          <w:sz w:val="20"/>
        </w:rPr>
      </w:pPr>
      <w:r>
        <w:rPr>
          <w:i/>
          <w:color w:val="231F20"/>
          <w:sz w:val="20"/>
        </w:rPr>
        <w:t xml:space="preserve">Targeted information to business sectors contributes greatly to compliance. </w:t>
      </w:r>
      <w:r>
        <w:rPr>
          <w:color w:val="231F20"/>
          <w:sz w:val="20"/>
        </w:rPr>
        <w:t>(Minerals Council of Australia – Victoria submission, p. 6)</w:t>
      </w:r>
    </w:p>
    <w:p w14:paraId="48CB03F1" w14:textId="77777777" w:rsidR="00160E7F" w:rsidRDefault="002B0299">
      <w:pPr>
        <w:spacing w:before="172" w:line="280" w:lineRule="auto"/>
        <w:ind w:left="1984" w:right="789"/>
        <w:rPr>
          <w:sz w:val="20"/>
        </w:rPr>
      </w:pPr>
      <w:r>
        <w:rPr>
          <w:i/>
          <w:color w:val="231F20"/>
          <w:sz w:val="20"/>
        </w:rPr>
        <w:t xml:space="preserve">EPA needs to support and work collaboratively with companies on their specific issues. Codifying good practice will be helpful if it is illustrative, educational and current, rather than narrowly prescriptive and allowed to become dated. In addition an important opportunity exists for EPA to work in partnership with Ai Group to support industry. </w:t>
      </w:r>
      <w:r>
        <w:rPr>
          <w:color w:val="231F20"/>
          <w:sz w:val="20"/>
        </w:rPr>
        <w:t>(Australian Industry Group submission, p. 6)</w:t>
      </w:r>
    </w:p>
    <w:p w14:paraId="2F63144F" w14:textId="77777777" w:rsidR="00160E7F" w:rsidRDefault="002B0299">
      <w:pPr>
        <w:pStyle w:val="BodyText"/>
        <w:spacing w:before="172" w:line="280" w:lineRule="auto"/>
        <w:ind w:left="1417" w:right="185"/>
      </w:pPr>
      <w:r>
        <w:rPr>
          <w:color w:val="58595B"/>
        </w:rPr>
        <w:t>Since 2011, the EPA has adopted a regulatory model that includes ‘inform and educate’ and ‘support to comply’ as important elements. However, public feedback suggests the EPA does not give sufficient attention to these. Further, compliance support will be a critical task of the EPA when it implements the general duty.</w:t>
      </w:r>
    </w:p>
    <w:p w14:paraId="070EF9C9" w14:textId="77777777" w:rsidR="00160E7F" w:rsidRDefault="002B0299">
      <w:pPr>
        <w:pStyle w:val="BodyText"/>
        <w:spacing w:before="172" w:line="280" w:lineRule="auto"/>
        <w:ind w:left="1417" w:right="405"/>
      </w:pPr>
      <w:r>
        <w:rPr>
          <w:color w:val="58595B"/>
        </w:rPr>
        <w:t>The EPA and its staff must be able to switch between supportive and regulatory enforcement roles as the situation requires.</w:t>
      </w:r>
    </w:p>
    <w:p w14:paraId="64915AC0" w14:textId="77777777" w:rsidR="00160E7F" w:rsidRDefault="002B0299">
      <w:pPr>
        <w:pStyle w:val="BodyText"/>
        <w:spacing w:before="172" w:line="280" w:lineRule="auto"/>
        <w:ind w:left="1417" w:right="405"/>
      </w:pPr>
      <w:r>
        <w:rPr>
          <w:color w:val="58595B"/>
        </w:rPr>
        <w:t>Providing advice to duty holders on how to comply with their obligations is a core task of regulators.</w:t>
      </w:r>
      <w:r>
        <w:rPr>
          <w:color w:val="58595B"/>
          <w:position w:val="7"/>
          <w:sz w:val="11"/>
        </w:rPr>
        <w:t xml:space="preserve">27 </w:t>
      </w:r>
      <w:r>
        <w:rPr>
          <w:color w:val="58595B"/>
        </w:rPr>
        <w:t>Importantly, the EPA’s information activities should focus on changing behaviour, not only providing information. Behavioural economics and psychology offer opportunities</w:t>
      </w:r>
    </w:p>
    <w:p w14:paraId="37536393" w14:textId="77777777" w:rsidR="00160E7F" w:rsidRDefault="002B0299">
      <w:pPr>
        <w:pStyle w:val="BodyText"/>
        <w:spacing w:before="2" w:line="280" w:lineRule="auto"/>
        <w:ind w:left="1417" w:right="185"/>
        <w:rPr>
          <w:sz w:val="11"/>
        </w:rPr>
      </w:pPr>
      <w:r>
        <w:rPr>
          <w:color w:val="58595B"/>
        </w:rPr>
        <w:t>to influence behaviour and achieve desired outcomes, often at less cost than information or education campaigns or direct regulation (box 16.5). This approach gained prominence through nudge theory, which seeks to ‘…steer people towards better decisions by presenting choices in different ways’.</w:t>
      </w:r>
      <w:r>
        <w:rPr>
          <w:color w:val="58595B"/>
          <w:position w:val="7"/>
          <w:sz w:val="11"/>
        </w:rPr>
        <w:t>28</w:t>
      </w:r>
    </w:p>
    <w:p w14:paraId="151FC07E" w14:textId="77777777" w:rsidR="00160E7F" w:rsidRDefault="002B0299">
      <w:pPr>
        <w:pStyle w:val="BodyText"/>
        <w:spacing w:before="172" w:line="280" w:lineRule="auto"/>
        <w:ind w:left="1417" w:right="278"/>
      </w:pPr>
      <w:r>
        <w:rPr>
          <w:color w:val="58595B"/>
        </w:rPr>
        <w:t>The Victorian Government’s newly established Behavioural Insights Unit in the Department of Premier and Cabinet will support innovation in this area, including through ‘flagship’ projects aimed at driving awareness, demonstrating best practice approaches and delivering tangible improvements. We consider that this provides an opportunity for the EPA to build its capability and leverage support for innovation. In particular, the EPA should explore whether implementing the general duty could be a flagship project.</w:t>
      </w:r>
    </w:p>
    <w:p w14:paraId="7E285D30" w14:textId="4658DEC6" w:rsidR="00160E7F" w:rsidRDefault="002B0299">
      <w:pPr>
        <w:pStyle w:val="BodyText"/>
        <w:spacing w:before="172" w:line="280" w:lineRule="auto"/>
        <w:ind w:left="1417" w:right="343"/>
      </w:pPr>
      <w:r>
        <w:rPr>
          <w:color w:val="58595B"/>
        </w:rPr>
        <w:t xml:space="preserve">We note that the Behavioural Insights Unit of the NSW </w:t>
      </w:r>
      <w:r>
        <w:rPr>
          <w:color w:val="58595B"/>
          <w:spacing w:val="2"/>
        </w:rPr>
        <w:t xml:space="preserve">Department </w:t>
      </w:r>
      <w:r>
        <w:rPr>
          <w:color w:val="58595B"/>
        </w:rPr>
        <w:t xml:space="preserve">of Premier and Cabinet has started work on its first project with the NSW </w:t>
      </w:r>
      <w:r>
        <w:rPr>
          <w:color w:val="58595B"/>
          <w:spacing w:val="-4"/>
        </w:rPr>
        <w:t xml:space="preserve">EPA </w:t>
      </w:r>
      <w:r>
        <w:rPr>
          <w:color w:val="58595B"/>
        </w:rPr>
        <w:t>to test the applicat</w:t>
      </w:r>
      <w:r w:rsidR="00C36C4A">
        <w:rPr>
          <w:color w:val="58595B"/>
        </w:rPr>
        <w:t xml:space="preserve">ion of behavioural insights </w:t>
      </w:r>
      <w:r w:rsidR="007F382C">
        <w:rPr>
          <w:color w:val="58595B"/>
        </w:rPr>
        <w:t xml:space="preserve">to </w:t>
      </w:r>
      <w:r>
        <w:rPr>
          <w:color w:val="58595B"/>
        </w:rPr>
        <w:t>its regulatory activity.</w:t>
      </w:r>
    </w:p>
    <w:p w14:paraId="6D8BFC36" w14:textId="77777777" w:rsidR="00160E7F" w:rsidRDefault="00160E7F">
      <w:pPr>
        <w:spacing w:line="280" w:lineRule="auto"/>
        <w:sectPr w:rsidR="00160E7F">
          <w:pgSz w:w="11910" w:h="16840"/>
          <w:pgMar w:top="980" w:right="1680" w:bottom="280" w:left="0" w:header="788" w:footer="0" w:gutter="0"/>
          <w:cols w:space="720"/>
        </w:sectPr>
      </w:pPr>
    </w:p>
    <w:p w14:paraId="2E579489" w14:textId="77777777" w:rsidR="00160E7F" w:rsidRDefault="00160E7F">
      <w:pPr>
        <w:pStyle w:val="BodyText"/>
      </w:pPr>
    </w:p>
    <w:p w14:paraId="70EA1B6A" w14:textId="77777777" w:rsidR="00160E7F" w:rsidRDefault="00160E7F">
      <w:pPr>
        <w:pStyle w:val="BodyText"/>
      </w:pPr>
    </w:p>
    <w:p w14:paraId="602AB4EE" w14:textId="77777777" w:rsidR="00160E7F" w:rsidRDefault="00160E7F">
      <w:pPr>
        <w:pStyle w:val="BodyText"/>
      </w:pPr>
    </w:p>
    <w:p w14:paraId="616BFF60" w14:textId="77777777" w:rsidR="00160E7F" w:rsidRDefault="00160E7F">
      <w:pPr>
        <w:pStyle w:val="BodyText"/>
      </w:pPr>
    </w:p>
    <w:p w14:paraId="0730FBD1" w14:textId="77777777" w:rsidR="00160E7F" w:rsidRDefault="00160E7F">
      <w:pPr>
        <w:pStyle w:val="BodyText"/>
        <w:spacing w:before="4" w:after="1"/>
        <w:rPr>
          <w:sz w:val="21"/>
        </w:rPr>
      </w:pPr>
    </w:p>
    <w:p w14:paraId="7D3930A7" w14:textId="77777777" w:rsidR="00160E7F" w:rsidRDefault="000638CB">
      <w:pPr>
        <w:pStyle w:val="BodyText"/>
        <w:ind w:left="134"/>
      </w:pPr>
      <w:r>
        <w:pict w14:anchorId="74A71EEF">
          <v:shape id="_x0000_s1054" type="#_x0000_t202" style="width:432.75pt;height:195.5pt;mso-left-percent:-10001;mso-top-percent:-10001;mso-position-horizontal:absolute;mso-position-horizontal-relative:char;mso-position-vertical:absolute;mso-position-vertical-relative:line;mso-left-percent:-10001;mso-top-percent:-10001" fillcolor="#eaf2f3" stroked="f">
            <v:textbox inset="0,0,0,0">
              <w:txbxContent>
                <w:p w14:paraId="56B6998F" w14:textId="77777777" w:rsidR="00804E46" w:rsidRDefault="00804E46">
                  <w:pPr>
                    <w:pStyle w:val="BodyText"/>
                    <w:spacing w:before="128"/>
                    <w:ind w:left="170" w:right="311"/>
                  </w:pPr>
                  <w:r>
                    <w:rPr>
                      <w:b/>
                      <w:color w:val="0095A7"/>
                    </w:rPr>
                    <w:t xml:space="preserve">BOX 16.5 </w:t>
                  </w:r>
                  <w:r>
                    <w:rPr>
                      <w:color w:val="0095A7"/>
                    </w:rPr>
                    <w:t>EXAMPLES OF USING BEHAVIOURAL ECONOMICS</w:t>
                  </w:r>
                </w:p>
                <w:p w14:paraId="362DD752" w14:textId="77777777" w:rsidR="00804E46" w:rsidRDefault="00804E46">
                  <w:pPr>
                    <w:pStyle w:val="BodyText"/>
                    <w:spacing w:before="153" w:line="280" w:lineRule="auto"/>
                    <w:ind w:left="170" w:right="615"/>
                  </w:pPr>
                  <w:r>
                    <w:rPr>
                      <w:color w:val="58595B"/>
                    </w:rPr>
                    <w:t>The strength of ‘nudging’ is in using insights into how we behave to understand biases or create systems to achieve desired outcomes:</w:t>
                  </w:r>
                </w:p>
                <w:p w14:paraId="17AA2C80" w14:textId="77777777" w:rsidR="00804E46" w:rsidRDefault="00804E46">
                  <w:pPr>
                    <w:pStyle w:val="ListParagraph"/>
                    <w:numPr>
                      <w:ilvl w:val="0"/>
                      <w:numId w:val="15"/>
                    </w:numPr>
                    <w:tabs>
                      <w:tab w:val="left" w:pos="341"/>
                    </w:tabs>
                    <w:spacing w:before="115" w:line="280" w:lineRule="auto"/>
                    <w:ind w:right="201" w:hanging="170"/>
                    <w:rPr>
                      <w:sz w:val="11"/>
                    </w:rPr>
                  </w:pPr>
                  <w:r>
                    <w:rPr>
                      <w:color w:val="58595B"/>
                      <w:sz w:val="20"/>
                    </w:rPr>
                    <w:t xml:space="preserve">In Victoria, the </w:t>
                  </w:r>
                  <w:r>
                    <w:rPr>
                      <w:color w:val="58595B"/>
                      <w:spacing w:val="-7"/>
                      <w:sz w:val="20"/>
                    </w:rPr>
                    <w:t xml:space="preserve">EPA’s </w:t>
                  </w:r>
                  <w:r>
                    <w:rPr>
                      <w:color w:val="58595B"/>
                      <w:sz w:val="20"/>
                    </w:rPr>
                    <w:t xml:space="preserve">pilot program to change the wording and structure of litter fine communications and the process for submitting statutory declarations to reflect behavioural economics principles led to a </w:t>
                  </w:r>
                  <w:r>
                    <w:rPr>
                      <w:color w:val="58595B"/>
                      <w:spacing w:val="-5"/>
                      <w:sz w:val="20"/>
                    </w:rPr>
                    <w:t xml:space="preserve">13 </w:t>
                  </w:r>
                  <w:r>
                    <w:rPr>
                      <w:color w:val="58595B"/>
                      <w:sz w:val="20"/>
                    </w:rPr>
                    <w:t>per cent increase in the number of people who paid their litter fines on</w:t>
                  </w:r>
                  <w:r>
                    <w:rPr>
                      <w:color w:val="58595B"/>
                      <w:spacing w:val="21"/>
                      <w:sz w:val="20"/>
                    </w:rPr>
                    <w:t xml:space="preserve"> </w:t>
                  </w:r>
                  <w:r>
                    <w:rPr>
                      <w:color w:val="58595B"/>
                      <w:sz w:val="20"/>
                    </w:rPr>
                    <w:t>time.</w:t>
                  </w:r>
                  <w:r>
                    <w:rPr>
                      <w:color w:val="58595B"/>
                      <w:position w:val="7"/>
                      <w:sz w:val="11"/>
                    </w:rPr>
                    <w:t>29</w:t>
                  </w:r>
                </w:p>
                <w:p w14:paraId="7679D774" w14:textId="77777777" w:rsidR="00804E46" w:rsidRDefault="00804E46">
                  <w:pPr>
                    <w:pStyle w:val="ListParagraph"/>
                    <w:numPr>
                      <w:ilvl w:val="0"/>
                      <w:numId w:val="15"/>
                    </w:numPr>
                    <w:tabs>
                      <w:tab w:val="left" w:pos="341"/>
                    </w:tabs>
                    <w:spacing w:before="115" w:line="280" w:lineRule="auto"/>
                    <w:ind w:right="277" w:hanging="170"/>
                    <w:rPr>
                      <w:sz w:val="20"/>
                    </w:rPr>
                  </w:pPr>
                  <w:r>
                    <w:rPr>
                      <w:color w:val="58595B"/>
                      <w:sz w:val="20"/>
                    </w:rPr>
                    <w:t xml:space="preserve">US </w:t>
                  </w:r>
                  <w:r>
                    <w:rPr>
                      <w:color w:val="58595B"/>
                      <w:spacing w:val="-7"/>
                      <w:sz w:val="20"/>
                    </w:rPr>
                    <w:t xml:space="preserve">EPA’s </w:t>
                  </w:r>
                  <w:r>
                    <w:rPr>
                      <w:color w:val="58595B"/>
                      <w:sz w:val="20"/>
                    </w:rPr>
                    <w:t>Next Generation Compliance initiative includes simplifying the rules for business so they are easy to understand, which improves</w:t>
                  </w:r>
                  <w:r>
                    <w:rPr>
                      <w:color w:val="58595B"/>
                      <w:spacing w:val="-8"/>
                      <w:sz w:val="20"/>
                    </w:rPr>
                    <w:t xml:space="preserve"> </w:t>
                  </w:r>
                  <w:r>
                    <w:rPr>
                      <w:color w:val="58595B"/>
                      <w:sz w:val="20"/>
                    </w:rPr>
                    <w:t>compliance.</w:t>
                  </w:r>
                </w:p>
                <w:p w14:paraId="3B4B7CBE" w14:textId="77777777" w:rsidR="00804E46" w:rsidRDefault="00804E46">
                  <w:pPr>
                    <w:pStyle w:val="ListParagraph"/>
                    <w:numPr>
                      <w:ilvl w:val="0"/>
                      <w:numId w:val="15"/>
                    </w:numPr>
                    <w:tabs>
                      <w:tab w:val="left" w:pos="341"/>
                    </w:tabs>
                    <w:spacing w:before="115" w:line="280" w:lineRule="auto"/>
                    <w:ind w:right="391" w:hanging="170"/>
                    <w:rPr>
                      <w:sz w:val="11"/>
                    </w:rPr>
                  </w:pPr>
                  <w:r>
                    <w:rPr>
                      <w:color w:val="58595B"/>
                      <w:sz w:val="20"/>
                    </w:rPr>
                    <w:t>A power company in the US compares customers’ electricity usage with average use of nearby homes, as well as providing ‘smiley faces’ if they use less. Evidence suggests this reduces power use by 2 per</w:t>
                  </w:r>
                  <w:r>
                    <w:rPr>
                      <w:color w:val="58595B"/>
                      <w:spacing w:val="16"/>
                      <w:sz w:val="20"/>
                    </w:rPr>
                    <w:t xml:space="preserve"> </w:t>
                  </w:r>
                  <w:r>
                    <w:rPr>
                      <w:color w:val="58595B"/>
                      <w:sz w:val="20"/>
                    </w:rPr>
                    <w:t>cent.</w:t>
                  </w:r>
                  <w:r>
                    <w:rPr>
                      <w:color w:val="58595B"/>
                      <w:position w:val="7"/>
                      <w:sz w:val="11"/>
                    </w:rPr>
                    <w:t>30</w:t>
                  </w:r>
                </w:p>
              </w:txbxContent>
            </v:textbox>
            <w10:wrap type="none"/>
            <w10:anchorlock/>
          </v:shape>
        </w:pict>
      </w:r>
    </w:p>
    <w:p w14:paraId="160C6B8F" w14:textId="77777777" w:rsidR="00160E7F" w:rsidRDefault="00160E7F">
      <w:pPr>
        <w:pStyle w:val="BodyText"/>
        <w:spacing w:before="6"/>
        <w:rPr>
          <w:sz w:val="23"/>
        </w:rPr>
      </w:pPr>
    </w:p>
    <w:p w14:paraId="75870E35" w14:textId="77777777" w:rsidR="00160E7F" w:rsidRDefault="002B0299">
      <w:pPr>
        <w:pStyle w:val="BodyText"/>
        <w:spacing w:before="74" w:line="280" w:lineRule="auto"/>
        <w:ind w:left="134" w:right="1433"/>
      </w:pPr>
      <w:r>
        <w:rPr>
          <w:color w:val="58595B"/>
        </w:rPr>
        <w:t>Using a broad range of approaches can help the EPA to be a responsive, agile and proportionate regulator by encouraging duty holders to build capacity but quickly escalating to sanctions where these are unsuccessful. A broader range of approaches is particularly important for small and medium sized enterprises as well as small and diffuse sources of pollution, because conventional regulatory measures are generally less effective in these situations.</w:t>
      </w:r>
    </w:p>
    <w:p w14:paraId="59390F79" w14:textId="77777777" w:rsidR="00160E7F" w:rsidRDefault="00160E7F">
      <w:pPr>
        <w:spacing w:line="280" w:lineRule="auto"/>
        <w:sectPr w:rsidR="00160E7F">
          <w:pgSz w:w="11910" w:h="16840"/>
          <w:pgMar w:top="980" w:right="0" w:bottom="280" w:left="1680" w:header="788" w:footer="0" w:gutter="0"/>
          <w:cols w:space="720"/>
        </w:sectPr>
      </w:pPr>
    </w:p>
    <w:p w14:paraId="7D13777C" w14:textId="77777777" w:rsidR="00160E7F" w:rsidRDefault="00160E7F">
      <w:pPr>
        <w:pStyle w:val="BodyText"/>
      </w:pPr>
    </w:p>
    <w:p w14:paraId="6EDBCAC7" w14:textId="77777777" w:rsidR="00160E7F" w:rsidRDefault="00160E7F">
      <w:pPr>
        <w:pStyle w:val="BodyText"/>
      </w:pPr>
    </w:p>
    <w:p w14:paraId="00FF2284" w14:textId="77777777" w:rsidR="00160E7F" w:rsidRDefault="00160E7F">
      <w:pPr>
        <w:pStyle w:val="BodyText"/>
      </w:pPr>
    </w:p>
    <w:p w14:paraId="56DBDCEC" w14:textId="77777777" w:rsidR="00160E7F" w:rsidRDefault="00160E7F">
      <w:pPr>
        <w:pStyle w:val="BodyText"/>
      </w:pPr>
    </w:p>
    <w:p w14:paraId="4BB721B3" w14:textId="77777777" w:rsidR="00160E7F" w:rsidRDefault="002B0299">
      <w:pPr>
        <w:pStyle w:val="Heading3"/>
        <w:ind w:right="789"/>
      </w:pPr>
      <w:r>
        <w:rPr>
          <w:color w:val="0095A7"/>
        </w:rPr>
        <w:t>Recommendations</w:t>
      </w:r>
    </w:p>
    <w:p w14:paraId="4B94BEC5" w14:textId="77777777" w:rsidR="00160E7F" w:rsidRDefault="000638CB">
      <w:pPr>
        <w:pStyle w:val="BodyText"/>
        <w:rPr>
          <w:sz w:val="23"/>
        </w:rPr>
      </w:pPr>
      <w:r>
        <w:pict w14:anchorId="4A5AB35B">
          <v:shape id="_x0000_s1053" type="#_x0000_t202" style="position:absolute;margin-left:70.85pt;margin-top:14.45pt;width:432.7pt;height:84pt;z-index:2392;mso-wrap-distance-left:0;mso-wrap-distance-right:0;mso-position-horizontal-relative:page" fillcolor="#eff6f0" stroked="f">
            <v:textbox inset="0,0,0,0">
              <w:txbxContent>
                <w:p w14:paraId="6A1B7FB6" w14:textId="77777777" w:rsidR="00804E46" w:rsidRDefault="00804E46">
                  <w:pPr>
                    <w:spacing w:before="128"/>
                    <w:ind w:left="170" w:right="567"/>
                    <w:rPr>
                      <w:b/>
                      <w:sz w:val="20"/>
                    </w:rPr>
                  </w:pPr>
                  <w:r>
                    <w:rPr>
                      <w:b/>
                      <w:color w:val="808285"/>
                      <w:sz w:val="20"/>
                    </w:rPr>
                    <w:t>RECOMMENDATION 16.1</w:t>
                  </w:r>
                </w:p>
                <w:p w14:paraId="3BFF5697" w14:textId="77777777" w:rsidR="00804E46" w:rsidRDefault="00804E46">
                  <w:pPr>
                    <w:pStyle w:val="BodyText"/>
                    <w:spacing w:before="153" w:line="280" w:lineRule="auto"/>
                    <w:ind w:left="170" w:right="255"/>
                  </w:pPr>
                  <w:r>
                    <w:rPr>
                      <w:color w:val="58595B"/>
                    </w:rPr>
                    <w:t xml:space="preserve">Remove the current barriers to introducing a load-based licensing scheme (licence fees restricted to cost recovery and fee caps) from the </w:t>
                  </w:r>
                  <w:r>
                    <w:rPr>
                      <w:i/>
                      <w:color w:val="58595B"/>
                    </w:rPr>
                    <w:t xml:space="preserve">Environment Protection Act 1970 </w:t>
                  </w:r>
                  <w:r>
                    <w:rPr>
                      <w:color w:val="58595B"/>
                    </w:rPr>
                    <w:t>and actively consider their use, together with the full suite of economic instruments available to the EPA.</w:t>
                  </w:r>
                </w:p>
              </w:txbxContent>
            </v:textbox>
            <w10:wrap type="topAndBottom" anchorx="page"/>
          </v:shape>
        </w:pict>
      </w:r>
      <w:r>
        <w:pict w14:anchorId="149F96A2">
          <v:shape id="_x0000_s1052" type="#_x0000_t202" style="position:absolute;margin-left:70.85pt;margin-top:109.75pt;width:432.7pt;height:43.5pt;z-index:2416;mso-wrap-distance-left:0;mso-wrap-distance-right:0;mso-position-horizontal-relative:page" fillcolor="#eff6f0" stroked="f">
            <v:textbox inset="0,0,0,0">
              <w:txbxContent>
                <w:p w14:paraId="7F8A5F96" w14:textId="77777777" w:rsidR="00804E46" w:rsidRDefault="00804E46">
                  <w:pPr>
                    <w:spacing w:before="128"/>
                    <w:ind w:left="170" w:right="567"/>
                    <w:rPr>
                      <w:b/>
                      <w:sz w:val="20"/>
                    </w:rPr>
                  </w:pPr>
                  <w:r>
                    <w:rPr>
                      <w:b/>
                      <w:color w:val="808285"/>
                      <w:sz w:val="20"/>
                    </w:rPr>
                    <w:t>RECOMMENDATION 16.2</w:t>
                  </w:r>
                </w:p>
                <w:p w14:paraId="7A820782" w14:textId="77777777" w:rsidR="00804E46" w:rsidRDefault="00804E46">
                  <w:pPr>
                    <w:pStyle w:val="BodyText"/>
                    <w:spacing w:before="153"/>
                    <w:ind w:left="170" w:right="567"/>
                  </w:pPr>
                  <w:r>
                    <w:rPr>
                      <w:color w:val="58595B"/>
                    </w:rPr>
                    <w:t>Require EPA licensees to make emissions monitoring information available to the public.</w:t>
                  </w:r>
                </w:p>
              </w:txbxContent>
            </v:textbox>
            <w10:wrap type="topAndBottom" anchorx="page"/>
          </v:shape>
        </w:pict>
      </w:r>
      <w:r>
        <w:pict w14:anchorId="49627FE5">
          <v:shape id="_x0000_s1051" type="#_x0000_t202" style="position:absolute;margin-left:70.85pt;margin-top:164.55pt;width:432.7pt;height:57pt;z-index:2440;mso-wrap-distance-left:0;mso-wrap-distance-right:0;mso-position-horizontal-relative:page" fillcolor="#eff6f0" stroked="f">
            <v:textbox inset="0,0,0,0">
              <w:txbxContent>
                <w:p w14:paraId="2E0D1720" w14:textId="77777777" w:rsidR="00804E46" w:rsidRDefault="00804E46">
                  <w:pPr>
                    <w:spacing w:before="128"/>
                    <w:ind w:left="170" w:right="567"/>
                    <w:rPr>
                      <w:b/>
                      <w:sz w:val="20"/>
                    </w:rPr>
                  </w:pPr>
                  <w:r>
                    <w:rPr>
                      <w:b/>
                      <w:color w:val="808285"/>
                      <w:sz w:val="20"/>
                    </w:rPr>
                    <w:t>RECOMMENDATION 16.3</w:t>
                  </w:r>
                </w:p>
                <w:p w14:paraId="473CFE4A" w14:textId="77777777" w:rsidR="00804E46" w:rsidRDefault="00804E46">
                  <w:pPr>
                    <w:pStyle w:val="BodyText"/>
                    <w:spacing w:before="153" w:line="280" w:lineRule="auto"/>
                    <w:ind w:left="170" w:right="567"/>
                  </w:pPr>
                  <w:r>
                    <w:rPr>
                      <w:color w:val="58595B"/>
                    </w:rPr>
                    <w:t>The EPA work with the Department of Premier and Cabinet’s Behavioural Insights Unit to design and test new, innovative approaches.</w:t>
                  </w:r>
                </w:p>
              </w:txbxContent>
            </v:textbox>
            <w10:wrap type="topAndBottom" anchorx="page"/>
          </v:shape>
        </w:pict>
      </w:r>
    </w:p>
    <w:p w14:paraId="2467773E" w14:textId="77777777" w:rsidR="00160E7F" w:rsidRDefault="00160E7F">
      <w:pPr>
        <w:pStyle w:val="BodyText"/>
        <w:spacing w:before="3"/>
        <w:rPr>
          <w:sz w:val="16"/>
        </w:rPr>
      </w:pPr>
    </w:p>
    <w:p w14:paraId="305639AD" w14:textId="77777777" w:rsidR="00160E7F" w:rsidRDefault="00160E7F">
      <w:pPr>
        <w:pStyle w:val="BodyText"/>
        <w:spacing w:before="3"/>
        <w:rPr>
          <w:sz w:val="16"/>
        </w:rPr>
      </w:pPr>
    </w:p>
    <w:p w14:paraId="76EF6581" w14:textId="77777777" w:rsidR="00160E7F" w:rsidRDefault="00160E7F">
      <w:pPr>
        <w:rPr>
          <w:sz w:val="16"/>
        </w:rPr>
        <w:sectPr w:rsidR="00160E7F">
          <w:pgSz w:w="11910" w:h="16840"/>
          <w:pgMar w:top="980" w:right="1680" w:bottom="280" w:left="0" w:header="788" w:footer="0" w:gutter="0"/>
          <w:cols w:space="720"/>
        </w:sectPr>
      </w:pPr>
    </w:p>
    <w:p w14:paraId="591606E3" w14:textId="77777777" w:rsidR="00160E7F" w:rsidRDefault="00160E7F">
      <w:pPr>
        <w:pStyle w:val="BodyText"/>
      </w:pPr>
    </w:p>
    <w:p w14:paraId="3D132A93" w14:textId="77777777" w:rsidR="00160E7F" w:rsidRDefault="00160E7F">
      <w:pPr>
        <w:pStyle w:val="BodyText"/>
      </w:pPr>
    </w:p>
    <w:p w14:paraId="235529C3" w14:textId="77777777" w:rsidR="00160E7F" w:rsidRDefault="00160E7F">
      <w:pPr>
        <w:pStyle w:val="BodyText"/>
      </w:pPr>
    </w:p>
    <w:p w14:paraId="152FE7F2" w14:textId="77777777" w:rsidR="00160E7F" w:rsidRDefault="00160E7F">
      <w:pPr>
        <w:pStyle w:val="BodyText"/>
      </w:pPr>
    </w:p>
    <w:p w14:paraId="69E1FB0A" w14:textId="77777777" w:rsidR="00160E7F" w:rsidRDefault="00160E7F">
      <w:pPr>
        <w:pStyle w:val="BodyText"/>
        <w:spacing w:before="4"/>
        <w:rPr>
          <w:sz w:val="13"/>
        </w:rPr>
      </w:pPr>
    </w:p>
    <w:p w14:paraId="1D689D74" w14:textId="77777777" w:rsidR="00160E7F" w:rsidRDefault="000638CB">
      <w:pPr>
        <w:pStyle w:val="BodyText"/>
        <w:spacing w:line="20" w:lineRule="exact"/>
        <w:ind w:left="129"/>
        <w:rPr>
          <w:sz w:val="2"/>
        </w:rPr>
      </w:pPr>
      <w:r>
        <w:rPr>
          <w:sz w:val="2"/>
        </w:rPr>
      </w:r>
      <w:r>
        <w:rPr>
          <w:sz w:val="2"/>
        </w:rPr>
        <w:pict w14:anchorId="136ED1C9">
          <v:group id="_x0000_s1049" style="width:211.35pt;height:.5pt;mso-position-horizontal-relative:char;mso-position-vertical-relative:line" coordsize="4227,10">
            <v:line id="_x0000_s1050" style="position:absolute" from="5,5" to="4222,5" strokecolor="#58595b" strokeweight=".5pt"/>
            <w10:wrap type="none"/>
            <w10:anchorlock/>
          </v:group>
        </w:pict>
      </w:r>
    </w:p>
    <w:p w14:paraId="516D376B" w14:textId="77777777" w:rsidR="00160E7F" w:rsidRDefault="002B0299">
      <w:pPr>
        <w:pStyle w:val="ListParagraph"/>
        <w:numPr>
          <w:ilvl w:val="0"/>
          <w:numId w:val="14"/>
        </w:numPr>
        <w:tabs>
          <w:tab w:val="left" w:pos="418"/>
        </w:tabs>
        <w:spacing w:before="47" w:line="242" w:lineRule="auto"/>
        <w:ind w:right="6198" w:hanging="283"/>
        <w:rPr>
          <w:sz w:val="12"/>
        </w:rPr>
      </w:pPr>
      <w:r>
        <w:rPr>
          <w:color w:val="58595B"/>
          <w:sz w:val="12"/>
        </w:rPr>
        <w:t xml:space="preserve">NSW EPA 2014, </w:t>
      </w:r>
      <w:r>
        <w:rPr>
          <w:i/>
          <w:color w:val="58595B"/>
          <w:sz w:val="12"/>
        </w:rPr>
        <w:t>Environmental improvement programs Operating procedure</w:t>
      </w:r>
      <w:r>
        <w:rPr>
          <w:color w:val="58595B"/>
          <w:sz w:val="12"/>
        </w:rPr>
        <w:t>,</w:t>
      </w:r>
      <w:r>
        <w:rPr>
          <w:color w:val="58595B"/>
          <w:spacing w:val="29"/>
          <w:sz w:val="12"/>
        </w:rPr>
        <w:t xml:space="preserve"> </w:t>
      </w:r>
      <w:r>
        <w:rPr>
          <w:color w:val="58595B"/>
          <w:sz w:val="12"/>
        </w:rPr>
        <w:t>December.</w:t>
      </w:r>
    </w:p>
    <w:p w14:paraId="65F3DA43" w14:textId="2F5B405A" w:rsidR="00160E7F" w:rsidRDefault="002B0299">
      <w:pPr>
        <w:pStyle w:val="ListParagraph"/>
        <w:numPr>
          <w:ilvl w:val="0"/>
          <w:numId w:val="14"/>
        </w:numPr>
        <w:tabs>
          <w:tab w:val="left" w:pos="418"/>
        </w:tabs>
        <w:ind w:hanging="283"/>
        <w:rPr>
          <w:i/>
          <w:sz w:val="12"/>
        </w:rPr>
      </w:pPr>
      <w:r>
        <w:rPr>
          <w:color w:val="58595B"/>
          <w:sz w:val="12"/>
        </w:rPr>
        <w:t xml:space="preserve">For example, Victoria: section 31C, </w:t>
      </w:r>
      <w:r>
        <w:rPr>
          <w:i/>
          <w:color w:val="58595B"/>
          <w:sz w:val="12"/>
        </w:rPr>
        <w:t>Environment Protection Act 1970</w:t>
      </w:r>
    </w:p>
    <w:p w14:paraId="570926BD" w14:textId="704C04A6" w:rsidR="00160E7F" w:rsidRDefault="002B0299">
      <w:pPr>
        <w:spacing w:before="2"/>
        <w:ind w:left="417" w:right="789"/>
        <w:rPr>
          <w:sz w:val="12"/>
        </w:rPr>
      </w:pPr>
      <w:r>
        <w:rPr>
          <w:color w:val="58595B"/>
          <w:sz w:val="12"/>
        </w:rPr>
        <w:t xml:space="preserve">and South Australia: section 44, </w:t>
      </w:r>
      <w:r>
        <w:rPr>
          <w:i/>
          <w:color w:val="58595B"/>
          <w:sz w:val="12"/>
        </w:rPr>
        <w:t>E</w:t>
      </w:r>
      <w:r w:rsidR="00F12AAD">
        <w:rPr>
          <w:i/>
          <w:color w:val="58595B"/>
          <w:sz w:val="12"/>
        </w:rPr>
        <w:t xml:space="preserve">nvironment Protection Act 1993 </w:t>
      </w:r>
      <w:r>
        <w:rPr>
          <w:color w:val="58595B"/>
          <w:sz w:val="12"/>
        </w:rPr>
        <w:t>(SA).</w:t>
      </w:r>
    </w:p>
    <w:p w14:paraId="151FF7CE" w14:textId="77777777" w:rsidR="00160E7F" w:rsidRDefault="000638CB">
      <w:pPr>
        <w:pStyle w:val="ListParagraph"/>
        <w:numPr>
          <w:ilvl w:val="0"/>
          <w:numId w:val="14"/>
        </w:numPr>
        <w:tabs>
          <w:tab w:val="left" w:pos="418"/>
        </w:tabs>
        <w:spacing w:before="30" w:line="242" w:lineRule="auto"/>
        <w:ind w:right="5950" w:hanging="283"/>
        <w:rPr>
          <w:sz w:val="12"/>
        </w:rPr>
      </w:pPr>
      <w:hyperlink r:id="rId91">
        <w:r w:rsidR="002B0299">
          <w:rPr>
            <w:color w:val="58595B"/>
            <w:sz w:val="12"/>
          </w:rPr>
          <w:t>http://www.epa.vic.gov.au/business-and-industry/guidelines/licensing-</w:t>
        </w:r>
      </w:hyperlink>
      <w:r w:rsidR="002B0299">
        <w:rPr>
          <w:color w:val="58595B"/>
          <w:sz w:val="12"/>
        </w:rPr>
        <w:t xml:space="preserve"> </w:t>
      </w:r>
      <w:r w:rsidR="002B0299">
        <w:rPr>
          <w:color w:val="58595B"/>
          <w:spacing w:val="2"/>
          <w:sz w:val="12"/>
        </w:rPr>
        <w:t xml:space="preserve">and-works-approvals/earned-autonomy-pilot/about-eapp   </w:t>
      </w:r>
      <w:r w:rsidR="002B0299">
        <w:rPr>
          <w:color w:val="58595B"/>
          <w:sz w:val="12"/>
        </w:rPr>
        <w:t xml:space="preserve">(accessed on 8 </w:t>
      </w:r>
      <w:r w:rsidR="002B0299">
        <w:rPr>
          <w:color w:val="58595B"/>
          <w:spacing w:val="2"/>
          <w:sz w:val="12"/>
        </w:rPr>
        <w:t>January</w:t>
      </w:r>
      <w:r w:rsidR="002B0299">
        <w:rPr>
          <w:color w:val="58595B"/>
          <w:spacing w:val="3"/>
          <w:sz w:val="12"/>
        </w:rPr>
        <w:t xml:space="preserve"> </w:t>
      </w:r>
      <w:r w:rsidR="002B0299">
        <w:rPr>
          <w:color w:val="58595B"/>
          <w:sz w:val="12"/>
        </w:rPr>
        <w:t>2015).</w:t>
      </w:r>
    </w:p>
    <w:p w14:paraId="067256D5" w14:textId="2955FD05" w:rsidR="00160E7F" w:rsidRDefault="002B0299">
      <w:pPr>
        <w:pStyle w:val="ListParagraph"/>
        <w:numPr>
          <w:ilvl w:val="0"/>
          <w:numId w:val="14"/>
        </w:numPr>
        <w:tabs>
          <w:tab w:val="left" w:pos="418"/>
        </w:tabs>
        <w:ind w:hanging="283"/>
        <w:rPr>
          <w:sz w:val="12"/>
        </w:rPr>
      </w:pPr>
      <w:r>
        <w:rPr>
          <w:color w:val="58595B"/>
          <w:sz w:val="12"/>
        </w:rPr>
        <w:t xml:space="preserve">Sections 19AA-19AC, </w:t>
      </w:r>
      <w:r>
        <w:rPr>
          <w:i/>
          <w:color w:val="58595B"/>
          <w:sz w:val="12"/>
        </w:rPr>
        <w:t>Environment Protection Act 1970</w:t>
      </w:r>
      <w:r>
        <w:rPr>
          <w:color w:val="58595B"/>
          <w:sz w:val="12"/>
        </w:rPr>
        <w:t>.</w:t>
      </w:r>
    </w:p>
    <w:p w14:paraId="6B79D74F" w14:textId="62D88414" w:rsidR="00160E7F" w:rsidRDefault="002B0299">
      <w:pPr>
        <w:pStyle w:val="ListParagraph"/>
        <w:numPr>
          <w:ilvl w:val="0"/>
          <w:numId w:val="14"/>
        </w:numPr>
        <w:tabs>
          <w:tab w:val="left" w:pos="418"/>
        </w:tabs>
        <w:spacing w:before="30" w:line="242" w:lineRule="auto"/>
        <w:ind w:right="6091" w:hanging="283"/>
        <w:rPr>
          <w:sz w:val="12"/>
        </w:rPr>
      </w:pPr>
      <w:r>
        <w:rPr>
          <w:color w:val="58595B"/>
          <w:sz w:val="12"/>
        </w:rPr>
        <w:t xml:space="preserve">For example, the Centre for Market Design, a </w:t>
      </w:r>
      <w:r>
        <w:rPr>
          <w:color w:val="58595B"/>
          <w:spacing w:val="2"/>
          <w:sz w:val="12"/>
        </w:rPr>
        <w:t xml:space="preserve">consortium </w:t>
      </w:r>
      <w:r>
        <w:rPr>
          <w:color w:val="58595B"/>
          <w:sz w:val="12"/>
        </w:rPr>
        <w:t xml:space="preserve">of the Commonwealth Treasury, the </w:t>
      </w:r>
      <w:r>
        <w:rPr>
          <w:color w:val="58595B"/>
          <w:spacing w:val="2"/>
          <w:sz w:val="12"/>
        </w:rPr>
        <w:t xml:space="preserve">Victorian Department </w:t>
      </w:r>
      <w:r>
        <w:rPr>
          <w:color w:val="58595B"/>
          <w:sz w:val="12"/>
        </w:rPr>
        <w:t>of Treasury and Finance and the University of Melbourne.</w:t>
      </w:r>
    </w:p>
    <w:p w14:paraId="3C45D8CD" w14:textId="77777777" w:rsidR="00160E7F" w:rsidRDefault="002B0299">
      <w:pPr>
        <w:pStyle w:val="ListParagraph"/>
        <w:numPr>
          <w:ilvl w:val="0"/>
          <w:numId w:val="14"/>
        </w:numPr>
        <w:tabs>
          <w:tab w:val="left" w:pos="418"/>
        </w:tabs>
        <w:ind w:hanging="283"/>
        <w:rPr>
          <w:sz w:val="12"/>
        </w:rPr>
      </w:pPr>
      <w:r>
        <w:rPr>
          <w:color w:val="58595B"/>
          <w:sz w:val="12"/>
        </w:rPr>
        <w:t xml:space="preserve">OECD 2011, </w:t>
      </w:r>
      <w:r>
        <w:rPr>
          <w:i/>
          <w:color w:val="58595B"/>
          <w:sz w:val="12"/>
        </w:rPr>
        <w:t>Environmental taxation: a guide for policy makers</w:t>
      </w:r>
      <w:r>
        <w:rPr>
          <w:color w:val="58595B"/>
          <w:sz w:val="12"/>
        </w:rPr>
        <w:t xml:space="preserve">, p. </w:t>
      </w:r>
      <w:r>
        <w:rPr>
          <w:color w:val="58595B"/>
          <w:spacing w:val="24"/>
          <w:sz w:val="12"/>
        </w:rPr>
        <w:t xml:space="preserve"> </w:t>
      </w:r>
      <w:r>
        <w:rPr>
          <w:color w:val="58595B"/>
          <w:sz w:val="12"/>
        </w:rPr>
        <w:t>4.</w:t>
      </w:r>
    </w:p>
    <w:p w14:paraId="5E9B07EA" w14:textId="77777777" w:rsidR="00160E7F" w:rsidRDefault="002B0299">
      <w:pPr>
        <w:pStyle w:val="ListParagraph"/>
        <w:numPr>
          <w:ilvl w:val="0"/>
          <w:numId w:val="14"/>
        </w:numPr>
        <w:tabs>
          <w:tab w:val="left" w:pos="418"/>
        </w:tabs>
        <w:spacing w:before="30"/>
        <w:ind w:hanging="283"/>
        <w:rPr>
          <w:sz w:val="12"/>
        </w:rPr>
      </w:pPr>
      <w:r>
        <w:rPr>
          <w:color w:val="58595B"/>
          <w:sz w:val="12"/>
        </w:rPr>
        <w:t xml:space="preserve">OECD 2011, </w:t>
      </w:r>
      <w:r>
        <w:rPr>
          <w:i/>
          <w:color w:val="58595B"/>
          <w:sz w:val="12"/>
        </w:rPr>
        <w:t>Environmental taxation: a guide for policy makers</w:t>
      </w:r>
      <w:r>
        <w:rPr>
          <w:color w:val="58595B"/>
          <w:sz w:val="12"/>
        </w:rPr>
        <w:t xml:space="preserve">, p. </w:t>
      </w:r>
      <w:r>
        <w:rPr>
          <w:color w:val="58595B"/>
          <w:spacing w:val="25"/>
          <w:sz w:val="12"/>
        </w:rPr>
        <w:t xml:space="preserve"> </w:t>
      </w:r>
      <w:r>
        <w:rPr>
          <w:color w:val="58595B"/>
          <w:sz w:val="12"/>
        </w:rPr>
        <w:t>5.</w:t>
      </w:r>
    </w:p>
    <w:p w14:paraId="7C8B74DF" w14:textId="77777777" w:rsidR="00160E7F" w:rsidRDefault="002B0299">
      <w:pPr>
        <w:pStyle w:val="ListParagraph"/>
        <w:numPr>
          <w:ilvl w:val="0"/>
          <w:numId w:val="14"/>
        </w:numPr>
        <w:tabs>
          <w:tab w:val="left" w:pos="418"/>
        </w:tabs>
        <w:spacing w:before="30" w:line="242" w:lineRule="auto"/>
        <w:ind w:right="5985" w:hanging="283"/>
        <w:rPr>
          <w:sz w:val="12"/>
        </w:rPr>
      </w:pPr>
      <w:r>
        <w:rPr>
          <w:color w:val="58595B"/>
          <w:sz w:val="12"/>
        </w:rPr>
        <w:t xml:space="preserve">Perman R, Ma </w:t>
      </w:r>
      <w:r>
        <w:rPr>
          <w:color w:val="58595B"/>
          <w:spacing w:val="-5"/>
          <w:sz w:val="12"/>
        </w:rPr>
        <w:t xml:space="preserve">Y, </w:t>
      </w:r>
      <w:r>
        <w:rPr>
          <w:color w:val="58595B"/>
          <w:sz w:val="12"/>
        </w:rPr>
        <w:t xml:space="preserve">McGilvray J and Common M </w:t>
      </w:r>
      <w:r>
        <w:rPr>
          <w:color w:val="58595B"/>
          <w:spacing w:val="2"/>
          <w:sz w:val="12"/>
        </w:rPr>
        <w:t xml:space="preserve">2003, </w:t>
      </w:r>
      <w:r>
        <w:rPr>
          <w:i/>
          <w:color w:val="58595B"/>
          <w:sz w:val="12"/>
        </w:rPr>
        <w:t xml:space="preserve">Natural </w:t>
      </w:r>
      <w:r>
        <w:rPr>
          <w:i/>
          <w:color w:val="58595B"/>
          <w:spacing w:val="2"/>
          <w:sz w:val="12"/>
        </w:rPr>
        <w:t xml:space="preserve">resource </w:t>
      </w:r>
      <w:r>
        <w:rPr>
          <w:i/>
          <w:color w:val="58595B"/>
          <w:sz w:val="12"/>
        </w:rPr>
        <w:t>and environmental economics</w:t>
      </w:r>
      <w:r>
        <w:rPr>
          <w:color w:val="58595B"/>
          <w:sz w:val="12"/>
        </w:rPr>
        <w:t xml:space="preserve">, 3rd edition, p. </w:t>
      </w:r>
      <w:r>
        <w:rPr>
          <w:color w:val="58595B"/>
          <w:spacing w:val="26"/>
          <w:sz w:val="12"/>
        </w:rPr>
        <w:t xml:space="preserve"> </w:t>
      </w:r>
      <w:r>
        <w:rPr>
          <w:color w:val="58595B"/>
          <w:sz w:val="12"/>
        </w:rPr>
        <w:t>216.</w:t>
      </w:r>
    </w:p>
    <w:p w14:paraId="0D0F7930" w14:textId="77777777" w:rsidR="00160E7F" w:rsidRDefault="002B0299">
      <w:pPr>
        <w:pStyle w:val="ListParagraph"/>
        <w:numPr>
          <w:ilvl w:val="0"/>
          <w:numId w:val="14"/>
        </w:numPr>
        <w:tabs>
          <w:tab w:val="left" w:pos="418"/>
        </w:tabs>
        <w:spacing w:line="242" w:lineRule="auto"/>
        <w:ind w:right="5985" w:hanging="283"/>
        <w:rPr>
          <w:sz w:val="12"/>
        </w:rPr>
      </w:pPr>
      <w:r>
        <w:rPr>
          <w:color w:val="58595B"/>
          <w:sz w:val="12"/>
        </w:rPr>
        <w:t xml:space="preserve">Perman R, Ma </w:t>
      </w:r>
      <w:r>
        <w:rPr>
          <w:color w:val="58595B"/>
          <w:spacing w:val="-5"/>
          <w:sz w:val="12"/>
        </w:rPr>
        <w:t xml:space="preserve">Y, </w:t>
      </w:r>
      <w:r>
        <w:rPr>
          <w:color w:val="58595B"/>
          <w:sz w:val="12"/>
        </w:rPr>
        <w:t xml:space="preserve">McGilvray J and Common M </w:t>
      </w:r>
      <w:r>
        <w:rPr>
          <w:color w:val="58595B"/>
          <w:spacing w:val="2"/>
          <w:sz w:val="12"/>
        </w:rPr>
        <w:t xml:space="preserve">2003, </w:t>
      </w:r>
      <w:r>
        <w:rPr>
          <w:i/>
          <w:color w:val="58595B"/>
          <w:sz w:val="12"/>
        </w:rPr>
        <w:t xml:space="preserve">Natural </w:t>
      </w:r>
      <w:r>
        <w:rPr>
          <w:i/>
          <w:color w:val="58595B"/>
          <w:spacing w:val="2"/>
          <w:sz w:val="12"/>
        </w:rPr>
        <w:t xml:space="preserve">resource </w:t>
      </w:r>
      <w:r>
        <w:rPr>
          <w:i/>
          <w:color w:val="58595B"/>
          <w:sz w:val="12"/>
        </w:rPr>
        <w:t>and environmental economics</w:t>
      </w:r>
      <w:r>
        <w:rPr>
          <w:color w:val="58595B"/>
          <w:sz w:val="12"/>
        </w:rPr>
        <w:t xml:space="preserve">, 3rd edition, p. </w:t>
      </w:r>
      <w:r>
        <w:rPr>
          <w:color w:val="58595B"/>
          <w:spacing w:val="31"/>
          <w:sz w:val="12"/>
        </w:rPr>
        <w:t xml:space="preserve"> </w:t>
      </w:r>
      <w:r>
        <w:rPr>
          <w:color w:val="58595B"/>
          <w:sz w:val="12"/>
        </w:rPr>
        <w:t>196.</w:t>
      </w:r>
    </w:p>
    <w:p w14:paraId="25A8E8C0" w14:textId="3CDB06B4" w:rsidR="00160E7F" w:rsidRDefault="002B0299">
      <w:pPr>
        <w:pStyle w:val="ListParagraph"/>
        <w:numPr>
          <w:ilvl w:val="0"/>
          <w:numId w:val="14"/>
        </w:numPr>
        <w:tabs>
          <w:tab w:val="left" w:pos="418"/>
        </w:tabs>
        <w:spacing w:line="242" w:lineRule="auto"/>
        <w:ind w:right="5960" w:hanging="283"/>
        <w:rPr>
          <w:sz w:val="12"/>
        </w:rPr>
      </w:pPr>
      <w:r>
        <w:rPr>
          <w:color w:val="58595B"/>
          <w:spacing w:val="2"/>
          <w:sz w:val="12"/>
        </w:rPr>
        <w:t xml:space="preserve">Victorian </w:t>
      </w:r>
      <w:r>
        <w:rPr>
          <w:color w:val="58595B"/>
          <w:sz w:val="12"/>
        </w:rPr>
        <w:t xml:space="preserve">Competition and </w:t>
      </w:r>
      <w:r>
        <w:rPr>
          <w:color w:val="58595B"/>
          <w:spacing w:val="2"/>
          <w:sz w:val="12"/>
        </w:rPr>
        <w:t xml:space="preserve">Efficiency </w:t>
      </w:r>
      <w:r>
        <w:rPr>
          <w:color w:val="58595B"/>
          <w:sz w:val="12"/>
        </w:rPr>
        <w:t xml:space="preserve">Commission </w:t>
      </w:r>
      <w:r>
        <w:rPr>
          <w:color w:val="58595B"/>
          <w:spacing w:val="2"/>
          <w:sz w:val="12"/>
        </w:rPr>
        <w:t xml:space="preserve">2009, </w:t>
      </w:r>
      <w:r>
        <w:rPr>
          <w:i/>
          <w:color w:val="58595B"/>
          <w:sz w:val="12"/>
        </w:rPr>
        <w:t>A sustainable future for Victoria: getting environment regulation right</w:t>
      </w:r>
      <w:r w:rsidR="007F382C">
        <w:rPr>
          <w:color w:val="58595B"/>
          <w:sz w:val="12"/>
        </w:rPr>
        <w:t xml:space="preserve">, Melbourne, </w:t>
      </w:r>
      <w:r>
        <w:rPr>
          <w:color w:val="58595B"/>
          <w:sz w:val="12"/>
        </w:rPr>
        <w:t>July, p.</w:t>
      </w:r>
      <w:r>
        <w:rPr>
          <w:color w:val="58595B"/>
          <w:spacing w:val="4"/>
          <w:sz w:val="12"/>
        </w:rPr>
        <w:t xml:space="preserve"> </w:t>
      </w:r>
      <w:r>
        <w:rPr>
          <w:color w:val="58595B"/>
          <w:spacing w:val="2"/>
          <w:sz w:val="12"/>
        </w:rPr>
        <w:t>306.</w:t>
      </w:r>
    </w:p>
    <w:p w14:paraId="5BF5DE12" w14:textId="56988DDD" w:rsidR="00160E7F" w:rsidRDefault="002B0299">
      <w:pPr>
        <w:pStyle w:val="ListParagraph"/>
        <w:numPr>
          <w:ilvl w:val="0"/>
          <w:numId w:val="14"/>
        </w:numPr>
        <w:tabs>
          <w:tab w:val="left" w:pos="418"/>
        </w:tabs>
        <w:spacing w:line="242" w:lineRule="auto"/>
        <w:ind w:right="5960" w:hanging="283"/>
        <w:rPr>
          <w:sz w:val="12"/>
        </w:rPr>
      </w:pPr>
      <w:r>
        <w:rPr>
          <w:color w:val="58595B"/>
          <w:spacing w:val="2"/>
          <w:sz w:val="12"/>
        </w:rPr>
        <w:t xml:space="preserve">Victorian </w:t>
      </w:r>
      <w:r>
        <w:rPr>
          <w:color w:val="58595B"/>
          <w:sz w:val="12"/>
        </w:rPr>
        <w:t xml:space="preserve">Competition and </w:t>
      </w:r>
      <w:r>
        <w:rPr>
          <w:color w:val="58595B"/>
          <w:spacing w:val="2"/>
          <w:sz w:val="12"/>
        </w:rPr>
        <w:t xml:space="preserve">Efficiency </w:t>
      </w:r>
      <w:r>
        <w:rPr>
          <w:color w:val="58595B"/>
          <w:sz w:val="12"/>
        </w:rPr>
        <w:t xml:space="preserve">Commission </w:t>
      </w:r>
      <w:r>
        <w:rPr>
          <w:color w:val="58595B"/>
          <w:spacing w:val="2"/>
          <w:sz w:val="12"/>
        </w:rPr>
        <w:t xml:space="preserve">2009, </w:t>
      </w:r>
      <w:r>
        <w:rPr>
          <w:i/>
          <w:color w:val="58595B"/>
          <w:sz w:val="12"/>
        </w:rPr>
        <w:t>A sustainable future for Victoria: getting environment regulation right</w:t>
      </w:r>
      <w:r w:rsidR="007F382C">
        <w:rPr>
          <w:color w:val="58595B"/>
          <w:sz w:val="12"/>
        </w:rPr>
        <w:t xml:space="preserve">, Melbourne, </w:t>
      </w:r>
      <w:r>
        <w:rPr>
          <w:color w:val="58595B"/>
          <w:sz w:val="12"/>
        </w:rPr>
        <w:t>July, p.</w:t>
      </w:r>
      <w:r>
        <w:rPr>
          <w:color w:val="58595B"/>
          <w:spacing w:val="4"/>
          <w:sz w:val="12"/>
        </w:rPr>
        <w:t xml:space="preserve"> </w:t>
      </w:r>
      <w:r>
        <w:rPr>
          <w:color w:val="58595B"/>
          <w:spacing w:val="2"/>
          <w:sz w:val="12"/>
        </w:rPr>
        <w:t>306.</w:t>
      </w:r>
    </w:p>
    <w:p w14:paraId="02554DF5"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1"/>
          <w:sz w:val="12"/>
        </w:rPr>
        <w:t xml:space="preserve"> </w:t>
      </w:r>
      <w:r>
        <w:rPr>
          <w:color w:val="58595B"/>
          <w:sz w:val="12"/>
        </w:rPr>
        <w:t>16.</w:t>
      </w:r>
    </w:p>
    <w:p w14:paraId="1D9C5552"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0"/>
          <w:sz w:val="12"/>
        </w:rPr>
        <w:t xml:space="preserve"> </w:t>
      </w:r>
      <w:r>
        <w:rPr>
          <w:color w:val="58595B"/>
          <w:spacing w:val="-5"/>
          <w:sz w:val="12"/>
        </w:rPr>
        <w:t>17.</w:t>
      </w:r>
    </w:p>
    <w:p w14:paraId="1181EFCE" w14:textId="77777777" w:rsidR="00160E7F" w:rsidRDefault="002B0299">
      <w:pPr>
        <w:pStyle w:val="ListParagraph"/>
        <w:numPr>
          <w:ilvl w:val="0"/>
          <w:numId w:val="14"/>
        </w:numPr>
        <w:tabs>
          <w:tab w:val="left" w:pos="418"/>
        </w:tabs>
        <w:spacing w:line="242" w:lineRule="auto"/>
        <w:ind w:right="6135" w:hanging="283"/>
        <w:rPr>
          <w:sz w:val="12"/>
        </w:rPr>
      </w:pPr>
      <w:r>
        <w:rPr>
          <w:color w:val="58595B"/>
          <w:sz w:val="12"/>
        </w:rPr>
        <w:t>NSW Environment Protection Authority, 2015, Hunter River Salinity Trading Scheme</w:t>
      </w:r>
      <w:hyperlink r:id="rId92">
        <w:r>
          <w:rPr>
            <w:color w:val="58595B"/>
            <w:sz w:val="12"/>
          </w:rPr>
          <w:t>, http://www.epa.nsw.gov.au/licensing/hrsts/,</w:t>
        </w:r>
      </w:hyperlink>
      <w:r>
        <w:rPr>
          <w:color w:val="58595B"/>
          <w:sz w:val="12"/>
        </w:rPr>
        <w:t xml:space="preserve"> (accessed 10 March</w:t>
      </w:r>
      <w:r>
        <w:rPr>
          <w:color w:val="58595B"/>
          <w:spacing w:val="21"/>
          <w:sz w:val="12"/>
        </w:rPr>
        <w:t xml:space="preserve"> </w:t>
      </w:r>
      <w:r>
        <w:rPr>
          <w:color w:val="58595B"/>
          <w:sz w:val="12"/>
        </w:rPr>
        <w:t>2016).</w:t>
      </w:r>
    </w:p>
    <w:p w14:paraId="40D9611E"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1"/>
          <w:sz w:val="12"/>
        </w:rPr>
        <w:t xml:space="preserve"> </w:t>
      </w:r>
      <w:r>
        <w:rPr>
          <w:color w:val="58595B"/>
          <w:sz w:val="12"/>
        </w:rPr>
        <w:t>18.</w:t>
      </w:r>
    </w:p>
    <w:p w14:paraId="6E6F86F9" w14:textId="77777777" w:rsidR="00160E7F" w:rsidRDefault="002B0299">
      <w:pPr>
        <w:pStyle w:val="ListParagraph"/>
        <w:numPr>
          <w:ilvl w:val="0"/>
          <w:numId w:val="14"/>
        </w:numPr>
        <w:tabs>
          <w:tab w:val="left" w:pos="418"/>
        </w:tabs>
        <w:spacing w:line="242" w:lineRule="auto"/>
        <w:ind w:right="6022" w:hanging="283"/>
        <w:rPr>
          <w:sz w:val="12"/>
        </w:rPr>
      </w:pPr>
      <w:r>
        <w:rPr>
          <w:color w:val="58595B"/>
          <w:spacing w:val="2"/>
          <w:sz w:val="12"/>
        </w:rPr>
        <w:t xml:space="preserve">Department </w:t>
      </w:r>
      <w:r>
        <w:rPr>
          <w:color w:val="58595B"/>
          <w:sz w:val="12"/>
        </w:rPr>
        <w:t xml:space="preserve">of Environment, Land, Water and Planning and EPA </w:t>
      </w:r>
      <w:r>
        <w:rPr>
          <w:color w:val="58595B"/>
          <w:spacing w:val="2"/>
          <w:sz w:val="12"/>
        </w:rPr>
        <w:t xml:space="preserve">Victoria, </w:t>
      </w:r>
      <w:r>
        <w:rPr>
          <w:color w:val="58595B"/>
          <w:sz w:val="12"/>
        </w:rPr>
        <w:t xml:space="preserve">Scheduled Premises Regulations Review </w:t>
      </w:r>
      <w:r>
        <w:rPr>
          <w:color w:val="58595B"/>
          <w:spacing w:val="2"/>
          <w:sz w:val="12"/>
        </w:rPr>
        <w:t xml:space="preserve">Discussion </w:t>
      </w:r>
      <w:r>
        <w:rPr>
          <w:color w:val="58595B"/>
          <w:sz w:val="12"/>
        </w:rPr>
        <w:t xml:space="preserve">Paper,  p </w:t>
      </w:r>
      <w:r>
        <w:rPr>
          <w:color w:val="58595B"/>
          <w:spacing w:val="-3"/>
          <w:sz w:val="12"/>
        </w:rPr>
        <w:t>1.</w:t>
      </w:r>
    </w:p>
    <w:p w14:paraId="4799FECF" w14:textId="77777777" w:rsidR="00160E7F" w:rsidRDefault="002B0299">
      <w:pPr>
        <w:pStyle w:val="ListParagraph"/>
        <w:numPr>
          <w:ilvl w:val="0"/>
          <w:numId w:val="14"/>
        </w:numPr>
        <w:tabs>
          <w:tab w:val="left" w:pos="418"/>
        </w:tabs>
        <w:spacing w:line="242" w:lineRule="auto"/>
        <w:ind w:right="6317" w:hanging="283"/>
        <w:rPr>
          <w:sz w:val="12"/>
        </w:rPr>
      </w:pPr>
      <w:r>
        <w:rPr>
          <w:color w:val="58595B"/>
          <w:sz w:val="12"/>
        </w:rPr>
        <w:t xml:space="preserve">EPA </w:t>
      </w:r>
      <w:r>
        <w:rPr>
          <w:color w:val="58595B"/>
          <w:spacing w:val="2"/>
          <w:sz w:val="12"/>
        </w:rPr>
        <w:t>Victoria</w:t>
      </w:r>
      <w:hyperlink r:id="rId93">
        <w:r>
          <w:rPr>
            <w:color w:val="58595B"/>
            <w:spacing w:val="2"/>
            <w:sz w:val="12"/>
          </w:rPr>
          <w:t xml:space="preserve">, </w:t>
        </w:r>
        <w:r>
          <w:rPr>
            <w:color w:val="58595B"/>
            <w:sz w:val="12"/>
          </w:rPr>
          <w:t>http://www.epa.vic.gov.au/our-work/licences-and-</w:t>
        </w:r>
      </w:hyperlink>
      <w:r>
        <w:rPr>
          <w:color w:val="58595B"/>
          <w:sz w:val="12"/>
        </w:rPr>
        <w:t xml:space="preserve"> </w:t>
      </w:r>
      <w:r>
        <w:rPr>
          <w:color w:val="58595B"/>
          <w:spacing w:val="2"/>
          <w:sz w:val="12"/>
        </w:rPr>
        <w:t xml:space="preserve">approvals/financial-assurances </w:t>
      </w:r>
      <w:r>
        <w:rPr>
          <w:color w:val="58595B"/>
          <w:sz w:val="12"/>
        </w:rPr>
        <w:t>(accessed 16 March</w:t>
      </w:r>
      <w:r>
        <w:rPr>
          <w:color w:val="58595B"/>
          <w:spacing w:val="28"/>
          <w:sz w:val="12"/>
        </w:rPr>
        <w:t xml:space="preserve"> </w:t>
      </w:r>
      <w:r>
        <w:rPr>
          <w:color w:val="58595B"/>
          <w:sz w:val="12"/>
        </w:rPr>
        <w:t>2016).</w:t>
      </w:r>
    </w:p>
    <w:p w14:paraId="79D12AE1" w14:textId="77777777" w:rsidR="00160E7F" w:rsidRDefault="002B0299">
      <w:pPr>
        <w:pStyle w:val="ListParagraph"/>
        <w:numPr>
          <w:ilvl w:val="0"/>
          <w:numId w:val="14"/>
        </w:numPr>
        <w:tabs>
          <w:tab w:val="left" w:pos="418"/>
        </w:tabs>
        <w:spacing w:line="242" w:lineRule="auto"/>
        <w:ind w:right="6097" w:hanging="283"/>
        <w:rPr>
          <w:sz w:val="12"/>
        </w:rPr>
      </w:pPr>
      <w:r>
        <w:rPr>
          <w:color w:val="58595B"/>
          <w:sz w:val="12"/>
        </w:rPr>
        <w:t xml:space="preserve">Stefan Hajkowicz, CSIRO 2015, Global Megatrends Seven Patterns  of Change Shaping Our Future, May, chapter </w:t>
      </w:r>
      <w:r>
        <w:rPr>
          <w:color w:val="58595B"/>
          <w:spacing w:val="11"/>
          <w:sz w:val="12"/>
        </w:rPr>
        <w:t xml:space="preserve"> </w:t>
      </w:r>
      <w:r>
        <w:rPr>
          <w:color w:val="58595B"/>
          <w:sz w:val="12"/>
        </w:rPr>
        <w:t>9.</w:t>
      </w:r>
    </w:p>
    <w:p w14:paraId="6866F837"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1"/>
          <w:sz w:val="12"/>
        </w:rPr>
        <w:t xml:space="preserve"> </w:t>
      </w:r>
      <w:r>
        <w:rPr>
          <w:color w:val="58595B"/>
          <w:spacing w:val="2"/>
          <w:sz w:val="12"/>
        </w:rPr>
        <w:t>58.</w:t>
      </w:r>
    </w:p>
    <w:p w14:paraId="514D4732" w14:textId="77777777" w:rsidR="00160E7F" w:rsidRDefault="002B0299">
      <w:pPr>
        <w:pStyle w:val="ListParagraph"/>
        <w:numPr>
          <w:ilvl w:val="0"/>
          <w:numId w:val="14"/>
        </w:numPr>
        <w:tabs>
          <w:tab w:val="left" w:pos="418"/>
        </w:tabs>
        <w:spacing w:line="242" w:lineRule="auto"/>
        <w:ind w:right="5981" w:hanging="283"/>
        <w:rPr>
          <w:sz w:val="12"/>
        </w:rPr>
      </w:pPr>
      <w:r>
        <w:rPr>
          <w:color w:val="58595B"/>
          <w:sz w:val="12"/>
        </w:rPr>
        <w:t xml:space="preserve">US EPA, ‘National Pollutant Discharge Elimination System Compendium of Next Generation </w:t>
      </w:r>
      <w:r>
        <w:rPr>
          <w:color w:val="58595B"/>
          <w:spacing w:val="2"/>
          <w:sz w:val="12"/>
        </w:rPr>
        <w:t xml:space="preserve">Compliance </w:t>
      </w:r>
      <w:r>
        <w:rPr>
          <w:color w:val="58595B"/>
          <w:sz w:val="12"/>
        </w:rPr>
        <w:t>Examples’, September 2015 [Source of examples except the live video feed of the Deepwater Horizon oil</w:t>
      </w:r>
      <w:r>
        <w:rPr>
          <w:color w:val="58595B"/>
          <w:spacing w:val="29"/>
          <w:sz w:val="12"/>
        </w:rPr>
        <w:t xml:space="preserve"> </w:t>
      </w:r>
      <w:r>
        <w:rPr>
          <w:color w:val="58595B"/>
          <w:sz w:val="12"/>
        </w:rPr>
        <w:t>spill].</w:t>
      </w:r>
    </w:p>
    <w:p w14:paraId="1CB1349D" w14:textId="77777777" w:rsidR="00160E7F" w:rsidRDefault="000638CB">
      <w:pPr>
        <w:pStyle w:val="ListParagraph"/>
        <w:numPr>
          <w:ilvl w:val="0"/>
          <w:numId w:val="14"/>
        </w:numPr>
        <w:tabs>
          <w:tab w:val="left" w:pos="418"/>
        </w:tabs>
        <w:spacing w:line="242" w:lineRule="auto"/>
        <w:ind w:right="6133" w:hanging="283"/>
        <w:rPr>
          <w:sz w:val="12"/>
        </w:rPr>
      </w:pPr>
      <w:hyperlink r:id="rId94">
        <w:r w:rsidR="002B0299">
          <w:rPr>
            <w:color w:val="58595B"/>
            <w:sz w:val="12"/>
          </w:rPr>
          <w:t>http://www.theguardian.com/environment/2010/may/20/deepwater-</w:t>
        </w:r>
      </w:hyperlink>
      <w:r w:rsidR="002B0299">
        <w:rPr>
          <w:color w:val="58595B"/>
          <w:sz w:val="12"/>
        </w:rPr>
        <w:t xml:space="preserve"> </w:t>
      </w:r>
      <w:r w:rsidR="002B0299">
        <w:rPr>
          <w:color w:val="58595B"/>
          <w:spacing w:val="2"/>
          <w:sz w:val="12"/>
        </w:rPr>
        <w:t xml:space="preserve">horizon-oil-spill-live-web-footage </w:t>
      </w:r>
      <w:r w:rsidR="002B0299">
        <w:rPr>
          <w:color w:val="58595B"/>
          <w:sz w:val="12"/>
        </w:rPr>
        <w:t xml:space="preserve">(accessed 4 March </w:t>
      </w:r>
      <w:r w:rsidR="002B0299">
        <w:rPr>
          <w:color w:val="58595B"/>
          <w:spacing w:val="5"/>
          <w:sz w:val="12"/>
        </w:rPr>
        <w:t xml:space="preserve"> </w:t>
      </w:r>
      <w:r w:rsidR="002B0299">
        <w:rPr>
          <w:color w:val="58595B"/>
          <w:sz w:val="12"/>
        </w:rPr>
        <w:t>2016).</w:t>
      </w:r>
    </w:p>
    <w:p w14:paraId="553C30A4"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3"/>
          <w:sz w:val="12"/>
        </w:rPr>
        <w:t xml:space="preserve"> </w:t>
      </w:r>
      <w:r>
        <w:rPr>
          <w:color w:val="58595B"/>
          <w:sz w:val="12"/>
        </w:rPr>
        <w:t>20.</w:t>
      </w:r>
    </w:p>
    <w:p w14:paraId="0122F9F8"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3"/>
          <w:sz w:val="12"/>
        </w:rPr>
        <w:t xml:space="preserve"> </w:t>
      </w:r>
      <w:r>
        <w:rPr>
          <w:color w:val="58595B"/>
          <w:sz w:val="12"/>
        </w:rPr>
        <w:t>20.</w:t>
      </w:r>
    </w:p>
    <w:p w14:paraId="35DC5245"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pp. </w:t>
      </w:r>
      <w:r>
        <w:rPr>
          <w:color w:val="58595B"/>
          <w:spacing w:val="24"/>
          <w:sz w:val="12"/>
        </w:rPr>
        <w:t xml:space="preserve"> </w:t>
      </w:r>
      <w:r>
        <w:rPr>
          <w:color w:val="58595B"/>
          <w:sz w:val="12"/>
        </w:rPr>
        <w:t>22–23.</w:t>
      </w:r>
    </w:p>
    <w:p w14:paraId="604CFD3A"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4"/>
          <w:sz w:val="12"/>
        </w:rPr>
        <w:t xml:space="preserve"> </w:t>
      </w:r>
      <w:r>
        <w:rPr>
          <w:color w:val="58595B"/>
          <w:sz w:val="12"/>
        </w:rPr>
        <w:t>50.</w:t>
      </w:r>
    </w:p>
    <w:p w14:paraId="049B8F69" w14:textId="77777777" w:rsidR="00160E7F" w:rsidRDefault="002B0299">
      <w:pPr>
        <w:pStyle w:val="ListParagraph"/>
        <w:numPr>
          <w:ilvl w:val="0"/>
          <w:numId w:val="14"/>
        </w:numPr>
        <w:tabs>
          <w:tab w:val="left" w:pos="418"/>
        </w:tabs>
        <w:spacing w:line="242" w:lineRule="auto"/>
        <w:ind w:right="6073" w:hanging="283"/>
        <w:rPr>
          <w:sz w:val="12"/>
        </w:rPr>
      </w:pPr>
      <w:r>
        <w:rPr>
          <w:color w:val="58595B"/>
          <w:sz w:val="12"/>
        </w:rPr>
        <w:t xml:space="preserve">Gunningham N 2015 b, </w:t>
      </w:r>
      <w:r>
        <w:rPr>
          <w:i/>
          <w:color w:val="58595B"/>
          <w:sz w:val="12"/>
        </w:rPr>
        <w:t>Options for reforming environmental law and regulation in Victoria</w:t>
      </w:r>
      <w:r>
        <w:rPr>
          <w:color w:val="58595B"/>
          <w:sz w:val="12"/>
        </w:rPr>
        <w:t xml:space="preserve">, Paper 2, p. </w:t>
      </w:r>
      <w:r>
        <w:rPr>
          <w:color w:val="58595B"/>
          <w:spacing w:val="15"/>
          <w:sz w:val="12"/>
        </w:rPr>
        <w:t xml:space="preserve"> </w:t>
      </w:r>
      <w:r>
        <w:rPr>
          <w:color w:val="58595B"/>
          <w:sz w:val="12"/>
        </w:rPr>
        <w:t>28.</w:t>
      </w:r>
    </w:p>
    <w:p w14:paraId="5ED973DA" w14:textId="77777777" w:rsidR="00160E7F" w:rsidRDefault="002B0299">
      <w:pPr>
        <w:pStyle w:val="ListParagraph"/>
        <w:numPr>
          <w:ilvl w:val="0"/>
          <w:numId w:val="14"/>
        </w:numPr>
        <w:tabs>
          <w:tab w:val="left" w:pos="418"/>
        </w:tabs>
        <w:spacing w:line="242" w:lineRule="auto"/>
        <w:ind w:right="6123" w:hanging="283"/>
        <w:rPr>
          <w:sz w:val="12"/>
        </w:rPr>
      </w:pPr>
      <w:r>
        <w:rPr>
          <w:color w:val="58595B"/>
          <w:spacing w:val="2"/>
          <w:sz w:val="12"/>
        </w:rPr>
        <w:t xml:space="preserve">Maxwell </w:t>
      </w:r>
      <w:r>
        <w:rPr>
          <w:color w:val="58595B"/>
          <w:sz w:val="12"/>
        </w:rPr>
        <w:t xml:space="preserve">C </w:t>
      </w:r>
      <w:r>
        <w:rPr>
          <w:color w:val="58595B"/>
          <w:spacing w:val="2"/>
          <w:sz w:val="12"/>
        </w:rPr>
        <w:t xml:space="preserve">2004, </w:t>
      </w:r>
      <w:r>
        <w:rPr>
          <w:i/>
          <w:color w:val="58595B"/>
          <w:sz w:val="12"/>
        </w:rPr>
        <w:t>Occupational Health and Safety Act Review</w:t>
      </w:r>
      <w:r>
        <w:rPr>
          <w:color w:val="58595B"/>
          <w:sz w:val="12"/>
        </w:rPr>
        <w:t xml:space="preserve">, Melbourne, p. 264; </w:t>
      </w:r>
      <w:r>
        <w:rPr>
          <w:color w:val="58595B"/>
          <w:spacing w:val="2"/>
          <w:sz w:val="12"/>
        </w:rPr>
        <w:t xml:space="preserve">Krpan </w:t>
      </w:r>
      <w:r>
        <w:rPr>
          <w:color w:val="58595B"/>
          <w:sz w:val="12"/>
        </w:rPr>
        <w:t xml:space="preserve">S 2011, </w:t>
      </w:r>
      <w:r>
        <w:rPr>
          <w:i/>
          <w:color w:val="58595B"/>
          <w:sz w:val="12"/>
        </w:rPr>
        <w:t>Compliance and Enforcement Review: a review of EPA Victoria’s approach</w:t>
      </w:r>
      <w:r>
        <w:rPr>
          <w:color w:val="58595B"/>
          <w:sz w:val="12"/>
        </w:rPr>
        <w:t>, Melbourne, February,  p.</w:t>
      </w:r>
      <w:r>
        <w:rPr>
          <w:color w:val="58595B"/>
          <w:spacing w:val="4"/>
          <w:sz w:val="12"/>
        </w:rPr>
        <w:t xml:space="preserve"> </w:t>
      </w:r>
      <w:r>
        <w:rPr>
          <w:color w:val="58595B"/>
          <w:sz w:val="12"/>
        </w:rPr>
        <w:t>69.</w:t>
      </w:r>
    </w:p>
    <w:p w14:paraId="573E61B0" w14:textId="57596F31" w:rsidR="00160E7F" w:rsidRDefault="002B0299">
      <w:pPr>
        <w:pStyle w:val="ListParagraph"/>
        <w:numPr>
          <w:ilvl w:val="0"/>
          <w:numId w:val="14"/>
        </w:numPr>
        <w:tabs>
          <w:tab w:val="left" w:pos="418"/>
        </w:tabs>
        <w:spacing w:line="242" w:lineRule="auto"/>
        <w:ind w:right="5902" w:hanging="283"/>
        <w:rPr>
          <w:sz w:val="12"/>
        </w:rPr>
      </w:pPr>
      <w:r>
        <w:rPr>
          <w:color w:val="58595B"/>
          <w:sz w:val="12"/>
        </w:rPr>
        <w:t xml:space="preserve">The Economist 2012, </w:t>
      </w:r>
      <w:r>
        <w:rPr>
          <w:i/>
          <w:color w:val="58595B"/>
          <w:sz w:val="12"/>
        </w:rPr>
        <w:t>Nudge nudge, think think</w:t>
      </w:r>
      <w:r>
        <w:rPr>
          <w:color w:val="58595B"/>
          <w:sz w:val="12"/>
        </w:rPr>
        <w:t xml:space="preserve">, March, </w:t>
      </w:r>
      <w:hyperlink r:id="rId95">
        <w:r>
          <w:rPr>
            <w:color w:val="58595B"/>
            <w:sz w:val="12"/>
          </w:rPr>
          <w:t>http://www.economist.com/node/21551032,</w:t>
        </w:r>
      </w:hyperlink>
      <w:r w:rsidR="00A6793D">
        <w:rPr>
          <w:color w:val="58595B"/>
          <w:sz w:val="12"/>
        </w:rPr>
        <w:t xml:space="preserve"> (accessed 10 </w:t>
      </w:r>
      <w:r>
        <w:rPr>
          <w:color w:val="58595B"/>
          <w:sz w:val="12"/>
        </w:rPr>
        <w:t>March</w:t>
      </w:r>
      <w:r>
        <w:rPr>
          <w:color w:val="58595B"/>
          <w:spacing w:val="-14"/>
          <w:sz w:val="12"/>
        </w:rPr>
        <w:t xml:space="preserve"> </w:t>
      </w:r>
      <w:r>
        <w:rPr>
          <w:color w:val="58595B"/>
          <w:sz w:val="12"/>
        </w:rPr>
        <w:t>2016).</w:t>
      </w:r>
    </w:p>
    <w:p w14:paraId="0F368192" w14:textId="77777777" w:rsidR="00160E7F" w:rsidRDefault="000638CB">
      <w:pPr>
        <w:pStyle w:val="ListParagraph"/>
        <w:numPr>
          <w:ilvl w:val="0"/>
          <w:numId w:val="14"/>
        </w:numPr>
        <w:tabs>
          <w:tab w:val="left" w:pos="418"/>
        </w:tabs>
        <w:spacing w:line="242" w:lineRule="auto"/>
        <w:ind w:right="6024" w:hanging="283"/>
        <w:rPr>
          <w:sz w:val="12"/>
        </w:rPr>
      </w:pPr>
      <w:hyperlink r:id="rId96">
        <w:r w:rsidR="002B0299">
          <w:rPr>
            <w:color w:val="58595B"/>
            <w:spacing w:val="2"/>
            <w:sz w:val="12"/>
          </w:rPr>
          <w:t>http://www.behaviourworksaustralia.org/projects/nudging-litter-bugs/</w:t>
        </w:r>
      </w:hyperlink>
      <w:r w:rsidR="002B0299">
        <w:rPr>
          <w:color w:val="58595B"/>
          <w:spacing w:val="2"/>
          <w:sz w:val="12"/>
        </w:rPr>
        <w:t xml:space="preserve"> </w:t>
      </w:r>
      <w:r w:rsidR="002B0299">
        <w:rPr>
          <w:color w:val="58595B"/>
          <w:sz w:val="12"/>
        </w:rPr>
        <w:t>(accessed 10 March</w:t>
      </w:r>
      <w:r w:rsidR="002B0299">
        <w:rPr>
          <w:color w:val="58595B"/>
          <w:spacing w:val="21"/>
          <w:sz w:val="12"/>
        </w:rPr>
        <w:t xml:space="preserve"> </w:t>
      </w:r>
      <w:r w:rsidR="002B0299">
        <w:rPr>
          <w:color w:val="58595B"/>
          <w:sz w:val="12"/>
        </w:rPr>
        <w:t>2016).</w:t>
      </w:r>
    </w:p>
    <w:p w14:paraId="39156F58" w14:textId="77777777" w:rsidR="00160E7F" w:rsidRDefault="002B0299">
      <w:pPr>
        <w:pStyle w:val="ListParagraph"/>
        <w:numPr>
          <w:ilvl w:val="0"/>
          <w:numId w:val="14"/>
        </w:numPr>
        <w:tabs>
          <w:tab w:val="left" w:pos="418"/>
        </w:tabs>
        <w:spacing w:line="242" w:lineRule="auto"/>
        <w:ind w:right="5959" w:hanging="283"/>
        <w:rPr>
          <w:sz w:val="12"/>
        </w:rPr>
      </w:pPr>
      <w:r>
        <w:rPr>
          <w:color w:val="58595B"/>
          <w:sz w:val="12"/>
        </w:rPr>
        <w:t>Nudge database v1.2, https://</w:t>
      </w:r>
      <w:hyperlink r:id="rId97">
        <w:r>
          <w:rPr>
            <w:color w:val="58595B"/>
            <w:sz w:val="12"/>
          </w:rPr>
          <w:t>www.stir.ac.uk/media/schools/</w:t>
        </w:r>
      </w:hyperlink>
      <w:r>
        <w:rPr>
          <w:color w:val="58595B"/>
          <w:sz w:val="12"/>
        </w:rPr>
        <w:t xml:space="preserve"> management/documents/economics/Nudge%20Database%201.2.pdf,  p.</w:t>
      </w:r>
      <w:r>
        <w:rPr>
          <w:color w:val="58595B"/>
          <w:spacing w:val="2"/>
          <w:sz w:val="12"/>
        </w:rPr>
        <w:t xml:space="preserve"> </w:t>
      </w:r>
      <w:r>
        <w:rPr>
          <w:color w:val="58595B"/>
          <w:spacing w:val="-9"/>
          <w:sz w:val="12"/>
        </w:rPr>
        <w:t>17.</w:t>
      </w:r>
    </w:p>
    <w:p w14:paraId="065D4A61" w14:textId="77777777" w:rsidR="00160E7F" w:rsidRDefault="00160E7F">
      <w:pPr>
        <w:spacing w:line="242" w:lineRule="auto"/>
        <w:rPr>
          <w:sz w:val="12"/>
        </w:rPr>
        <w:sectPr w:rsidR="00160E7F">
          <w:pgSz w:w="11910" w:h="16840"/>
          <w:pgMar w:top="980" w:right="0" w:bottom="280" w:left="1680" w:header="788" w:footer="0" w:gutter="0"/>
          <w:cols w:space="720"/>
        </w:sectPr>
      </w:pPr>
    </w:p>
    <w:p w14:paraId="43FB22AF" w14:textId="77777777" w:rsidR="00160E7F" w:rsidRDefault="002B0299">
      <w:pPr>
        <w:pStyle w:val="BodyText"/>
        <w:spacing w:before="4"/>
        <w:rPr>
          <w:rFonts w:ascii="Times New Roman"/>
          <w:sz w:val="17"/>
        </w:rPr>
      </w:pPr>
      <w:r>
        <w:rPr>
          <w:noProof/>
        </w:rPr>
        <w:lastRenderedPageBreak/>
        <w:drawing>
          <wp:anchor distT="0" distB="0" distL="0" distR="0" simplePos="0" relativeHeight="268345847" behindDoc="1" locked="0" layoutInCell="1" allowOverlap="1" wp14:anchorId="1D72D9B9" wp14:editId="4A25A957">
            <wp:simplePos x="0" y="0"/>
            <wp:positionH relativeFrom="page">
              <wp:posOffset>0</wp:posOffset>
            </wp:positionH>
            <wp:positionV relativeFrom="page">
              <wp:posOffset>0</wp:posOffset>
            </wp:positionV>
            <wp:extent cx="7560268" cy="10692384"/>
            <wp:effectExtent l="0" t="0" r="0" b="0"/>
            <wp:wrapNone/>
            <wp:docPr id="2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png"/>
                    <pic:cNvPicPr/>
                  </pic:nvPicPr>
                  <pic:blipFill>
                    <a:blip r:embed="rId11"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146E7D4D" w14:textId="77777777" w:rsidR="00160E7F" w:rsidRDefault="00160E7F">
      <w:pPr>
        <w:rPr>
          <w:rFonts w:ascii="Times New Roman"/>
          <w:sz w:val="17"/>
        </w:rPr>
        <w:sectPr w:rsidR="00160E7F">
          <w:headerReference w:type="default" r:id="rId98"/>
          <w:pgSz w:w="11910" w:h="16840"/>
          <w:pgMar w:top="0" w:right="0" w:bottom="0" w:left="0" w:header="0" w:footer="0" w:gutter="0"/>
          <w:cols w:space="720"/>
        </w:sectPr>
      </w:pPr>
    </w:p>
    <w:p w14:paraId="6DC9B1C3" w14:textId="77777777" w:rsidR="00160E7F" w:rsidRDefault="000638CB">
      <w:pPr>
        <w:spacing w:before="61"/>
        <w:ind w:right="116"/>
        <w:jc w:val="right"/>
        <w:rPr>
          <w:sz w:val="15"/>
        </w:rPr>
      </w:pPr>
      <w:r>
        <w:lastRenderedPageBreak/>
        <w:pict w14:anchorId="4B537052">
          <v:group id="_x0000_s1046" style="position:absolute;left:0;text-align:left;margin-left:0;margin-top:0;width:598.8pt;height:841.9pt;z-index:-89584;mso-position-horizontal-relative:page;mso-position-vertical-relative:page" coordsize="11976,16838">
            <v:shape id="_x0000_s1048" type="#_x0000_t75" style="position:absolute;width:11906;height:16838">
              <v:imagedata r:id="rId99" o:title=""/>
            </v:shape>
            <v:line id="_x0000_s1047" style="position:absolute" from="10700,917" to="11906,917" strokecolor="#0095a7" strokeweight="7pt"/>
            <w10:wrap anchorx="page" anchory="page"/>
          </v:group>
        </w:pict>
      </w:r>
      <w:r w:rsidR="002B0299">
        <w:rPr>
          <w:color w:val="58595B"/>
          <w:sz w:val="15"/>
        </w:rPr>
        <w:t>291</w:t>
      </w:r>
    </w:p>
    <w:p w14:paraId="6DB567EB" w14:textId="77777777" w:rsidR="00160E7F" w:rsidRDefault="00160E7F">
      <w:pPr>
        <w:pStyle w:val="BodyText"/>
      </w:pPr>
    </w:p>
    <w:p w14:paraId="636099BB" w14:textId="77777777" w:rsidR="00160E7F" w:rsidRDefault="00160E7F">
      <w:pPr>
        <w:pStyle w:val="BodyText"/>
      </w:pPr>
    </w:p>
    <w:p w14:paraId="0BF6826A" w14:textId="77777777" w:rsidR="00160E7F" w:rsidRDefault="00160E7F">
      <w:pPr>
        <w:pStyle w:val="BodyText"/>
      </w:pPr>
    </w:p>
    <w:p w14:paraId="0AF5CA11" w14:textId="77777777" w:rsidR="00160E7F" w:rsidRDefault="00160E7F">
      <w:pPr>
        <w:pStyle w:val="BodyText"/>
      </w:pPr>
    </w:p>
    <w:p w14:paraId="1255B270" w14:textId="77777777" w:rsidR="00160E7F" w:rsidRDefault="00160E7F">
      <w:pPr>
        <w:pStyle w:val="BodyText"/>
        <w:spacing w:before="5"/>
        <w:rPr>
          <w:sz w:val="17"/>
        </w:rPr>
      </w:pPr>
    </w:p>
    <w:p w14:paraId="7CAB385E" w14:textId="77777777" w:rsidR="00160E7F" w:rsidRDefault="002B0299">
      <w:pPr>
        <w:pStyle w:val="Heading4"/>
        <w:spacing w:before="0"/>
        <w:ind w:left="134" w:right="822"/>
      </w:pPr>
      <w:r>
        <w:rPr>
          <w:color w:val="0095A7"/>
        </w:rPr>
        <w:t>CHAPTER 17</w:t>
      </w:r>
    </w:p>
    <w:p w14:paraId="4F9E6B81" w14:textId="77777777" w:rsidR="00160E7F" w:rsidRDefault="002B0299">
      <w:pPr>
        <w:spacing w:before="79"/>
        <w:ind w:left="134" w:right="822"/>
        <w:rPr>
          <w:sz w:val="40"/>
        </w:rPr>
      </w:pPr>
      <w:r>
        <w:rPr>
          <w:color w:val="58595B"/>
          <w:sz w:val="40"/>
        </w:rPr>
        <w:t>STRENGTHENING MINING REGULATION</w:t>
      </w:r>
    </w:p>
    <w:p w14:paraId="0B8F095C" w14:textId="77777777" w:rsidR="00160E7F" w:rsidRDefault="00160E7F">
      <w:pPr>
        <w:rPr>
          <w:sz w:val="40"/>
        </w:rPr>
        <w:sectPr w:rsidR="00160E7F">
          <w:headerReference w:type="even" r:id="rId100"/>
          <w:pgSz w:w="11910" w:h="16840"/>
          <w:pgMar w:top="740" w:right="1300" w:bottom="280" w:left="1680" w:header="0" w:footer="0" w:gutter="0"/>
          <w:cols w:space="720"/>
        </w:sectPr>
      </w:pPr>
    </w:p>
    <w:p w14:paraId="0966CB91" w14:textId="77777777" w:rsidR="00160E7F" w:rsidRDefault="00160E7F">
      <w:pPr>
        <w:pStyle w:val="BodyText"/>
      </w:pPr>
    </w:p>
    <w:p w14:paraId="479C358B" w14:textId="77777777" w:rsidR="00160E7F" w:rsidRDefault="00160E7F">
      <w:pPr>
        <w:pStyle w:val="BodyText"/>
      </w:pPr>
    </w:p>
    <w:p w14:paraId="4EBEF45B" w14:textId="77777777" w:rsidR="00160E7F" w:rsidRDefault="00160E7F">
      <w:pPr>
        <w:pStyle w:val="BodyText"/>
      </w:pPr>
    </w:p>
    <w:p w14:paraId="0EB11F41" w14:textId="77777777" w:rsidR="00160E7F" w:rsidRDefault="00160E7F">
      <w:pPr>
        <w:pStyle w:val="BodyText"/>
      </w:pPr>
    </w:p>
    <w:p w14:paraId="3C08AC12" w14:textId="77777777" w:rsidR="00160E7F" w:rsidRDefault="002B0299">
      <w:pPr>
        <w:pStyle w:val="Heading2"/>
      </w:pPr>
      <w:r>
        <w:rPr>
          <w:color w:val="0095A7"/>
        </w:rPr>
        <w:t>STRENGTHENING MINING REGULATION</w:t>
      </w:r>
    </w:p>
    <w:p w14:paraId="33BE15DE" w14:textId="77777777" w:rsidR="00160E7F" w:rsidRDefault="000638CB">
      <w:pPr>
        <w:pStyle w:val="BodyText"/>
        <w:spacing w:before="4"/>
        <w:rPr>
          <w:sz w:val="17"/>
        </w:rPr>
      </w:pPr>
      <w:r>
        <w:pict w14:anchorId="5B08D80C">
          <v:shape id="_x0000_s1045" type="#_x0000_t202" style="position:absolute;margin-left:70.85pt;margin-top:11.2pt;width:433.7pt;height:163.5pt;z-index:2536;mso-wrap-distance-left:0;mso-wrap-distance-right:0;mso-position-horizontal-relative:page" fillcolor="#eff6f0" stroked="f">
            <v:textbox inset="0,0,0,0">
              <w:txbxContent>
                <w:p w14:paraId="7BE0C67A" w14:textId="77777777" w:rsidR="00804E46" w:rsidRDefault="00804E46">
                  <w:pPr>
                    <w:spacing w:before="128"/>
                    <w:ind w:left="170" w:right="165"/>
                    <w:rPr>
                      <w:b/>
                      <w:sz w:val="20"/>
                    </w:rPr>
                  </w:pPr>
                  <w:r>
                    <w:rPr>
                      <w:b/>
                      <w:color w:val="0095A7"/>
                      <w:sz w:val="20"/>
                    </w:rPr>
                    <w:t>KEY MESSAGES</w:t>
                  </w:r>
                </w:p>
                <w:p w14:paraId="792B200A" w14:textId="77777777" w:rsidR="00804E46" w:rsidRDefault="00804E46">
                  <w:pPr>
                    <w:pStyle w:val="BodyText"/>
                    <w:spacing w:before="1"/>
                    <w:rPr>
                      <w:sz w:val="28"/>
                    </w:rPr>
                  </w:pPr>
                </w:p>
                <w:p w14:paraId="06792B3A" w14:textId="77777777" w:rsidR="00804E46" w:rsidRDefault="00804E46">
                  <w:pPr>
                    <w:pStyle w:val="BodyText"/>
                    <w:spacing w:line="280" w:lineRule="auto"/>
                    <w:ind w:left="170" w:right="668"/>
                  </w:pPr>
                  <w:r>
                    <w:rPr>
                      <w:color w:val="58595B"/>
                    </w:rPr>
                    <w:t>Regulating pollution and waste sits with the EPA as the specialist environment regulator, regardless of which industry generates the pollution.</w:t>
                  </w:r>
                </w:p>
                <w:p w14:paraId="717C12D4" w14:textId="77777777" w:rsidR="00804E46" w:rsidRDefault="00804E46">
                  <w:pPr>
                    <w:pStyle w:val="BodyText"/>
                    <w:spacing w:before="172" w:line="280" w:lineRule="auto"/>
                    <w:ind w:left="170" w:right="165"/>
                  </w:pPr>
                  <w:r>
                    <w:rPr>
                      <w:color w:val="58595B"/>
                    </w:rPr>
                    <w:t>Environmental issues related to mining present a major risk to the environment and public health, like other industries subject to EPA regulation.</w:t>
                  </w:r>
                </w:p>
                <w:p w14:paraId="3FEB4926" w14:textId="77777777" w:rsidR="00804E46" w:rsidRDefault="00804E46">
                  <w:pPr>
                    <w:pStyle w:val="BodyText"/>
                    <w:spacing w:before="172" w:line="280" w:lineRule="auto"/>
                    <w:ind w:left="170" w:right="165"/>
                  </w:pPr>
                  <w:r>
                    <w:rPr>
                      <w:color w:val="58595B"/>
                    </w:rPr>
                    <w:t>Under proposed arrangements, the Department of Economic Development, Jobs, Transport and Resources (Earth Resources Regulation) would remain the lead regulator for mines and the EPA would have a strengthened role as the specialist environment regulator. The EPA could leverage the WorkSafe model to manage the pollution and waste effects of mining.</w:t>
                  </w:r>
                </w:p>
              </w:txbxContent>
            </v:textbox>
            <w10:wrap type="topAndBottom" anchorx="page"/>
          </v:shape>
        </w:pict>
      </w:r>
    </w:p>
    <w:p w14:paraId="1E59ABA2" w14:textId="77777777" w:rsidR="00160E7F" w:rsidRDefault="00160E7F">
      <w:pPr>
        <w:pStyle w:val="BodyText"/>
        <w:spacing w:before="7"/>
        <w:rPr>
          <w:sz w:val="28"/>
        </w:rPr>
      </w:pPr>
    </w:p>
    <w:p w14:paraId="711A325A" w14:textId="77777777" w:rsidR="00160E7F" w:rsidRDefault="002B0299">
      <w:pPr>
        <w:pStyle w:val="ListParagraph"/>
        <w:numPr>
          <w:ilvl w:val="1"/>
          <w:numId w:val="13"/>
        </w:numPr>
        <w:tabs>
          <w:tab w:val="left" w:pos="1948"/>
        </w:tabs>
        <w:spacing w:before="69"/>
        <w:ind w:hanging="530"/>
        <w:jc w:val="left"/>
        <w:rPr>
          <w:sz w:val="24"/>
        </w:rPr>
      </w:pPr>
      <w:r>
        <w:rPr>
          <w:color w:val="0095A7"/>
          <w:sz w:val="24"/>
        </w:rPr>
        <w:t>Introduction</w:t>
      </w:r>
    </w:p>
    <w:p w14:paraId="150A91FF" w14:textId="77777777" w:rsidR="00160E7F" w:rsidRDefault="00160E7F">
      <w:pPr>
        <w:pStyle w:val="BodyText"/>
        <w:spacing w:before="4"/>
        <w:rPr>
          <w:sz w:val="27"/>
        </w:rPr>
      </w:pPr>
    </w:p>
    <w:p w14:paraId="518F9B4F" w14:textId="77777777" w:rsidR="00160E7F" w:rsidRDefault="002B0299">
      <w:pPr>
        <w:spacing w:line="280" w:lineRule="auto"/>
        <w:ind w:left="1984" w:right="789"/>
        <w:rPr>
          <w:sz w:val="20"/>
        </w:rPr>
      </w:pPr>
      <w:r>
        <w:rPr>
          <w:i/>
          <w:color w:val="231F20"/>
          <w:sz w:val="20"/>
        </w:rPr>
        <w:t xml:space="preserve">There is a greater role for EPA, with new powers, to oversee and improve mining regulation in Victoria. </w:t>
      </w:r>
      <w:r>
        <w:rPr>
          <w:color w:val="231F20"/>
          <w:sz w:val="20"/>
        </w:rPr>
        <w:t>(Environment Victoria submission, p. 6)</w:t>
      </w:r>
    </w:p>
    <w:p w14:paraId="0D45FDF8" w14:textId="77777777" w:rsidR="00160E7F" w:rsidRDefault="002B0299">
      <w:pPr>
        <w:spacing w:before="172" w:line="280" w:lineRule="auto"/>
        <w:ind w:left="1984" w:right="789"/>
        <w:rPr>
          <w:sz w:val="20"/>
        </w:rPr>
      </w:pPr>
      <w:r>
        <w:rPr>
          <w:i/>
          <w:color w:val="231F20"/>
          <w:sz w:val="20"/>
        </w:rPr>
        <w:t xml:space="preserve">The review should recommend a much stronger role for EPA to ensure the community is protected and mining companies are clearly responsible for mine site rehabilitation. </w:t>
      </w:r>
      <w:r>
        <w:rPr>
          <w:color w:val="231F20"/>
          <w:sz w:val="20"/>
        </w:rPr>
        <w:t>(Environmental Justice Australia submission, p. 4)</w:t>
      </w:r>
    </w:p>
    <w:p w14:paraId="512CC585" w14:textId="77777777" w:rsidR="00160E7F" w:rsidRDefault="002B0299">
      <w:pPr>
        <w:spacing w:before="172" w:line="280" w:lineRule="auto"/>
        <w:ind w:left="1984" w:right="944"/>
        <w:rPr>
          <w:sz w:val="20"/>
        </w:rPr>
      </w:pPr>
      <w:r>
        <w:rPr>
          <w:i/>
          <w:color w:val="231F20"/>
          <w:spacing w:val="3"/>
          <w:sz w:val="20"/>
        </w:rPr>
        <w:t xml:space="preserve">[T]he </w:t>
      </w:r>
      <w:r>
        <w:rPr>
          <w:i/>
          <w:color w:val="231F20"/>
          <w:sz w:val="20"/>
        </w:rPr>
        <w:t xml:space="preserve">EPA should focus on a few </w:t>
      </w:r>
      <w:r>
        <w:rPr>
          <w:i/>
          <w:color w:val="231F20"/>
          <w:spacing w:val="-3"/>
          <w:sz w:val="20"/>
        </w:rPr>
        <w:t xml:space="preserve">key </w:t>
      </w:r>
      <w:r>
        <w:rPr>
          <w:i/>
          <w:color w:val="231F20"/>
          <w:sz w:val="20"/>
        </w:rPr>
        <w:t xml:space="preserve">areas … and ensure that overlap with other regulatory regimes is removed or at the least reduced. This will enable the EPA to maximise outcomes rather than spread itself too thin. A further advantage of this  is that it will be clear to all stakeholders what the </w:t>
      </w:r>
      <w:r>
        <w:rPr>
          <w:i/>
          <w:color w:val="231F20"/>
          <w:spacing w:val="-5"/>
          <w:sz w:val="20"/>
        </w:rPr>
        <w:t xml:space="preserve">EPA’s </w:t>
      </w:r>
      <w:r>
        <w:rPr>
          <w:i/>
          <w:color w:val="231F20"/>
          <w:sz w:val="20"/>
        </w:rPr>
        <w:t xml:space="preserve">mandate is rather than the confusion that prevails. </w:t>
      </w:r>
      <w:r>
        <w:rPr>
          <w:color w:val="231F20"/>
          <w:sz w:val="20"/>
        </w:rPr>
        <w:t xml:space="preserve">(Minerals Council of Australia – Victorian submission, p. </w:t>
      </w:r>
      <w:r>
        <w:rPr>
          <w:color w:val="231F20"/>
          <w:spacing w:val="-4"/>
          <w:sz w:val="20"/>
        </w:rPr>
        <w:t>6)</w:t>
      </w:r>
    </w:p>
    <w:p w14:paraId="3DA26286" w14:textId="28F45C19" w:rsidR="00160E7F" w:rsidRDefault="002B0299">
      <w:pPr>
        <w:pStyle w:val="BodyText"/>
        <w:spacing w:before="172" w:line="280" w:lineRule="auto"/>
        <w:ind w:left="1417" w:right="186"/>
      </w:pPr>
      <w:r>
        <w:rPr>
          <w:color w:val="58595B"/>
        </w:rPr>
        <w:t xml:space="preserve">Mining has been a significant feature of the Victorian economy and landscape since the gold rush days of the mid-1800s. </w:t>
      </w:r>
      <w:r>
        <w:rPr>
          <w:color w:val="58595B"/>
          <w:spacing w:val="-6"/>
        </w:rPr>
        <w:t xml:space="preserve">Today, </w:t>
      </w:r>
      <w:r>
        <w:rPr>
          <w:color w:val="58595B"/>
        </w:rPr>
        <w:t>the Victorian mining industry com</w:t>
      </w:r>
      <w:r w:rsidR="00F12AAD">
        <w:rPr>
          <w:color w:val="58595B"/>
        </w:rPr>
        <w:t xml:space="preserve">prises a handful of major open </w:t>
      </w:r>
      <w:r>
        <w:rPr>
          <w:color w:val="58595B"/>
        </w:rPr>
        <w:t>cut coal mines that feed essential power generation infrastructure, and a small number of gold mines and mineral sands mines. Economically, mining contributes around 2 per cent of Victoria’s gross state product.</w:t>
      </w:r>
      <w:r>
        <w:rPr>
          <w:color w:val="58595B"/>
          <w:position w:val="7"/>
          <w:sz w:val="11"/>
        </w:rPr>
        <w:t xml:space="preserve">1 </w:t>
      </w:r>
      <w:r>
        <w:rPr>
          <w:color w:val="58595B"/>
        </w:rPr>
        <w:t>Mining is a vital industry, providing necessary raw resources for industrial processes that, in turn, provide the products and services that businesses and consumers expect in a modern economy and</w:t>
      </w:r>
      <w:r>
        <w:rPr>
          <w:color w:val="58595B"/>
          <w:spacing w:val="2"/>
        </w:rPr>
        <w:t xml:space="preserve"> </w:t>
      </w:r>
      <w:r>
        <w:rPr>
          <w:color w:val="58595B"/>
        </w:rPr>
        <w:t>society.</w:t>
      </w:r>
    </w:p>
    <w:p w14:paraId="19AA750A" w14:textId="77777777" w:rsidR="00160E7F" w:rsidRDefault="002B0299">
      <w:pPr>
        <w:pStyle w:val="BodyText"/>
        <w:spacing w:before="172" w:line="280" w:lineRule="auto"/>
        <w:ind w:left="1417" w:right="185"/>
      </w:pPr>
      <w:r>
        <w:rPr>
          <w:color w:val="58595B"/>
        </w:rPr>
        <w:t>Mining operations can have a long life, and the structures and footprint of activity that they create during and after operations can have a lasting legacy on the landscape and the environment.</w:t>
      </w:r>
    </w:p>
    <w:p w14:paraId="3B58C99D" w14:textId="77777777" w:rsidR="00160E7F" w:rsidRDefault="002B0299">
      <w:pPr>
        <w:pStyle w:val="BodyText"/>
        <w:spacing w:before="2" w:line="280" w:lineRule="auto"/>
        <w:ind w:left="1417" w:right="185"/>
      </w:pPr>
      <w:r>
        <w:rPr>
          <w:color w:val="58595B"/>
        </w:rPr>
        <w:t>Mining projects require sizeable investments, have long timeframes for operation and can involve temporal and intergenerational impacts to human health and the environment. So, regulation throughout a mining project’s lifecycle must be robust and account for potential risks and impacts to human health and the environment.</w:t>
      </w:r>
    </w:p>
    <w:p w14:paraId="583B62BA" w14:textId="77777777" w:rsidR="00160E7F" w:rsidRDefault="002B0299">
      <w:pPr>
        <w:pStyle w:val="BodyText"/>
        <w:spacing w:before="172" w:line="280" w:lineRule="auto"/>
        <w:ind w:left="1417" w:right="405"/>
      </w:pPr>
      <w:r>
        <w:rPr>
          <w:color w:val="58595B"/>
        </w:rPr>
        <w:t>The regulatory system must balance the potential economic benefits of mining with these risks and impacts. To do this, regulation must retain the confidence of local communities, competing land users and society more generally. The government agencies involved in regulating mining must have appropriate specialist expertise so that they can contribute to a robust regulatory system for this industry.</w:t>
      </w:r>
    </w:p>
    <w:p w14:paraId="7947597A" w14:textId="77777777" w:rsidR="00160E7F" w:rsidRDefault="00160E7F">
      <w:pPr>
        <w:spacing w:line="280" w:lineRule="auto"/>
        <w:sectPr w:rsidR="00160E7F">
          <w:headerReference w:type="even" r:id="rId101"/>
          <w:headerReference w:type="default" r:id="rId102"/>
          <w:pgSz w:w="11910" w:h="16840"/>
          <w:pgMar w:top="980" w:right="1680" w:bottom="280" w:left="0" w:header="788" w:footer="0" w:gutter="0"/>
          <w:pgNumType w:start="292"/>
          <w:cols w:space="720"/>
        </w:sectPr>
      </w:pPr>
    </w:p>
    <w:p w14:paraId="41408A57" w14:textId="77777777" w:rsidR="00160E7F" w:rsidRDefault="00160E7F">
      <w:pPr>
        <w:pStyle w:val="BodyText"/>
      </w:pPr>
    </w:p>
    <w:p w14:paraId="64081088" w14:textId="77777777" w:rsidR="00160E7F" w:rsidRDefault="00160E7F">
      <w:pPr>
        <w:pStyle w:val="BodyText"/>
      </w:pPr>
    </w:p>
    <w:p w14:paraId="246F24F3" w14:textId="77777777" w:rsidR="00160E7F" w:rsidRDefault="00160E7F">
      <w:pPr>
        <w:pStyle w:val="BodyText"/>
      </w:pPr>
    </w:p>
    <w:p w14:paraId="56E93533" w14:textId="77777777" w:rsidR="00160E7F" w:rsidRDefault="00160E7F">
      <w:pPr>
        <w:pStyle w:val="BodyText"/>
      </w:pPr>
    </w:p>
    <w:p w14:paraId="4BAAC4D6" w14:textId="77777777" w:rsidR="00160E7F" w:rsidRDefault="00160E7F">
      <w:pPr>
        <w:pStyle w:val="BodyText"/>
        <w:spacing w:before="8"/>
        <w:rPr>
          <w:sz w:val="17"/>
        </w:rPr>
      </w:pPr>
    </w:p>
    <w:p w14:paraId="714E2160" w14:textId="77777777" w:rsidR="00160E7F" w:rsidRDefault="002B0299">
      <w:pPr>
        <w:pStyle w:val="BodyText"/>
        <w:spacing w:before="1" w:line="280" w:lineRule="auto"/>
        <w:ind w:left="134" w:right="1494"/>
      </w:pPr>
      <w:r>
        <w:rPr>
          <w:color w:val="58595B"/>
        </w:rPr>
        <w:t>Many large Victorian mines are located proximate to towns with significant populations and competing land uses such as agriculture, forestry, tourism, rural residential living and state or national parks. As seen recently in Australia and overseas, mines can create significant risks if they are not managed properly or if they are adversely affected by natural disasters. It is critical for local communities, the environment, and the mining industry itself that regulatory authorities oversee mines properly, and that the public has trust in this oversight.</w:t>
      </w:r>
    </w:p>
    <w:p w14:paraId="5D6365B2" w14:textId="77777777" w:rsidR="00160E7F" w:rsidRDefault="002B0299">
      <w:pPr>
        <w:pStyle w:val="BodyText"/>
        <w:spacing w:before="172" w:line="280" w:lineRule="auto"/>
        <w:ind w:left="134" w:right="1604"/>
      </w:pPr>
      <w:r>
        <w:rPr>
          <w:color w:val="58595B"/>
        </w:rPr>
        <w:t>We consider that strengthening the EPA’s role in regulating environmental and public health risks associated with mining places the mining industry on a more level playing field with other industries facing similar levels of risk. We also consider that it will resolve perceived conflicts of interest. Earth Resources Regulation (ERR) would reduce its role in environmental regulation, while the EPA correspondingly strengthens its supporting role within the existing regulatory framework. This transfer of responsibility would occur across the lifecycle of a mine:</w:t>
      </w:r>
    </w:p>
    <w:p w14:paraId="49414763" w14:textId="77777777" w:rsidR="00160E7F" w:rsidRDefault="002B0299">
      <w:pPr>
        <w:pStyle w:val="ListParagraph"/>
        <w:numPr>
          <w:ilvl w:val="0"/>
          <w:numId w:val="25"/>
        </w:numPr>
        <w:tabs>
          <w:tab w:val="left" w:pos="305"/>
        </w:tabs>
        <w:spacing w:before="115" w:line="280" w:lineRule="auto"/>
        <w:ind w:right="1558" w:hanging="170"/>
        <w:rPr>
          <w:sz w:val="20"/>
        </w:rPr>
      </w:pPr>
      <w:r>
        <w:rPr>
          <w:color w:val="58595B"/>
          <w:sz w:val="20"/>
        </w:rPr>
        <w:t>advising on new mine licences (exploration, retention, mining),</w:t>
      </w:r>
      <w:r>
        <w:rPr>
          <w:color w:val="58595B"/>
          <w:position w:val="7"/>
          <w:sz w:val="11"/>
        </w:rPr>
        <w:t xml:space="preserve">2 </w:t>
      </w:r>
      <w:r>
        <w:rPr>
          <w:color w:val="58595B"/>
          <w:sz w:val="20"/>
        </w:rPr>
        <w:t>or significant expansion and/or alteration/renewal of existing</w:t>
      </w:r>
      <w:r>
        <w:rPr>
          <w:color w:val="58595B"/>
          <w:spacing w:val="-1"/>
          <w:sz w:val="20"/>
        </w:rPr>
        <w:t xml:space="preserve"> </w:t>
      </w:r>
      <w:r>
        <w:rPr>
          <w:color w:val="58595B"/>
          <w:sz w:val="20"/>
        </w:rPr>
        <w:t>licences</w:t>
      </w:r>
    </w:p>
    <w:p w14:paraId="685C861E" w14:textId="77777777" w:rsidR="00160E7F" w:rsidRDefault="002B0299">
      <w:pPr>
        <w:pStyle w:val="ListParagraph"/>
        <w:numPr>
          <w:ilvl w:val="0"/>
          <w:numId w:val="25"/>
        </w:numPr>
        <w:tabs>
          <w:tab w:val="left" w:pos="305"/>
        </w:tabs>
        <w:spacing w:before="115"/>
        <w:ind w:hanging="170"/>
        <w:rPr>
          <w:sz w:val="20"/>
        </w:rPr>
      </w:pPr>
      <w:r>
        <w:rPr>
          <w:color w:val="58595B"/>
          <w:sz w:val="20"/>
        </w:rPr>
        <w:t>approval of work plans or amended work</w:t>
      </w:r>
      <w:r>
        <w:rPr>
          <w:color w:val="58595B"/>
          <w:spacing w:val="-2"/>
          <w:sz w:val="20"/>
        </w:rPr>
        <w:t xml:space="preserve"> </w:t>
      </w:r>
      <w:r>
        <w:rPr>
          <w:color w:val="58595B"/>
          <w:sz w:val="20"/>
        </w:rPr>
        <w:t>plans</w:t>
      </w:r>
    </w:p>
    <w:p w14:paraId="40920EFB" w14:textId="77777777" w:rsidR="00160E7F" w:rsidRDefault="002B0299">
      <w:pPr>
        <w:pStyle w:val="ListParagraph"/>
        <w:numPr>
          <w:ilvl w:val="0"/>
          <w:numId w:val="25"/>
        </w:numPr>
        <w:tabs>
          <w:tab w:val="left" w:pos="305"/>
        </w:tabs>
        <w:spacing w:before="153"/>
        <w:ind w:hanging="170"/>
        <w:rPr>
          <w:sz w:val="20"/>
        </w:rPr>
      </w:pPr>
      <w:r>
        <w:rPr>
          <w:color w:val="58595B"/>
          <w:sz w:val="20"/>
        </w:rPr>
        <w:t>compliance and enforcement activities for mining</w:t>
      </w:r>
      <w:r>
        <w:rPr>
          <w:color w:val="58595B"/>
          <w:spacing w:val="16"/>
          <w:sz w:val="20"/>
        </w:rPr>
        <w:t xml:space="preserve"> </w:t>
      </w:r>
      <w:r>
        <w:rPr>
          <w:color w:val="58595B"/>
          <w:sz w:val="20"/>
        </w:rPr>
        <w:t>activities</w:t>
      </w:r>
    </w:p>
    <w:p w14:paraId="3E55841B" w14:textId="77777777" w:rsidR="00160E7F" w:rsidRDefault="002B0299">
      <w:pPr>
        <w:pStyle w:val="ListParagraph"/>
        <w:numPr>
          <w:ilvl w:val="0"/>
          <w:numId w:val="25"/>
        </w:numPr>
        <w:tabs>
          <w:tab w:val="left" w:pos="305"/>
        </w:tabs>
        <w:spacing w:before="153"/>
        <w:ind w:hanging="170"/>
        <w:rPr>
          <w:sz w:val="20"/>
        </w:rPr>
      </w:pPr>
      <w:r>
        <w:rPr>
          <w:color w:val="58595B"/>
          <w:sz w:val="20"/>
        </w:rPr>
        <w:t>inactive or mothballed</w:t>
      </w:r>
      <w:r>
        <w:rPr>
          <w:color w:val="58595B"/>
          <w:spacing w:val="1"/>
          <w:sz w:val="20"/>
        </w:rPr>
        <w:t xml:space="preserve"> </w:t>
      </w:r>
      <w:r>
        <w:rPr>
          <w:color w:val="58595B"/>
          <w:sz w:val="20"/>
        </w:rPr>
        <w:t>mines</w:t>
      </w:r>
    </w:p>
    <w:p w14:paraId="71B9E03D" w14:textId="77777777" w:rsidR="00160E7F" w:rsidRDefault="002B0299">
      <w:pPr>
        <w:pStyle w:val="ListParagraph"/>
        <w:numPr>
          <w:ilvl w:val="0"/>
          <w:numId w:val="25"/>
        </w:numPr>
        <w:tabs>
          <w:tab w:val="left" w:pos="305"/>
        </w:tabs>
        <w:spacing w:before="153"/>
        <w:ind w:hanging="170"/>
        <w:rPr>
          <w:sz w:val="20"/>
        </w:rPr>
      </w:pPr>
      <w:r>
        <w:rPr>
          <w:color w:val="58595B"/>
          <w:sz w:val="20"/>
        </w:rPr>
        <w:t>closure and</w:t>
      </w:r>
      <w:r>
        <w:rPr>
          <w:color w:val="58595B"/>
          <w:spacing w:val="3"/>
          <w:sz w:val="20"/>
        </w:rPr>
        <w:t xml:space="preserve"> </w:t>
      </w:r>
      <w:r>
        <w:rPr>
          <w:color w:val="58595B"/>
          <w:sz w:val="20"/>
        </w:rPr>
        <w:t>rehabilitation.</w:t>
      </w:r>
    </w:p>
    <w:p w14:paraId="02DC7B9A" w14:textId="77777777" w:rsidR="00160E7F" w:rsidRDefault="00160E7F">
      <w:pPr>
        <w:pStyle w:val="BodyText"/>
        <w:spacing w:before="3"/>
        <w:rPr>
          <w:sz w:val="18"/>
        </w:rPr>
      </w:pPr>
    </w:p>
    <w:p w14:paraId="5F7E64BD" w14:textId="77777777" w:rsidR="00160E7F" w:rsidRDefault="002B0299">
      <w:pPr>
        <w:pStyle w:val="BodyText"/>
        <w:spacing w:line="280" w:lineRule="auto"/>
        <w:ind w:left="134" w:right="2193"/>
        <w:rPr>
          <w:sz w:val="11"/>
        </w:rPr>
      </w:pPr>
      <w:r>
        <w:rPr>
          <w:color w:val="58595B"/>
        </w:rPr>
        <w:t>These reforms can build on recent proposals to strengthen ERR’s engagement strategy with stakeholders.</w:t>
      </w:r>
      <w:r>
        <w:rPr>
          <w:color w:val="58595B"/>
          <w:position w:val="7"/>
          <w:sz w:val="11"/>
        </w:rPr>
        <w:t>3</w:t>
      </w:r>
    </w:p>
    <w:p w14:paraId="0EEB7D6F" w14:textId="77777777" w:rsidR="00160E7F" w:rsidRDefault="002B0299">
      <w:pPr>
        <w:pStyle w:val="BodyText"/>
        <w:spacing w:before="172" w:line="280" w:lineRule="auto"/>
        <w:ind w:left="134" w:right="1716"/>
      </w:pPr>
      <w:r>
        <w:rPr>
          <w:color w:val="58595B"/>
        </w:rPr>
        <w:t>The changes we propose will affect the regulatory burden facing Victoria’s mine operators. However, if current regulatory requirements are appropriate, they will not duplicate conditions or involve additional paperwork or compliance activities. They may involve additional costs for</w:t>
      </w:r>
    </w:p>
    <w:p w14:paraId="7B37BC79" w14:textId="77777777" w:rsidR="00160E7F" w:rsidRDefault="002B0299">
      <w:pPr>
        <w:pStyle w:val="BodyText"/>
        <w:spacing w:before="2" w:line="280" w:lineRule="auto"/>
        <w:ind w:left="134" w:right="1451"/>
      </w:pPr>
      <w:r>
        <w:rPr>
          <w:color w:val="58595B"/>
        </w:rPr>
        <w:t xml:space="preserve">mine operators who will have to engage with an additional </w:t>
      </w:r>
      <w:r>
        <w:rPr>
          <w:color w:val="58595B"/>
          <w:spacing w:val="-4"/>
        </w:rPr>
        <w:t xml:space="preserve">regulator, </w:t>
      </w:r>
      <w:r>
        <w:rPr>
          <w:color w:val="58595B"/>
        </w:rPr>
        <w:t xml:space="preserve">the </w:t>
      </w:r>
      <w:r>
        <w:rPr>
          <w:color w:val="58595B"/>
          <w:spacing w:val="-3"/>
        </w:rPr>
        <w:t xml:space="preserve">EPA. </w:t>
      </w:r>
      <w:r>
        <w:rPr>
          <w:color w:val="58595B"/>
        </w:rPr>
        <w:t xml:space="preserve">But we consider the regulatory burden for mine operators will be offset by raising community confidence in regulatory processes that are informed by the </w:t>
      </w:r>
      <w:r>
        <w:rPr>
          <w:color w:val="58595B"/>
          <w:spacing w:val="-7"/>
        </w:rPr>
        <w:t xml:space="preserve">EPA’s </w:t>
      </w:r>
      <w:r>
        <w:rPr>
          <w:color w:val="58595B"/>
        </w:rPr>
        <w:t>specialist knowledge and skills in preventing and managing environmental harms.</w:t>
      </w:r>
    </w:p>
    <w:p w14:paraId="24467428" w14:textId="77777777" w:rsidR="00160E7F" w:rsidRDefault="00160E7F">
      <w:pPr>
        <w:pStyle w:val="BodyText"/>
        <w:spacing w:before="1"/>
        <w:rPr>
          <w:sz w:val="19"/>
        </w:rPr>
      </w:pPr>
    </w:p>
    <w:p w14:paraId="3DE2E24C" w14:textId="77777777" w:rsidR="00160E7F" w:rsidRDefault="002B0299">
      <w:pPr>
        <w:pStyle w:val="Heading3"/>
        <w:numPr>
          <w:ilvl w:val="1"/>
          <w:numId w:val="13"/>
        </w:numPr>
        <w:tabs>
          <w:tab w:val="left" w:pos="693"/>
        </w:tabs>
        <w:spacing w:before="0"/>
        <w:ind w:left="692" w:hanging="558"/>
        <w:jc w:val="left"/>
      </w:pPr>
      <w:r>
        <w:rPr>
          <w:color w:val="0095A7"/>
        </w:rPr>
        <w:t>Mining and environmental</w:t>
      </w:r>
      <w:r>
        <w:rPr>
          <w:color w:val="0095A7"/>
          <w:spacing w:val="23"/>
        </w:rPr>
        <w:t xml:space="preserve"> </w:t>
      </w:r>
      <w:r>
        <w:rPr>
          <w:color w:val="0095A7"/>
        </w:rPr>
        <w:t>risk</w:t>
      </w:r>
    </w:p>
    <w:p w14:paraId="44104730" w14:textId="77777777" w:rsidR="00160E7F" w:rsidRDefault="002B0299">
      <w:pPr>
        <w:pStyle w:val="BodyText"/>
        <w:spacing w:before="145" w:line="280" w:lineRule="auto"/>
        <w:ind w:left="134" w:right="1716"/>
      </w:pPr>
      <w:r>
        <w:rPr>
          <w:color w:val="58595B"/>
        </w:rPr>
        <w:t>Victoria’s recent experience with the Hazelwood mine fire highlighted the environmental and public health risks associated with mining operations. Mining activities can pose immediate threats, as well as long term irreversible damage. It is important that adequate regulatory oversight and all reasonable steps are taken to prevent such incidents in the first place.</w:t>
      </w:r>
    </w:p>
    <w:p w14:paraId="3F87E483" w14:textId="77777777" w:rsidR="00160E7F" w:rsidRDefault="00160E7F">
      <w:pPr>
        <w:pStyle w:val="BodyText"/>
        <w:spacing w:before="4"/>
        <w:rPr>
          <w:sz w:val="22"/>
        </w:rPr>
      </w:pPr>
    </w:p>
    <w:p w14:paraId="5B565AE4" w14:textId="77777777" w:rsidR="00160E7F" w:rsidRDefault="002B0299">
      <w:pPr>
        <w:pStyle w:val="ListParagraph"/>
        <w:numPr>
          <w:ilvl w:val="2"/>
          <w:numId w:val="13"/>
        </w:numPr>
        <w:tabs>
          <w:tab w:val="left" w:pos="746"/>
        </w:tabs>
        <w:spacing w:before="0"/>
        <w:ind w:hanging="611"/>
        <w:jc w:val="left"/>
        <w:rPr>
          <w:sz w:val="20"/>
        </w:rPr>
      </w:pPr>
      <w:r>
        <w:rPr>
          <w:color w:val="0095A7"/>
          <w:sz w:val="20"/>
        </w:rPr>
        <w:t>Fire</w:t>
      </w:r>
    </w:p>
    <w:p w14:paraId="1AE9CCD9" w14:textId="77777777" w:rsidR="00160E7F" w:rsidRDefault="002B0299">
      <w:pPr>
        <w:pStyle w:val="BodyText"/>
        <w:spacing w:before="153" w:line="280" w:lineRule="auto"/>
        <w:ind w:left="134" w:right="1494"/>
      </w:pPr>
      <w:r>
        <w:rPr>
          <w:color w:val="58595B"/>
        </w:rPr>
        <w:t>Fires in open cut mines and underground mines can cause immediate and long term effects on the environment and local communities if they are not quickly contained and extinguished (box 17.1). Victoria’s open cut coal mines are particularly susceptible to fires. They can easily ignite and quickly spread and rekindle underground if the coal seam is highly permeable and close to the surface.</w:t>
      </w:r>
    </w:p>
    <w:p w14:paraId="16646984" w14:textId="77777777" w:rsidR="00160E7F" w:rsidRDefault="00160E7F">
      <w:pPr>
        <w:spacing w:line="280" w:lineRule="auto"/>
        <w:sectPr w:rsidR="00160E7F">
          <w:pgSz w:w="11910" w:h="16840"/>
          <w:pgMar w:top="980" w:right="0" w:bottom="280" w:left="1680" w:header="788" w:footer="0" w:gutter="0"/>
          <w:cols w:space="720"/>
        </w:sectPr>
      </w:pPr>
    </w:p>
    <w:p w14:paraId="2530A7C6" w14:textId="77777777" w:rsidR="00160E7F" w:rsidRDefault="00160E7F">
      <w:pPr>
        <w:pStyle w:val="BodyText"/>
      </w:pPr>
    </w:p>
    <w:p w14:paraId="56A120F5" w14:textId="77777777" w:rsidR="00160E7F" w:rsidRDefault="00160E7F">
      <w:pPr>
        <w:pStyle w:val="BodyText"/>
      </w:pPr>
    </w:p>
    <w:p w14:paraId="7E7A4286" w14:textId="77777777" w:rsidR="00160E7F" w:rsidRDefault="00160E7F">
      <w:pPr>
        <w:pStyle w:val="BodyText"/>
      </w:pPr>
    </w:p>
    <w:p w14:paraId="3357019F" w14:textId="77777777" w:rsidR="00160E7F" w:rsidRDefault="00160E7F">
      <w:pPr>
        <w:pStyle w:val="BodyText"/>
      </w:pPr>
    </w:p>
    <w:p w14:paraId="2BE5FCD1" w14:textId="77777777" w:rsidR="00160E7F" w:rsidRDefault="00160E7F">
      <w:pPr>
        <w:pStyle w:val="BodyText"/>
        <w:spacing w:before="4" w:after="1"/>
        <w:rPr>
          <w:sz w:val="21"/>
        </w:rPr>
      </w:pPr>
    </w:p>
    <w:p w14:paraId="31209F6A" w14:textId="77777777" w:rsidR="00160E7F" w:rsidRDefault="000638CB">
      <w:pPr>
        <w:pStyle w:val="BodyText"/>
        <w:ind w:left="1417"/>
      </w:pPr>
      <w:r>
        <w:pict w14:anchorId="4859FAD5">
          <v:shape id="_x0000_s1044" type="#_x0000_t202" style="width:433.7pt;height:133pt;mso-left-percent:-10001;mso-top-percent:-10001;mso-position-horizontal:absolute;mso-position-horizontal-relative:char;mso-position-vertical:absolute;mso-position-vertical-relative:line;mso-left-percent:-10001;mso-top-percent:-10001" fillcolor="#eaf2f3" stroked="f">
            <v:textbox inset="0,0,0,0">
              <w:txbxContent>
                <w:p w14:paraId="0D985672" w14:textId="77777777" w:rsidR="00804E46" w:rsidRDefault="00804E46">
                  <w:pPr>
                    <w:spacing w:before="128"/>
                    <w:ind w:left="170" w:right="165"/>
                    <w:rPr>
                      <w:sz w:val="20"/>
                    </w:rPr>
                  </w:pPr>
                  <w:r>
                    <w:rPr>
                      <w:b/>
                      <w:color w:val="0095A7"/>
                      <w:sz w:val="20"/>
                    </w:rPr>
                    <w:t xml:space="preserve">BOX 17.1  </w:t>
                  </w:r>
                  <w:r>
                    <w:rPr>
                      <w:color w:val="0095A7"/>
                      <w:sz w:val="20"/>
                    </w:rPr>
                    <w:t>HEALTH EFFECTS OF MINE FIRES</w:t>
                  </w:r>
                </w:p>
                <w:p w14:paraId="2838FB0E" w14:textId="77777777" w:rsidR="00804E46" w:rsidRDefault="00804E46">
                  <w:pPr>
                    <w:pStyle w:val="BodyText"/>
                    <w:spacing w:before="153" w:line="280" w:lineRule="auto"/>
                    <w:ind w:left="170" w:right="165"/>
                  </w:pPr>
                  <w:r>
                    <w:rPr>
                      <w:b/>
                      <w:color w:val="58595B"/>
                    </w:rPr>
                    <w:t xml:space="preserve">Hazelwood Mine and Power Station </w:t>
                  </w:r>
                  <w:r>
                    <w:rPr>
                      <w:color w:val="58595B"/>
                    </w:rPr>
                    <w:t>(Latrobe Valley, Victoria) – In February 2014, a fire started in the open cut brown coal mine, which took 45 days to contain and extinguish.</w:t>
                  </w:r>
                </w:p>
                <w:p w14:paraId="2D03FEEF" w14:textId="77777777" w:rsidR="00804E46" w:rsidRDefault="00804E46">
                  <w:pPr>
                    <w:pStyle w:val="BodyText"/>
                    <w:spacing w:before="172" w:line="280" w:lineRule="auto"/>
                    <w:ind w:left="170" w:right="165"/>
                  </w:pPr>
                  <w:r>
                    <w:rPr>
                      <w:color w:val="58595B"/>
                    </w:rPr>
                    <w:t>The fire shrouded Morwell and surrounding towns in acrid smoke and ash, forcing local residents and communities to evacuate. Many suffered from smoke inhalation, irritable eyes, sore throats and blood noses. While the long term effects of the fires are still unknown,</w:t>
                  </w:r>
                </w:p>
                <w:p w14:paraId="0D57EF2B" w14:textId="77777777" w:rsidR="00804E46" w:rsidRDefault="00804E46">
                  <w:pPr>
                    <w:pStyle w:val="BodyText"/>
                    <w:spacing w:before="2" w:line="280" w:lineRule="auto"/>
                    <w:ind w:left="170" w:right="165"/>
                    <w:rPr>
                      <w:sz w:val="11"/>
                    </w:rPr>
                  </w:pPr>
                  <w:r>
                    <w:rPr>
                      <w:color w:val="58595B"/>
                    </w:rPr>
                    <w:t>the carcinogenic nature of smoke means that there may be health impacts on the local community for decades to come.</w:t>
                  </w:r>
                  <w:r>
                    <w:rPr>
                      <w:color w:val="58595B"/>
                      <w:position w:val="7"/>
                      <w:sz w:val="11"/>
                    </w:rPr>
                    <w:t>4</w:t>
                  </w:r>
                </w:p>
              </w:txbxContent>
            </v:textbox>
            <w10:wrap type="none"/>
            <w10:anchorlock/>
          </v:shape>
        </w:pict>
      </w:r>
    </w:p>
    <w:p w14:paraId="4B9075E8" w14:textId="77777777" w:rsidR="00160E7F" w:rsidRDefault="00160E7F">
      <w:pPr>
        <w:pStyle w:val="BodyText"/>
        <w:spacing w:before="1"/>
        <w:rPr>
          <w:sz w:val="23"/>
        </w:rPr>
      </w:pPr>
    </w:p>
    <w:p w14:paraId="00081B4E" w14:textId="77777777" w:rsidR="00160E7F" w:rsidRDefault="002B0299">
      <w:pPr>
        <w:pStyle w:val="BodyText"/>
        <w:spacing w:before="74" w:line="280" w:lineRule="auto"/>
        <w:ind w:left="1417" w:right="42"/>
        <w:rPr>
          <w:sz w:val="11"/>
        </w:rPr>
      </w:pPr>
      <w:r>
        <w:rPr>
          <w:color w:val="58595B"/>
        </w:rPr>
        <w:t>The effects of mine fires can be severe. Smoke and ash released from open cut mine fires can have an immediate and widespread impact on air quality, affecting local residents and particularly the most vulnerable people in the community. Poor air quality can aggravate respiratory diseases such as asthma and bronchitis and increase the risk of respiratory problems.</w:t>
      </w:r>
      <w:r>
        <w:rPr>
          <w:color w:val="58595B"/>
          <w:position w:val="7"/>
          <w:sz w:val="11"/>
        </w:rPr>
        <w:t xml:space="preserve">5 </w:t>
      </w:r>
      <w:r>
        <w:rPr>
          <w:color w:val="58595B"/>
        </w:rPr>
        <w:t>Short term symptoms can include itchy eyes, sore throat, runny nose and coughing.</w:t>
      </w:r>
      <w:r>
        <w:rPr>
          <w:color w:val="58595B"/>
          <w:position w:val="7"/>
          <w:sz w:val="11"/>
        </w:rPr>
        <w:t xml:space="preserve">6 </w:t>
      </w:r>
      <w:r>
        <w:rPr>
          <w:color w:val="58595B"/>
        </w:rPr>
        <w:t>Long term effects can include increased levels of cardiovascular problems and elevated levels of cancer.</w:t>
      </w:r>
      <w:r>
        <w:rPr>
          <w:color w:val="58595B"/>
          <w:position w:val="7"/>
          <w:sz w:val="11"/>
        </w:rPr>
        <w:t>7</w:t>
      </w:r>
    </w:p>
    <w:p w14:paraId="520C2087" w14:textId="77777777" w:rsidR="00160E7F" w:rsidRDefault="00160E7F">
      <w:pPr>
        <w:pStyle w:val="BodyText"/>
        <w:spacing w:before="4"/>
        <w:rPr>
          <w:sz w:val="22"/>
        </w:rPr>
      </w:pPr>
    </w:p>
    <w:p w14:paraId="3648C6CB" w14:textId="77777777" w:rsidR="00160E7F" w:rsidRDefault="002B0299">
      <w:pPr>
        <w:pStyle w:val="ListParagraph"/>
        <w:numPr>
          <w:ilvl w:val="2"/>
          <w:numId w:val="13"/>
        </w:numPr>
        <w:tabs>
          <w:tab w:val="left" w:pos="2052"/>
        </w:tabs>
        <w:spacing w:before="0"/>
        <w:ind w:left="2051" w:hanging="634"/>
        <w:jc w:val="left"/>
        <w:rPr>
          <w:sz w:val="20"/>
        </w:rPr>
      </w:pPr>
      <w:r>
        <w:rPr>
          <w:color w:val="0095A7"/>
          <w:sz w:val="20"/>
        </w:rPr>
        <w:t>Groundwater</w:t>
      </w:r>
      <w:r>
        <w:rPr>
          <w:color w:val="0095A7"/>
          <w:spacing w:val="4"/>
          <w:sz w:val="20"/>
        </w:rPr>
        <w:t xml:space="preserve"> </w:t>
      </w:r>
      <w:r>
        <w:rPr>
          <w:color w:val="0095A7"/>
          <w:sz w:val="20"/>
        </w:rPr>
        <w:t>contamination</w:t>
      </w:r>
    </w:p>
    <w:p w14:paraId="20FF2281" w14:textId="77777777" w:rsidR="00160E7F" w:rsidRDefault="002B0299">
      <w:pPr>
        <w:pStyle w:val="BodyText"/>
        <w:spacing w:before="153" w:line="280" w:lineRule="auto"/>
        <w:ind w:left="1417" w:right="164"/>
      </w:pPr>
      <w:r>
        <w:rPr>
          <w:color w:val="58595B"/>
        </w:rPr>
        <w:t xml:space="preserve">In Victoria, the close proximity of underground and open cut mines to local communities can create risks in relation to the quality of groundwater and surface </w:t>
      </w:r>
      <w:r>
        <w:rPr>
          <w:color w:val="58595B"/>
          <w:spacing w:val="-3"/>
        </w:rPr>
        <w:t xml:space="preserve">water. </w:t>
      </w:r>
      <w:r>
        <w:rPr>
          <w:color w:val="58595B"/>
        </w:rPr>
        <w:t>Old goldmines under towns can also leave a legacy, especially their ongoing impact on the local watertable which must be monitored continually (box</w:t>
      </w:r>
      <w:r>
        <w:rPr>
          <w:color w:val="58595B"/>
          <w:spacing w:val="2"/>
        </w:rPr>
        <w:t xml:space="preserve"> </w:t>
      </w:r>
      <w:r>
        <w:rPr>
          <w:color w:val="58595B"/>
          <w:spacing w:val="-7"/>
        </w:rPr>
        <w:t>17.2).</w:t>
      </w:r>
    </w:p>
    <w:p w14:paraId="76DB70A6" w14:textId="77777777" w:rsidR="00160E7F" w:rsidRDefault="000638CB">
      <w:pPr>
        <w:pStyle w:val="BodyText"/>
        <w:spacing w:before="7"/>
        <w:rPr>
          <w:sz w:val="10"/>
        </w:rPr>
      </w:pPr>
      <w:r>
        <w:pict w14:anchorId="3EF8A1B5">
          <v:shape id="_x0000_s1043" type="#_x0000_t202" style="position:absolute;margin-left:70.85pt;margin-top:7.3pt;width:433.7pt;height:187pt;z-index:2584;mso-wrap-distance-left:0;mso-wrap-distance-right:0;mso-position-horizontal-relative:page" fillcolor="#eaf2f3" stroked="f">
            <v:textbox inset="0,0,0,0">
              <w:txbxContent>
                <w:p w14:paraId="7FE3BE89" w14:textId="77777777" w:rsidR="00804E46" w:rsidRDefault="00804E46">
                  <w:pPr>
                    <w:pStyle w:val="BodyText"/>
                    <w:spacing w:before="128"/>
                    <w:ind w:left="170" w:right="165"/>
                  </w:pPr>
                  <w:r>
                    <w:rPr>
                      <w:b/>
                      <w:color w:val="0095A7"/>
                    </w:rPr>
                    <w:t xml:space="preserve">BOX 17.2  </w:t>
                  </w:r>
                  <w:r>
                    <w:rPr>
                      <w:color w:val="0095A7"/>
                    </w:rPr>
                    <w:t>HEALTH EFFECTS OF GROUNDWATER CONTAMINATED BY MINING</w:t>
                  </w:r>
                </w:p>
                <w:p w14:paraId="5F117ADD" w14:textId="77777777" w:rsidR="00804E46" w:rsidRDefault="00804E46">
                  <w:pPr>
                    <w:pStyle w:val="BodyText"/>
                    <w:spacing w:before="153" w:line="280" w:lineRule="auto"/>
                    <w:ind w:left="170" w:right="165"/>
                  </w:pPr>
                  <w:r>
                    <w:rPr>
                      <w:b/>
                      <w:color w:val="58595B"/>
                    </w:rPr>
                    <w:t xml:space="preserve">Goldmines underneath Bendigo </w:t>
                  </w:r>
                  <w:r>
                    <w:rPr>
                      <w:color w:val="58595B"/>
                    </w:rPr>
                    <w:t>(Victoria) – In 2011, the mine operator closed a goldmine under Bendigo. This meant arrangements were needed to manage the shallow and</w:t>
                  </w:r>
                </w:p>
                <w:p w14:paraId="3CA367A5" w14:textId="77777777" w:rsidR="00804E46" w:rsidRDefault="00804E46">
                  <w:pPr>
                    <w:pStyle w:val="BodyText"/>
                    <w:spacing w:before="2" w:line="280" w:lineRule="auto"/>
                    <w:ind w:left="170" w:right="165"/>
                    <w:rPr>
                      <w:sz w:val="11"/>
                    </w:rPr>
                  </w:pPr>
                  <w:r>
                    <w:rPr>
                      <w:color w:val="58595B"/>
                    </w:rPr>
                    <w:t>rising contaminated groundwater that has historically been an issue in Bendigo. Interim arrangements were put in place to pump the groundwater to neighbouring evaporation ponds, while the Victorian Government conducts a feasibility study to find a long term solution.</w:t>
                  </w:r>
                  <w:r>
                    <w:rPr>
                      <w:color w:val="58595B"/>
                      <w:position w:val="7"/>
                      <w:sz w:val="11"/>
                    </w:rPr>
                    <w:t>8</w:t>
                  </w:r>
                </w:p>
                <w:p w14:paraId="63CC0C57" w14:textId="77777777" w:rsidR="00804E46" w:rsidRDefault="00804E46">
                  <w:pPr>
                    <w:pStyle w:val="BodyText"/>
                    <w:spacing w:before="172" w:line="280" w:lineRule="auto"/>
                    <w:ind w:left="170" w:right="371"/>
                    <w:rPr>
                      <w:sz w:val="11"/>
                    </w:rPr>
                  </w:pPr>
                  <w:r>
                    <w:rPr>
                      <w:b/>
                      <w:color w:val="58595B"/>
                      <w:spacing w:val="-5"/>
                    </w:rPr>
                    <w:t xml:space="preserve">Tui </w:t>
                  </w:r>
                  <w:r>
                    <w:rPr>
                      <w:b/>
                      <w:color w:val="58595B"/>
                    </w:rPr>
                    <w:t xml:space="preserve">Mine </w:t>
                  </w:r>
                  <w:r>
                    <w:rPr>
                      <w:color w:val="58595B"/>
                    </w:rPr>
                    <w:t xml:space="preserve">(New Zealand) – The </w:t>
                  </w:r>
                  <w:r>
                    <w:rPr>
                      <w:color w:val="58595B"/>
                      <w:spacing w:val="-6"/>
                    </w:rPr>
                    <w:t xml:space="preserve">Tui </w:t>
                  </w:r>
                  <w:r>
                    <w:rPr>
                      <w:color w:val="58595B"/>
                    </w:rPr>
                    <w:t>Mine, which extracted copper, lead and zinc sulphides, is considered the most contaminated mine site in the country. The mine operator left behind waste rock and tailings that contained high levels of zinc and cadmium, which leached into nearby waterways, significantly impacting aquatic ecosystems. Four years after the mine closed, heavy metals leached from tailings were found to have contaminated the local drinking water supplies.</w:t>
                  </w:r>
                  <w:r>
                    <w:rPr>
                      <w:color w:val="58595B"/>
                      <w:position w:val="7"/>
                      <w:sz w:val="11"/>
                    </w:rPr>
                    <w:t>9</w:t>
                  </w:r>
                </w:p>
              </w:txbxContent>
            </v:textbox>
            <w10:wrap type="topAndBottom" anchorx="page"/>
          </v:shape>
        </w:pict>
      </w:r>
    </w:p>
    <w:p w14:paraId="5B7D7C93" w14:textId="77777777" w:rsidR="00160E7F" w:rsidRDefault="00160E7F">
      <w:pPr>
        <w:rPr>
          <w:sz w:val="10"/>
        </w:rPr>
        <w:sectPr w:rsidR="00160E7F">
          <w:pgSz w:w="11910" w:h="16840"/>
          <w:pgMar w:top="980" w:right="1680" w:bottom="280" w:left="0" w:header="788" w:footer="0" w:gutter="0"/>
          <w:cols w:space="720"/>
        </w:sectPr>
      </w:pPr>
    </w:p>
    <w:p w14:paraId="7820FF5F" w14:textId="77777777" w:rsidR="00160E7F" w:rsidRDefault="00160E7F">
      <w:pPr>
        <w:pStyle w:val="BodyText"/>
      </w:pPr>
    </w:p>
    <w:p w14:paraId="24F1D5E7" w14:textId="77777777" w:rsidR="00160E7F" w:rsidRDefault="00160E7F">
      <w:pPr>
        <w:pStyle w:val="BodyText"/>
      </w:pPr>
    </w:p>
    <w:p w14:paraId="6CA7B217" w14:textId="77777777" w:rsidR="00160E7F" w:rsidRDefault="00160E7F">
      <w:pPr>
        <w:pStyle w:val="BodyText"/>
      </w:pPr>
    </w:p>
    <w:p w14:paraId="78681EE1" w14:textId="77777777" w:rsidR="00160E7F" w:rsidRDefault="00160E7F">
      <w:pPr>
        <w:pStyle w:val="BodyText"/>
      </w:pPr>
    </w:p>
    <w:p w14:paraId="4D7587C3" w14:textId="77777777" w:rsidR="00160E7F" w:rsidRDefault="00160E7F">
      <w:pPr>
        <w:pStyle w:val="BodyText"/>
        <w:spacing w:before="8"/>
        <w:rPr>
          <w:sz w:val="17"/>
        </w:rPr>
      </w:pPr>
    </w:p>
    <w:p w14:paraId="30E61E94" w14:textId="77777777" w:rsidR="00160E7F" w:rsidRDefault="002B0299">
      <w:pPr>
        <w:pStyle w:val="BodyText"/>
        <w:spacing w:before="1"/>
        <w:ind w:left="134" w:right="789"/>
        <w:rPr>
          <w:sz w:val="11"/>
        </w:rPr>
      </w:pPr>
      <w:r>
        <w:rPr>
          <w:color w:val="58595B"/>
        </w:rPr>
        <w:t>Generally, there are four main mining activity impacts on water quality:</w:t>
      </w:r>
      <w:r>
        <w:rPr>
          <w:color w:val="58595B"/>
          <w:position w:val="7"/>
          <w:sz w:val="11"/>
        </w:rPr>
        <w:t>10</w:t>
      </w:r>
    </w:p>
    <w:p w14:paraId="072FEC56" w14:textId="77777777" w:rsidR="00160E7F" w:rsidRDefault="00160E7F">
      <w:pPr>
        <w:pStyle w:val="BodyText"/>
        <w:spacing w:before="3"/>
        <w:rPr>
          <w:sz w:val="18"/>
        </w:rPr>
      </w:pPr>
    </w:p>
    <w:p w14:paraId="548A472E" w14:textId="77777777" w:rsidR="00160E7F" w:rsidRDefault="002B0299">
      <w:pPr>
        <w:pStyle w:val="ListParagraph"/>
        <w:numPr>
          <w:ilvl w:val="0"/>
          <w:numId w:val="12"/>
        </w:numPr>
        <w:tabs>
          <w:tab w:val="left" w:pos="475"/>
        </w:tabs>
        <w:spacing w:before="0" w:line="280" w:lineRule="auto"/>
        <w:ind w:right="1843" w:hanging="340"/>
        <w:jc w:val="both"/>
        <w:rPr>
          <w:sz w:val="20"/>
        </w:rPr>
      </w:pPr>
      <w:r>
        <w:rPr>
          <w:b/>
          <w:color w:val="58595B"/>
          <w:sz w:val="20"/>
        </w:rPr>
        <w:t xml:space="preserve">Acid mine drainage </w:t>
      </w:r>
      <w:r>
        <w:rPr>
          <w:color w:val="58595B"/>
          <w:sz w:val="20"/>
        </w:rPr>
        <w:t xml:space="preserve">exposes sulphides in rocks to air and </w:t>
      </w:r>
      <w:r>
        <w:rPr>
          <w:color w:val="58595B"/>
          <w:spacing w:val="-3"/>
          <w:sz w:val="20"/>
        </w:rPr>
        <w:t xml:space="preserve">water, </w:t>
      </w:r>
      <w:r>
        <w:rPr>
          <w:color w:val="58595B"/>
          <w:sz w:val="20"/>
        </w:rPr>
        <w:t>creating sulphuric acid. Leached sulphides can be carried through the watertable or by rainwater surface run off, severely affecting local waterways and aquatic</w:t>
      </w:r>
      <w:r>
        <w:rPr>
          <w:color w:val="58595B"/>
          <w:spacing w:val="-1"/>
          <w:sz w:val="20"/>
        </w:rPr>
        <w:t xml:space="preserve"> </w:t>
      </w:r>
      <w:r>
        <w:rPr>
          <w:color w:val="58595B"/>
          <w:sz w:val="20"/>
        </w:rPr>
        <w:t>ecosystems.</w:t>
      </w:r>
    </w:p>
    <w:p w14:paraId="57D9826E" w14:textId="77777777" w:rsidR="00160E7F" w:rsidRDefault="002B0299">
      <w:pPr>
        <w:pStyle w:val="ListParagraph"/>
        <w:numPr>
          <w:ilvl w:val="0"/>
          <w:numId w:val="12"/>
        </w:numPr>
        <w:tabs>
          <w:tab w:val="left" w:pos="475"/>
        </w:tabs>
        <w:spacing w:before="172" w:line="280" w:lineRule="auto"/>
        <w:ind w:right="1472" w:hanging="340"/>
        <w:rPr>
          <w:sz w:val="20"/>
        </w:rPr>
      </w:pPr>
      <w:r>
        <w:rPr>
          <w:b/>
          <w:color w:val="58595B"/>
          <w:sz w:val="20"/>
        </w:rPr>
        <w:t xml:space="preserve">Heavy metal contamination and leaching </w:t>
      </w:r>
      <w:r>
        <w:rPr>
          <w:color w:val="58595B"/>
          <w:sz w:val="20"/>
        </w:rPr>
        <w:t>can occur when mined metals come into contact with water and move into waterways and watertables, affecting drinking water supplies and aquatic</w:t>
      </w:r>
      <w:r>
        <w:rPr>
          <w:color w:val="58595B"/>
          <w:spacing w:val="-5"/>
          <w:sz w:val="20"/>
        </w:rPr>
        <w:t xml:space="preserve"> </w:t>
      </w:r>
      <w:r>
        <w:rPr>
          <w:color w:val="58595B"/>
          <w:sz w:val="20"/>
        </w:rPr>
        <w:t>ecosystems.</w:t>
      </w:r>
    </w:p>
    <w:p w14:paraId="4E6DA42E" w14:textId="77777777" w:rsidR="00160E7F" w:rsidRDefault="002B0299">
      <w:pPr>
        <w:pStyle w:val="ListParagraph"/>
        <w:numPr>
          <w:ilvl w:val="0"/>
          <w:numId w:val="12"/>
        </w:numPr>
        <w:tabs>
          <w:tab w:val="left" w:pos="475"/>
        </w:tabs>
        <w:spacing w:before="172" w:line="280" w:lineRule="auto"/>
        <w:ind w:right="1808" w:hanging="340"/>
        <w:rPr>
          <w:sz w:val="20"/>
        </w:rPr>
      </w:pPr>
      <w:r>
        <w:rPr>
          <w:b/>
          <w:color w:val="58595B"/>
          <w:sz w:val="20"/>
        </w:rPr>
        <w:t xml:space="preserve">Processing chemicals </w:t>
      </w:r>
      <w:r>
        <w:rPr>
          <w:color w:val="58595B"/>
          <w:sz w:val="20"/>
        </w:rPr>
        <w:t>such as cyanide and sulphuric acid can be used in extractive mining</w:t>
      </w:r>
      <w:r>
        <w:rPr>
          <w:color w:val="58595B"/>
          <w:spacing w:val="-12"/>
          <w:sz w:val="20"/>
        </w:rPr>
        <w:t xml:space="preserve"> </w:t>
      </w:r>
      <w:r>
        <w:rPr>
          <w:color w:val="58595B"/>
          <w:sz w:val="20"/>
        </w:rPr>
        <w:t>activities</w:t>
      </w:r>
      <w:r>
        <w:rPr>
          <w:color w:val="58595B"/>
          <w:spacing w:val="-12"/>
          <w:sz w:val="20"/>
        </w:rPr>
        <w:t xml:space="preserve"> </w:t>
      </w:r>
      <w:r>
        <w:rPr>
          <w:color w:val="58595B"/>
          <w:sz w:val="20"/>
        </w:rPr>
        <w:t>to</w:t>
      </w:r>
      <w:r>
        <w:rPr>
          <w:color w:val="58595B"/>
          <w:spacing w:val="-12"/>
          <w:sz w:val="20"/>
        </w:rPr>
        <w:t xml:space="preserve"> </w:t>
      </w:r>
      <w:r>
        <w:rPr>
          <w:color w:val="58595B"/>
          <w:sz w:val="20"/>
        </w:rPr>
        <w:t>separate</w:t>
      </w:r>
      <w:r>
        <w:rPr>
          <w:color w:val="58595B"/>
          <w:spacing w:val="-12"/>
          <w:sz w:val="20"/>
        </w:rPr>
        <w:t xml:space="preserve"> </w:t>
      </w:r>
      <w:r>
        <w:rPr>
          <w:color w:val="58595B"/>
          <w:sz w:val="20"/>
        </w:rPr>
        <w:t>minerals</w:t>
      </w:r>
      <w:r>
        <w:rPr>
          <w:color w:val="58595B"/>
          <w:spacing w:val="-12"/>
          <w:sz w:val="20"/>
        </w:rPr>
        <w:t xml:space="preserve"> </w:t>
      </w:r>
      <w:r>
        <w:rPr>
          <w:color w:val="58595B"/>
          <w:sz w:val="20"/>
        </w:rPr>
        <w:t>from</w:t>
      </w:r>
      <w:r>
        <w:rPr>
          <w:color w:val="58595B"/>
          <w:spacing w:val="-12"/>
          <w:sz w:val="20"/>
        </w:rPr>
        <w:t xml:space="preserve"> </w:t>
      </w:r>
      <w:r>
        <w:rPr>
          <w:color w:val="58595B"/>
          <w:sz w:val="20"/>
        </w:rPr>
        <w:t>the</w:t>
      </w:r>
      <w:r>
        <w:rPr>
          <w:color w:val="58595B"/>
          <w:spacing w:val="-12"/>
          <w:sz w:val="20"/>
        </w:rPr>
        <w:t xml:space="preserve"> </w:t>
      </w:r>
      <w:r>
        <w:rPr>
          <w:color w:val="58595B"/>
          <w:spacing w:val="-2"/>
          <w:sz w:val="20"/>
        </w:rPr>
        <w:t>parent</w:t>
      </w:r>
      <w:r>
        <w:rPr>
          <w:color w:val="58595B"/>
          <w:spacing w:val="-12"/>
          <w:sz w:val="20"/>
        </w:rPr>
        <w:t xml:space="preserve"> </w:t>
      </w:r>
      <w:r>
        <w:rPr>
          <w:color w:val="58595B"/>
          <w:sz w:val="20"/>
        </w:rPr>
        <w:t>rock.</w:t>
      </w:r>
      <w:r>
        <w:rPr>
          <w:color w:val="58595B"/>
          <w:spacing w:val="-12"/>
          <w:sz w:val="20"/>
        </w:rPr>
        <w:t xml:space="preserve"> </w:t>
      </w:r>
      <w:r>
        <w:rPr>
          <w:color w:val="58595B"/>
          <w:sz w:val="20"/>
        </w:rPr>
        <w:t>If</w:t>
      </w:r>
      <w:r>
        <w:rPr>
          <w:color w:val="58595B"/>
          <w:spacing w:val="-12"/>
          <w:sz w:val="20"/>
        </w:rPr>
        <w:t xml:space="preserve"> </w:t>
      </w:r>
      <w:r>
        <w:rPr>
          <w:color w:val="58595B"/>
          <w:sz w:val="20"/>
        </w:rPr>
        <w:t>not</w:t>
      </w:r>
      <w:r>
        <w:rPr>
          <w:color w:val="58595B"/>
          <w:spacing w:val="-12"/>
          <w:sz w:val="20"/>
        </w:rPr>
        <w:t xml:space="preserve"> </w:t>
      </w:r>
      <w:r>
        <w:rPr>
          <w:color w:val="58595B"/>
          <w:sz w:val="20"/>
        </w:rPr>
        <w:t>contained</w:t>
      </w:r>
      <w:r>
        <w:rPr>
          <w:color w:val="58595B"/>
          <w:spacing w:val="-12"/>
          <w:sz w:val="20"/>
        </w:rPr>
        <w:t xml:space="preserve"> </w:t>
      </w:r>
      <w:r>
        <w:rPr>
          <w:color w:val="58595B"/>
          <w:sz w:val="20"/>
        </w:rPr>
        <w:t>in</w:t>
      </w:r>
      <w:r>
        <w:rPr>
          <w:color w:val="58595B"/>
          <w:spacing w:val="-12"/>
          <w:sz w:val="20"/>
        </w:rPr>
        <w:t xml:space="preserve"> </w:t>
      </w:r>
      <w:r>
        <w:rPr>
          <w:color w:val="58595B"/>
          <w:sz w:val="20"/>
        </w:rPr>
        <w:t>tailings</w:t>
      </w:r>
      <w:r>
        <w:rPr>
          <w:color w:val="58595B"/>
          <w:spacing w:val="-12"/>
          <w:sz w:val="20"/>
        </w:rPr>
        <w:t xml:space="preserve"> </w:t>
      </w:r>
      <w:r>
        <w:rPr>
          <w:color w:val="58595B"/>
          <w:sz w:val="20"/>
        </w:rPr>
        <w:t xml:space="preserve">dams, these chemicals can </w:t>
      </w:r>
      <w:r>
        <w:rPr>
          <w:color w:val="58595B"/>
          <w:spacing w:val="-3"/>
          <w:sz w:val="20"/>
        </w:rPr>
        <w:t xml:space="preserve">have </w:t>
      </w:r>
      <w:r>
        <w:rPr>
          <w:color w:val="58595B"/>
          <w:sz w:val="20"/>
        </w:rPr>
        <w:t xml:space="preserve">significant impacts on </w:t>
      </w:r>
      <w:r>
        <w:rPr>
          <w:color w:val="58595B"/>
          <w:spacing w:val="-3"/>
          <w:sz w:val="20"/>
        </w:rPr>
        <w:t xml:space="preserve">humans </w:t>
      </w:r>
      <w:r>
        <w:rPr>
          <w:color w:val="58595B"/>
          <w:sz w:val="20"/>
        </w:rPr>
        <w:t xml:space="preserve">and wildlife if </w:t>
      </w:r>
      <w:r>
        <w:rPr>
          <w:color w:val="58595B"/>
          <w:spacing w:val="-3"/>
          <w:sz w:val="20"/>
        </w:rPr>
        <w:t xml:space="preserve">they enter </w:t>
      </w:r>
      <w:r>
        <w:rPr>
          <w:color w:val="58595B"/>
          <w:sz w:val="20"/>
        </w:rPr>
        <w:t xml:space="preserve">the local </w:t>
      </w:r>
      <w:r>
        <w:rPr>
          <w:color w:val="58595B"/>
          <w:spacing w:val="-3"/>
          <w:sz w:val="20"/>
        </w:rPr>
        <w:t xml:space="preserve">groundwater </w:t>
      </w:r>
      <w:r>
        <w:rPr>
          <w:color w:val="58595B"/>
          <w:sz w:val="20"/>
        </w:rPr>
        <w:t>and</w:t>
      </w:r>
      <w:r>
        <w:rPr>
          <w:color w:val="58595B"/>
          <w:spacing w:val="9"/>
          <w:sz w:val="20"/>
        </w:rPr>
        <w:t xml:space="preserve"> </w:t>
      </w:r>
      <w:r>
        <w:rPr>
          <w:color w:val="58595B"/>
          <w:spacing w:val="-3"/>
          <w:sz w:val="20"/>
        </w:rPr>
        <w:t>waterways.</w:t>
      </w:r>
    </w:p>
    <w:p w14:paraId="5F4059F7" w14:textId="77777777" w:rsidR="00160E7F" w:rsidRDefault="002B0299">
      <w:pPr>
        <w:pStyle w:val="ListParagraph"/>
        <w:numPr>
          <w:ilvl w:val="0"/>
          <w:numId w:val="12"/>
        </w:numPr>
        <w:tabs>
          <w:tab w:val="left" w:pos="475"/>
        </w:tabs>
        <w:spacing w:before="172" w:line="280" w:lineRule="auto"/>
        <w:ind w:right="1584" w:hanging="340"/>
        <w:rPr>
          <w:sz w:val="20"/>
        </w:rPr>
      </w:pPr>
      <w:r>
        <w:rPr>
          <w:b/>
          <w:color w:val="58595B"/>
          <w:sz w:val="20"/>
        </w:rPr>
        <w:t xml:space="preserve">Erosion and sedimentation </w:t>
      </w:r>
      <w:r>
        <w:rPr>
          <w:color w:val="58595B"/>
          <w:sz w:val="20"/>
        </w:rPr>
        <w:t xml:space="preserve">must be actively managed by mine operators throughout the </w:t>
      </w:r>
      <w:r>
        <w:rPr>
          <w:color w:val="58595B"/>
          <w:spacing w:val="-3"/>
          <w:sz w:val="20"/>
        </w:rPr>
        <w:t xml:space="preserve">mine’s </w:t>
      </w:r>
      <w:r>
        <w:rPr>
          <w:color w:val="58595B"/>
          <w:sz w:val="20"/>
        </w:rPr>
        <w:t xml:space="preserve">life and </w:t>
      </w:r>
      <w:r>
        <w:rPr>
          <w:color w:val="58595B"/>
          <w:spacing w:val="2"/>
          <w:sz w:val="20"/>
        </w:rPr>
        <w:t xml:space="preserve">after rehabilitation </w:t>
      </w:r>
      <w:r>
        <w:rPr>
          <w:color w:val="58595B"/>
          <w:sz w:val="20"/>
        </w:rPr>
        <w:t xml:space="preserve">to </w:t>
      </w:r>
      <w:r>
        <w:rPr>
          <w:color w:val="58595B"/>
          <w:spacing w:val="2"/>
          <w:sz w:val="20"/>
        </w:rPr>
        <w:t xml:space="preserve">reduce </w:t>
      </w:r>
      <w:r>
        <w:rPr>
          <w:color w:val="58595B"/>
          <w:sz w:val="20"/>
        </w:rPr>
        <w:t xml:space="preserve">any </w:t>
      </w:r>
      <w:r>
        <w:rPr>
          <w:color w:val="58595B"/>
          <w:spacing w:val="2"/>
          <w:sz w:val="20"/>
        </w:rPr>
        <w:t xml:space="preserve">offsite </w:t>
      </w:r>
      <w:r>
        <w:rPr>
          <w:color w:val="58595B"/>
          <w:sz w:val="20"/>
        </w:rPr>
        <w:t xml:space="preserve">impacts, </w:t>
      </w:r>
      <w:r>
        <w:rPr>
          <w:color w:val="58595B"/>
          <w:spacing w:val="2"/>
          <w:sz w:val="20"/>
        </w:rPr>
        <w:t xml:space="preserve">especially </w:t>
      </w:r>
      <w:r>
        <w:rPr>
          <w:color w:val="58595B"/>
          <w:sz w:val="20"/>
        </w:rPr>
        <w:t>in heavy rainfall events or if tailings dams</w:t>
      </w:r>
      <w:r>
        <w:rPr>
          <w:color w:val="58595B"/>
          <w:spacing w:val="7"/>
          <w:sz w:val="20"/>
        </w:rPr>
        <w:t xml:space="preserve"> </w:t>
      </w:r>
      <w:r>
        <w:rPr>
          <w:color w:val="58595B"/>
          <w:sz w:val="20"/>
        </w:rPr>
        <w:t>burst.</w:t>
      </w:r>
    </w:p>
    <w:p w14:paraId="42C85017" w14:textId="77777777" w:rsidR="00160E7F" w:rsidRDefault="00160E7F">
      <w:pPr>
        <w:pStyle w:val="BodyText"/>
        <w:spacing w:before="4"/>
        <w:rPr>
          <w:sz w:val="22"/>
        </w:rPr>
      </w:pPr>
    </w:p>
    <w:p w14:paraId="19B569C2" w14:textId="77777777" w:rsidR="00160E7F" w:rsidRDefault="002B0299">
      <w:pPr>
        <w:pStyle w:val="ListParagraph"/>
        <w:numPr>
          <w:ilvl w:val="2"/>
          <w:numId w:val="13"/>
        </w:numPr>
        <w:tabs>
          <w:tab w:val="left" w:pos="766"/>
        </w:tabs>
        <w:spacing w:before="0"/>
        <w:ind w:left="765" w:hanging="631"/>
        <w:jc w:val="left"/>
        <w:rPr>
          <w:sz w:val="20"/>
        </w:rPr>
      </w:pPr>
      <w:r>
        <w:rPr>
          <w:color w:val="0095A7"/>
          <w:spacing w:val="-3"/>
          <w:sz w:val="20"/>
        </w:rPr>
        <w:t xml:space="preserve">Tailings </w:t>
      </w:r>
      <w:r>
        <w:rPr>
          <w:color w:val="0095A7"/>
          <w:sz w:val="20"/>
        </w:rPr>
        <w:t>storage</w:t>
      </w:r>
      <w:r>
        <w:rPr>
          <w:color w:val="0095A7"/>
          <w:spacing w:val="11"/>
          <w:sz w:val="20"/>
        </w:rPr>
        <w:t xml:space="preserve"> </w:t>
      </w:r>
      <w:r>
        <w:rPr>
          <w:color w:val="0095A7"/>
          <w:sz w:val="20"/>
        </w:rPr>
        <w:t>facilities</w:t>
      </w:r>
    </w:p>
    <w:p w14:paraId="5FA7046D" w14:textId="77777777" w:rsidR="00160E7F" w:rsidRDefault="002B0299">
      <w:pPr>
        <w:pStyle w:val="BodyText"/>
        <w:spacing w:before="153" w:line="280" w:lineRule="auto"/>
        <w:ind w:left="134" w:right="1526"/>
      </w:pPr>
      <w:r>
        <w:rPr>
          <w:color w:val="58595B"/>
        </w:rPr>
        <w:t>Tailings storage facilities (TSFs), also called tailings dams, are impoundment structures for disposing of the fine grained slurry waste stream that is left over from mining, and crushing and processing activities. The design and siting of TSFs is highly specific to a mine and will depend on the mine’s scale, nature and local geography.</w:t>
      </w:r>
    </w:p>
    <w:p w14:paraId="2561B858" w14:textId="77777777" w:rsidR="00160E7F" w:rsidRDefault="002B0299">
      <w:pPr>
        <w:pStyle w:val="BodyText"/>
        <w:spacing w:before="172" w:line="280" w:lineRule="auto"/>
        <w:ind w:left="134" w:right="1431"/>
      </w:pPr>
      <w:r>
        <w:rPr>
          <w:color w:val="58595B"/>
        </w:rPr>
        <w:t xml:space="preserve">Serious environmental incidents around the world and in Australia highlight the potential immediate and long term risks of </w:t>
      </w:r>
      <w:r>
        <w:rPr>
          <w:color w:val="58595B"/>
          <w:spacing w:val="-3"/>
        </w:rPr>
        <w:t xml:space="preserve">TSFs, </w:t>
      </w:r>
      <w:r>
        <w:rPr>
          <w:color w:val="58595B"/>
        </w:rPr>
        <w:t xml:space="preserve">particularly relating to their structural integrity and stability </w:t>
      </w:r>
      <w:r>
        <w:rPr>
          <w:color w:val="58595B"/>
          <w:spacing w:val="-3"/>
        </w:rPr>
        <w:t xml:space="preserve">(box </w:t>
      </w:r>
      <w:r>
        <w:rPr>
          <w:color w:val="58595B"/>
          <w:spacing w:val="-9"/>
        </w:rPr>
        <w:t xml:space="preserve">17.3). </w:t>
      </w:r>
      <w:r>
        <w:rPr>
          <w:color w:val="58595B"/>
          <w:spacing w:val="-3"/>
        </w:rPr>
        <w:t xml:space="preserve">TSFs </w:t>
      </w:r>
      <w:r>
        <w:rPr>
          <w:color w:val="58595B"/>
        </w:rPr>
        <w:t>need to be managed safely and in an environmentally responsible manner during operation. They also need to have appropriate plans for their closure and rehabilitation when operations cease.</w:t>
      </w:r>
    </w:p>
    <w:p w14:paraId="30E9CD47" w14:textId="77777777" w:rsidR="00160E7F" w:rsidRDefault="000638CB">
      <w:pPr>
        <w:pStyle w:val="BodyText"/>
        <w:spacing w:before="7"/>
        <w:rPr>
          <w:sz w:val="10"/>
        </w:rPr>
      </w:pPr>
      <w:r>
        <w:pict w14:anchorId="63607EE8">
          <v:shape id="_x0000_s1042" type="#_x0000_t202" style="position:absolute;margin-left:90.7pt;margin-top:7.3pt;width:433.75pt;height:97.5pt;z-index:2608;mso-wrap-distance-left:0;mso-wrap-distance-right:0;mso-position-horizontal-relative:page" fillcolor="#eaf2f3" stroked="f">
            <v:textbox inset="0,0,0,0">
              <w:txbxContent>
                <w:p w14:paraId="431A1E1E" w14:textId="77777777" w:rsidR="00804E46" w:rsidRDefault="00804E46">
                  <w:pPr>
                    <w:spacing w:before="128"/>
                    <w:ind w:left="170" w:right="476"/>
                    <w:rPr>
                      <w:sz w:val="20"/>
                    </w:rPr>
                  </w:pPr>
                  <w:r>
                    <w:rPr>
                      <w:b/>
                      <w:color w:val="0095A7"/>
                      <w:sz w:val="20"/>
                    </w:rPr>
                    <w:t xml:space="preserve">BOX 17.3  </w:t>
                  </w:r>
                  <w:r>
                    <w:rPr>
                      <w:color w:val="0095A7"/>
                      <w:sz w:val="20"/>
                    </w:rPr>
                    <w:t>SPILLS FROM TAILING DAMS</w:t>
                  </w:r>
                </w:p>
                <w:p w14:paraId="5C022A35" w14:textId="77777777" w:rsidR="00804E46" w:rsidRDefault="00804E46">
                  <w:pPr>
                    <w:pStyle w:val="BodyText"/>
                    <w:spacing w:before="153" w:line="280" w:lineRule="auto"/>
                    <w:ind w:left="170" w:right="254"/>
                    <w:rPr>
                      <w:sz w:val="11"/>
                    </w:rPr>
                  </w:pPr>
                  <w:r>
                    <w:rPr>
                      <w:b/>
                      <w:color w:val="58595B"/>
                    </w:rPr>
                    <w:t xml:space="preserve">Hunter Valley </w:t>
                  </w:r>
                  <w:r>
                    <w:rPr>
                      <w:color w:val="58595B"/>
                    </w:rPr>
                    <w:t>– In January 2016, spills from the tailings dams occurred at three mines – Bengalla Coal Mine, Mount Thorley Warkworth Mine and Wambo Mine – following heavy rains in the region, potentially spilling millions of litres of sediment-laden water into nearby rivers.</w:t>
                  </w:r>
                  <w:r>
                    <w:rPr>
                      <w:color w:val="58595B"/>
                      <w:position w:val="7"/>
                      <w:sz w:val="11"/>
                    </w:rPr>
                    <w:t xml:space="preserve">11 </w:t>
                  </w:r>
                  <w:r>
                    <w:rPr>
                      <w:color w:val="58595B"/>
                    </w:rPr>
                    <w:t>In the case of the Wambo Mine, the mine operator took a week to report the spill to the NSW EPA, and only when EPA officers visited the mine.</w:t>
                  </w:r>
                  <w:r>
                    <w:rPr>
                      <w:color w:val="58595B"/>
                      <w:position w:val="7"/>
                      <w:sz w:val="11"/>
                    </w:rPr>
                    <w:t>12</w:t>
                  </w:r>
                </w:p>
              </w:txbxContent>
            </v:textbox>
            <w10:wrap type="topAndBottom" anchorx="page"/>
          </v:shape>
        </w:pict>
      </w:r>
    </w:p>
    <w:p w14:paraId="1474F74F" w14:textId="77777777" w:rsidR="00160E7F" w:rsidRDefault="00160E7F">
      <w:pPr>
        <w:pStyle w:val="BodyText"/>
        <w:spacing w:before="7"/>
        <w:rPr>
          <w:sz w:val="28"/>
        </w:rPr>
      </w:pPr>
    </w:p>
    <w:p w14:paraId="6640555C" w14:textId="77777777" w:rsidR="00160E7F" w:rsidRDefault="002B0299">
      <w:pPr>
        <w:pStyle w:val="Heading3"/>
        <w:numPr>
          <w:ilvl w:val="1"/>
          <w:numId w:val="11"/>
        </w:numPr>
        <w:tabs>
          <w:tab w:val="left" w:pos="690"/>
        </w:tabs>
        <w:spacing w:before="69"/>
      </w:pPr>
      <w:r>
        <w:rPr>
          <w:color w:val="0095A7"/>
        </w:rPr>
        <w:t>The case for</w:t>
      </w:r>
      <w:r>
        <w:rPr>
          <w:color w:val="0095A7"/>
          <w:spacing w:val="25"/>
        </w:rPr>
        <w:t xml:space="preserve"> </w:t>
      </w:r>
      <w:r>
        <w:rPr>
          <w:color w:val="0095A7"/>
        </w:rPr>
        <w:t>change</w:t>
      </w:r>
    </w:p>
    <w:p w14:paraId="4D178516" w14:textId="77777777" w:rsidR="00160E7F" w:rsidRDefault="002B0299">
      <w:pPr>
        <w:pStyle w:val="BodyText"/>
        <w:spacing w:before="145" w:line="280" w:lineRule="auto"/>
        <w:ind w:left="134" w:right="1994"/>
      </w:pPr>
      <w:r>
        <w:rPr>
          <w:color w:val="58595B"/>
        </w:rPr>
        <w:t>Throughout our consultations, stakeholders raised concerns about the current regulatory arrangements for the mining industry in Victoria. They were particularly concerned about the potential conflict of interest in having the primary mining regulator – ERR – reside in</w:t>
      </w:r>
      <w:r>
        <w:rPr>
          <w:color w:val="58595B"/>
          <w:spacing w:val="14"/>
        </w:rPr>
        <w:t xml:space="preserve"> </w:t>
      </w:r>
      <w:r>
        <w:rPr>
          <w:color w:val="58595B"/>
        </w:rPr>
        <w:t>the</w:t>
      </w:r>
    </w:p>
    <w:p w14:paraId="1A596E97" w14:textId="77777777" w:rsidR="00160E7F" w:rsidRDefault="002B0299">
      <w:pPr>
        <w:pStyle w:val="BodyText"/>
        <w:spacing w:before="2" w:line="280" w:lineRule="auto"/>
        <w:ind w:left="134" w:right="1716"/>
      </w:pPr>
      <w:r>
        <w:rPr>
          <w:color w:val="58595B"/>
        </w:rPr>
        <w:t>Department of Economic Development, Jobs, Transport and Resources, which seeks to foster and develop the mining industry.</w:t>
      </w:r>
    </w:p>
    <w:p w14:paraId="73F46946" w14:textId="77777777" w:rsidR="00160E7F" w:rsidRDefault="00160E7F">
      <w:pPr>
        <w:spacing w:line="280" w:lineRule="auto"/>
        <w:sectPr w:rsidR="00160E7F">
          <w:pgSz w:w="11910" w:h="16840"/>
          <w:pgMar w:top="980" w:right="0" w:bottom="280" w:left="1680" w:header="788" w:footer="0" w:gutter="0"/>
          <w:cols w:space="720"/>
        </w:sectPr>
      </w:pPr>
    </w:p>
    <w:p w14:paraId="02779B25" w14:textId="77777777" w:rsidR="00160E7F" w:rsidRDefault="00160E7F">
      <w:pPr>
        <w:pStyle w:val="BodyText"/>
      </w:pPr>
    </w:p>
    <w:p w14:paraId="41877F88" w14:textId="77777777" w:rsidR="00160E7F" w:rsidRDefault="00160E7F">
      <w:pPr>
        <w:pStyle w:val="BodyText"/>
      </w:pPr>
    </w:p>
    <w:p w14:paraId="06345AE1" w14:textId="77777777" w:rsidR="00160E7F" w:rsidRDefault="00160E7F">
      <w:pPr>
        <w:pStyle w:val="BodyText"/>
      </w:pPr>
    </w:p>
    <w:p w14:paraId="218F2562" w14:textId="77777777" w:rsidR="00160E7F" w:rsidRDefault="00160E7F">
      <w:pPr>
        <w:pStyle w:val="BodyText"/>
      </w:pPr>
    </w:p>
    <w:p w14:paraId="0B99EA8F" w14:textId="77777777" w:rsidR="00160E7F" w:rsidRDefault="00160E7F">
      <w:pPr>
        <w:pStyle w:val="BodyText"/>
        <w:spacing w:before="8"/>
        <w:rPr>
          <w:sz w:val="17"/>
        </w:rPr>
      </w:pPr>
    </w:p>
    <w:p w14:paraId="2AC82E24" w14:textId="77777777" w:rsidR="00160E7F" w:rsidRDefault="002B0299">
      <w:pPr>
        <w:pStyle w:val="BodyText"/>
        <w:spacing w:before="1" w:line="280" w:lineRule="auto"/>
        <w:ind w:left="1417" w:right="343"/>
      </w:pPr>
      <w:r>
        <w:rPr>
          <w:color w:val="58595B"/>
        </w:rPr>
        <w:t xml:space="preserve">The </w:t>
      </w:r>
      <w:r>
        <w:rPr>
          <w:color w:val="58595B"/>
          <w:spacing w:val="-7"/>
        </w:rPr>
        <w:t xml:space="preserve">EPA’s </w:t>
      </w:r>
      <w:r>
        <w:rPr>
          <w:color w:val="58595B"/>
        </w:rPr>
        <w:t xml:space="preserve">current regulatory role is largely confined to those mine sites that are required to have a works approval and licences because the mining activities are likely to generate ‘offsite discharges’. Five of Victoria’s operating licensed mines hold an </w:t>
      </w:r>
      <w:r>
        <w:rPr>
          <w:color w:val="58595B"/>
          <w:spacing w:val="-4"/>
        </w:rPr>
        <w:t xml:space="preserve">EPA </w:t>
      </w:r>
      <w:r>
        <w:rPr>
          <w:color w:val="58595B"/>
        </w:rPr>
        <w:t xml:space="preserve">licence that sets accepted limits for offsite discharges to </w:t>
      </w:r>
      <w:r>
        <w:rPr>
          <w:color w:val="58595B"/>
          <w:spacing w:val="-4"/>
        </w:rPr>
        <w:t xml:space="preserve">air, </w:t>
      </w:r>
      <w:r>
        <w:rPr>
          <w:color w:val="58595B"/>
        </w:rPr>
        <w:t xml:space="preserve">water and </w:t>
      </w:r>
      <w:r>
        <w:rPr>
          <w:color w:val="58595B"/>
          <w:spacing w:val="-4"/>
        </w:rPr>
        <w:t>land.</w:t>
      </w:r>
      <w:r>
        <w:rPr>
          <w:color w:val="58595B"/>
          <w:spacing w:val="-4"/>
          <w:position w:val="7"/>
          <w:sz w:val="11"/>
        </w:rPr>
        <w:t xml:space="preserve">13 </w:t>
      </w:r>
      <w:r>
        <w:rPr>
          <w:color w:val="58595B"/>
        </w:rPr>
        <w:t xml:space="preserve">These licensed mines must also have sought an </w:t>
      </w:r>
      <w:r>
        <w:rPr>
          <w:color w:val="58595B"/>
          <w:spacing w:val="-4"/>
        </w:rPr>
        <w:t xml:space="preserve">EPA </w:t>
      </w:r>
      <w:r>
        <w:rPr>
          <w:color w:val="58595B"/>
        </w:rPr>
        <w:t>works approval to construct mining infrastructure before commencing operations, and need to obtain a new works approval for modifications to equipment or new equipment</w:t>
      </w:r>
      <w:r>
        <w:rPr>
          <w:color w:val="58595B"/>
          <w:spacing w:val="-6"/>
        </w:rPr>
        <w:t xml:space="preserve"> </w:t>
      </w:r>
      <w:r>
        <w:rPr>
          <w:color w:val="58595B"/>
        </w:rPr>
        <w:t>that:</w:t>
      </w:r>
    </w:p>
    <w:p w14:paraId="5C9EEBC6" w14:textId="77777777" w:rsidR="00160E7F" w:rsidRDefault="002B0299">
      <w:pPr>
        <w:pStyle w:val="ListParagraph"/>
        <w:numPr>
          <w:ilvl w:val="2"/>
          <w:numId w:val="11"/>
        </w:numPr>
        <w:tabs>
          <w:tab w:val="left" w:pos="1588"/>
        </w:tabs>
        <w:spacing w:before="115"/>
        <w:ind w:hanging="170"/>
        <w:rPr>
          <w:sz w:val="20"/>
        </w:rPr>
      </w:pPr>
      <w:r>
        <w:rPr>
          <w:color w:val="58595B"/>
          <w:sz w:val="20"/>
        </w:rPr>
        <w:t>results in a new</w:t>
      </w:r>
      <w:r>
        <w:rPr>
          <w:color w:val="58595B"/>
          <w:spacing w:val="-2"/>
          <w:sz w:val="20"/>
        </w:rPr>
        <w:t xml:space="preserve"> </w:t>
      </w:r>
      <w:r>
        <w:rPr>
          <w:color w:val="58595B"/>
          <w:sz w:val="20"/>
        </w:rPr>
        <w:t>discharge</w:t>
      </w:r>
    </w:p>
    <w:p w14:paraId="57C7FCD2" w14:textId="77777777" w:rsidR="00160E7F" w:rsidRDefault="002B0299">
      <w:pPr>
        <w:pStyle w:val="ListParagraph"/>
        <w:numPr>
          <w:ilvl w:val="2"/>
          <w:numId w:val="11"/>
        </w:numPr>
        <w:tabs>
          <w:tab w:val="left" w:pos="1588"/>
        </w:tabs>
        <w:spacing w:before="153"/>
        <w:ind w:hanging="170"/>
        <w:rPr>
          <w:sz w:val="20"/>
        </w:rPr>
      </w:pPr>
      <w:r>
        <w:rPr>
          <w:color w:val="58595B"/>
          <w:sz w:val="20"/>
        </w:rPr>
        <w:t>increases or alters the existing discharge, or</w:t>
      </w:r>
    </w:p>
    <w:p w14:paraId="2E3AE1BA" w14:textId="77777777" w:rsidR="00160E7F" w:rsidRDefault="002B0299">
      <w:pPr>
        <w:pStyle w:val="ListParagraph"/>
        <w:numPr>
          <w:ilvl w:val="2"/>
          <w:numId w:val="11"/>
        </w:numPr>
        <w:tabs>
          <w:tab w:val="left" w:pos="1588"/>
        </w:tabs>
        <w:spacing w:before="153"/>
        <w:ind w:hanging="170"/>
        <w:rPr>
          <w:sz w:val="11"/>
        </w:rPr>
      </w:pPr>
      <w:r>
        <w:rPr>
          <w:color w:val="58595B"/>
          <w:sz w:val="20"/>
        </w:rPr>
        <w:t xml:space="preserve">changes the </w:t>
      </w:r>
      <w:r>
        <w:rPr>
          <w:color w:val="58595B"/>
          <w:spacing w:val="-2"/>
          <w:sz w:val="20"/>
        </w:rPr>
        <w:t xml:space="preserve">way </w:t>
      </w:r>
      <w:r>
        <w:rPr>
          <w:color w:val="58595B"/>
          <w:sz w:val="20"/>
        </w:rPr>
        <w:t>a discharge is treated or</w:t>
      </w:r>
      <w:r>
        <w:rPr>
          <w:color w:val="58595B"/>
          <w:spacing w:val="15"/>
          <w:sz w:val="20"/>
        </w:rPr>
        <w:t xml:space="preserve"> </w:t>
      </w:r>
      <w:r>
        <w:rPr>
          <w:color w:val="58595B"/>
          <w:spacing w:val="-3"/>
          <w:sz w:val="20"/>
        </w:rPr>
        <w:t>stored.</w:t>
      </w:r>
      <w:r>
        <w:rPr>
          <w:color w:val="58595B"/>
          <w:spacing w:val="-3"/>
          <w:position w:val="7"/>
          <w:sz w:val="11"/>
        </w:rPr>
        <w:t>14</w:t>
      </w:r>
    </w:p>
    <w:p w14:paraId="23F26374" w14:textId="77777777" w:rsidR="00160E7F" w:rsidRDefault="00160E7F">
      <w:pPr>
        <w:pStyle w:val="BodyText"/>
        <w:spacing w:before="7"/>
        <w:rPr>
          <w:sz w:val="25"/>
        </w:rPr>
      </w:pPr>
    </w:p>
    <w:p w14:paraId="24DE2C8A" w14:textId="77777777" w:rsidR="00160E7F" w:rsidRDefault="002B0299">
      <w:pPr>
        <w:pStyle w:val="ListParagraph"/>
        <w:numPr>
          <w:ilvl w:val="2"/>
          <w:numId w:val="10"/>
        </w:numPr>
        <w:tabs>
          <w:tab w:val="left" w:pos="1982"/>
        </w:tabs>
        <w:spacing w:before="0"/>
        <w:jc w:val="left"/>
        <w:rPr>
          <w:sz w:val="20"/>
        </w:rPr>
      </w:pPr>
      <w:r>
        <w:rPr>
          <w:color w:val="0095A7"/>
          <w:sz w:val="20"/>
        </w:rPr>
        <w:t>Expertise of a specialist environmental</w:t>
      </w:r>
      <w:r>
        <w:rPr>
          <w:color w:val="0095A7"/>
          <w:spacing w:val="10"/>
          <w:sz w:val="20"/>
        </w:rPr>
        <w:t xml:space="preserve"> </w:t>
      </w:r>
      <w:r>
        <w:rPr>
          <w:color w:val="0095A7"/>
          <w:sz w:val="20"/>
        </w:rPr>
        <w:t>regulator</w:t>
      </w:r>
    </w:p>
    <w:p w14:paraId="7A5F63F9" w14:textId="77777777" w:rsidR="00160E7F" w:rsidRDefault="002B0299">
      <w:pPr>
        <w:pStyle w:val="BodyText"/>
        <w:spacing w:before="153" w:line="280" w:lineRule="auto"/>
        <w:ind w:left="1417" w:right="131"/>
      </w:pPr>
      <w:r>
        <w:rPr>
          <w:color w:val="58595B"/>
        </w:rPr>
        <w:t xml:space="preserve">The </w:t>
      </w:r>
      <w:r>
        <w:rPr>
          <w:color w:val="58595B"/>
          <w:spacing w:val="-5"/>
        </w:rPr>
        <w:t xml:space="preserve">EPA </w:t>
      </w:r>
      <w:r>
        <w:rPr>
          <w:color w:val="58595B"/>
        </w:rPr>
        <w:t xml:space="preserve">currently </w:t>
      </w:r>
      <w:r>
        <w:rPr>
          <w:color w:val="58595B"/>
          <w:spacing w:val="-3"/>
        </w:rPr>
        <w:t xml:space="preserve">plays </w:t>
      </w:r>
      <w:r>
        <w:rPr>
          <w:color w:val="58595B"/>
        </w:rPr>
        <w:t xml:space="preserve">a minor role in relation to other mining </w:t>
      </w:r>
      <w:r>
        <w:rPr>
          <w:color w:val="58595B"/>
          <w:spacing w:val="-3"/>
        </w:rPr>
        <w:t xml:space="preserve">activity, </w:t>
      </w:r>
      <w:r>
        <w:rPr>
          <w:color w:val="58595B"/>
        </w:rPr>
        <w:t xml:space="preserve">noting that the </w:t>
      </w:r>
      <w:r>
        <w:rPr>
          <w:color w:val="58595B"/>
          <w:spacing w:val="-5"/>
        </w:rPr>
        <w:t xml:space="preserve">EPA </w:t>
      </w:r>
      <w:r>
        <w:rPr>
          <w:color w:val="58595B"/>
        </w:rPr>
        <w:t xml:space="preserve">and ERR </w:t>
      </w:r>
      <w:r>
        <w:rPr>
          <w:color w:val="58595B"/>
          <w:spacing w:val="-3"/>
        </w:rPr>
        <w:t xml:space="preserve">have </w:t>
      </w:r>
      <w:r>
        <w:rPr>
          <w:color w:val="58595B"/>
        </w:rPr>
        <w:t xml:space="preserve">developed a work </w:t>
      </w:r>
      <w:r>
        <w:rPr>
          <w:color w:val="58595B"/>
          <w:spacing w:val="-2"/>
        </w:rPr>
        <w:t xml:space="preserve">agreement </w:t>
      </w:r>
      <w:r>
        <w:rPr>
          <w:color w:val="58595B"/>
        </w:rPr>
        <w:t xml:space="preserve">to </w:t>
      </w:r>
      <w:r>
        <w:rPr>
          <w:color w:val="58595B"/>
          <w:spacing w:val="-3"/>
        </w:rPr>
        <w:t xml:space="preserve">improve </w:t>
      </w:r>
      <w:r>
        <w:rPr>
          <w:color w:val="58595B"/>
        </w:rPr>
        <w:t xml:space="preserve">the process. </w:t>
      </w:r>
      <w:r>
        <w:rPr>
          <w:color w:val="58595B"/>
          <w:spacing w:val="-3"/>
        </w:rPr>
        <w:t xml:space="preserve">Box </w:t>
      </w:r>
      <w:r>
        <w:rPr>
          <w:color w:val="58595B"/>
          <w:spacing w:val="-10"/>
        </w:rPr>
        <w:t xml:space="preserve">17.4 </w:t>
      </w:r>
      <w:r>
        <w:rPr>
          <w:color w:val="58595B"/>
        </w:rPr>
        <w:t>sets out the current arrangements</w:t>
      </w:r>
      <w:r>
        <w:rPr>
          <w:color w:val="58595B"/>
          <w:spacing w:val="-13"/>
        </w:rPr>
        <w:t xml:space="preserve"> </w:t>
      </w:r>
      <w:r>
        <w:rPr>
          <w:color w:val="58595B"/>
        </w:rPr>
        <w:t>for</w:t>
      </w:r>
      <w:r>
        <w:rPr>
          <w:color w:val="58595B"/>
          <w:spacing w:val="-13"/>
        </w:rPr>
        <w:t xml:space="preserve"> </w:t>
      </w:r>
      <w:r>
        <w:rPr>
          <w:color w:val="58595B"/>
        </w:rPr>
        <w:t>mining</w:t>
      </w:r>
      <w:r>
        <w:rPr>
          <w:color w:val="58595B"/>
          <w:spacing w:val="-13"/>
        </w:rPr>
        <w:t xml:space="preserve"> </w:t>
      </w:r>
      <w:r>
        <w:rPr>
          <w:color w:val="58595B"/>
        </w:rPr>
        <w:t>regulation</w:t>
      </w:r>
      <w:r>
        <w:rPr>
          <w:color w:val="58595B"/>
          <w:spacing w:val="-13"/>
        </w:rPr>
        <w:t xml:space="preserve"> </w:t>
      </w:r>
      <w:r>
        <w:rPr>
          <w:color w:val="58595B"/>
        </w:rPr>
        <w:t>which</w:t>
      </w:r>
      <w:r>
        <w:rPr>
          <w:color w:val="58595B"/>
          <w:spacing w:val="-13"/>
        </w:rPr>
        <w:t xml:space="preserve"> </w:t>
      </w:r>
      <w:r>
        <w:rPr>
          <w:color w:val="58595B"/>
        </w:rPr>
        <w:t>provide</w:t>
      </w:r>
      <w:r>
        <w:rPr>
          <w:color w:val="58595B"/>
          <w:spacing w:val="-13"/>
        </w:rPr>
        <w:t xml:space="preserve"> </w:t>
      </w:r>
      <w:r>
        <w:rPr>
          <w:color w:val="58595B"/>
        </w:rPr>
        <w:t>for</w:t>
      </w:r>
      <w:r>
        <w:rPr>
          <w:color w:val="58595B"/>
          <w:spacing w:val="-13"/>
        </w:rPr>
        <w:t xml:space="preserve"> </w:t>
      </w:r>
      <w:r>
        <w:rPr>
          <w:color w:val="58595B"/>
        </w:rPr>
        <w:t>limited</w:t>
      </w:r>
      <w:r>
        <w:rPr>
          <w:color w:val="58595B"/>
          <w:spacing w:val="-13"/>
        </w:rPr>
        <w:t xml:space="preserve"> </w:t>
      </w:r>
      <w:r>
        <w:rPr>
          <w:color w:val="58595B"/>
        </w:rPr>
        <w:t>and</w:t>
      </w:r>
      <w:r>
        <w:rPr>
          <w:color w:val="58595B"/>
          <w:spacing w:val="-13"/>
        </w:rPr>
        <w:t xml:space="preserve"> </w:t>
      </w:r>
      <w:r>
        <w:rPr>
          <w:color w:val="58595B"/>
        </w:rPr>
        <w:t>ad</w:t>
      </w:r>
      <w:r>
        <w:rPr>
          <w:color w:val="58595B"/>
          <w:spacing w:val="-13"/>
        </w:rPr>
        <w:t xml:space="preserve"> </w:t>
      </w:r>
      <w:r>
        <w:rPr>
          <w:color w:val="58595B"/>
        </w:rPr>
        <w:t>hoc</w:t>
      </w:r>
      <w:r>
        <w:rPr>
          <w:color w:val="58595B"/>
          <w:spacing w:val="-13"/>
        </w:rPr>
        <w:t xml:space="preserve"> </w:t>
      </w:r>
      <w:r>
        <w:rPr>
          <w:color w:val="58595B"/>
        </w:rPr>
        <w:t>consultations</w:t>
      </w:r>
      <w:r>
        <w:rPr>
          <w:color w:val="58595B"/>
          <w:spacing w:val="-13"/>
        </w:rPr>
        <w:t xml:space="preserve"> </w:t>
      </w:r>
      <w:r>
        <w:rPr>
          <w:color w:val="58595B"/>
        </w:rPr>
        <w:t>with</w:t>
      </w:r>
      <w:r>
        <w:rPr>
          <w:color w:val="58595B"/>
          <w:spacing w:val="-13"/>
        </w:rPr>
        <w:t xml:space="preserve"> </w:t>
      </w:r>
      <w:r>
        <w:rPr>
          <w:color w:val="58595B"/>
        </w:rPr>
        <w:t>the</w:t>
      </w:r>
      <w:r>
        <w:rPr>
          <w:color w:val="58595B"/>
          <w:spacing w:val="-13"/>
        </w:rPr>
        <w:t xml:space="preserve"> </w:t>
      </w:r>
      <w:r>
        <w:rPr>
          <w:color w:val="58595B"/>
          <w:spacing w:val="-3"/>
        </w:rPr>
        <w:t>EPA.</w:t>
      </w:r>
    </w:p>
    <w:p w14:paraId="388B505A" w14:textId="2BF20DBE" w:rsidR="00160E7F" w:rsidRDefault="000638CB">
      <w:pPr>
        <w:pStyle w:val="BodyText"/>
        <w:spacing w:before="5"/>
        <w:rPr>
          <w:sz w:val="12"/>
        </w:rPr>
      </w:pPr>
      <w:r>
        <w:pict w14:anchorId="07F1888A">
          <v:rect id="_x0000_s1041" style="position:absolute;margin-left:70.85pt;margin-top:4.5pt;width:433.7pt;height:377.1pt;z-index:-89464;mso-position-horizontal-relative:page" fillcolor="#eaf2f3" stroked="f">
            <w10:wrap anchorx="page"/>
          </v:rect>
        </w:pict>
      </w:r>
    </w:p>
    <w:p w14:paraId="53966123" w14:textId="59BFBE3D" w:rsidR="00160E7F" w:rsidRDefault="002B0299">
      <w:pPr>
        <w:pStyle w:val="BodyText"/>
        <w:spacing w:before="75"/>
        <w:ind w:left="1587" w:right="789"/>
      </w:pPr>
      <w:r>
        <w:rPr>
          <w:b/>
          <w:color w:val="0095A7"/>
        </w:rPr>
        <w:t xml:space="preserve">BOX 17.4 </w:t>
      </w:r>
      <w:r>
        <w:rPr>
          <w:color w:val="0095A7"/>
        </w:rPr>
        <w:t>CURRENT MINING REGULATION ARRANGEMENTS IN VICTORIA</w:t>
      </w:r>
    </w:p>
    <w:p w14:paraId="4B1970C1" w14:textId="77777777" w:rsidR="00160E7F" w:rsidRDefault="002B0299">
      <w:pPr>
        <w:pStyle w:val="BodyText"/>
        <w:spacing w:before="153" w:line="280" w:lineRule="auto"/>
        <w:ind w:left="1587" w:right="405"/>
      </w:pPr>
      <w:r>
        <w:rPr>
          <w:color w:val="58595B"/>
        </w:rPr>
        <w:t xml:space="preserve">The </w:t>
      </w:r>
      <w:r>
        <w:rPr>
          <w:i/>
          <w:color w:val="58595B"/>
        </w:rPr>
        <w:t xml:space="preserve">Mineral Resources (Sustainable Development) Act 1990 </w:t>
      </w:r>
      <w:r>
        <w:rPr>
          <w:color w:val="58595B"/>
        </w:rPr>
        <w:t>is the primary vehicle for regulating mineral exploration, prospecting and mining. It covers all stages in a mine’s lifecycle from exploration, proving, design, construction, operation, closure and rehabilitation.</w:t>
      </w:r>
    </w:p>
    <w:p w14:paraId="2A076B50" w14:textId="77777777" w:rsidR="00160E7F" w:rsidRDefault="002B0299">
      <w:pPr>
        <w:pStyle w:val="BodyText"/>
        <w:spacing w:before="172" w:line="280" w:lineRule="auto"/>
        <w:ind w:left="1587" w:right="405"/>
        <w:rPr>
          <w:sz w:val="11"/>
        </w:rPr>
      </w:pPr>
      <w:r>
        <w:rPr>
          <w:color w:val="58595B"/>
        </w:rPr>
        <w:t>ERR oversees general aspects including assisting the Minister for Energy and Resources in granting mining licences (that include conditions and set the rehabilitation bond), approving work plans and work authorities, overseeing general day-to-day operations (such as public safety and amenity, blasting impacts), and site remediation planning and activity.</w:t>
      </w:r>
      <w:r>
        <w:rPr>
          <w:color w:val="58595B"/>
          <w:position w:val="7"/>
          <w:sz w:val="11"/>
        </w:rPr>
        <w:t>15</w:t>
      </w:r>
    </w:p>
    <w:p w14:paraId="79ACB5AC" w14:textId="77777777" w:rsidR="00160E7F" w:rsidRDefault="002B0299">
      <w:pPr>
        <w:pStyle w:val="BodyText"/>
        <w:spacing w:before="172" w:line="280" w:lineRule="auto"/>
        <w:ind w:left="1587" w:right="405"/>
      </w:pPr>
      <w:r>
        <w:rPr>
          <w:color w:val="58595B"/>
        </w:rPr>
        <w:t>The Minister grants licences (exploration, retention, mining or prospecting) with conditions. The</w:t>
      </w:r>
      <w:r>
        <w:rPr>
          <w:color w:val="58595B"/>
          <w:spacing w:val="-7"/>
        </w:rPr>
        <w:t xml:space="preserve"> </w:t>
      </w:r>
      <w:r>
        <w:rPr>
          <w:color w:val="58595B"/>
        </w:rPr>
        <w:t>licence</w:t>
      </w:r>
      <w:r>
        <w:rPr>
          <w:color w:val="58595B"/>
          <w:spacing w:val="-10"/>
        </w:rPr>
        <w:t xml:space="preserve"> </w:t>
      </w:r>
      <w:r>
        <w:rPr>
          <w:color w:val="58595B"/>
        </w:rPr>
        <w:t>allocates</w:t>
      </w:r>
      <w:r>
        <w:rPr>
          <w:color w:val="58595B"/>
          <w:spacing w:val="-10"/>
        </w:rPr>
        <w:t xml:space="preserve"> </w:t>
      </w:r>
      <w:r>
        <w:rPr>
          <w:color w:val="58595B"/>
        </w:rPr>
        <w:t>the</w:t>
      </w:r>
      <w:r>
        <w:rPr>
          <w:color w:val="58595B"/>
          <w:spacing w:val="-10"/>
        </w:rPr>
        <w:t xml:space="preserve"> </w:t>
      </w:r>
      <w:r>
        <w:rPr>
          <w:color w:val="58595B"/>
        </w:rPr>
        <w:t>private</w:t>
      </w:r>
      <w:r>
        <w:rPr>
          <w:color w:val="58595B"/>
          <w:spacing w:val="-10"/>
        </w:rPr>
        <w:t xml:space="preserve"> </w:t>
      </w:r>
      <w:r>
        <w:rPr>
          <w:color w:val="58595B"/>
        </w:rPr>
        <w:t>entity</w:t>
      </w:r>
      <w:r>
        <w:rPr>
          <w:color w:val="58595B"/>
          <w:spacing w:val="-10"/>
        </w:rPr>
        <w:t xml:space="preserve"> </w:t>
      </w:r>
      <w:r>
        <w:rPr>
          <w:color w:val="58595B"/>
        </w:rPr>
        <w:t>a</w:t>
      </w:r>
      <w:r>
        <w:rPr>
          <w:color w:val="58595B"/>
          <w:spacing w:val="-10"/>
        </w:rPr>
        <w:t xml:space="preserve"> </w:t>
      </w:r>
      <w:r>
        <w:rPr>
          <w:color w:val="58595B"/>
        </w:rPr>
        <w:t>right</w:t>
      </w:r>
      <w:r>
        <w:rPr>
          <w:color w:val="58595B"/>
          <w:spacing w:val="-10"/>
        </w:rPr>
        <w:t xml:space="preserve"> </w:t>
      </w:r>
      <w:r>
        <w:rPr>
          <w:color w:val="58595B"/>
        </w:rPr>
        <w:t>to</w:t>
      </w:r>
      <w:r>
        <w:rPr>
          <w:color w:val="58595B"/>
          <w:spacing w:val="-10"/>
        </w:rPr>
        <w:t xml:space="preserve"> </w:t>
      </w:r>
      <w:r>
        <w:rPr>
          <w:color w:val="58595B"/>
        </w:rPr>
        <w:t>exploit</w:t>
      </w:r>
      <w:r>
        <w:rPr>
          <w:color w:val="58595B"/>
          <w:spacing w:val="-10"/>
        </w:rPr>
        <w:t xml:space="preserve"> </w:t>
      </w:r>
      <w:r>
        <w:rPr>
          <w:color w:val="58595B"/>
        </w:rPr>
        <w:t>the</w:t>
      </w:r>
      <w:r>
        <w:rPr>
          <w:color w:val="58595B"/>
          <w:spacing w:val="-10"/>
        </w:rPr>
        <w:t xml:space="preserve"> </w:t>
      </w:r>
      <w:r>
        <w:rPr>
          <w:color w:val="58595B"/>
          <w:spacing w:val="-4"/>
        </w:rPr>
        <w:t>Crown’s</w:t>
      </w:r>
      <w:r>
        <w:rPr>
          <w:color w:val="58595B"/>
          <w:spacing w:val="-10"/>
        </w:rPr>
        <w:t xml:space="preserve"> </w:t>
      </w:r>
      <w:r>
        <w:rPr>
          <w:color w:val="58595B"/>
        </w:rPr>
        <w:t>resources.</w:t>
      </w:r>
      <w:r>
        <w:rPr>
          <w:color w:val="58595B"/>
          <w:spacing w:val="-10"/>
        </w:rPr>
        <w:t xml:space="preserve"> </w:t>
      </w:r>
      <w:r>
        <w:rPr>
          <w:color w:val="58595B"/>
        </w:rPr>
        <w:t>Licences</w:t>
      </w:r>
      <w:r>
        <w:rPr>
          <w:color w:val="58595B"/>
          <w:spacing w:val="-10"/>
        </w:rPr>
        <w:t xml:space="preserve"> </w:t>
      </w:r>
      <w:r>
        <w:rPr>
          <w:color w:val="58595B"/>
          <w:spacing w:val="-3"/>
        </w:rPr>
        <w:t xml:space="preserve">may </w:t>
      </w:r>
      <w:r>
        <w:rPr>
          <w:color w:val="58595B"/>
        </w:rPr>
        <w:t>be granted for up to 20 years or longer if the Minister decides, and may be renewed.</w:t>
      </w:r>
      <w:r>
        <w:rPr>
          <w:color w:val="58595B"/>
          <w:position w:val="7"/>
          <w:sz w:val="11"/>
        </w:rPr>
        <w:t xml:space="preserve">16 </w:t>
      </w:r>
      <w:r>
        <w:rPr>
          <w:color w:val="58595B"/>
        </w:rPr>
        <w:t xml:space="preserve">The Department Head </w:t>
      </w:r>
      <w:r>
        <w:rPr>
          <w:color w:val="58595B"/>
          <w:spacing w:val="-3"/>
        </w:rPr>
        <w:t xml:space="preserve">approves </w:t>
      </w:r>
      <w:r>
        <w:rPr>
          <w:color w:val="58595B"/>
        </w:rPr>
        <w:t xml:space="preserve">the </w:t>
      </w:r>
      <w:r>
        <w:rPr>
          <w:color w:val="58595B"/>
          <w:spacing w:val="-3"/>
        </w:rPr>
        <w:t xml:space="preserve">subsequent </w:t>
      </w:r>
      <w:r>
        <w:rPr>
          <w:color w:val="58595B"/>
        </w:rPr>
        <w:t xml:space="preserve">work </w:t>
      </w:r>
      <w:r>
        <w:rPr>
          <w:color w:val="58595B"/>
          <w:spacing w:val="-6"/>
        </w:rPr>
        <w:t>plan,</w:t>
      </w:r>
      <w:r>
        <w:rPr>
          <w:color w:val="58595B"/>
          <w:spacing w:val="-6"/>
          <w:position w:val="7"/>
          <w:sz w:val="11"/>
        </w:rPr>
        <w:t xml:space="preserve">17 </w:t>
      </w:r>
      <w:r>
        <w:rPr>
          <w:color w:val="58595B"/>
        </w:rPr>
        <w:t>which is the principal regulatory instrument</w:t>
      </w:r>
      <w:r>
        <w:rPr>
          <w:color w:val="58595B"/>
          <w:spacing w:val="-7"/>
        </w:rPr>
        <w:t xml:space="preserve"> </w:t>
      </w:r>
      <w:r>
        <w:rPr>
          <w:color w:val="58595B"/>
        </w:rPr>
        <w:t>for</w:t>
      </w:r>
      <w:r>
        <w:rPr>
          <w:color w:val="58595B"/>
          <w:spacing w:val="-7"/>
        </w:rPr>
        <w:t xml:space="preserve"> </w:t>
      </w:r>
      <w:r>
        <w:rPr>
          <w:color w:val="58595B"/>
        </w:rPr>
        <w:t>mining</w:t>
      </w:r>
      <w:r>
        <w:rPr>
          <w:color w:val="58595B"/>
          <w:spacing w:val="-7"/>
        </w:rPr>
        <w:t xml:space="preserve"> </w:t>
      </w:r>
      <w:r>
        <w:rPr>
          <w:color w:val="58595B"/>
        </w:rPr>
        <w:t>activities.</w:t>
      </w:r>
      <w:r>
        <w:rPr>
          <w:color w:val="58595B"/>
          <w:spacing w:val="-4"/>
        </w:rPr>
        <w:t xml:space="preserve"> </w:t>
      </w:r>
      <w:r>
        <w:rPr>
          <w:color w:val="58595B"/>
        </w:rPr>
        <w:t>It</w:t>
      </w:r>
      <w:r>
        <w:rPr>
          <w:color w:val="58595B"/>
          <w:spacing w:val="-4"/>
        </w:rPr>
        <w:t xml:space="preserve"> </w:t>
      </w:r>
      <w:r>
        <w:rPr>
          <w:color w:val="58595B"/>
        </w:rPr>
        <w:t>covers</w:t>
      </w:r>
      <w:r>
        <w:rPr>
          <w:color w:val="58595B"/>
          <w:spacing w:val="-4"/>
        </w:rPr>
        <w:t xml:space="preserve"> </w:t>
      </w:r>
      <w:r>
        <w:rPr>
          <w:color w:val="58595B"/>
        </w:rPr>
        <w:t>not</w:t>
      </w:r>
      <w:r>
        <w:rPr>
          <w:color w:val="58595B"/>
          <w:spacing w:val="-4"/>
        </w:rPr>
        <w:t xml:space="preserve"> </w:t>
      </w:r>
      <w:r>
        <w:rPr>
          <w:color w:val="58595B"/>
        </w:rPr>
        <w:t>just</w:t>
      </w:r>
      <w:r>
        <w:rPr>
          <w:color w:val="58595B"/>
          <w:spacing w:val="-4"/>
        </w:rPr>
        <w:t xml:space="preserve"> </w:t>
      </w:r>
      <w:r>
        <w:rPr>
          <w:color w:val="58595B"/>
        </w:rPr>
        <w:t>operational</w:t>
      </w:r>
      <w:r>
        <w:rPr>
          <w:color w:val="58595B"/>
          <w:spacing w:val="-4"/>
        </w:rPr>
        <w:t xml:space="preserve"> </w:t>
      </w:r>
      <w:r>
        <w:rPr>
          <w:color w:val="58595B"/>
        </w:rPr>
        <w:t>activities</w:t>
      </w:r>
      <w:r>
        <w:rPr>
          <w:color w:val="58595B"/>
          <w:spacing w:val="-4"/>
        </w:rPr>
        <w:t xml:space="preserve"> </w:t>
      </w:r>
      <w:r>
        <w:rPr>
          <w:color w:val="58595B"/>
        </w:rPr>
        <w:t>but</w:t>
      </w:r>
      <w:r>
        <w:rPr>
          <w:color w:val="58595B"/>
          <w:spacing w:val="-4"/>
        </w:rPr>
        <w:t xml:space="preserve"> </w:t>
      </w:r>
      <w:r>
        <w:rPr>
          <w:color w:val="58595B"/>
        </w:rPr>
        <w:t>also</w:t>
      </w:r>
      <w:r>
        <w:rPr>
          <w:color w:val="58595B"/>
          <w:spacing w:val="-4"/>
        </w:rPr>
        <w:t xml:space="preserve"> </w:t>
      </w:r>
      <w:r>
        <w:rPr>
          <w:color w:val="58595B"/>
        </w:rPr>
        <w:t>specific</w:t>
      </w:r>
    </w:p>
    <w:p w14:paraId="71C290FA" w14:textId="77777777" w:rsidR="00160E7F" w:rsidRDefault="002B0299">
      <w:pPr>
        <w:pStyle w:val="BodyText"/>
        <w:spacing w:before="2" w:line="280" w:lineRule="auto"/>
        <w:ind w:left="1587" w:right="405"/>
      </w:pPr>
      <w:r>
        <w:rPr>
          <w:color w:val="58595B"/>
        </w:rPr>
        <w:t>sub-plans relating to community engagement, emergency management, environmental management and rehabilitation. In carrying out these regulatory functions, ERR may informally refer a mining application or work plan to other agencies, such as EPA, depending on the nature of the proposal and the potential risks.</w:t>
      </w:r>
    </w:p>
    <w:p w14:paraId="5040ACA6" w14:textId="77777777" w:rsidR="00160E7F" w:rsidRDefault="002B0299">
      <w:pPr>
        <w:pStyle w:val="BodyText"/>
        <w:spacing w:before="172" w:line="280" w:lineRule="auto"/>
        <w:ind w:left="1587" w:right="789"/>
      </w:pPr>
      <w:r>
        <w:rPr>
          <w:color w:val="58595B"/>
        </w:rPr>
        <w:t>Once the Minister grants a licence, the licensee must then seek a number of other approvals</w:t>
      </w:r>
      <w:r>
        <w:rPr>
          <w:color w:val="58595B"/>
          <w:position w:val="7"/>
          <w:sz w:val="11"/>
        </w:rPr>
        <w:t xml:space="preserve">18 </w:t>
      </w:r>
      <w:r>
        <w:rPr>
          <w:color w:val="58595B"/>
        </w:rPr>
        <w:t>before it can commence operations, including either a planning approval,</w:t>
      </w:r>
      <w:r>
        <w:rPr>
          <w:color w:val="58595B"/>
          <w:position w:val="7"/>
          <w:sz w:val="11"/>
        </w:rPr>
        <w:t xml:space="preserve">19 </w:t>
      </w:r>
      <w:r>
        <w:rPr>
          <w:color w:val="58595B"/>
        </w:rPr>
        <w:t>or an Environment Effects Statement from the Minister for Planning.</w:t>
      </w:r>
      <w:r>
        <w:rPr>
          <w:color w:val="58595B"/>
          <w:position w:val="7"/>
          <w:sz w:val="11"/>
        </w:rPr>
        <w:t xml:space="preserve">20  </w:t>
      </w:r>
      <w:r>
        <w:rPr>
          <w:color w:val="58595B"/>
        </w:rPr>
        <w:t>If the licensee has to</w:t>
      </w:r>
    </w:p>
    <w:p w14:paraId="5C2C3073" w14:textId="77777777" w:rsidR="00160E7F" w:rsidRDefault="002B0299">
      <w:pPr>
        <w:pStyle w:val="BodyText"/>
        <w:spacing w:before="2" w:line="280" w:lineRule="auto"/>
        <w:ind w:left="1587" w:right="405"/>
      </w:pPr>
      <w:r>
        <w:rPr>
          <w:color w:val="58595B"/>
        </w:rPr>
        <w:t>prepare an Environment Effects Statement,</w:t>
      </w:r>
      <w:r>
        <w:rPr>
          <w:color w:val="58595B"/>
          <w:position w:val="7"/>
          <w:sz w:val="11"/>
        </w:rPr>
        <w:t xml:space="preserve">21 </w:t>
      </w:r>
      <w:r>
        <w:rPr>
          <w:color w:val="58595B"/>
        </w:rPr>
        <w:t>then it does not need a planning permit so long as the Minister grants a work authority after the statement is assessed.</w:t>
      </w:r>
      <w:r>
        <w:rPr>
          <w:color w:val="58595B"/>
          <w:position w:val="7"/>
          <w:sz w:val="11"/>
        </w:rPr>
        <w:t xml:space="preserve">22 </w:t>
      </w:r>
      <w:r>
        <w:rPr>
          <w:color w:val="58595B"/>
        </w:rPr>
        <w:t>During the planning approval stage, the EPA may provide advice as a referral authority for a planning permit, or be part of the technical reference group for an Environment Effects Statement. Chapter 10 provides more information on the EPA’s role in land use planning.</w:t>
      </w:r>
    </w:p>
    <w:p w14:paraId="264B84F2" w14:textId="77777777" w:rsidR="00160E7F" w:rsidRDefault="00160E7F">
      <w:pPr>
        <w:pStyle w:val="BodyText"/>
        <w:spacing w:before="9"/>
        <w:rPr>
          <w:sz w:val="24"/>
        </w:rPr>
      </w:pPr>
    </w:p>
    <w:p w14:paraId="3A37F13C" w14:textId="77777777" w:rsidR="00160E7F" w:rsidRDefault="002B0299">
      <w:pPr>
        <w:pStyle w:val="BodyText"/>
        <w:spacing w:line="280" w:lineRule="auto"/>
        <w:ind w:left="1417" w:right="131"/>
      </w:pPr>
      <w:r>
        <w:rPr>
          <w:color w:val="58595B"/>
        </w:rPr>
        <w:t>We consider the current regulatory framework for mining does not allow for appropriate consistent and authoritative consideration of environmental issues by the EPA, as the state’s environment regulator. Nor does the mining industry face the same level of environmental regulation as other industries with a similar risk profile or scale.</w:t>
      </w:r>
    </w:p>
    <w:p w14:paraId="0F2E62EA" w14:textId="77777777" w:rsidR="00160E7F" w:rsidRDefault="00160E7F">
      <w:pPr>
        <w:spacing w:line="280" w:lineRule="auto"/>
        <w:sectPr w:rsidR="00160E7F">
          <w:pgSz w:w="11910" w:h="16840"/>
          <w:pgMar w:top="980" w:right="1680" w:bottom="280" w:left="0" w:header="788" w:footer="0" w:gutter="0"/>
          <w:cols w:space="720"/>
        </w:sectPr>
      </w:pPr>
    </w:p>
    <w:p w14:paraId="019575DE" w14:textId="77777777" w:rsidR="00160E7F" w:rsidRDefault="00160E7F">
      <w:pPr>
        <w:pStyle w:val="BodyText"/>
      </w:pPr>
    </w:p>
    <w:p w14:paraId="5DD7645E" w14:textId="77777777" w:rsidR="00160E7F" w:rsidRDefault="00160E7F">
      <w:pPr>
        <w:pStyle w:val="BodyText"/>
      </w:pPr>
    </w:p>
    <w:p w14:paraId="2B32561F" w14:textId="77777777" w:rsidR="00160E7F" w:rsidRDefault="00160E7F">
      <w:pPr>
        <w:pStyle w:val="BodyText"/>
      </w:pPr>
    </w:p>
    <w:p w14:paraId="451EBEC0" w14:textId="77777777" w:rsidR="00160E7F" w:rsidRDefault="00160E7F">
      <w:pPr>
        <w:pStyle w:val="BodyText"/>
      </w:pPr>
    </w:p>
    <w:p w14:paraId="47889D46" w14:textId="77777777" w:rsidR="00160E7F" w:rsidRDefault="00160E7F">
      <w:pPr>
        <w:pStyle w:val="BodyText"/>
        <w:spacing w:before="8"/>
        <w:rPr>
          <w:sz w:val="17"/>
        </w:rPr>
      </w:pPr>
    </w:p>
    <w:p w14:paraId="5F0651E2" w14:textId="77777777" w:rsidR="00160E7F" w:rsidRDefault="002B0299">
      <w:pPr>
        <w:pStyle w:val="BodyText"/>
        <w:spacing w:before="1" w:line="280" w:lineRule="auto"/>
        <w:ind w:left="134" w:right="1494"/>
      </w:pPr>
      <w:r>
        <w:rPr>
          <w:color w:val="58595B"/>
        </w:rPr>
        <w:t>But stakeholders were also concerned about duplicating regulatory effort and the uncertainty that a complex regulatory framework for mining could create. Therefore, any improvements to environmental regulations for mining must clarify the roles of respective regulators, as well as meet community and industry expectations for environmental regulation.</w:t>
      </w:r>
    </w:p>
    <w:p w14:paraId="10802192" w14:textId="3BF08535" w:rsidR="00160E7F" w:rsidRDefault="002B0299">
      <w:pPr>
        <w:pStyle w:val="BodyText"/>
        <w:spacing w:before="172" w:line="280" w:lineRule="auto"/>
        <w:ind w:left="134" w:right="1602"/>
      </w:pPr>
      <w:r>
        <w:rPr>
          <w:color w:val="58595B"/>
        </w:rPr>
        <w:t xml:space="preserve">We consider the </w:t>
      </w:r>
      <w:r>
        <w:rPr>
          <w:color w:val="58595B"/>
          <w:spacing w:val="-7"/>
        </w:rPr>
        <w:t xml:space="preserve">EPA’s </w:t>
      </w:r>
      <w:r>
        <w:rPr>
          <w:color w:val="58595B"/>
        </w:rPr>
        <w:t xml:space="preserve">role could be strengthened, to address community concerns – and that a clearly framed role for the </w:t>
      </w:r>
      <w:r>
        <w:rPr>
          <w:color w:val="58595B"/>
          <w:spacing w:val="-4"/>
        </w:rPr>
        <w:t xml:space="preserve">EPA </w:t>
      </w:r>
      <w:r>
        <w:rPr>
          <w:color w:val="58595B"/>
        </w:rPr>
        <w:t xml:space="preserve">can also provide greater certainty to the mining industry, noting that all mines, like any business or commercial facility, are currently subject to the general obligations under the EP Act. The </w:t>
      </w:r>
      <w:r>
        <w:rPr>
          <w:color w:val="58595B"/>
          <w:spacing w:val="-7"/>
        </w:rPr>
        <w:t xml:space="preserve">EPA’s </w:t>
      </w:r>
      <w:r>
        <w:rPr>
          <w:color w:val="58595B"/>
        </w:rPr>
        <w:t>role should not be seen as a constraint on activity, but rather to be involved at the start, to seek solutions and reason</w:t>
      </w:r>
      <w:r w:rsidR="00F12AAD">
        <w:rPr>
          <w:color w:val="58595B"/>
        </w:rPr>
        <w:t xml:space="preserve">ably practicable measures that </w:t>
      </w:r>
      <w:r>
        <w:rPr>
          <w:color w:val="58595B"/>
        </w:rPr>
        <w:t xml:space="preserve">will avoid, manage or mitigate risks. </w:t>
      </w:r>
      <w:r>
        <w:rPr>
          <w:color w:val="58595B"/>
          <w:spacing w:val="-3"/>
        </w:rPr>
        <w:t xml:space="preserve">However, </w:t>
      </w:r>
      <w:r>
        <w:rPr>
          <w:color w:val="58595B"/>
        </w:rPr>
        <w:t>there may be rare circumstances where the risks cannot be adequately mitigated to be acceptable in any</w:t>
      </w:r>
      <w:r>
        <w:rPr>
          <w:color w:val="58595B"/>
          <w:spacing w:val="-3"/>
        </w:rPr>
        <w:t xml:space="preserve"> </w:t>
      </w:r>
      <w:r>
        <w:rPr>
          <w:color w:val="58595B"/>
        </w:rPr>
        <w:t>situation.</w:t>
      </w:r>
    </w:p>
    <w:p w14:paraId="1E94A90B" w14:textId="19BAECFB" w:rsidR="00160E7F" w:rsidRDefault="002B0299">
      <w:pPr>
        <w:pStyle w:val="BodyText"/>
        <w:spacing w:before="172" w:line="280" w:lineRule="auto"/>
        <w:ind w:left="134" w:right="1571"/>
      </w:pPr>
      <w:r>
        <w:rPr>
          <w:color w:val="58595B"/>
        </w:rPr>
        <w:t xml:space="preserve">Strengthening the </w:t>
      </w:r>
      <w:r>
        <w:rPr>
          <w:color w:val="58595B"/>
          <w:spacing w:val="-7"/>
        </w:rPr>
        <w:t xml:space="preserve">EPA’s </w:t>
      </w:r>
      <w:r>
        <w:rPr>
          <w:color w:val="58595B"/>
        </w:rPr>
        <w:t>role is consistent with our proposal that it adopt a more preventative approach to environmental regulation. This increased role in mining</w:t>
      </w:r>
      <w:r w:rsidR="00F12AAD">
        <w:rPr>
          <w:color w:val="58595B"/>
        </w:rPr>
        <w:t xml:space="preserve"> regulation will sit alongside </w:t>
      </w:r>
      <w:r>
        <w:rPr>
          <w:color w:val="58595B"/>
        </w:rPr>
        <w:t xml:space="preserve">a general duty for operators to take reasonably practicable measures. </w:t>
      </w:r>
      <w:r>
        <w:rPr>
          <w:color w:val="58595B"/>
          <w:spacing w:val="-4"/>
        </w:rPr>
        <w:t xml:space="preserve">Together, </w:t>
      </w:r>
      <w:r>
        <w:rPr>
          <w:color w:val="58595B"/>
        </w:rPr>
        <w:t>these proposals will make regulation more efficient and effective over a mining project’s</w:t>
      </w:r>
      <w:r>
        <w:rPr>
          <w:color w:val="58595B"/>
          <w:spacing w:val="-1"/>
        </w:rPr>
        <w:t xml:space="preserve"> </w:t>
      </w:r>
      <w:r>
        <w:rPr>
          <w:color w:val="58595B"/>
        </w:rPr>
        <w:t>lifecycle.</w:t>
      </w:r>
    </w:p>
    <w:p w14:paraId="4825DE04" w14:textId="77777777" w:rsidR="00160E7F" w:rsidRDefault="00160E7F">
      <w:pPr>
        <w:pStyle w:val="BodyText"/>
        <w:spacing w:before="4"/>
        <w:rPr>
          <w:sz w:val="22"/>
        </w:rPr>
      </w:pPr>
    </w:p>
    <w:p w14:paraId="6FC3232E" w14:textId="77777777" w:rsidR="00160E7F" w:rsidRDefault="002B0299">
      <w:pPr>
        <w:pStyle w:val="ListParagraph"/>
        <w:numPr>
          <w:ilvl w:val="2"/>
          <w:numId w:val="10"/>
        </w:numPr>
        <w:tabs>
          <w:tab w:val="left" w:pos="766"/>
        </w:tabs>
        <w:spacing w:before="0"/>
        <w:ind w:left="765" w:hanging="631"/>
        <w:jc w:val="left"/>
        <w:rPr>
          <w:sz w:val="20"/>
        </w:rPr>
      </w:pPr>
      <w:r>
        <w:rPr>
          <w:color w:val="0095A7"/>
          <w:sz w:val="20"/>
        </w:rPr>
        <w:t>Expertise of a specialist environmental</w:t>
      </w:r>
      <w:r>
        <w:rPr>
          <w:color w:val="0095A7"/>
          <w:spacing w:val="10"/>
          <w:sz w:val="20"/>
        </w:rPr>
        <w:t xml:space="preserve"> </w:t>
      </w:r>
      <w:r>
        <w:rPr>
          <w:color w:val="0095A7"/>
          <w:sz w:val="20"/>
        </w:rPr>
        <w:t>regulator</w:t>
      </w:r>
    </w:p>
    <w:p w14:paraId="2C2992D9" w14:textId="77777777" w:rsidR="00160E7F" w:rsidRDefault="002B0299">
      <w:pPr>
        <w:pStyle w:val="BodyText"/>
        <w:spacing w:before="153" w:line="280" w:lineRule="auto"/>
        <w:ind w:left="134" w:right="1483"/>
        <w:rPr>
          <w:sz w:val="11"/>
        </w:rPr>
      </w:pPr>
      <w:r>
        <w:rPr>
          <w:color w:val="58595B"/>
        </w:rPr>
        <w:t>We recommend the EPA regulate environmental risks and impacts of mines, much like WorkSafe has direct responsibility for enforcing occupational health and safety laws for mines (box 17.4).</w:t>
      </w:r>
      <w:r>
        <w:rPr>
          <w:color w:val="58595B"/>
          <w:position w:val="7"/>
          <w:sz w:val="11"/>
        </w:rPr>
        <w:t>23</w:t>
      </w:r>
    </w:p>
    <w:p w14:paraId="51F3617A" w14:textId="77777777" w:rsidR="00160E7F" w:rsidRDefault="002B0299">
      <w:pPr>
        <w:pStyle w:val="BodyText"/>
        <w:spacing w:before="172" w:line="280" w:lineRule="auto"/>
        <w:ind w:left="134" w:right="1500"/>
      </w:pPr>
      <w:r>
        <w:rPr>
          <w:color w:val="58595B"/>
        </w:rPr>
        <w:t xml:space="preserve">As </w:t>
      </w:r>
      <w:r>
        <w:rPr>
          <w:color w:val="58595B"/>
          <w:spacing w:val="-3"/>
        </w:rPr>
        <w:t xml:space="preserve">Victoria’s </w:t>
      </w:r>
      <w:r>
        <w:rPr>
          <w:color w:val="58595B"/>
        </w:rPr>
        <w:t xml:space="preserve">generalist occupational health and safety </w:t>
      </w:r>
      <w:r>
        <w:rPr>
          <w:color w:val="58595B"/>
          <w:spacing w:val="-4"/>
        </w:rPr>
        <w:t xml:space="preserve">regulator, </w:t>
      </w:r>
      <w:r>
        <w:rPr>
          <w:color w:val="58595B"/>
        </w:rPr>
        <w:t xml:space="preserve">WorkSafe </w:t>
      </w:r>
      <w:r>
        <w:rPr>
          <w:color w:val="58595B"/>
          <w:spacing w:val="-3"/>
        </w:rPr>
        <w:t xml:space="preserve">oversees </w:t>
      </w:r>
      <w:r>
        <w:rPr>
          <w:color w:val="58595B"/>
        </w:rPr>
        <w:t>all occupational</w:t>
      </w:r>
      <w:r>
        <w:rPr>
          <w:color w:val="58595B"/>
          <w:spacing w:val="-10"/>
        </w:rPr>
        <w:t xml:space="preserve"> </w:t>
      </w:r>
      <w:r>
        <w:rPr>
          <w:color w:val="58595B"/>
        </w:rPr>
        <w:t>health</w:t>
      </w:r>
      <w:r>
        <w:rPr>
          <w:color w:val="58595B"/>
          <w:spacing w:val="-10"/>
        </w:rPr>
        <w:t xml:space="preserve"> </w:t>
      </w:r>
      <w:r>
        <w:rPr>
          <w:color w:val="58595B"/>
        </w:rPr>
        <w:t>and</w:t>
      </w:r>
      <w:r>
        <w:rPr>
          <w:color w:val="58595B"/>
          <w:spacing w:val="-10"/>
        </w:rPr>
        <w:t xml:space="preserve"> </w:t>
      </w:r>
      <w:r>
        <w:rPr>
          <w:color w:val="58595B"/>
          <w:spacing w:val="-4"/>
        </w:rPr>
        <w:t>safety,</w:t>
      </w:r>
      <w:r>
        <w:rPr>
          <w:color w:val="58595B"/>
          <w:spacing w:val="-10"/>
        </w:rPr>
        <w:t xml:space="preserve"> </w:t>
      </w:r>
      <w:r>
        <w:rPr>
          <w:color w:val="58595B"/>
        </w:rPr>
        <w:t>and</w:t>
      </w:r>
      <w:r>
        <w:rPr>
          <w:color w:val="58595B"/>
          <w:spacing w:val="-10"/>
        </w:rPr>
        <w:t xml:space="preserve"> </w:t>
      </w:r>
      <w:r>
        <w:rPr>
          <w:color w:val="58595B"/>
        </w:rPr>
        <w:t>the</w:t>
      </w:r>
      <w:r>
        <w:rPr>
          <w:color w:val="58595B"/>
          <w:spacing w:val="-10"/>
        </w:rPr>
        <w:t xml:space="preserve"> </w:t>
      </w:r>
      <w:r>
        <w:rPr>
          <w:color w:val="58595B"/>
        </w:rPr>
        <w:t>management</w:t>
      </w:r>
      <w:r>
        <w:rPr>
          <w:color w:val="58595B"/>
          <w:spacing w:val="-10"/>
        </w:rPr>
        <w:t xml:space="preserve"> </w:t>
      </w:r>
      <w:r>
        <w:rPr>
          <w:color w:val="58595B"/>
        </w:rPr>
        <w:t>of</w:t>
      </w:r>
      <w:r>
        <w:rPr>
          <w:color w:val="58595B"/>
          <w:spacing w:val="-10"/>
        </w:rPr>
        <w:t xml:space="preserve"> </w:t>
      </w:r>
      <w:r>
        <w:rPr>
          <w:color w:val="58595B"/>
          <w:spacing w:val="-3"/>
        </w:rPr>
        <w:t>explosives,</w:t>
      </w:r>
      <w:r>
        <w:rPr>
          <w:color w:val="58595B"/>
          <w:spacing w:val="-10"/>
        </w:rPr>
        <w:t xml:space="preserve"> </w:t>
      </w:r>
      <w:r>
        <w:rPr>
          <w:color w:val="58595B"/>
        </w:rPr>
        <w:t>on</w:t>
      </w:r>
      <w:r>
        <w:rPr>
          <w:color w:val="58595B"/>
          <w:spacing w:val="-10"/>
        </w:rPr>
        <w:t xml:space="preserve"> </w:t>
      </w:r>
      <w:r>
        <w:rPr>
          <w:color w:val="58595B"/>
        </w:rPr>
        <w:t>mine</w:t>
      </w:r>
      <w:r>
        <w:rPr>
          <w:color w:val="58595B"/>
          <w:spacing w:val="-10"/>
        </w:rPr>
        <w:t xml:space="preserve"> </w:t>
      </w:r>
      <w:r>
        <w:rPr>
          <w:color w:val="58595B"/>
        </w:rPr>
        <w:t>sites.</w:t>
      </w:r>
      <w:r>
        <w:rPr>
          <w:color w:val="58595B"/>
          <w:position w:val="7"/>
          <w:sz w:val="11"/>
        </w:rPr>
        <w:t>24</w:t>
      </w:r>
      <w:r>
        <w:rPr>
          <w:color w:val="58595B"/>
          <w:spacing w:val="16"/>
          <w:position w:val="7"/>
          <w:sz w:val="11"/>
        </w:rPr>
        <w:t xml:space="preserve"> </w:t>
      </w:r>
      <w:r>
        <w:rPr>
          <w:color w:val="58595B"/>
        </w:rPr>
        <w:t>WorkSafe</w:t>
      </w:r>
      <w:r>
        <w:rPr>
          <w:color w:val="58595B"/>
          <w:spacing w:val="-10"/>
        </w:rPr>
        <w:t xml:space="preserve"> </w:t>
      </w:r>
      <w:r>
        <w:rPr>
          <w:color w:val="58595B"/>
        </w:rPr>
        <w:t>has a specialised unit dedicated to regulation of mines and quarries known as the Earth Resources Unit</w:t>
      </w:r>
      <w:r>
        <w:rPr>
          <w:color w:val="58595B"/>
          <w:position w:val="7"/>
          <w:sz w:val="11"/>
        </w:rPr>
        <w:t>25</w:t>
      </w:r>
      <w:r>
        <w:rPr>
          <w:color w:val="58595B"/>
          <w:spacing w:val="15"/>
          <w:position w:val="7"/>
          <w:sz w:val="11"/>
        </w:rPr>
        <w:t xml:space="preserve"> </w:t>
      </w:r>
      <w:r>
        <w:rPr>
          <w:color w:val="58595B"/>
        </w:rPr>
        <w:t>to</w:t>
      </w:r>
      <w:r>
        <w:rPr>
          <w:color w:val="58595B"/>
          <w:spacing w:val="-11"/>
        </w:rPr>
        <w:t xml:space="preserve"> </w:t>
      </w:r>
      <w:r>
        <w:rPr>
          <w:color w:val="58595B"/>
          <w:spacing w:val="-3"/>
        </w:rPr>
        <w:t>ensure</w:t>
      </w:r>
      <w:r>
        <w:rPr>
          <w:color w:val="58595B"/>
          <w:spacing w:val="-11"/>
        </w:rPr>
        <w:t xml:space="preserve"> </w:t>
      </w:r>
      <w:r>
        <w:rPr>
          <w:color w:val="58595B"/>
        </w:rPr>
        <w:t>mine</w:t>
      </w:r>
      <w:r>
        <w:rPr>
          <w:color w:val="58595B"/>
          <w:spacing w:val="-11"/>
        </w:rPr>
        <w:t xml:space="preserve"> </w:t>
      </w:r>
      <w:r>
        <w:rPr>
          <w:color w:val="58595B"/>
        </w:rPr>
        <w:t>operators,</w:t>
      </w:r>
      <w:r>
        <w:rPr>
          <w:color w:val="58595B"/>
          <w:spacing w:val="-11"/>
        </w:rPr>
        <w:t xml:space="preserve"> </w:t>
      </w:r>
      <w:r>
        <w:rPr>
          <w:color w:val="58595B"/>
        </w:rPr>
        <w:t>so</w:t>
      </w:r>
      <w:r>
        <w:rPr>
          <w:color w:val="58595B"/>
          <w:spacing w:val="-11"/>
        </w:rPr>
        <w:t xml:space="preserve"> </w:t>
      </w:r>
      <w:r>
        <w:rPr>
          <w:color w:val="58595B"/>
        </w:rPr>
        <w:t>far</w:t>
      </w:r>
      <w:r>
        <w:rPr>
          <w:color w:val="58595B"/>
          <w:spacing w:val="-11"/>
        </w:rPr>
        <w:t xml:space="preserve"> </w:t>
      </w:r>
      <w:r>
        <w:rPr>
          <w:color w:val="58595B"/>
        </w:rPr>
        <w:t>as</w:t>
      </w:r>
      <w:r>
        <w:rPr>
          <w:color w:val="58595B"/>
          <w:spacing w:val="-11"/>
        </w:rPr>
        <w:t xml:space="preserve"> </w:t>
      </w:r>
      <w:r>
        <w:rPr>
          <w:color w:val="58595B"/>
        </w:rPr>
        <w:t>reasonably</w:t>
      </w:r>
      <w:r>
        <w:rPr>
          <w:color w:val="58595B"/>
          <w:spacing w:val="-11"/>
        </w:rPr>
        <w:t xml:space="preserve"> </w:t>
      </w:r>
      <w:r>
        <w:rPr>
          <w:color w:val="58595B"/>
        </w:rPr>
        <w:t>practicable,</w:t>
      </w:r>
      <w:r>
        <w:rPr>
          <w:color w:val="58595B"/>
          <w:spacing w:val="-11"/>
        </w:rPr>
        <w:t xml:space="preserve"> </w:t>
      </w:r>
      <w:r>
        <w:rPr>
          <w:color w:val="58595B"/>
        </w:rPr>
        <w:t>identify</w:t>
      </w:r>
      <w:r>
        <w:rPr>
          <w:color w:val="58595B"/>
          <w:spacing w:val="-11"/>
        </w:rPr>
        <w:t xml:space="preserve"> </w:t>
      </w:r>
      <w:r>
        <w:rPr>
          <w:color w:val="58595B"/>
        </w:rPr>
        <w:t>hazards</w:t>
      </w:r>
      <w:r>
        <w:rPr>
          <w:color w:val="58595B"/>
          <w:spacing w:val="-11"/>
        </w:rPr>
        <w:t xml:space="preserve"> </w:t>
      </w:r>
      <w:r>
        <w:rPr>
          <w:color w:val="58595B"/>
        </w:rPr>
        <w:t>and</w:t>
      </w:r>
      <w:r>
        <w:rPr>
          <w:color w:val="58595B"/>
          <w:spacing w:val="-11"/>
        </w:rPr>
        <w:t xml:space="preserve"> </w:t>
      </w:r>
      <w:r>
        <w:rPr>
          <w:color w:val="58595B"/>
        </w:rPr>
        <w:t>assess</w:t>
      </w:r>
      <w:r>
        <w:rPr>
          <w:color w:val="58595B"/>
          <w:spacing w:val="-11"/>
        </w:rPr>
        <w:t xml:space="preserve"> </w:t>
      </w:r>
      <w:r>
        <w:rPr>
          <w:color w:val="58595B"/>
        </w:rPr>
        <w:t>and control</w:t>
      </w:r>
      <w:r>
        <w:rPr>
          <w:color w:val="58595B"/>
          <w:spacing w:val="-13"/>
        </w:rPr>
        <w:t xml:space="preserve"> </w:t>
      </w:r>
      <w:r>
        <w:rPr>
          <w:color w:val="58595B"/>
        </w:rPr>
        <w:t>the</w:t>
      </w:r>
      <w:r>
        <w:rPr>
          <w:color w:val="58595B"/>
          <w:spacing w:val="-13"/>
        </w:rPr>
        <w:t xml:space="preserve"> </w:t>
      </w:r>
      <w:r>
        <w:rPr>
          <w:color w:val="58595B"/>
        </w:rPr>
        <w:t>risks</w:t>
      </w:r>
      <w:r>
        <w:rPr>
          <w:color w:val="58595B"/>
          <w:spacing w:val="-13"/>
        </w:rPr>
        <w:t xml:space="preserve"> </w:t>
      </w:r>
      <w:r>
        <w:rPr>
          <w:color w:val="58595B"/>
          <w:spacing w:val="-3"/>
        </w:rPr>
        <w:t>involved.</w:t>
      </w:r>
      <w:r>
        <w:rPr>
          <w:color w:val="58595B"/>
          <w:spacing w:val="-13"/>
        </w:rPr>
        <w:t xml:space="preserve"> </w:t>
      </w:r>
      <w:r>
        <w:rPr>
          <w:color w:val="58595B"/>
        </w:rPr>
        <w:t>WorkSafe</w:t>
      </w:r>
      <w:r>
        <w:rPr>
          <w:color w:val="58595B"/>
          <w:spacing w:val="-13"/>
        </w:rPr>
        <w:t xml:space="preserve"> </w:t>
      </w:r>
      <w:r>
        <w:rPr>
          <w:color w:val="58595B"/>
        </w:rPr>
        <w:t>regulates</w:t>
      </w:r>
      <w:r>
        <w:rPr>
          <w:color w:val="58595B"/>
          <w:spacing w:val="-13"/>
        </w:rPr>
        <w:t xml:space="preserve"> </w:t>
      </w:r>
      <w:r>
        <w:rPr>
          <w:color w:val="58595B"/>
        </w:rPr>
        <w:t>mines</w:t>
      </w:r>
      <w:r>
        <w:rPr>
          <w:color w:val="58595B"/>
          <w:spacing w:val="-13"/>
        </w:rPr>
        <w:t xml:space="preserve"> </w:t>
      </w:r>
      <w:r>
        <w:rPr>
          <w:color w:val="58595B"/>
        </w:rPr>
        <w:t>via</w:t>
      </w:r>
      <w:r>
        <w:rPr>
          <w:color w:val="58595B"/>
          <w:spacing w:val="-13"/>
        </w:rPr>
        <w:t xml:space="preserve"> </w:t>
      </w:r>
      <w:r>
        <w:rPr>
          <w:color w:val="58595B"/>
        </w:rPr>
        <w:t>the</w:t>
      </w:r>
      <w:r>
        <w:rPr>
          <w:color w:val="58595B"/>
          <w:spacing w:val="-13"/>
        </w:rPr>
        <w:t xml:space="preserve"> </w:t>
      </w:r>
      <w:r>
        <w:rPr>
          <w:color w:val="58595B"/>
        </w:rPr>
        <w:t>general</w:t>
      </w:r>
      <w:r>
        <w:rPr>
          <w:color w:val="58595B"/>
          <w:spacing w:val="-13"/>
        </w:rPr>
        <w:t xml:space="preserve"> </w:t>
      </w:r>
      <w:r>
        <w:rPr>
          <w:color w:val="58595B"/>
        </w:rPr>
        <w:t>duties</w:t>
      </w:r>
      <w:r>
        <w:rPr>
          <w:color w:val="58595B"/>
          <w:spacing w:val="-13"/>
        </w:rPr>
        <w:t xml:space="preserve"> </w:t>
      </w:r>
      <w:r>
        <w:rPr>
          <w:color w:val="58595B"/>
        </w:rPr>
        <w:t>under</w:t>
      </w:r>
      <w:r>
        <w:rPr>
          <w:color w:val="58595B"/>
          <w:spacing w:val="-13"/>
        </w:rPr>
        <w:t xml:space="preserve"> </w:t>
      </w:r>
      <w:r>
        <w:rPr>
          <w:color w:val="58595B"/>
        </w:rPr>
        <w:t>the</w:t>
      </w:r>
      <w:r>
        <w:rPr>
          <w:color w:val="58595B"/>
          <w:spacing w:val="-14"/>
        </w:rPr>
        <w:t xml:space="preserve"> </w:t>
      </w:r>
      <w:r>
        <w:rPr>
          <w:i/>
          <w:color w:val="58595B"/>
        </w:rPr>
        <w:t>Occupational Health</w:t>
      </w:r>
      <w:r>
        <w:rPr>
          <w:i/>
          <w:color w:val="58595B"/>
          <w:spacing w:val="-10"/>
        </w:rPr>
        <w:t xml:space="preserve"> </w:t>
      </w:r>
      <w:r>
        <w:rPr>
          <w:i/>
          <w:color w:val="58595B"/>
        </w:rPr>
        <w:t>and</w:t>
      </w:r>
      <w:r>
        <w:rPr>
          <w:i/>
          <w:color w:val="58595B"/>
          <w:spacing w:val="-10"/>
        </w:rPr>
        <w:t xml:space="preserve"> </w:t>
      </w:r>
      <w:r>
        <w:rPr>
          <w:i/>
          <w:color w:val="58595B"/>
        </w:rPr>
        <w:t>Safety</w:t>
      </w:r>
      <w:r>
        <w:rPr>
          <w:i/>
          <w:color w:val="58595B"/>
          <w:spacing w:val="-10"/>
        </w:rPr>
        <w:t xml:space="preserve"> </w:t>
      </w:r>
      <w:r>
        <w:rPr>
          <w:i/>
          <w:color w:val="58595B"/>
        </w:rPr>
        <w:t>Act</w:t>
      </w:r>
      <w:r>
        <w:rPr>
          <w:i/>
          <w:color w:val="58595B"/>
          <w:spacing w:val="-10"/>
        </w:rPr>
        <w:t xml:space="preserve"> </w:t>
      </w:r>
      <w:r>
        <w:rPr>
          <w:i/>
          <w:color w:val="58595B"/>
        </w:rPr>
        <w:t>2004</w:t>
      </w:r>
      <w:r>
        <w:rPr>
          <w:i/>
          <w:color w:val="58595B"/>
          <w:spacing w:val="-10"/>
        </w:rPr>
        <w:t xml:space="preserve"> </w:t>
      </w:r>
      <w:r>
        <w:rPr>
          <w:color w:val="58595B"/>
        </w:rPr>
        <w:t>and</w:t>
      </w:r>
      <w:r>
        <w:rPr>
          <w:color w:val="58595B"/>
          <w:spacing w:val="-10"/>
        </w:rPr>
        <w:t xml:space="preserve"> </w:t>
      </w:r>
      <w:r>
        <w:rPr>
          <w:color w:val="58595B"/>
        </w:rPr>
        <w:t>specific</w:t>
      </w:r>
      <w:r>
        <w:rPr>
          <w:color w:val="58595B"/>
          <w:spacing w:val="-10"/>
        </w:rPr>
        <w:t xml:space="preserve"> </w:t>
      </w:r>
      <w:r>
        <w:rPr>
          <w:color w:val="58595B"/>
          <w:spacing w:val="-3"/>
        </w:rPr>
        <w:t>requirements</w:t>
      </w:r>
      <w:r>
        <w:rPr>
          <w:color w:val="58595B"/>
          <w:spacing w:val="-10"/>
        </w:rPr>
        <w:t xml:space="preserve"> </w:t>
      </w:r>
      <w:r>
        <w:rPr>
          <w:color w:val="58595B"/>
        </w:rPr>
        <w:t>under</w:t>
      </w:r>
      <w:r>
        <w:rPr>
          <w:color w:val="58595B"/>
          <w:spacing w:val="-10"/>
        </w:rPr>
        <w:t xml:space="preserve"> </w:t>
      </w:r>
      <w:r>
        <w:rPr>
          <w:color w:val="58595B"/>
        </w:rPr>
        <w:t>the</w:t>
      </w:r>
      <w:r>
        <w:rPr>
          <w:color w:val="58595B"/>
          <w:spacing w:val="-10"/>
        </w:rPr>
        <w:t xml:space="preserve"> </w:t>
      </w:r>
      <w:r>
        <w:rPr>
          <w:color w:val="58595B"/>
        </w:rPr>
        <w:t>supporting</w:t>
      </w:r>
      <w:r>
        <w:rPr>
          <w:color w:val="58595B"/>
          <w:spacing w:val="-10"/>
        </w:rPr>
        <w:t xml:space="preserve"> </w:t>
      </w:r>
      <w:r>
        <w:rPr>
          <w:color w:val="58595B"/>
        </w:rPr>
        <w:t>regulation.</w:t>
      </w:r>
    </w:p>
    <w:p w14:paraId="00EF6C93" w14:textId="77777777" w:rsidR="00160E7F" w:rsidRDefault="002B0299">
      <w:pPr>
        <w:pStyle w:val="BodyText"/>
        <w:spacing w:before="172" w:line="280" w:lineRule="auto"/>
        <w:ind w:left="134" w:right="1404"/>
      </w:pPr>
      <w:r>
        <w:rPr>
          <w:color w:val="58595B"/>
        </w:rPr>
        <w:t>Under our proposed approach, ERR will remain the state’s lead regulator to protect and safeguard the state’s resources via its licensing and regulatory functions, and its industry facilitation role.</w:t>
      </w:r>
      <w:r>
        <w:rPr>
          <w:color w:val="58595B"/>
          <w:position w:val="7"/>
          <w:sz w:val="11"/>
        </w:rPr>
        <w:t xml:space="preserve">26 </w:t>
      </w:r>
      <w:r>
        <w:rPr>
          <w:color w:val="58595B"/>
        </w:rPr>
        <w:t>This function builds on its knowledge of the mining industry, and geotechnical and mining engineering expertise.</w:t>
      </w:r>
    </w:p>
    <w:p w14:paraId="7C25026A" w14:textId="77777777" w:rsidR="00160E7F" w:rsidRDefault="002B0299">
      <w:pPr>
        <w:pStyle w:val="BodyText"/>
        <w:spacing w:before="172" w:line="280" w:lineRule="auto"/>
        <w:ind w:left="134" w:right="1433"/>
      </w:pPr>
      <w:r>
        <w:rPr>
          <w:color w:val="58595B"/>
        </w:rPr>
        <w:t>The EPA will become the lead regulator responsible for protecting the environment and public health. It brings its scientific and technical knowledge about setting environment standards and understanding environmental and public health risks and impacts.</w:t>
      </w:r>
    </w:p>
    <w:p w14:paraId="32DA937F" w14:textId="77777777" w:rsidR="00160E7F" w:rsidRDefault="00160E7F">
      <w:pPr>
        <w:pStyle w:val="BodyText"/>
        <w:spacing w:before="4"/>
        <w:rPr>
          <w:sz w:val="22"/>
        </w:rPr>
      </w:pPr>
    </w:p>
    <w:p w14:paraId="06593F3D" w14:textId="77777777" w:rsidR="00160E7F" w:rsidRDefault="002B0299">
      <w:pPr>
        <w:pStyle w:val="ListParagraph"/>
        <w:numPr>
          <w:ilvl w:val="2"/>
          <w:numId w:val="10"/>
        </w:numPr>
        <w:tabs>
          <w:tab w:val="left" w:pos="763"/>
        </w:tabs>
        <w:spacing w:before="0"/>
        <w:ind w:left="762" w:hanging="628"/>
        <w:jc w:val="left"/>
        <w:rPr>
          <w:sz w:val="20"/>
        </w:rPr>
      </w:pPr>
      <w:r>
        <w:rPr>
          <w:color w:val="0095A7"/>
          <w:sz w:val="20"/>
        </w:rPr>
        <w:t>Regulatory</w:t>
      </w:r>
      <w:r>
        <w:rPr>
          <w:color w:val="0095A7"/>
          <w:spacing w:val="9"/>
          <w:sz w:val="20"/>
        </w:rPr>
        <w:t xml:space="preserve"> </w:t>
      </w:r>
      <w:r>
        <w:rPr>
          <w:color w:val="0095A7"/>
          <w:sz w:val="20"/>
        </w:rPr>
        <w:t>integrity</w:t>
      </w:r>
    </w:p>
    <w:p w14:paraId="28DBC14E" w14:textId="77777777" w:rsidR="00160E7F" w:rsidRDefault="002B0299">
      <w:pPr>
        <w:pStyle w:val="BodyText"/>
        <w:spacing w:before="153" w:line="280" w:lineRule="auto"/>
        <w:ind w:left="134" w:right="1433"/>
      </w:pPr>
      <w:r>
        <w:rPr>
          <w:color w:val="58595B"/>
        </w:rPr>
        <w:t>The Minister for Energy and Resources is responsible for the approval of mining licences and setting bonds, reflecting the importance attached to granting permission to mine the Crown’s resources. However, there is a perceived conflict of interest in the Minister and ERR granting and regulating licences that include measures to minimise any impacts on the environment, while also promoting, fostering and facilitating Victoria’s mining industry.</w:t>
      </w:r>
    </w:p>
    <w:p w14:paraId="1193A561" w14:textId="77777777" w:rsidR="00160E7F" w:rsidRDefault="002B0299">
      <w:pPr>
        <w:spacing w:before="172" w:line="280" w:lineRule="auto"/>
        <w:ind w:left="701" w:right="1980"/>
        <w:rPr>
          <w:sz w:val="20"/>
        </w:rPr>
      </w:pPr>
      <w:r>
        <w:rPr>
          <w:i/>
          <w:color w:val="231F20"/>
          <w:sz w:val="20"/>
        </w:rPr>
        <w:t xml:space="preserve">Part of </w:t>
      </w:r>
      <w:r>
        <w:rPr>
          <w:i/>
          <w:color w:val="231F20"/>
          <w:spacing w:val="-3"/>
          <w:sz w:val="20"/>
        </w:rPr>
        <w:t xml:space="preserve">the problem historically has been that the </w:t>
      </w:r>
      <w:r>
        <w:rPr>
          <w:i/>
          <w:color w:val="231F20"/>
          <w:sz w:val="20"/>
        </w:rPr>
        <w:t xml:space="preserve">Department </w:t>
      </w:r>
      <w:r>
        <w:rPr>
          <w:i/>
          <w:color w:val="231F20"/>
          <w:spacing w:val="-3"/>
          <w:sz w:val="20"/>
        </w:rPr>
        <w:t xml:space="preserve">responsible </w:t>
      </w:r>
      <w:r>
        <w:rPr>
          <w:i/>
          <w:color w:val="231F20"/>
          <w:sz w:val="20"/>
        </w:rPr>
        <w:t xml:space="preserve">for </w:t>
      </w:r>
      <w:r>
        <w:rPr>
          <w:i/>
          <w:color w:val="231F20"/>
          <w:spacing w:val="-3"/>
          <w:sz w:val="20"/>
        </w:rPr>
        <w:t xml:space="preserve">regulating mining </w:t>
      </w:r>
      <w:r>
        <w:rPr>
          <w:i/>
          <w:color w:val="231F20"/>
          <w:sz w:val="20"/>
        </w:rPr>
        <w:t xml:space="preserve">activity </w:t>
      </w:r>
      <w:r>
        <w:rPr>
          <w:i/>
          <w:color w:val="231F20"/>
          <w:spacing w:val="-3"/>
          <w:sz w:val="20"/>
        </w:rPr>
        <w:t xml:space="preserve">has also been </w:t>
      </w:r>
      <w:r>
        <w:rPr>
          <w:i/>
          <w:color w:val="231F20"/>
          <w:sz w:val="20"/>
        </w:rPr>
        <w:t xml:space="preserve">a </w:t>
      </w:r>
      <w:r>
        <w:rPr>
          <w:i/>
          <w:color w:val="231F20"/>
          <w:spacing w:val="-3"/>
          <w:sz w:val="20"/>
        </w:rPr>
        <w:t xml:space="preserve">proponent </w:t>
      </w:r>
      <w:r>
        <w:rPr>
          <w:i/>
          <w:color w:val="231F20"/>
          <w:sz w:val="20"/>
        </w:rPr>
        <w:t xml:space="preserve">or </w:t>
      </w:r>
      <w:r>
        <w:rPr>
          <w:i/>
          <w:color w:val="231F20"/>
          <w:spacing w:val="-3"/>
          <w:sz w:val="20"/>
        </w:rPr>
        <w:t xml:space="preserve">advocate </w:t>
      </w:r>
      <w:r>
        <w:rPr>
          <w:i/>
          <w:color w:val="231F20"/>
          <w:sz w:val="20"/>
        </w:rPr>
        <w:t xml:space="preserve">for </w:t>
      </w:r>
      <w:r>
        <w:rPr>
          <w:i/>
          <w:color w:val="231F20"/>
          <w:spacing w:val="-3"/>
          <w:sz w:val="20"/>
        </w:rPr>
        <w:t xml:space="preserve">exploiting the </w:t>
      </w:r>
      <w:r>
        <w:rPr>
          <w:i/>
          <w:color w:val="231F20"/>
          <w:spacing w:val="-5"/>
          <w:sz w:val="20"/>
        </w:rPr>
        <w:t xml:space="preserve">state’s </w:t>
      </w:r>
      <w:r>
        <w:rPr>
          <w:i/>
          <w:color w:val="231F20"/>
          <w:spacing w:val="-3"/>
          <w:sz w:val="20"/>
        </w:rPr>
        <w:t xml:space="preserve">minerals resources. There </w:t>
      </w:r>
      <w:r>
        <w:rPr>
          <w:i/>
          <w:color w:val="231F20"/>
          <w:sz w:val="20"/>
        </w:rPr>
        <w:t xml:space="preserve">is a </w:t>
      </w:r>
      <w:r>
        <w:rPr>
          <w:i/>
          <w:color w:val="231F20"/>
          <w:spacing w:val="-3"/>
          <w:sz w:val="20"/>
        </w:rPr>
        <w:t xml:space="preserve">greater </w:t>
      </w:r>
      <w:r>
        <w:rPr>
          <w:i/>
          <w:color w:val="231F20"/>
          <w:sz w:val="20"/>
        </w:rPr>
        <w:t xml:space="preserve">role for </w:t>
      </w:r>
      <w:r>
        <w:rPr>
          <w:i/>
          <w:color w:val="231F20"/>
          <w:spacing w:val="-3"/>
          <w:sz w:val="20"/>
        </w:rPr>
        <w:t xml:space="preserve">the </w:t>
      </w:r>
      <w:r>
        <w:rPr>
          <w:i/>
          <w:color w:val="231F20"/>
          <w:sz w:val="20"/>
        </w:rPr>
        <w:t xml:space="preserve">EPA, </w:t>
      </w:r>
      <w:r>
        <w:rPr>
          <w:i/>
          <w:color w:val="231F20"/>
          <w:spacing w:val="-3"/>
          <w:sz w:val="20"/>
        </w:rPr>
        <w:t xml:space="preserve">with new powers, </w:t>
      </w:r>
      <w:r>
        <w:rPr>
          <w:i/>
          <w:color w:val="231F20"/>
          <w:sz w:val="20"/>
        </w:rPr>
        <w:t xml:space="preserve">to </w:t>
      </w:r>
      <w:r>
        <w:rPr>
          <w:i/>
          <w:color w:val="231F20"/>
          <w:spacing w:val="-4"/>
          <w:sz w:val="20"/>
        </w:rPr>
        <w:t xml:space="preserve">oversee and </w:t>
      </w:r>
      <w:r>
        <w:rPr>
          <w:i/>
          <w:color w:val="231F20"/>
          <w:spacing w:val="-3"/>
          <w:sz w:val="20"/>
        </w:rPr>
        <w:t xml:space="preserve">improve mining regulation </w:t>
      </w:r>
      <w:r>
        <w:rPr>
          <w:i/>
          <w:color w:val="231F20"/>
          <w:sz w:val="20"/>
        </w:rPr>
        <w:t xml:space="preserve">in </w:t>
      </w:r>
      <w:r>
        <w:rPr>
          <w:i/>
          <w:color w:val="231F20"/>
          <w:spacing w:val="-3"/>
          <w:sz w:val="20"/>
        </w:rPr>
        <w:t xml:space="preserve">Victoria. </w:t>
      </w:r>
      <w:r>
        <w:rPr>
          <w:color w:val="231F20"/>
          <w:spacing w:val="-4"/>
          <w:sz w:val="20"/>
        </w:rPr>
        <w:t xml:space="preserve">(Environment </w:t>
      </w:r>
      <w:r>
        <w:rPr>
          <w:color w:val="231F20"/>
          <w:sz w:val="20"/>
        </w:rPr>
        <w:t xml:space="preserve">Victoria </w:t>
      </w:r>
      <w:r>
        <w:rPr>
          <w:color w:val="231F20"/>
          <w:spacing w:val="-3"/>
          <w:sz w:val="20"/>
        </w:rPr>
        <w:t xml:space="preserve">submission, </w:t>
      </w:r>
      <w:r>
        <w:rPr>
          <w:color w:val="231F20"/>
          <w:spacing w:val="-4"/>
          <w:sz w:val="20"/>
        </w:rPr>
        <w:t xml:space="preserve">p. </w:t>
      </w:r>
      <w:r>
        <w:rPr>
          <w:color w:val="231F20"/>
          <w:spacing w:val="-5"/>
          <w:sz w:val="20"/>
        </w:rPr>
        <w:t>6)</w:t>
      </w:r>
    </w:p>
    <w:p w14:paraId="683C3E1F" w14:textId="77777777" w:rsidR="00160E7F" w:rsidRDefault="002B0299">
      <w:pPr>
        <w:pStyle w:val="BodyText"/>
        <w:spacing w:before="172" w:line="280" w:lineRule="auto"/>
        <w:ind w:left="134" w:right="1494"/>
      </w:pPr>
      <w:r>
        <w:rPr>
          <w:color w:val="58595B"/>
        </w:rPr>
        <w:t>We propose giving the EPA new statutory powers that support regulatory integrity, and ensure that decisions about siting, operating, closing and rehabilitating mines are appropriately informed of environmental considerations. This approach will allow the EPA to monitor and address</w:t>
      </w:r>
    </w:p>
    <w:p w14:paraId="6A281AD4" w14:textId="77777777" w:rsidR="00160E7F" w:rsidRDefault="002B0299">
      <w:pPr>
        <w:pStyle w:val="BodyText"/>
        <w:spacing w:before="2"/>
        <w:ind w:left="134" w:right="789"/>
      </w:pPr>
      <w:r>
        <w:rPr>
          <w:color w:val="58595B"/>
        </w:rPr>
        <w:t>any environmental impacts as they arise, without any perception of bias or conflict of interest.</w:t>
      </w:r>
    </w:p>
    <w:p w14:paraId="1F9A229D" w14:textId="77777777" w:rsidR="00160E7F" w:rsidRDefault="00160E7F">
      <w:pPr>
        <w:sectPr w:rsidR="00160E7F">
          <w:pgSz w:w="11910" w:h="16840"/>
          <w:pgMar w:top="980" w:right="0" w:bottom="280" w:left="1680" w:header="788" w:footer="0" w:gutter="0"/>
          <w:cols w:space="720"/>
        </w:sectPr>
      </w:pPr>
    </w:p>
    <w:p w14:paraId="772EB494" w14:textId="77777777" w:rsidR="00160E7F" w:rsidRDefault="00160E7F">
      <w:pPr>
        <w:pStyle w:val="BodyText"/>
      </w:pPr>
    </w:p>
    <w:p w14:paraId="55D27FE9" w14:textId="77777777" w:rsidR="00160E7F" w:rsidRDefault="00160E7F">
      <w:pPr>
        <w:pStyle w:val="BodyText"/>
      </w:pPr>
    </w:p>
    <w:p w14:paraId="0781E816" w14:textId="77777777" w:rsidR="00160E7F" w:rsidRDefault="00160E7F">
      <w:pPr>
        <w:pStyle w:val="BodyText"/>
      </w:pPr>
    </w:p>
    <w:p w14:paraId="1DB150B0" w14:textId="77777777" w:rsidR="00160E7F" w:rsidRDefault="00160E7F">
      <w:pPr>
        <w:pStyle w:val="BodyText"/>
      </w:pPr>
    </w:p>
    <w:p w14:paraId="3671285C" w14:textId="77777777" w:rsidR="00160E7F" w:rsidRDefault="00160E7F">
      <w:pPr>
        <w:pStyle w:val="BodyText"/>
        <w:spacing w:before="8"/>
        <w:rPr>
          <w:sz w:val="17"/>
        </w:rPr>
      </w:pPr>
    </w:p>
    <w:p w14:paraId="2E2622A5" w14:textId="77777777" w:rsidR="00160E7F" w:rsidRDefault="002B0299">
      <w:pPr>
        <w:pStyle w:val="BodyText"/>
        <w:spacing w:before="1" w:line="276" w:lineRule="auto"/>
        <w:ind w:left="1417" w:right="1022"/>
      </w:pPr>
      <w:r>
        <w:rPr>
          <w:color w:val="58595B"/>
        </w:rPr>
        <w:t>The City of Greater Bendigo (submission, p. 6) supports the EPA having greater powers to regulate mines:</w:t>
      </w:r>
    </w:p>
    <w:p w14:paraId="080BE9E3" w14:textId="77777777" w:rsidR="00160E7F" w:rsidRDefault="002B0299">
      <w:pPr>
        <w:spacing w:before="143" w:line="276" w:lineRule="auto"/>
        <w:ind w:left="1984" w:right="789"/>
        <w:rPr>
          <w:i/>
          <w:sz w:val="20"/>
        </w:rPr>
      </w:pPr>
      <w:r>
        <w:rPr>
          <w:i/>
          <w:color w:val="231F20"/>
          <w:sz w:val="20"/>
        </w:rPr>
        <w:t>We strongly support the recommendation of the McGuckian report into the Costerfield Mine antimony issue, that the EPA should be responsible for regulating mining activity.</w:t>
      </w:r>
    </w:p>
    <w:p w14:paraId="4C186A0D" w14:textId="77777777" w:rsidR="00160E7F" w:rsidRDefault="002B0299">
      <w:pPr>
        <w:pStyle w:val="BodyText"/>
        <w:spacing w:before="143" w:line="276" w:lineRule="auto"/>
        <w:ind w:left="1417" w:right="134"/>
        <w:rPr>
          <w:sz w:val="11"/>
        </w:rPr>
      </w:pPr>
      <w:r>
        <w:rPr>
          <w:color w:val="58595B"/>
        </w:rPr>
        <w:t xml:space="preserve">The McGuckian report </w:t>
      </w:r>
      <w:r>
        <w:rPr>
          <w:color w:val="58595B"/>
          <w:spacing w:val="-6"/>
        </w:rPr>
        <w:t xml:space="preserve">(2015) </w:t>
      </w:r>
      <w:r>
        <w:rPr>
          <w:color w:val="58595B"/>
          <w:spacing w:val="-3"/>
        </w:rPr>
        <w:t xml:space="preserve">was </w:t>
      </w:r>
      <w:r>
        <w:rPr>
          <w:color w:val="58595B"/>
        </w:rPr>
        <w:t xml:space="preserve">an independent report to the Minister for </w:t>
      </w:r>
      <w:r>
        <w:rPr>
          <w:color w:val="58595B"/>
          <w:spacing w:val="-2"/>
        </w:rPr>
        <w:t xml:space="preserve">Energy </w:t>
      </w:r>
      <w:r>
        <w:rPr>
          <w:color w:val="58595B"/>
        </w:rPr>
        <w:t>and Resources about community concerns with antimony contaminated dust from the Costerfield gold and antimony mine in central Victoria. The report found the community felt that the Department of Economic Development, Jobs, Transport and Resources had a conflict of interest with the mining applicant, as promoter and regulator of the mining industry. Among other things, the McGuckian report recommended ERR work more closely with the EPA.</w:t>
      </w:r>
      <w:r>
        <w:rPr>
          <w:color w:val="58595B"/>
          <w:position w:val="7"/>
          <w:sz w:val="11"/>
        </w:rPr>
        <w:t>27</w:t>
      </w:r>
    </w:p>
    <w:p w14:paraId="5FA96497" w14:textId="77777777" w:rsidR="00160E7F" w:rsidRDefault="00160E7F">
      <w:pPr>
        <w:pStyle w:val="BodyText"/>
        <w:spacing w:before="3"/>
        <w:rPr>
          <w:sz w:val="22"/>
        </w:rPr>
      </w:pPr>
    </w:p>
    <w:p w14:paraId="0084D5F7" w14:textId="77777777" w:rsidR="00160E7F" w:rsidRDefault="002B0299">
      <w:pPr>
        <w:pStyle w:val="ListParagraph"/>
        <w:numPr>
          <w:ilvl w:val="2"/>
          <w:numId w:val="10"/>
        </w:numPr>
        <w:tabs>
          <w:tab w:val="left" w:pos="2046"/>
        </w:tabs>
        <w:spacing w:before="0"/>
        <w:ind w:left="2045" w:hanging="628"/>
        <w:jc w:val="left"/>
        <w:rPr>
          <w:sz w:val="20"/>
        </w:rPr>
      </w:pPr>
      <w:r>
        <w:rPr>
          <w:color w:val="0095A7"/>
          <w:sz w:val="20"/>
        </w:rPr>
        <w:t>Industries should be treated</w:t>
      </w:r>
      <w:r>
        <w:rPr>
          <w:color w:val="0095A7"/>
          <w:spacing w:val="-5"/>
          <w:sz w:val="20"/>
        </w:rPr>
        <w:t xml:space="preserve"> </w:t>
      </w:r>
      <w:r>
        <w:rPr>
          <w:color w:val="0095A7"/>
          <w:sz w:val="20"/>
        </w:rPr>
        <w:t>alike</w:t>
      </w:r>
    </w:p>
    <w:p w14:paraId="031127CC" w14:textId="77777777" w:rsidR="00160E7F" w:rsidRDefault="002B0299">
      <w:pPr>
        <w:pStyle w:val="BodyText"/>
        <w:spacing w:before="120" w:line="276" w:lineRule="auto"/>
        <w:ind w:left="1417" w:right="515"/>
      </w:pPr>
      <w:r>
        <w:rPr>
          <w:color w:val="58595B"/>
        </w:rPr>
        <w:t xml:space="preserve">Consistent with best practice regulatory principles, </w:t>
      </w:r>
      <w:r>
        <w:rPr>
          <w:color w:val="58595B"/>
          <w:spacing w:val="-3"/>
        </w:rPr>
        <w:t xml:space="preserve">environmental </w:t>
      </w:r>
      <w:r>
        <w:rPr>
          <w:color w:val="58595B"/>
        </w:rPr>
        <w:t xml:space="preserve">regulation, </w:t>
      </w:r>
      <w:r>
        <w:rPr>
          <w:color w:val="58595B"/>
          <w:spacing w:val="-4"/>
        </w:rPr>
        <w:t xml:space="preserve">like </w:t>
      </w:r>
      <w:r>
        <w:rPr>
          <w:color w:val="58595B"/>
        </w:rPr>
        <w:t>occupational health</w:t>
      </w:r>
      <w:r>
        <w:rPr>
          <w:color w:val="58595B"/>
          <w:spacing w:val="-11"/>
        </w:rPr>
        <w:t xml:space="preserve"> </w:t>
      </w:r>
      <w:r>
        <w:rPr>
          <w:color w:val="58595B"/>
        </w:rPr>
        <w:t>and</w:t>
      </w:r>
      <w:r>
        <w:rPr>
          <w:color w:val="58595B"/>
          <w:spacing w:val="-11"/>
        </w:rPr>
        <w:t xml:space="preserve"> </w:t>
      </w:r>
      <w:r>
        <w:rPr>
          <w:color w:val="58595B"/>
        </w:rPr>
        <w:t>safety</w:t>
      </w:r>
      <w:r>
        <w:rPr>
          <w:color w:val="58595B"/>
          <w:spacing w:val="-11"/>
        </w:rPr>
        <w:t xml:space="preserve"> </w:t>
      </w:r>
      <w:r>
        <w:rPr>
          <w:color w:val="58595B"/>
        </w:rPr>
        <w:t>regulation,</w:t>
      </w:r>
      <w:r>
        <w:rPr>
          <w:color w:val="58595B"/>
          <w:spacing w:val="-11"/>
        </w:rPr>
        <w:t xml:space="preserve"> </w:t>
      </w:r>
      <w:r>
        <w:rPr>
          <w:color w:val="58595B"/>
        </w:rPr>
        <w:t>should</w:t>
      </w:r>
      <w:r>
        <w:rPr>
          <w:color w:val="58595B"/>
          <w:spacing w:val="-11"/>
        </w:rPr>
        <w:t xml:space="preserve"> </w:t>
      </w:r>
      <w:r>
        <w:rPr>
          <w:color w:val="58595B"/>
        </w:rPr>
        <w:t>apply</w:t>
      </w:r>
      <w:r>
        <w:rPr>
          <w:color w:val="58595B"/>
          <w:spacing w:val="-11"/>
        </w:rPr>
        <w:t xml:space="preserve"> </w:t>
      </w:r>
      <w:r>
        <w:rPr>
          <w:color w:val="58595B"/>
        </w:rPr>
        <w:t>across</w:t>
      </w:r>
      <w:r>
        <w:rPr>
          <w:color w:val="58595B"/>
          <w:spacing w:val="-11"/>
        </w:rPr>
        <w:t xml:space="preserve"> </w:t>
      </w:r>
      <w:r>
        <w:rPr>
          <w:color w:val="58595B"/>
        </w:rPr>
        <w:t>the</w:t>
      </w:r>
      <w:r>
        <w:rPr>
          <w:color w:val="58595B"/>
          <w:spacing w:val="-11"/>
        </w:rPr>
        <w:t xml:space="preserve"> </w:t>
      </w:r>
      <w:r>
        <w:rPr>
          <w:color w:val="58595B"/>
          <w:spacing w:val="-3"/>
        </w:rPr>
        <w:t>economy.</w:t>
      </w:r>
      <w:r>
        <w:rPr>
          <w:color w:val="58595B"/>
          <w:spacing w:val="-11"/>
        </w:rPr>
        <w:t xml:space="preserve"> </w:t>
      </w:r>
      <w:r>
        <w:rPr>
          <w:color w:val="58595B"/>
        </w:rPr>
        <w:t>Sectors</w:t>
      </w:r>
      <w:r>
        <w:rPr>
          <w:color w:val="58595B"/>
          <w:spacing w:val="-11"/>
        </w:rPr>
        <w:t xml:space="preserve"> </w:t>
      </w:r>
      <w:r>
        <w:rPr>
          <w:color w:val="58595B"/>
        </w:rPr>
        <w:t>that</w:t>
      </w:r>
      <w:r>
        <w:rPr>
          <w:color w:val="58595B"/>
          <w:spacing w:val="-11"/>
        </w:rPr>
        <w:t xml:space="preserve"> </w:t>
      </w:r>
      <w:r>
        <w:rPr>
          <w:color w:val="58595B"/>
          <w:spacing w:val="-3"/>
        </w:rPr>
        <w:t>have</w:t>
      </w:r>
      <w:r>
        <w:rPr>
          <w:color w:val="58595B"/>
          <w:spacing w:val="-11"/>
        </w:rPr>
        <w:t xml:space="preserve"> </w:t>
      </w:r>
      <w:r>
        <w:rPr>
          <w:color w:val="58595B"/>
        </w:rPr>
        <w:t>the</w:t>
      </w:r>
      <w:r>
        <w:rPr>
          <w:color w:val="58595B"/>
          <w:spacing w:val="-11"/>
        </w:rPr>
        <w:t xml:space="preserve"> </w:t>
      </w:r>
      <w:r>
        <w:rPr>
          <w:color w:val="58595B"/>
        </w:rPr>
        <w:t>same</w:t>
      </w:r>
      <w:r>
        <w:rPr>
          <w:color w:val="58595B"/>
          <w:spacing w:val="-11"/>
        </w:rPr>
        <w:t xml:space="preserve"> </w:t>
      </w:r>
      <w:r>
        <w:rPr>
          <w:color w:val="58595B"/>
        </w:rPr>
        <w:t>risk profile</w:t>
      </w:r>
      <w:r>
        <w:rPr>
          <w:color w:val="58595B"/>
          <w:spacing w:val="-9"/>
        </w:rPr>
        <w:t xml:space="preserve"> </w:t>
      </w:r>
      <w:r>
        <w:rPr>
          <w:color w:val="58595B"/>
        </w:rPr>
        <w:t>should</w:t>
      </w:r>
      <w:r>
        <w:rPr>
          <w:color w:val="58595B"/>
          <w:spacing w:val="-9"/>
        </w:rPr>
        <w:t xml:space="preserve"> </w:t>
      </w:r>
      <w:r>
        <w:rPr>
          <w:color w:val="58595B"/>
        </w:rPr>
        <w:t>be</w:t>
      </w:r>
      <w:r>
        <w:rPr>
          <w:color w:val="58595B"/>
          <w:spacing w:val="-9"/>
        </w:rPr>
        <w:t xml:space="preserve"> </w:t>
      </w:r>
      <w:r>
        <w:rPr>
          <w:color w:val="58595B"/>
        </w:rPr>
        <w:t>subject</w:t>
      </w:r>
      <w:r>
        <w:rPr>
          <w:color w:val="58595B"/>
          <w:spacing w:val="-9"/>
        </w:rPr>
        <w:t xml:space="preserve"> </w:t>
      </w:r>
      <w:r>
        <w:rPr>
          <w:color w:val="58595B"/>
        </w:rPr>
        <w:t>to</w:t>
      </w:r>
      <w:r>
        <w:rPr>
          <w:color w:val="58595B"/>
          <w:spacing w:val="-9"/>
        </w:rPr>
        <w:t xml:space="preserve"> </w:t>
      </w:r>
      <w:r>
        <w:rPr>
          <w:color w:val="58595B"/>
        </w:rPr>
        <w:t>the</w:t>
      </w:r>
      <w:r>
        <w:rPr>
          <w:color w:val="58595B"/>
          <w:spacing w:val="-9"/>
        </w:rPr>
        <w:t xml:space="preserve"> </w:t>
      </w:r>
      <w:r>
        <w:rPr>
          <w:color w:val="58595B"/>
        </w:rPr>
        <w:t>same</w:t>
      </w:r>
      <w:r>
        <w:rPr>
          <w:color w:val="58595B"/>
          <w:spacing w:val="-9"/>
        </w:rPr>
        <w:t xml:space="preserve"> </w:t>
      </w:r>
      <w:r>
        <w:rPr>
          <w:color w:val="58595B"/>
        </w:rPr>
        <w:t>regulatory</w:t>
      </w:r>
      <w:r>
        <w:rPr>
          <w:color w:val="58595B"/>
          <w:spacing w:val="-9"/>
        </w:rPr>
        <w:t xml:space="preserve"> </w:t>
      </w:r>
      <w:r>
        <w:rPr>
          <w:color w:val="58595B"/>
          <w:spacing w:val="-3"/>
        </w:rPr>
        <w:t>oversight.</w:t>
      </w:r>
      <w:r>
        <w:rPr>
          <w:color w:val="58595B"/>
          <w:spacing w:val="-9"/>
        </w:rPr>
        <w:t xml:space="preserve"> </w:t>
      </w:r>
      <w:r>
        <w:rPr>
          <w:color w:val="58595B"/>
        </w:rPr>
        <w:t>The</w:t>
      </w:r>
      <w:r>
        <w:rPr>
          <w:color w:val="58595B"/>
          <w:spacing w:val="-9"/>
        </w:rPr>
        <w:t xml:space="preserve"> </w:t>
      </w:r>
      <w:r>
        <w:rPr>
          <w:color w:val="58595B"/>
        </w:rPr>
        <w:t>only</w:t>
      </w:r>
      <w:r>
        <w:rPr>
          <w:color w:val="58595B"/>
          <w:spacing w:val="-9"/>
        </w:rPr>
        <w:t xml:space="preserve"> </w:t>
      </w:r>
      <w:r>
        <w:rPr>
          <w:color w:val="58595B"/>
        </w:rPr>
        <w:t>reason</w:t>
      </w:r>
      <w:r>
        <w:rPr>
          <w:color w:val="58595B"/>
          <w:spacing w:val="-9"/>
        </w:rPr>
        <w:t xml:space="preserve"> </w:t>
      </w:r>
      <w:r>
        <w:rPr>
          <w:color w:val="58595B"/>
        </w:rPr>
        <w:t>for</w:t>
      </w:r>
      <w:r>
        <w:rPr>
          <w:color w:val="58595B"/>
          <w:spacing w:val="-9"/>
        </w:rPr>
        <w:t xml:space="preserve"> </w:t>
      </w:r>
      <w:r>
        <w:rPr>
          <w:color w:val="58595B"/>
        </w:rPr>
        <w:t>the</w:t>
      </w:r>
      <w:r>
        <w:rPr>
          <w:color w:val="58595B"/>
          <w:spacing w:val="-9"/>
        </w:rPr>
        <w:t xml:space="preserve"> </w:t>
      </w:r>
      <w:r>
        <w:rPr>
          <w:color w:val="58595B"/>
          <w:spacing w:val="-5"/>
        </w:rPr>
        <w:t>EPA</w:t>
      </w:r>
      <w:r>
        <w:rPr>
          <w:color w:val="58595B"/>
          <w:spacing w:val="-9"/>
        </w:rPr>
        <w:t xml:space="preserve"> </w:t>
      </w:r>
      <w:r>
        <w:rPr>
          <w:color w:val="58595B"/>
        </w:rPr>
        <w:t>to</w:t>
      </w:r>
      <w:r>
        <w:rPr>
          <w:color w:val="58595B"/>
          <w:spacing w:val="-9"/>
        </w:rPr>
        <w:t xml:space="preserve"> </w:t>
      </w:r>
      <w:r>
        <w:rPr>
          <w:color w:val="58595B"/>
          <w:spacing w:val="-3"/>
        </w:rPr>
        <w:t xml:space="preserve">have </w:t>
      </w:r>
      <w:r>
        <w:rPr>
          <w:color w:val="58595B"/>
        </w:rPr>
        <w:t xml:space="preserve">a reduced role in regulating a sector should be because that sector has a lower risk profile for pollution and </w:t>
      </w:r>
      <w:r>
        <w:rPr>
          <w:color w:val="58595B"/>
          <w:spacing w:val="-3"/>
        </w:rPr>
        <w:t xml:space="preserve">waste. </w:t>
      </w:r>
      <w:r>
        <w:rPr>
          <w:color w:val="58595B"/>
        </w:rPr>
        <w:t xml:space="preserve">Each industry has its particular </w:t>
      </w:r>
      <w:r>
        <w:rPr>
          <w:color w:val="58595B"/>
          <w:spacing w:val="-3"/>
        </w:rPr>
        <w:t xml:space="preserve">environmental </w:t>
      </w:r>
      <w:r>
        <w:rPr>
          <w:color w:val="58595B"/>
        </w:rPr>
        <w:t xml:space="preserve">impacts and nuisances that require specific regulatory conditions and </w:t>
      </w:r>
      <w:r>
        <w:rPr>
          <w:color w:val="58595B"/>
          <w:spacing w:val="-3"/>
        </w:rPr>
        <w:t xml:space="preserve">oversight, </w:t>
      </w:r>
      <w:r>
        <w:rPr>
          <w:color w:val="58595B"/>
        </w:rPr>
        <w:t xml:space="preserve">but there should be an </w:t>
      </w:r>
      <w:r>
        <w:rPr>
          <w:color w:val="58595B"/>
          <w:spacing w:val="-3"/>
        </w:rPr>
        <w:t xml:space="preserve">overall </w:t>
      </w:r>
      <w:r>
        <w:rPr>
          <w:color w:val="58595B"/>
        </w:rPr>
        <w:t>consistent approach</w:t>
      </w:r>
      <w:r>
        <w:rPr>
          <w:color w:val="58595B"/>
          <w:spacing w:val="-8"/>
        </w:rPr>
        <w:t xml:space="preserve"> </w:t>
      </w:r>
      <w:r>
        <w:rPr>
          <w:color w:val="58595B"/>
        </w:rPr>
        <w:t>to</w:t>
      </w:r>
      <w:r>
        <w:rPr>
          <w:color w:val="58595B"/>
          <w:spacing w:val="-8"/>
        </w:rPr>
        <w:t xml:space="preserve"> </w:t>
      </w:r>
      <w:r>
        <w:rPr>
          <w:color w:val="58595B"/>
        </w:rPr>
        <w:t>the</w:t>
      </w:r>
      <w:r>
        <w:rPr>
          <w:color w:val="58595B"/>
          <w:spacing w:val="-8"/>
        </w:rPr>
        <w:t xml:space="preserve"> </w:t>
      </w:r>
      <w:r>
        <w:rPr>
          <w:color w:val="58595B"/>
          <w:spacing w:val="-4"/>
        </w:rPr>
        <w:t>state’s</w:t>
      </w:r>
      <w:r>
        <w:rPr>
          <w:color w:val="58595B"/>
          <w:spacing w:val="-8"/>
        </w:rPr>
        <w:t xml:space="preserve"> </w:t>
      </w:r>
      <w:r>
        <w:rPr>
          <w:color w:val="58595B"/>
        </w:rPr>
        <w:t>regulatory</w:t>
      </w:r>
      <w:r>
        <w:rPr>
          <w:color w:val="58595B"/>
          <w:spacing w:val="-8"/>
        </w:rPr>
        <w:t xml:space="preserve"> </w:t>
      </w:r>
      <w:r>
        <w:rPr>
          <w:color w:val="58595B"/>
          <w:spacing w:val="-3"/>
        </w:rPr>
        <w:t>requirements</w:t>
      </w:r>
      <w:r>
        <w:rPr>
          <w:color w:val="58595B"/>
          <w:spacing w:val="-8"/>
        </w:rPr>
        <w:t xml:space="preserve"> </w:t>
      </w:r>
      <w:r>
        <w:rPr>
          <w:color w:val="58595B"/>
        </w:rPr>
        <w:t>for</w:t>
      </w:r>
      <w:r>
        <w:rPr>
          <w:color w:val="58595B"/>
          <w:spacing w:val="-8"/>
        </w:rPr>
        <w:t xml:space="preserve"> </w:t>
      </w:r>
      <w:r>
        <w:rPr>
          <w:color w:val="58595B"/>
          <w:spacing w:val="-3"/>
        </w:rPr>
        <w:t>environment</w:t>
      </w:r>
      <w:r>
        <w:rPr>
          <w:color w:val="58595B"/>
          <w:spacing w:val="-8"/>
        </w:rPr>
        <w:t xml:space="preserve"> </w:t>
      </w:r>
      <w:r>
        <w:rPr>
          <w:color w:val="58595B"/>
        </w:rPr>
        <w:t>protection.</w:t>
      </w:r>
    </w:p>
    <w:p w14:paraId="44306007" w14:textId="77777777" w:rsidR="00160E7F" w:rsidRDefault="00160E7F">
      <w:pPr>
        <w:pStyle w:val="BodyText"/>
        <w:rPr>
          <w:sz w:val="19"/>
        </w:rPr>
      </w:pPr>
    </w:p>
    <w:p w14:paraId="0EE0C43F" w14:textId="77777777" w:rsidR="00160E7F" w:rsidRDefault="002B0299">
      <w:pPr>
        <w:pStyle w:val="Heading3"/>
        <w:spacing w:before="0"/>
        <w:ind w:right="789"/>
      </w:pPr>
      <w:r>
        <w:rPr>
          <w:color w:val="0095A7"/>
          <w:spacing w:val="-10"/>
        </w:rPr>
        <w:t xml:space="preserve">17.4  </w:t>
      </w:r>
      <w:r>
        <w:rPr>
          <w:color w:val="0095A7"/>
        </w:rPr>
        <w:t xml:space="preserve">A strengthened role for the </w:t>
      </w:r>
      <w:r>
        <w:rPr>
          <w:color w:val="0095A7"/>
          <w:spacing w:val="-5"/>
        </w:rPr>
        <w:t>EPA</w:t>
      </w:r>
    </w:p>
    <w:p w14:paraId="5FD56BFE" w14:textId="77777777" w:rsidR="00160E7F" w:rsidRDefault="002B0299">
      <w:pPr>
        <w:pStyle w:val="BodyText"/>
        <w:spacing w:before="111" w:line="276" w:lineRule="auto"/>
        <w:ind w:left="1417" w:right="223"/>
      </w:pPr>
      <w:r>
        <w:rPr>
          <w:color w:val="58595B"/>
        </w:rPr>
        <w:t xml:space="preserve">Environmental risks must be considered throughout a mine’s lifecycle in a way that complements and fits within mining’s existing regulatory system. We recommend a legislated role be established for the EPA, under the </w:t>
      </w:r>
      <w:r>
        <w:rPr>
          <w:i/>
          <w:color w:val="58595B"/>
        </w:rPr>
        <w:t xml:space="preserve">Mineral Resources (Sustainable Development) Act 1990 </w:t>
      </w:r>
      <w:r>
        <w:rPr>
          <w:color w:val="58595B"/>
        </w:rPr>
        <w:t>(MRSD Act), reflecting the different requirements for environmental regulation at different stages of the mine lifecycle, as set out below and summarised in table 17.1.</w:t>
      </w:r>
    </w:p>
    <w:p w14:paraId="199CD794" w14:textId="77777777" w:rsidR="00160E7F" w:rsidRDefault="00160E7F">
      <w:pPr>
        <w:pStyle w:val="BodyText"/>
        <w:spacing w:before="4"/>
        <w:rPr>
          <w:sz w:val="17"/>
        </w:rPr>
      </w:pPr>
    </w:p>
    <w:p w14:paraId="3106F640" w14:textId="77777777" w:rsidR="00160E7F" w:rsidRDefault="002B0299">
      <w:pPr>
        <w:pStyle w:val="BodyText"/>
        <w:ind w:left="1417" w:right="789"/>
      </w:pPr>
      <w:r>
        <w:rPr>
          <w:b/>
          <w:color w:val="0095A7"/>
        </w:rPr>
        <w:t xml:space="preserve">TABLE 17.1  </w:t>
      </w:r>
      <w:r>
        <w:rPr>
          <w:color w:val="0095A7"/>
        </w:rPr>
        <w:t>PROPOSED NEW EPA ROLES ACROSS A MINE’S LIFECYCLE</w:t>
      </w:r>
    </w:p>
    <w:p w14:paraId="7321B28A" w14:textId="77777777" w:rsidR="00160E7F" w:rsidRDefault="00160E7F">
      <w:pPr>
        <w:pStyle w:val="BodyText"/>
        <w:spacing w:before="5"/>
        <w:rPr>
          <w:sz w:val="18"/>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08"/>
        <w:gridCol w:w="2264"/>
        <w:gridCol w:w="5802"/>
      </w:tblGrid>
      <w:tr w:rsidR="00160E7F" w14:paraId="608963A6" w14:textId="77777777">
        <w:trPr>
          <w:trHeight w:hRule="exact" w:val="358"/>
        </w:trPr>
        <w:tc>
          <w:tcPr>
            <w:tcW w:w="608" w:type="dxa"/>
            <w:shd w:val="clear" w:color="auto" w:fill="89BFCB"/>
          </w:tcPr>
          <w:p w14:paraId="6ECB484C" w14:textId="77777777" w:rsidR="00160E7F" w:rsidRDefault="002B0299">
            <w:pPr>
              <w:pStyle w:val="TableParagraph"/>
              <w:spacing w:before="75"/>
              <w:ind w:left="56"/>
              <w:rPr>
                <w:sz w:val="18"/>
              </w:rPr>
            </w:pPr>
            <w:r>
              <w:rPr>
                <w:color w:val="FFFFFF"/>
                <w:sz w:val="18"/>
              </w:rPr>
              <w:t>Stage</w:t>
            </w:r>
          </w:p>
        </w:tc>
        <w:tc>
          <w:tcPr>
            <w:tcW w:w="2264" w:type="dxa"/>
            <w:shd w:val="clear" w:color="auto" w:fill="89BFCB"/>
          </w:tcPr>
          <w:p w14:paraId="07A188AB" w14:textId="77777777" w:rsidR="00160E7F" w:rsidRDefault="00160E7F"/>
        </w:tc>
        <w:tc>
          <w:tcPr>
            <w:tcW w:w="5802" w:type="dxa"/>
            <w:shd w:val="clear" w:color="auto" w:fill="89BFCB"/>
          </w:tcPr>
          <w:p w14:paraId="5B04C1BD" w14:textId="77777777" w:rsidR="00160E7F" w:rsidRDefault="002B0299">
            <w:pPr>
              <w:pStyle w:val="TableParagraph"/>
              <w:spacing w:before="75"/>
              <w:ind w:left="161" w:right="47"/>
              <w:rPr>
                <w:sz w:val="18"/>
              </w:rPr>
            </w:pPr>
            <w:r>
              <w:rPr>
                <w:color w:val="FFFFFF"/>
                <w:sz w:val="18"/>
              </w:rPr>
              <w:t>Increased role for the EPA</w:t>
            </w:r>
          </w:p>
        </w:tc>
      </w:tr>
      <w:tr w:rsidR="00160E7F" w14:paraId="37407312" w14:textId="77777777">
        <w:trPr>
          <w:trHeight w:hRule="exact" w:val="1351"/>
        </w:trPr>
        <w:tc>
          <w:tcPr>
            <w:tcW w:w="608" w:type="dxa"/>
            <w:tcBorders>
              <w:bottom w:val="single" w:sz="2" w:space="0" w:color="939598"/>
            </w:tcBorders>
          </w:tcPr>
          <w:p w14:paraId="11C0B80A" w14:textId="77777777" w:rsidR="00160E7F" w:rsidRDefault="002B0299">
            <w:pPr>
              <w:pStyle w:val="TableParagraph"/>
              <w:spacing w:before="47"/>
              <w:ind w:left="56"/>
              <w:rPr>
                <w:sz w:val="18"/>
              </w:rPr>
            </w:pPr>
            <w:r>
              <w:rPr>
                <w:color w:val="58595B"/>
                <w:sz w:val="18"/>
              </w:rPr>
              <w:t>1</w:t>
            </w:r>
          </w:p>
        </w:tc>
        <w:tc>
          <w:tcPr>
            <w:tcW w:w="2264" w:type="dxa"/>
            <w:tcBorders>
              <w:bottom w:val="single" w:sz="2" w:space="0" w:color="939598"/>
            </w:tcBorders>
          </w:tcPr>
          <w:p w14:paraId="29611E38" w14:textId="77777777" w:rsidR="00160E7F" w:rsidRDefault="002B0299">
            <w:pPr>
              <w:pStyle w:val="TableParagraph"/>
              <w:spacing w:before="47" w:line="254" w:lineRule="auto"/>
              <w:ind w:left="72"/>
              <w:rPr>
                <w:sz w:val="18"/>
              </w:rPr>
            </w:pPr>
            <w:r>
              <w:rPr>
                <w:color w:val="58595B"/>
                <w:sz w:val="18"/>
              </w:rPr>
              <w:t>Process for approving, renewing or varying</w:t>
            </w:r>
          </w:p>
          <w:p w14:paraId="0DD101DE" w14:textId="77777777" w:rsidR="00160E7F" w:rsidRDefault="002B0299">
            <w:pPr>
              <w:pStyle w:val="TableParagraph"/>
              <w:spacing w:before="1"/>
              <w:ind w:left="72"/>
              <w:rPr>
                <w:sz w:val="18"/>
              </w:rPr>
            </w:pPr>
            <w:r>
              <w:rPr>
                <w:color w:val="58595B"/>
                <w:sz w:val="18"/>
              </w:rPr>
              <w:t>a mine licence</w:t>
            </w:r>
          </w:p>
        </w:tc>
        <w:tc>
          <w:tcPr>
            <w:tcW w:w="5802" w:type="dxa"/>
            <w:tcBorders>
              <w:bottom w:val="single" w:sz="2" w:space="0" w:color="939598"/>
            </w:tcBorders>
          </w:tcPr>
          <w:p w14:paraId="26416BFB" w14:textId="77777777" w:rsidR="00160E7F" w:rsidRDefault="002B0299">
            <w:pPr>
              <w:pStyle w:val="TableParagraph"/>
              <w:spacing w:before="47" w:line="254" w:lineRule="auto"/>
              <w:ind w:left="161" w:right="47"/>
              <w:rPr>
                <w:sz w:val="18"/>
              </w:rPr>
            </w:pPr>
            <w:r>
              <w:rPr>
                <w:color w:val="58595B"/>
                <w:sz w:val="18"/>
              </w:rPr>
              <w:t>The EPA to advise on all mining licence approvals in relation to environmental issues, including for the licence conditions and setting of the bond</w:t>
            </w:r>
          </w:p>
          <w:p w14:paraId="36D836DA" w14:textId="77777777" w:rsidR="00160E7F" w:rsidRDefault="00160E7F">
            <w:pPr>
              <w:pStyle w:val="TableParagraph"/>
              <w:spacing w:before="10"/>
              <w:rPr>
                <w:sz w:val="14"/>
              </w:rPr>
            </w:pPr>
          </w:p>
          <w:p w14:paraId="1FBD2BA7" w14:textId="77777777" w:rsidR="00160E7F" w:rsidRDefault="002B0299">
            <w:pPr>
              <w:pStyle w:val="TableParagraph"/>
              <w:spacing w:before="0" w:line="254" w:lineRule="auto"/>
              <w:ind w:left="161" w:right="47"/>
              <w:rPr>
                <w:sz w:val="18"/>
              </w:rPr>
            </w:pPr>
            <w:r>
              <w:rPr>
                <w:color w:val="58595B"/>
                <w:sz w:val="18"/>
              </w:rPr>
              <w:t>Referral and determinative role for the EPA on all mining works plan approvals – in relation to environmental issues and conditions</w:t>
            </w:r>
          </w:p>
        </w:tc>
      </w:tr>
      <w:tr w:rsidR="00160E7F" w14:paraId="1BC7D5A2" w14:textId="77777777">
        <w:trPr>
          <w:trHeight w:hRule="exact" w:val="741"/>
        </w:trPr>
        <w:tc>
          <w:tcPr>
            <w:tcW w:w="608" w:type="dxa"/>
            <w:tcBorders>
              <w:top w:val="single" w:sz="2" w:space="0" w:color="939598"/>
              <w:bottom w:val="single" w:sz="2" w:space="0" w:color="939598"/>
            </w:tcBorders>
          </w:tcPr>
          <w:p w14:paraId="3E8B455E" w14:textId="77777777" w:rsidR="00160E7F" w:rsidRDefault="002B0299">
            <w:pPr>
              <w:pStyle w:val="TableParagraph"/>
              <w:ind w:left="56"/>
              <w:rPr>
                <w:sz w:val="18"/>
              </w:rPr>
            </w:pPr>
            <w:r>
              <w:rPr>
                <w:color w:val="58595B"/>
                <w:sz w:val="18"/>
              </w:rPr>
              <w:t>2</w:t>
            </w:r>
          </w:p>
        </w:tc>
        <w:tc>
          <w:tcPr>
            <w:tcW w:w="2264" w:type="dxa"/>
            <w:tcBorders>
              <w:top w:val="single" w:sz="2" w:space="0" w:color="939598"/>
              <w:bottom w:val="single" w:sz="2" w:space="0" w:color="939598"/>
            </w:tcBorders>
          </w:tcPr>
          <w:p w14:paraId="7FF0FA17" w14:textId="77777777" w:rsidR="00160E7F" w:rsidRDefault="002B0299">
            <w:pPr>
              <w:pStyle w:val="TableParagraph"/>
              <w:spacing w:line="254" w:lineRule="auto"/>
              <w:ind w:left="72"/>
              <w:rPr>
                <w:sz w:val="18"/>
              </w:rPr>
            </w:pPr>
            <w:r>
              <w:rPr>
                <w:color w:val="58595B"/>
                <w:sz w:val="18"/>
              </w:rPr>
              <w:t>Compliance and enforcement activities for operating mines</w:t>
            </w:r>
          </w:p>
        </w:tc>
        <w:tc>
          <w:tcPr>
            <w:tcW w:w="5802" w:type="dxa"/>
            <w:tcBorders>
              <w:top w:val="single" w:sz="2" w:space="0" w:color="939598"/>
              <w:bottom w:val="single" w:sz="2" w:space="0" w:color="939598"/>
            </w:tcBorders>
          </w:tcPr>
          <w:p w14:paraId="5AB7477B" w14:textId="77777777" w:rsidR="00160E7F" w:rsidRDefault="002B0299">
            <w:pPr>
              <w:pStyle w:val="TableParagraph"/>
              <w:ind w:left="161" w:right="47"/>
              <w:rPr>
                <w:sz w:val="18"/>
              </w:rPr>
            </w:pPr>
            <w:r>
              <w:rPr>
                <w:color w:val="58595B"/>
                <w:sz w:val="18"/>
              </w:rPr>
              <w:t>The EPA to be responsible for compliance and enforcement</w:t>
            </w:r>
          </w:p>
          <w:p w14:paraId="443E0EBA" w14:textId="77777777" w:rsidR="00160E7F" w:rsidRDefault="002B0299">
            <w:pPr>
              <w:pStyle w:val="TableParagraph"/>
              <w:spacing w:before="13"/>
              <w:ind w:left="161" w:right="47"/>
              <w:rPr>
                <w:sz w:val="18"/>
              </w:rPr>
            </w:pPr>
            <w:r>
              <w:rPr>
                <w:color w:val="58595B"/>
                <w:sz w:val="18"/>
              </w:rPr>
              <w:t>of environmental conditions, including onsite impacts and risks.</w:t>
            </w:r>
          </w:p>
        </w:tc>
      </w:tr>
      <w:tr w:rsidR="00160E7F" w14:paraId="52ADB60C" w14:textId="77777777">
        <w:trPr>
          <w:trHeight w:hRule="exact" w:val="521"/>
        </w:trPr>
        <w:tc>
          <w:tcPr>
            <w:tcW w:w="608" w:type="dxa"/>
            <w:tcBorders>
              <w:top w:val="single" w:sz="2" w:space="0" w:color="939598"/>
              <w:bottom w:val="single" w:sz="2" w:space="0" w:color="939598"/>
            </w:tcBorders>
          </w:tcPr>
          <w:p w14:paraId="5C5B5615" w14:textId="77777777" w:rsidR="00160E7F" w:rsidRDefault="002B0299">
            <w:pPr>
              <w:pStyle w:val="TableParagraph"/>
              <w:ind w:left="56"/>
              <w:rPr>
                <w:sz w:val="18"/>
              </w:rPr>
            </w:pPr>
            <w:r>
              <w:rPr>
                <w:color w:val="58595B"/>
                <w:sz w:val="18"/>
              </w:rPr>
              <w:t>3</w:t>
            </w:r>
          </w:p>
        </w:tc>
        <w:tc>
          <w:tcPr>
            <w:tcW w:w="2264" w:type="dxa"/>
            <w:tcBorders>
              <w:top w:val="single" w:sz="2" w:space="0" w:color="939598"/>
              <w:bottom w:val="single" w:sz="2" w:space="0" w:color="939598"/>
            </w:tcBorders>
          </w:tcPr>
          <w:p w14:paraId="3702403E" w14:textId="77777777" w:rsidR="00160E7F" w:rsidRDefault="002B0299">
            <w:pPr>
              <w:pStyle w:val="TableParagraph"/>
              <w:spacing w:line="254" w:lineRule="auto"/>
              <w:ind w:left="72"/>
              <w:rPr>
                <w:sz w:val="18"/>
              </w:rPr>
            </w:pPr>
            <w:r>
              <w:rPr>
                <w:color w:val="58595B"/>
                <w:sz w:val="18"/>
              </w:rPr>
              <w:t>Inactive or ‘mothballed’ mines</w:t>
            </w:r>
          </w:p>
        </w:tc>
        <w:tc>
          <w:tcPr>
            <w:tcW w:w="5802" w:type="dxa"/>
            <w:tcBorders>
              <w:top w:val="single" w:sz="2" w:space="0" w:color="939598"/>
              <w:bottom w:val="single" w:sz="2" w:space="0" w:color="939598"/>
            </w:tcBorders>
          </w:tcPr>
          <w:p w14:paraId="6C67517A" w14:textId="77777777" w:rsidR="00160E7F" w:rsidRDefault="002B0299">
            <w:pPr>
              <w:pStyle w:val="TableParagraph"/>
              <w:spacing w:line="254" w:lineRule="auto"/>
              <w:ind w:left="161" w:right="748"/>
              <w:rPr>
                <w:sz w:val="18"/>
              </w:rPr>
            </w:pPr>
            <w:r>
              <w:rPr>
                <w:color w:val="58595B"/>
                <w:sz w:val="18"/>
              </w:rPr>
              <w:t>The EPA to be responsible for compliance and enforcement of the care and maintenance of inactive mining sites.</w:t>
            </w:r>
          </w:p>
        </w:tc>
      </w:tr>
      <w:tr w:rsidR="00160E7F" w14:paraId="6DDB20A2" w14:textId="77777777">
        <w:trPr>
          <w:trHeight w:hRule="exact" w:val="1351"/>
        </w:trPr>
        <w:tc>
          <w:tcPr>
            <w:tcW w:w="608" w:type="dxa"/>
            <w:tcBorders>
              <w:top w:val="single" w:sz="2" w:space="0" w:color="939598"/>
              <w:bottom w:val="single" w:sz="2" w:space="0" w:color="939598"/>
            </w:tcBorders>
          </w:tcPr>
          <w:p w14:paraId="6D2DC698" w14:textId="77777777" w:rsidR="00160E7F" w:rsidRDefault="002B0299">
            <w:pPr>
              <w:pStyle w:val="TableParagraph"/>
              <w:ind w:left="56"/>
              <w:rPr>
                <w:sz w:val="18"/>
              </w:rPr>
            </w:pPr>
            <w:r>
              <w:rPr>
                <w:color w:val="58595B"/>
                <w:sz w:val="18"/>
              </w:rPr>
              <w:t>4</w:t>
            </w:r>
          </w:p>
        </w:tc>
        <w:tc>
          <w:tcPr>
            <w:tcW w:w="2264" w:type="dxa"/>
            <w:tcBorders>
              <w:top w:val="single" w:sz="2" w:space="0" w:color="939598"/>
              <w:bottom w:val="single" w:sz="2" w:space="0" w:color="939598"/>
            </w:tcBorders>
          </w:tcPr>
          <w:p w14:paraId="1028A610" w14:textId="77777777" w:rsidR="00160E7F" w:rsidRDefault="002B0299">
            <w:pPr>
              <w:pStyle w:val="TableParagraph"/>
              <w:ind w:left="72"/>
              <w:rPr>
                <w:sz w:val="18"/>
              </w:rPr>
            </w:pPr>
            <w:r>
              <w:rPr>
                <w:color w:val="58595B"/>
                <w:sz w:val="18"/>
              </w:rPr>
              <w:t>Closure</w:t>
            </w:r>
          </w:p>
        </w:tc>
        <w:tc>
          <w:tcPr>
            <w:tcW w:w="5802" w:type="dxa"/>
            <w:tcBorders>
              <w:top w:val="single" w:sz="2" w:space="0" w:color="939598"/>
              <w:bottom w:val="single" w:sz="2" w:space="0" w:color="939598"/>
            </w:tcBorders>
          </w:tcPr>
          <w:p w14:paraId="02777C92" w14:textId="77777777" w:rsidR="00160E7F" w:rsidRDefault="002B0299">
            <w:pPr>
              <w:pStyle w:val="TableParagraph"/>
              <w:spacing w:line="254" w:lineRule="auto"/>
              <w:ind w:left="161" w:right="47"/>
              <w:rPr>
                <w:sz w:val="18"/>
              </w:rPr>
            </w:pPr>
            <w:r>
              <w:rPr>
                <w:color w:val="58595B"/>
                <w:sz w:val="18"/>
              </w:rPr>
              <w:t>The EPA to advise on applications for reducing or returning rehabilitation bonds</w:t>
            </w:r>
          </w:p>
          <w:p w14:paraId="3CF2AED4" w14:textId="77777777" w:rsidR="00160E7F" w:rsidRDefault="00160E7F">
            <w:pPr>
              <w:pStyle w:val="TableParagraph"/>
              <w:spacing w:before="10"/>
              <w:rPr>
                <w:sz w:val="14"/>
              </w:rPr>
            </w:pPr>
          </w:p>
          <w:p w14:paraId="4529C0ED" w14:textId="77777777" w:rsidR="00160E7F" w:rsidRDefault="002B0299">
            <w:pPr>
              <w:pStyle w:val="TableParagraph"/>
              <w:spacing w:before="0" w:line="254" w:lineRule="auto"/>
              <w:ind w:left="161"/>
              <w:rPr>
                <w:sz w:val="18"/>
              </w:rPr>
            </w:pPr>
            <w:r>
              <w:rPr>
                <w:color w:val="58595B"/>
                <w:sz w:val="18"/>
              </w:rPr>
              <w:t xml:space="preserve">The </w:t>
            </w:r>
            <w:r>
              <w:rPr>
                <w:color w:val="58595B"/>
                <w:spacing w:val="-6"/>
                <w:sz w:val="18"/>
              </w:rPr>
              <w:t xml:space="preserve">EPA </w:t>
            </w:r>
            <w:r>
              <w:rPr>
                <w:color w:val="58595B"/>
                <w:sz w:val="18"/>
              </w:rPr>
              <w:t xml:space="preserve">to be </w:t>
            </w:r>
            <w:r>
              <w:rPr>
                <w:color w:val="58595B"/>
                <w:spacing w:val="-3"/>
                <w:sz w:val="18"/>
              </w:rPr>
              <w:t xml:space="preserve">responsible </w:t>
            </w:r>
            <w:r>
              <w:rPr>
                <w:color w:val="58595B"/>
                <w:sz w:val="18"/>
              </w:rPr>
              <w:t xml:space="preserve">for compliance and </w:t>
            </w:r>
            <w:r>
              <w:rPr>
                <w:color w:val="58595B"/>
                <w:spacing w:val="-3"/>
                <w:sz w:val="18"/>
              </w:rPr>
              <w:t xml:space="preserve">enforcement </w:t>
            </w:r>
            <w:r>
              <w:rPr>
                <w:color w:val="58595B"/>
                <w:sz w:val="18"/>
              </w:rPr>
              <w:t xml:space="preserve">of the </w:t>
            </w:r>
            <w:r>
              <w:rPr>
                <w:color w:val="58595B"/>
                <w:spacing w:val="-3"/>
                <w:sz w:val="18"/>
              </w:rPr>
              <w:t xml:space="preserve">environmental </w:t>
            </w:r>
            <w:r>
              <w:rPr>
                <w:color w:val="58595B"/>
                <w:spacing w:val="-4"/>
                <w:sz w:val="18"/>
              </w:rPr>
              <w:t xml:space="preserve">elements </w:t>
            </w:r>
            <w:r>
              <w:rPr>
                <w:color w:val="58595B"/>
                <w:spacing w:val="-3"/>
                <w:sz w:val="18"/>
              </w:rPr>
              <w:t xml:space="preserve">of the mine </w:t>
            </w:r>
            <w:r>
              <w:rPr>
                <w:color w:val="58595B"/>
                <w:spacing w:val="-4"/>
                <w:sz w:val="18"/>
              </w:rPr>
              <w:t xml:space="preserve">remediation </w:t>
            </w:r>
            <w:r>
              <w:rPr>
                <w:color w:val="58595B"/>
                <w:spacing w:val="-5"/>
                <w:sz w:val="18"/>
              </w:rPr>
              <w:t xml:space="preserve">(as </w:t>
            </w:r>
            <w:r>
              <w:rPr>
                <w:color w:val="58595B"/>
                <w:spacing w:val="-3"/>
                <w:sz w:val="18"/>
              </w:rPr>
              <w:t xml:space="preserve">set out </w:t>
            </w:r>
            <w:r>
              <w:rPr>
                <w:color w:val="58595B"/>
                <w:sz w:val="18"/>
              </w:rPr>
              <w:t xml:space="preserve">in </w:t>
            </w:r>
            <w:r>
              <w:rPr>
                <w:color w:val="58595B"/>
                <w:spacing w:val="-3"/>
                <w:sz w:val="18"/>
              </w:rPr>
              <w:t xml:space="preserve">the </w:t>
            </w:r>
            <w:r>
              <w:rPr>
                <w:color w:val="58595B"/>
                <w:spacing w:val="-4"/>
                <w:sz w:val="18"/>
              </w:rPr>
              <w:t xml:space="preserve">mining </w:t>
            </w:r>
            <w:r>
              <w:rPr>
                <w:color w:val="58595B"/>
                <w:spacing w:val="-3"/>
                <w:sz w:val="18"/>
              </w:rPr>
              <w:t xml:space="preserve">licence </w:t>
            </w:r>
            <w:r>
              <w:rPr>
                <w:color w:val="58595B"/>
                <w:spacing w:val="-5"/>
                <w:sz w:val="18"/>
              </w:rPr>
              <w:t>conditions).</w:t>
            </w:r>
          </w:p>
        </w:tc>
      </w:tr>
    </w:tbl>
    <w:p w14:paraId="0A7FCD35" w14:textId="77777777" w:rsidR="00160E7F" w:rsidRDefault="00160E7F">
      <w:pPr>
        <w:spacing w:line="254" w:lineRule="auto"/>
        <w:rPr>
          <w:sz w:val="18"/>
        </w:rPr>
        <w:sectPr w:rsidR="00160E7F">
          <w:pgSz w:w="11910" w:h="16840"/>
          <w:pgMar w:top="980" w:right="1680" w:bottom="280" w:left="0" w:header="788" w:footer="0" w:gutter="0"/>
          <w:cols w:space="720"/>
        </w:sectPr>
      </w:pPr>
    </w:p>
    <w:p w14:paraId="63F02286" w14:textId="77777777" w:rsidR="00160E7F" w:rsidRDefault="00160E7F">
      <w:pPr>
        <w:pStyle w:val="BodyText"/>
      </w:pPr>
    </w:p>
    <w:p w14:paraId="0E695855" w14:textId="77777777" w:rsidR="00160E7F" w:rsidRDefault="00160E7F">
      <w:pPr>
        <w:pStyle w:val="BodyText"/>
      </w:pPr>
    </w:p>
    <w:p w14:paraId="7A6E6CB2" w14:textId="77777777" w:rsidR="00160E7F" w:rsidRDefault="00160E7F">
      <w:pPr>
        <w:pStyle w:val="BodyText"/>
      </w:pPr>
    </w:p>
    <w:p w14:paraId="794CF53A" w14:textId="77777777" w:rsidR="00160E7F" w:rsidRDefault="00160E7F">
      <w:pPr>
        <w:pStyle w:val="BodyText"/>
      </w:pPr>
    </w:p>
    <w:p w14:paraId="1868A8FC" w14:textId="77777777" w:rsidR="00160E7F" w:rsidRDefault="00160E7F">
      <w:pPr>
        <w:pStyle w:val="BodyText"/>
        <w:spacing w:before="8"/>
        <w:rPr>
          <w:sz w:val="17"/>
        </w:rPr>
      </w:pPr>
    </w:p>
    <w:p w14:paraId="02278938" w14:textId="77777777" w:rsidR="00160E7F" w:rsidRDefault="002B0299">
      <w:pPr>
        <w:pStyle w:val="BodyText"/>
        <w:spacing w:before="1" w:line="276" w:lineRule="auto"/>
        <w:ind w:left="134" w:right="1549"/>
      </w:pPr>
      <w:r>
        <w:rPr>
          <w:color w:val="58595B"/>
        </w:rPr>
        <w:t>In proposing this strengthened role for the EPA, we note the NSW EPA’s role in jointly regulating coal seam gas with the New South Wales’ Department of Industry (box 17.5).</w:t>
      </w:r>
    </w:p>
    <w:p w14:paraId="41C7C943" w14:textId="77777777" w:rsidR="00160E7F" w:rsidRDefault="000638CB">
      <w:pPr>
        <w:pStyle w:val="BodyText"/>
        <w:spacing w:before="5"/>
        <w:rPr>
          <w:sz w:val="13"/>
        </w:rPr>
      </w:pPr>
      <w:r>
        <w:pict w14:anchorId="580FCC14">
          <v:shape id="_x0000_s1040" type="#_x0000_t202" style="position:absolute;margin-left:90.7pt;margin-top:8.95pt;width:432.75pt;height:264.4pt;z-index:2656;mso-wrap-distance-left:0;mso-wrap-distance-right:0;mso-position-horizontal-relative:page" fillcolor="#eaf2f3" stroked="f">
            <o:lock v:ext="edit" aspectratio="t"/>
            <v:textbox style="mso-next-textbox:#_x0000_s1040" inset="0,0,0,0">
              <w:txbxContent>
                <w:p w14:paraId="348F023A" w14:textId="77777777" w:rsidR="00804E46" w:rsidRDefault="00804E46">
                  <w:pPr>
                    <w:pStyle w:val="BodyText"/>
                    <w:spacing w:before="128"/>
                    <w:ind w:left="170" w:right="311"/>
                  </w:pPr>
                  <w:r>
                    <w:rPr>
                      <w:b/>
                      <w:color w:val="0095A7"/>
                    </w:rPr>
                    <w:t xml:space="preserve">BOX 17.5  </w:t>
                  </w:r>
                  <w:r>
                    <w:rPr>
                      <w:color w:val="0095A7"/>
                    </w:rPr>
                    <w:t>NSW EPA’S ROLE IN REGULATING COAL SEAM GAS</w:t>
                  </w:r>
                </w:p>
                <w:p w14:paraId="6D5545BB" w14:textId="77777777" w:rsidR="00804E46" w:rsidRDefault="00804E46">
                  <w:pPr>
                    <w:pStyle w:val="BodyText"/>
                    <w:spacing w:before="125" w:line="280" w:lineRule="auto"/>
                    <w:ind w:left="170" w:right="166"/>
                  </w:pPr>
                  <w:r>
                    <w:rPr>
                      <w:color w:val="58595B"/>
                    </w:rPr>
                    <w:t>The NSW EPA is the lead regulator of environmental and health impacts of coal seam gas (CSG) activities. The New South Wales Office of Coal Seam Gas or the Department of Planning and Environment assess and approve new CSG proposals, depending on the scale of the proposed activity. The EPA regulates CSG activities through its environment protection licence framework with legally enforceable conditions. CSG activities are also subject to</w:t>
                  </w:r>
                </w:p>
                <w:p w14:paraId="7B610EE4" w14:textId="77777777" w:rsidR="00804E46" w:rsidRDefault="00804E46">
                  <w:pPr>
                    <w:pStyle w:val="BodyText"/>
                    <w:spacing w:before="2" w:line="280" w:lineRule="auto"/>
                    <w:ind w:left="170" w:right="883"/>
                  </w:pPr>
                  <w:r>
                    <w:rPr>
                      <w:color w:val="58595B"/>
                    </w:rPr>
                    <w:t>the NSW EPA’s load-based licensing scheme and various policies and procedures for determining operational controls, limits and monitoring.</w:t>
                  </w:r>
                </w:p>
                <w:p w14:paraId="558539B0" w14:textId="77777777" w:rsidR="00804E46" w:rsidRDefault="00804E46">
                  <w:pPr>
                    <w:pStyle w:val="BodyText"/>
                    <w:spacing w:before="143" w:line="280" w:lineRule="auto"/>
                    <w:ind w:left="170" w:right="311"/>
                  </w:pPr>
                  <w:r>
                    <w:rPr>
                      <w:color w:val="58595B"/>
                    </w:rPr>
                    <w:t>CSG operators must also meet other NSW EPA legislative obligations, such as clean air requirements (including air emission modelling and sampling) and a duty to report pollution incidents.</w:t>
                  </w:r>
                </w:p>
                <w:p w14:paraId="7302EE53" w14:textId="77777777" w:rsidR="00804E46" w:rsidRDefault="00804E46">
                  <w:pPr>
                    <w:pStyle w:val="BodyText"/>
                    <w:spacing w:before="143" w:line="280" w:lineRule="auto"/>
                    <w:ind w:left="170" w:right="166"/>
                    <w:rPr>
                      <w:sz w:val="11"/>
                    </w:rPr>
                  </w:pPr>
                  <w:r>
                    <w:rPr>
                      <w:color w:val="58595B"/>
                    </w:rPr>
                    <w:t>This framework gives the NSW EPA a strong base to regulate CSG activities. It conducts site inspections to assess environmental performance and ensure CSG operators meet their regulatory obligations. If it detects a regulatory breach, the NSW EPA can take a number of different actions including formal warnings, clean up and prevention notices, penalty notices, legally binding pollution reduction programs and for serious cases, enforceable undertakings or prosecution.</w:t>
                  </w:r>
                  <w:r>
                    <w:rPr>
                      <w:color w:val="58595B"/>
                      <w:position w:val="7"/>
                      <w:sz w:val="11"/>
                    </w:rPr>
                    <w:t>28</w:t>
                  </w:r>
                </w:p>
              </w:txbxContent>
            </v:textbox>
            <w10:wrap type="topAndBottom" anchorx="page"/>
          </v:shape>
        </w:pict>
      </w:r>
    </w:p>
    <w:p w14:paraId="2880F7B8" w14:textId="77777777" w:rsidR="00160E7F" w:rsidRDefault="00160E7F">
      <w:pPr>
        <w:pStyle w:val="BodyText"/>
        <w:spacing w:before="9"/>
        <w:rPr>
          <w:sz w:val="8"/>
        </w:rPr>
      </w:pPr>
    </w:p>
    <w:p w14:paraId="76AC194B" w14:textId="77777777" w:rsidR="00160E7F" w:rsidRDefault="002B0299">
      <w:pPr>
        <w:pStyle w:val="ListParagraph"/>
        <w:numPr>
          <w:ilvl w:val="2"/>
          <w:numId w:val="9"/>
        </w:numPr>
        <w:tabs>
          <w:tab w:val="left" w:pos="740"/>
        </w:tabs>
        <w:spacing w:before="75"/>
        <w:ind w:hanging="605"/>
        <w:jc w:val="left"/>
        <w:rPr>
          <w:sz w:val="20"/>
        </w:rPr>
      </w:pPr>
      <w:r>
        <w:rPr>
          <w:color w:val="0095A7"/>
          <w:sz w:val="20"/>
        </w:rPr>
        <w:t>Approvals</w:t>
      </w:r>
    </w:p>
    <w:p w14:paraId="43534F14" w14:textId="77777777" w:rsidR="00160E7F" w:rsidRDefault="002B0299">
      <w:pPr>
        <w:pStyle w:val="BodyText"/>
        <w:spacing w:before="120"/>
        <w:ind w:left="134" w:right="789"/>
      </w:pPr>
      <w:r>
        <w:rPr>
          <w:color w:val="58595B"/>
        </w:rPr>
        <w:t>There are two stages for mining approvals – and these should involve different roles for the EPA:</w:t>
      </w:r>
    </w:p>
    <w:p w14:paraId="6E0D7D6B" w14:textId="77777777" w:rsidR="00160E7F" w:rsidRDefault="002B0299">
      <w:pPr>
        <w:pStyle w:val="Heading4"/>
        <w:spacing w:before="176"/>
        <w:ind w:left="134" w:right="789"/>
      </w:pPr>
      <w:r>
        <w:rPr>
          <w:color w:val="58595B"/>
        </w:rPr>
        <w:t>Mining licence approval by the Minister for Energy and Resources</w:t>
      </w:r>
    </w:p>
    <w:p w14:paraId="169152D5" w14:textId="1C5A1A96" w:rsidR="00160E7F" w:rsidRDefault="002B0299">
      <w:pPr>
        <w:pStyle w:val="ListParagraph"/>
        <w:numPr>
          <w:ilvl w:val="0"/>
          <w:numId w:val="25"/>
        </w:numPr>
        <w:tabs>
          <w:tab w:val="left" w:pos="305"/>
        </w:tabs>
        <w:spacing w:before="148" w:line="276" w:lineRule="auto"/>
        <w:ind w:right="1525" w:hanging="170"/>
        <w:rPr>
          <w:sz w:val="20"/>
        </w:rPr>
      </w:pPr>
      <w:r>
        <w:rPr>
          <w:color w:val="58595B"/>
          <w:sz w:val="20"/>
        </w:rPr>
        <w:t xml:space="preserve">The </w:t>
      </w:r>
      <w:r>
        <w:rPr>
          <w:color w:val="58595B"/>
          <w:spacing w:val="-5"/>
          <w:sz w:val="20"/>
        </w:rPr>
        <w:t xml:space="preserve">EPA’s </w:t>
      </w:r>
      <w:r>
        <w:rPr>
          <w:color w:val="58595B"/>
          <w:sz w:val="20"/>
        </w:rPr>
        <w:t xml:space="preserve">advice should be sought on all mining </w:t>
      </w:r>
      <w:r>
        <w:rPr>
          <w:color w:val="58595B"/>
          <w:spacing w:val="2"/>
          <w:sz w:val="20"/>
        </w:rPr>
        <w:t xml:space="preserve">licence applications </w:t>
      </w:r>
      <w:r>
        <w:rPr>
          <w:color w:val="58595B"/>
          <w:sz w:val="20"/>
        </w:rPr>
        <w:t xml:space="preserve">– and to variations and renewals of existing </w:t>
      </w:r>
      <w:r>
        <w:rPr>
          <w:color w:val="58595B"/>
          <w:spacing w:val="2"/>
          <w:sz w:val="20"/>
        </w:rPr>
        <w:t xml:space="preserve">licences. </w:t>
      </w:r>
      <w:r>
        <w:rPr>
          <w:color w:val="58595B"/>
          <w:sz w:val="20"/>
        </w:rPr>
        <w:t xml:space="preserve">At this point, the </w:t>
      </w:r>
      <w:r>
        <w:rPr>
          <w:color w:val="58595B"/>
          <w:spacing w:val="-3"/>
          <w:sz w:val="20"/>
        </w:rPr>
        <w:t xml:space="preserve">EPA </w:t>
      </w:r>
      <w:r>
        <w:rPr>
          <w:color w:val="58595B"/>
          <w:sz w:val="20"/>
        </w:rPr>
        <w:t xml:space="preserve">would provide strategic and high level advice on relevant environmental </w:t>
      </w:r>
      <w:r>
        <w:rPr>
          <w:color w:val="58595B"/>
          <w:spacing w:val="2"/>
          <w:sz w:val="20"/>
        </w:rPr>
        <w:t xml:space="preserve">considerations, </w:t>
      </w:r>
      <w:r>
        <w:rPr>
          <w:color w:val="58595B"/>
          <w:sz w:val="20"/>
        </w:rPr>
        <w:t xml:space="preserve">including in relation to </w:t>
      </w:r>
      <w:r>
        <w:rPr>
          <w:color w:val="58595B"/>
          <w:spacing w:val="2"/>
          <w:sz w:val="20"/>
        </w:rPr>
        <w:t xml:space="preserve">setting </w:t>
      </w:r>
      <w:r w:rsidR="000E6F0F">
        <w:rPr>
          <w:color w:val="58595B"/>
          <w:sz w:val="20"/>
        </w:rPr>
        <w:t xml:space="preserve">the bond, </w:t>
      </w:r>
      <w:r>
        <w:rPr>
          <w:color w:val="58595B"/>
          <w:sz w:val="20"/>
        </w:rPr>
        <w:t xml:space="preserve">and mining </w:t>
      </w:r>
      <w:r>
        <w:rPr>
          <w:color w:val="58595B"/>
          <w:spacing w:val="2"/>
          <w:sz w:val="20"/>
        </w:rPr>
        <w:t xml:space="preserve">licence conditions </w:t>
      </w:r>
      <w:r>
        <w:rPr>
          <w:color w:val="58595B"/>
          <w:sz w:val="20"/>
        </w:rPr>
        <w:t xml:space="preserve">relating to the environment and public health. This role should extend to </w:t>
      </w:r>
      <w:r>
        <w:rPr>
          <w:color w:val="58595B"/>
          <w:spacing w:val="2"/>
          <w:sz w:val="20"/>
        </w:rPr>
        <w:t xml:space="preserve">varying </w:t>
      </w:r>
      <w:r>
        <w:rPr>
          <w:color w:val="58595B"/>
          <w:sz w:val="20"/>
        </w:rPr>
        <w:t>or renewing an existing licence.</w:t>
      </w:r>
    </w:p>
    <w:p w14:paraId="60236AA7" w14:textId="77777777" w:rsidR="00160E7F" w:rsidRDefault="002B0299">
      <w:pPr>
        <w:pStyle w:val="ListParagraph"/>
        <w:numPr>
          <w:ilvl w:val="0"/>
          <w:numId w:val="25"/>
        </w:numPr>
        <w:tabs>
          <w:tab w:val="left" w:pos="305"/>
        </w:tabs>
        <w:spacing w:before="115"/>
        <w:ind w:hanging="170"/>
        <w:rPr>
          <w:sz w:val="20"/>
        </w:rPr>
      </w:pPr>
      <w:r>
        <w:rPr>
          <w:color w:val="58595B"/>
          <w:sz w:val="20"/>
        </w:rPr>
        <w:t>This will require changes to the MRSD</w:t>
      </w:r>
      <w:r>
        <w:rPr>
          <w:color w:val="58595B"/>
          <w:spacing w:val="6"/>
          <w:sz w:val="20"/>
        </w:rPr>
        <w:t xml:space="preserve"> </w:t>
      </w:r>
      <w:r>
        <w:rPr>
          <w:color w:val="58595B"/>
          <w:sz w:val="20"/>
        </w:rPr>
        <w:t>Act.</w:t>
      </w:r>
    </w:p>
    <w:p w14:paraId="49BF6820" w14:textId="77777777" w:rsidR="00160E7F" w:rsidRDefault="002B0299">
      <w:pPr>
        <w:pStyle w:val="Heading4"/>
        <w:spacing w:before="176"/>
        <w:ind w:left="134" w:right="789"/>
      </w:pPr>
      <w:r>
        <w:rPr>
          <w:color w:val="58595B"/>
        </w:rPr>
        <w:t>Mining works plan approval</w:t>
      </w:r>
    </w:p>
    <w:p w14:paraId="4F0A7D33" w14:textId="77777777" w:rsidR="00160E7F" w:rsidRDefault="002B0299">
      <w:pPr>
        <w:pStyle w:val="ListParagraph"/>
        <w:numPr>
          <w:ilvl w:val="0"/>
          <w:numId w:val="25"/>
        </w:numPr>
        <w:tabs>
          <w:tab w:val="left" w:pos="305"/>
        </w:tabs>
        <w:spacing w:before="148" w:line="276" w:lineRule="auto"/>
        <w:ind w:right="1538" w:hanging="170"/>
        <w:rPr>
          <w:sz w:val="20"/>
        </w:rPr>
      </w:pPr>
      <w:r>
        <w:rPr>
          <w:color w:val="58595B"/>
          <w:sz w:val="20"/>
        </w:rPr>
        <w:t xml:space="preserve">The </w:t>
      </w:r>
      <w:r>
        <w:rPr>
          <w:color w:val="58595B"/>
          <w:spacing w:val="-4"/>
          <w:sz w:val="20"/>
        </w:rPr>
        <w:t xml:space="preserve">EPA </w:t>
      </w:r>
      <w:r>
        <w:rPr>
          <w:color w:val="58595B"/>
          <w:sz w:val="20"/>
        </w:rPr>
        <w:t xml:space="preserve">should be a formal approval authority for new or reviewed work plans and mine rehabilitation </w:t>
      </w:r>
      <w:r>
        <w:rPr>
          <w:color w:val="58595B"/>
          <w:spacing w:val="-2"/>
          <w:sz w:val="20"/>
        </w:rPr>
        <w:t xml:space="preserve">plans, </w:t>
      </w:r>
      <w:r>
        <w:rPr>
          <w:color w:val="58595B"/>
          <w:sz w:val="20"/>
        </w:rPr>
        <w:t xml:space="preserve">with a </w:t>
      </w:r>
      <w:r>
        <w:rPr>
          <w:color w:val="58595B"/>
          <w:spacing w:val="-3"/>
          <w:sz w:val="20"/>
        </w:rPr>
        <w:t xml:space="preserve">determinative </w:t>
      </w:r>
      <w:r>
        <w:rPr>
          <w:color w:val="58595B"/>
          <w:sz w:val="20"/>
        </w:rPr>
        <w:t xml:space="preserve">role in relation to the consideration of </w:t>
      </w:r>
      <w:r>
        <w:rPr>
          <w:color w:val="58595B"/>
          <w:spacing w:val="-3"/>
          <w:sz w:val="20"/>
        </w:rPr>
        <w:t xml:space="preserve">environmental </w:t>
      </w:r>
      <w:r>
        <w:rPr>
          <w:color w:val="58595B"/>
          <w:sz w:val="20"/>
        </w:rPr>
        <w:t>issues</w:t>
      </w:r>
      <w:r>
        <w:rPr>
          <w:color w:val="58595B"/>
          <w:spacing w:val="-8"/>
          <w:sz w:val="20"/>
        </w:rPr>
        <w:t xml:space="preserve"> </w:t>
      </w:r>
      <w:r>
        <w:rPr>
          <w:color w:val="58595B"/>
          <w:sz w:val="20"/>
        </w:rPr>
        <w:t>and</w:t>
      </w:r>
      <w:r>
        <w:rPr>
          <w:color w:val="58595B"/>
          <w:spacing w:val="-8"/>
          <w:sz w:val="20"/>
        </w:rPr>
        <w:t xml:space="preserve"> </w:t>
      </w:r>
      <w:r>
        <w:rPr>
          <w:color w:val="58595B"/>
          <w:sz w:val="20"/>
        </w:rPr>
        <w:t>the</w:t>
      </w:r>
      <w:r>
        <w:rPr>
          <w:color w:val="58595B"/>
          <w:spacing w:val="-8"/>
          <w:sz w:val="20"/>
        </w:rPr>
        <w:t xml:space="preserve"> </w:t>
      </w:r>
      <w:r>
        <w:rPr>
          <w:color w:val="58595B"/>
          <w:sz w:val="20"/>
        </w:rPr>
        <w:t>inclusion</w:t>
      </w:r>
      <w:r>
        <w:rPr>
          <w:color w:val="58595B"/>
          <w:spacing w:val="-6"/>
          <w:sz w:val="20"/>
        </w:rPr>
        <w:t xml:space="preserve"> </w:t>
      </w:r>
      <w:r>
        <w:rPr>
          <w:color w:val="58595B"/>
          <w:sz w:val="20"/>
        </w:rPr>
        <w:t>of</w:t>
      </w:r>
      <w:r>
        <w:rPr>
          <w:color w:val="58595B"/>
          <w:spacing w:val="-4"/>
          <w:sz w:val="20"/>
        </w:rPr>
        <w:t xml:space="preserve"> </w:t>
      </w:r>
      <w:r>
        <w:rPr>
          <w:color w:val="58595B"/>
          <w:sz w:val="20"/>
        </w:rPr>
        <w:t>any</w:t>
      </w:r>
      <w:r>
        <w:rPr>
          <w:color w:val="58595B"/>
          <w:spacing w:val="-4"/>
          <w:sz w:val="20"/>
        </w:rPr>
        <w:t xml:space="preserve"> </w:t>
      </w:r>
      <w:r>
        <w:rPr>
          <w:color w:val="58595B"/>
          <w:sz w:val="20"/>
        </w:rPr>
        <w:t>relevant</w:t>
      </w:r>
      <w:r>
        <w:rPr>
          <w:color w:val="58595B"/>
          <w:spacing w:val="-4"/>
          <w:sz w:val="20"/>
        </w:rPr>
        <w:t xml:space="preserve"> </w:t>
      </w:r>
      <w:r>
        <w:rPr>
          <w:color w:val="58595B"/>
          <w:sz w:val="20"/>
        </w:rPr>
        <w:t>environmental</w:t>
      </w:r>
      <w:r>
        <w:rPr>
          <w:color w:val="58595B"/>
          <w:spacing w:val="-4"/>
          <w:sz w:val="20"/>
        </w:rPr>
        <w:t xml:space="preserve"> </w:t>
      </w:r>
      <w:r>
        <w:rPr>
          <w:color w:val="58595B"/>
          <w:sz w:val="20"/>
        </w:rPr>
        <w:t>management</w:t>
      </w:r>
      <w:r>
        <w:rPr>
          <w:color w:val="58595B"/>
          <w:spacing w:val="-4"/>
          <w:sz w:val="20"/>
        </w:rPr>
        <w:t xml:space="preserve"> </w:t>
      </w:r>
      <w:r>
        <w:rPr>
          <w:color w:val="58595B"/>
          <w:sz w:val="20"/>
        </w:rPr>
        <w:t>conditions,</w:t>
      </w:r>
      <w:r>
        <w:rPr>
          <w:color w:val="58595B"/>
          <w:spacing w:val="-4"/>
          <w:sz w:val="20"/>
        </w:rPr>
        <w:t xml:space="preserve"> </w:t>
      </w:r>
      <w:r>
        <w:rPr>
          <w:color w:val="58595B"/>
          <w:sz w:val="20"/>
        </w:rPr>
        <w:t>consistent</w:t>
      </w:r>
      <w:r>
        <w:rPr>
          <w:color w:val="58595B"/>
          <w:spacing w:val="-4"/>
          <w:sz w:val="20"/>
        </w:rPr>
        <w:t xml:space="preserve"> </w:t>
      </w:r>
      <w:r>
        <w:rPr>
          <w:color w:val="58595B"/>
          <w:sz w:val="20"/>
        </w:rPr>
        <w:t>with the mining licence</w:t>
      </w:r>
      <w:r>
        <w:rPr>
          <w:color w:val="58595B"/>
          <w:spacing w:val="8"/>
          <w:sz w:val="20"/>
        </w:rPr>
        <w:t xml:space="preserve"> </w:t>
      </w:r>
      <w:r>
        <w:rPr>
          <w:color w:val="58595B"/>
          <w:sz w:val="20"/>
        </w:rPr>
        <w:t>conditions.</w:t>
      </w:r>
    </w:p>
    <w:p w14:paraId="6071E4BE" w14:textId="77777777" w:rsidR="00160E7F" w:rsidRDefault="002B0299">
      <w:pPr>
        <w:pStyle w:val="ListParagraph"/>
        <w:numPr>
          <w:ilvl w:val="0"/>
          <w:numId w:val="25"/>
        </w:numPr>
        <w:tabs>
          <w:tab w:val="left" w:pos="305"/>
        </w:tabs>
        <w:spacing w:before="115" w:line="276" w:lineRule="auto"/>
        <w:ind w:right="1849" w:hanging="170"/>
        <w:rPr>
          <w:sz w:val="20"/>
        </w:rPr>
      </w:pPr>
      <w:r>
        <w:rPr>
          <w:color w:val="58595B"/>
          <w:sz w:val="20"/>
        </w:rPr>
        <w:t xml:space="preserve">The review of work plans allows the </w:t>
      </w:r>
      <w:r>
        <w:rPr>
          <w:color w:val="58595B"/>
          <w:spacing w:val="-4"/>
          <w:sz w:val="20"/>
        </w:rPr>
        <w:t xml:space="preserve">EPA </w:t>
      </w:r>
      <w:r>
        <w:rPr>
          <w:color w:val="58595B"/>
          <w:sz w:val="20"/>
        </w:rPr>
        <w:t>to consider the proposed remediation plan and its adequacy to rehabilitate the mine site once mining has</w:t>
      </w:r>
      <w:r>
        <w:rPr>
          <w:color w:val="58595B"/>
          <w:spacing w:val="-2"/>
          <w:sz w:val="20"/>
        </w:rPr>
        <w:t xml:space="preserve"> </w:t>
      </w:r>
      <w:r>
        <w:rPr>
          <w:color w:val="58595B"/>
          <w:sz w:val="20"/>
        </w:rPr>
        <w:t>ceased.</w:t>
      </w:r>
    </w:p>
    <w:p w14:paraId="0C61375A" w14:textId="77777777" w:rsidR="00160E7F" w:rsidRDefault="002B0299">
      <w:pPr>
        <w:pStyle w:val="ListParagraph"/>
        <w:numPr>
          <w:ilvl w:val="0"/>
          <w:numId w:val="25"/>
        </w:numPr>
        <w:tabs>
          <w:tab w:val="left" w:pos="305"/>
        </w:tabs>
        <w:spacing w:before="115" w:line="276" w:lineRule="auto"/>
        <w:ind w:right="1470" w:hanging="170"/>
        <w:rPr>
          <w:sz w:val="20"/>
        </w:rPr>
      </w:pPr>
      <w:r>
        <w:rPr>
          <w:color w:val="58595B"/>
          <w:sz w:val="20"/>
        </w:rPr>
        <w:t xml:space="preserve">This would require an amendment to the existing provisions in the MRSD Act that allow a referral authority to </w:t>
      </w:r>
      <w:r>
        <w:rPr>
          <w:i/>
          <w:color w:val="58595B"/>
          <w:sz w:val="20"/>
        </w:rPr>
        <w:t xml:space="preserve">consider </w:t>
      </w:r>
      <w:r>
        <w:rPr>
          <w:color w:val="58595B"/>
          <w:sz w:val="20"/>
        </w:rPr>
        <w:t>work plans and variations to approved work plans</w:t>
      </w:r>
      <w:r>
        <w:rPr>
          <w:color w:val="58595B"/>
          <w:position w:val="7"/>
          <w:sz w:val="11"/>
        </w:rPr>
        <w:t xml:space="preserve">29 </w:t>
      </w:r>
      <w:r>
        <w:rPr>
          <w:color w:val="58595B"/>
          <w:sz w:val="20"/>
        </w:rPr>
        <w:t>– to allow for a determinative</w:t>
      </w:r>
      <w:r>
        <w:rPr>
          <w:color w:val="58595B"/>
          <w:spacing w:val="-5"/>
          <w:sz w:val="20"/>
        </w:rPr>
        <w:t xml:space="preserve"> </w:t>
      </w:r>
      <w:r>
        <w:rPr>
          <w:color w:val="58595B"/>
          <w:sz w:val="20"/>
        </w:rPr>
        <w:t>role.</w:t>
      </w:r>
    </w:p>
    <w:p w14:paraId="08952182" w14:textId="77777777" w:rsidR="00160E7F" w:rsidRDefault="002B0299">
      <w:pPr>
        <w:pStyle w:val="BodyText"/>
        <w:spacing w:before="143" w:line="276" w:lineRule="auto"/>
        <w:ind w:left="134" w:right="1433"/>
      </w:pPr>
      <w:r>
        <w:rPr>
          <w:color w:val="58595B"/>
        </w:rPr>
        <w:t>To ensure that these new requirements do not cause delays, the EPA would be required to work within the existing 30 day time frame for application referrals under the MRSD Act.</w:t>
      </w:r>
    </w:p>
    <w:p w14:paraId="5C333956" w14:textId="77777777" w:rsidR="00160E7F" w:rsidRDefault="002B0299">
      <w:pPr>
        <w:pStyle w:val="BodyText"/>
        <w:spacing w:before="143"/>
        <w:ind w:left="134" w:right="789"/>
      </w:pPr>
      <w:r>
        <w:rPr>
          <w:color w:val="58595B"/>
        </w:rPr>
        <w:t>We also consider that the EPA should work closely with ERR to establish a method to set bonds.</w:t>
      </w:r>
    </w:p>
    <w:p w14:paraId="342B9287" w14:textId="77777777" w:rsidR="00160E7F" w:rsidRDefault="002B0299">
      <w:pPr>
        <w:pStyle w:val="BodyText"/>
        <w:spacing w:before="35" w:line="276" w:lineRule="auto"/>
        <w:ind w:left="134" w:right="1716"/>
      </w:pPr>
      <w:r>
        <w:rPr>
          <w:color w:val="58595B"/>
        </w:rPr>
        <w:t>The method must be progressive and reflect the level of potential impact to the environment and public health that may occur if the site is not adequately managed during operations and rehabilitated after closure.</w:t>
      </w:r>
    </w:p>
    <w:p w14:paraId="06A1094E" w14:textId="77777777" w:rsidR="00160E7F" w:rsidRDefault="00160E7F">
      <w:pPr>
        <w:spacing w:line="276" w:lineRule="auto"/>
        <w:sectPr w:rsidR="00160E7F">
          <w:pgSz w:w="11910" w:h="16840"/>
          <w:pgMar w:top="980" w:right="0" w:bottom="280" w:left="1680" w:header="788" w:footer="0" w:gutter="0"/>
          <w:cols w:space="720"/>
        </w:sectPr>
      </w:pPr>
    </w:p>
    <w:p w14:paraId="6AEEBB04" w14:textId="77777777" w:rsidR="00160E7F" w:rsidRDefault="00160E7F">
      <w:pPr>
        <w:pStyle w:val="BodyText"/>
      </w:pPr>
    </w:p>
    <w:p w14:paraId="638985CE" w14:textId="77777777" w:rsidR="00160E7F" w:rsidRDefault="00160E7F">
      <w:pPr>
        <w:pStyle w:val="BodyText"/>
      </w:pPr>
    </w:p>
    <w:p w14:paraId="2DDF2BB2" w14:textId="77777777" w:rsidR="00160E7F" w:rsidRDefault="00160E7F">
      <w:pPr>
        <w:pStyle w:val="BodyText"/>
      </w:pPr>
    </w:p>
    <w:p w14:paraId="659C08CE" w14:textId="77777777" w:rsidR="00160E7F" w:rsidRDefault="00160E7F">
      <w:pPr>
        <w:pStyle w:val="BodyText"/>
      </w:pPr>
    </w:p>
    <w:p w14:paraId="2E0AA911" w14:textId="77777777" w:rsidR="00160E7F" w:rsidRDefault="00160E7F">
      <w:pPr>
        <w:pStyle w:val="BodyText"/>
        <w:spacing w:before="8"/>
        <w:rPr>
          <w:sz w:val="17"/>
        </w:rPr>
      </w:pPr>
    </w:p>
    <w:p w14:paraId="6A04D008" w14:textId="77777777" w:rsidR="00160E7F" w:rsidRDefault="002B0299">
      <w:pPr>
        <w:pStyle w:val="BodyText"/>
        <w:spacing w:before="1"/>
        <w:ind w:left="1417" w:right="789"/>
      </w:pPr>
      <w:r>
        <w:rPr>
          <w:color w:val="58595B"/>
        </w:rPr>
        <w:t>In addition, the EPA would retain its current statutory powers and roles to:</w:t>
      </w:r>
    </w:p>
    <w:p w14:paraId="55ADC176" w14:textId="77777777" w:rsidR="00160E7F" w:rsidRDefault="002B0299">
      <w:pPr>
        <w:pStyle w:val="ListParagraph"/>
        <w:numPr>
          <w:ilvl w:val="1"/>
          <w:numId w:val="25"/>
        </w:numPr>
        <w:tabs>
          <w:tab w:val="left" w:pos="1588"/>
        </w:tabs>
        <w:spacing w:before="153" w:line="280" w:lineRule="auto"/>
        <w:ind w:right="197" w:hanging="170"/>
        <w:rPr>
          <w:sz w:val="20"/>
        </w:rPr>
      </w:pPr>
      <w:r>
        <w:rPr>
          <w:color w:val="58595B"/>
          <w:sz w:val="20"/>
        </w:rPr>
        <w:t xml:space="preserve">issue </w:t>
      </w:r>
      <w:r>
        <w:rPr>
          <w:color w:val="58595B"/>
          <w:spacing w:val="-4"/>
          <w:sz w:val="20"/>
        </w:rPr>
        <w:t xml:space="preserve">EPA </w:t>
      </w:r>
      <w:r>
        <w:rPr>
          <w:color w:val="58595B"/>
          <w:sz w:val="20"/>
        </w:rPr>
        <w:t xml:space="preserve">works approvals and licences on permitted offsite discharges, noting that this separate process should be considered as early as possible and aligned with other elements  of the operations, to allow for changes during the design phase, which can then incorporated in the </w:t>
      </w:r>
      <w:r>
        <w:rPr>
          <w:color w:val="58595B"/>
          <w:spacing w:val="-3"/>
          <w:sz w:val="20"/>
        </w:rPr>
        <w:t>mine’s</w:t>
      </w:r>
      <w:r>
        <w:rPr>
          <w:color w:val="58595B"/>
          <w:spacing w:val="16"/>
          <w:sz w:val="20"/>
        </w:rPr>
        <w:t xml:space="preserve"> </w:t>
      </w:r>
      <w:r>
        <w:rPr>
          <w:color w:val="58595B"/>
          <w:sz w:val="20"/>
        </w:rPr>
        <w:t>construction</w:t>
      </w:r>
    </w:p>
    <w:p w14:paraId="05E39DB1" w14:textId="77777777" w:rsidR="00160E7F" w:rsidRDefault="002B0299">
      <w:pPr>
        <w:pStyle w:val="ListParagraph"/>
        <w:numPr>
          <w:ilvl w:val="1"/>
          <w:numId w:val="25"/>
        </w:numPr>
        <w:tabs>
          <w:tab w:val="left" w:pos="1588"/>
        </w:tabs>
        <w:spacing w:before="115" w:line="280" w:lineRule="auto"/>
        <w:ind w:right="160" w:hanging="170"/>
        <w:rPr>
          <w:sz w:val="20"/>
        </w:rPr>
      </w:pPr>
      <w:r>
        <w:rPr>
          <w:color w:val="58595B"/>
          <w:sz w:val="20"/>
        </w:rPr>
        <w:t xml:space="preserve">set and update environmental standards for the mining sector. Currently, these are set in the Protocol for Environmental Management: Mining and extractive industries, an </w:t>
      </w:r>
      <w:r>
        <w:rPr>
          <w:color w:val="58595B"/>
          <w:spacing w:val="-4"/>
          <w:sz w:val="20"/>
        </w:rPr>
        <w:t xml:space="preserve">EPA </w:t>
      </w:r>
      <w:r>
        <w:rPr>
          <w:color w:val="58595B"/>
          <w:sz w:val="20"/>
        </w:rPr>
        <w:t>incorporated statutory document under the state environment protection policy (Air Quality Management). These standards are translated into conditions for mining</w:t>
      </w:r>
      <w:r>
        <w:rPr>
          <w:color w:val="58595B"/>
          <w:spacing w:val="4"/>
          <w:sz w:val="20"/>
        </w:rPr>
        <w:t xml:space="preserve"> </w:t>
      </w:r>
      <w:r>
        <w:rPr>
          <w:color w:val="58595B"/>
          <w:sz w:val="20"/>
        </w:rPr>
        <w:t>licenses.</w:t>
      </w:r>
    </w:p>
    <w:p w14:paraId="08255044" w14:textId="77777777" w:rsidR="00160E7F" w:rsidRDefault="002B0299">
      <w:pPr>
        <w:pStyle w:val="ListParagraph"/>
        <w:numPr>
          <w:ilvl w:val="1"/>
          <w:numId w:val="25"/>
        </w:numPr>
        <w:tabs>
          <w:tab w:val="left" w:pos="1588"/>
        </w:tabs>
        <w:spacing w:before="115" w:line="280" w:lineRule="auto"/>
        <w:ind w:right="806" w:hanging="170"/>
        <w:rPr>
          <w:sz w:val="20"/>
        </w:rPr>
      </w:pPr>
      <w:r>
        <w:rPr>
          <w:color w:val="58595B"/>
          <w:sz w:val="20"/>
        </w:rPr>
        <w:t>provide technical advice to an Environment Effects Statement process, if the Minister for Planning requires this as part of the process of approving or varying a</w:t>
      </w:r>
      <w:r>
        <w:rPr>
          <w:color w:val="58595B"/>
          <w:spacing w:val="12"/>
          <w:sz w:val="20"/>
        </w:rPr>
        <w:t xml:space="preserve"> </w:t>
      </w:r>
      <w:r>
        <w:rPr>
          <w:color w:val="58595B"/>
          <w:sz w:val="20"/>
        </w:rPr>
        <w:t>licence.</w:t>
      </w:r>
    </w:p>
    <w:p w14:paraId="1A8506B0" w14:textId="77777777" w:rsidR="00160E7F" w:rsidRDefault="00160E7F">
      <w:pPr>
        <w:pStyle w:val="BodyText"/>
        <w:spacing w:before="4"/>
        <w:rPr>
          <w:sz w:val="22"/>
        </w:rPr>
      </w:pPr>
    </w:p>
    <w:p w14:paraId="7C5E5A70" w14:textId="77777777" w:rsidR="00160E7F" w:rsidRDefault="002B0299">
      <w:pPr>
        <w:pStyle w:val="ListParagraph"/>
        <w:numPr>
          <w:ilvl w:val="2"/>
          <w:numId w:val="9"/>
        </w:numPr>
        <w:tabs>
          <w:tab w:val="left" w:pos="2046"/>
        </w:tabs>
        <w:spacing w:before="0"/>
        <w:ind w:left="2045" w:hanging="628"/>
        <w:jc w:val="left"/>
        <w:rPr>
          <w:sz w:val="20"/>
        </w:rPr>
      </w:pPr>
      <w:r>
        <w:rPr>
          <w:color w:val="0095A7"/>
          <w:sz w:val="20"/>
        </w:rPr>
        <w:t>Operations</w:t>
      </w:r>
    </w:p>
    <w:p w14:paraId="4AC065FC" w14:textId="77777777" w:rsidR="00160E7F" w:rsidRDefault="002B0299">
      <w:pPr>
        <w:pStyle w:val="BodyText"/>
        <w:spacing w:before="153" w:line="280" w:lineRule="auto"/>
        <w:ind w:left="1417" w:right="377"/>
      </w:pPr>
      <w:r>
        <w:rPr>
          <w:color w:val="58595B"/>
        </w:rPr>
        <w:t>We recommend the EPA acts as the regulator of environmental aspects of a mine’s operations, in the same way that WorkSafe regulates occupational health and safety conditions.</w:t>
      </w:r>
    </w:p>
    <w:p w14:paraId="52155295" w14:textId="77777777" w:rsidR="00160E7F" w:rsidRDefault="002B0299">
      <w:pPr>
        <w:pStyle w:val="BodyText"/>
        <w:spacing w:before="172" w:line="280" w:lineRule="auto"/>
        <w:ind w:left="1417" w:right="405"/>
      </w:pPr>
      <w:r>
        <w:rPr>
          <w:color w:val="58595B"/>
        </w:rPr>
        <w:t>Currently, ERR is responsible for compliance and enforcement of the environmental standards and conditions in the mining licence. We consider the EPA should have this responsibility for ensuring that mines comply with the environmental conditions.</w:t>
      </w:r>
    </w:p>
    <w:p w14:paraId="170DF666" w14:textId="77777777" w:rsidR="00160E7F" w:rsidRDefault="002B0299">
      <w:pPr>
        <w:pStyle w:val="BodyText"/>
        <w:spacing w:before="172"/>
        <w:ind w:left="1417" w:right="789"/>
      </w:pPr>
      <w:r>
        <w:rPr>
          <w:color w:val="58595B"/>
        </w:rPr>
        <w:t>The EPA would be responsible for compliance and enforcement of:</w:t>
      </w:r>
    </w:p>
    <w:p w14:paraId="0DB2597C" w14:textId="77777777" w:rsidR="00160E7F" w:rsidRDefault="002B0299">
      <w:pPr>
        <w:pStyle w:val="ListParagraph"/>
        <w:numPr>
          <w:ilvl w:val="0"/>
          <w:numId w:val="8"/>
        </w:numPr>
        <w:tabs>
          <w:tab w:val="left" w:pos="1588"/>
        </w:tabs>
        <w:spacing w:before="153"/>
        <w:ind w:hanging="170"/>
        <w:rPr>
          <w:sz w:val="20"/>
        </w:rPr>
      </w:pPr>
      <w:r>
        <w:rPr>
          <w:color w:val="58595B"/>
          <w:sz w:val="20"/>
        </w:rPr>
        <w:t>environmental conditions in the mine licence and work</w:t>
      </w:r>
      <w:r>
        <w:rPr>
          <w:color w:val="58595B"/>
          <w:spacing w:val="9"/>
          <w:sz w:val="20"/>
        </w:rPr>
        <w:t xml:space="preserve"> </w:t>
      </w:r>
      <w:r>
        <w:rPr>
          <w:color w:val="58595B"/>
          <w:sz w:val="20"/>
        </w:rPr>
        <w:t>plan</w:t>
      </w:r>
    </w:p>
    <w:p w14:paraId="0E1FA6E4" w14:textId="77777777" w:rsidR="00160E7F" w:rsidRDefault="002B0299">
      <w:pPr>
        <w:pStyle w:val="ListParagraph"/>
        <w:numPr>
          <w:ilvl w:val="0"/>
          <w:numId w:val="8"/>
        </w:numPr>
        <w:tabs>
          <w:tab w:val="left" w:pos="1588"/>
        </w:tabs>
        <w:spacing w:before="153" w:line="280" w:lineRule="auto"/>
        <w:ind w:right="194" w:hanging="170"/>
        <w:rPr>
          <w:sz w:val="20"/>
        </w:rPr>
      </w:pPr>
      <w:r>
        <w:rPr>
          <w:color w:val="58595B"/>
          <w:sz w:val="20"/>
        </w:rPr>
        <w:t>the general duty to take reasonably practicable measures to prevent harm to the environment – which may address steps set out in codes of practice but not specified in site specific licence and approval</w:t>
      </w:r>
      <w:r>
        <w:rPr>
          <w:color w:val="58595B"/>
          <w:spacing w:val="-1"/>
          <w:sz w:val="20"/>
        </w:rPr>
        <w:t xml:space="preserve"> </w:t>
      </w:r>
      <w:r>
        <w:rPr>
          <w:color w:val="58595B"/>
          <w:sz w:val="20"/>
        </w:rPr>
        <w:t>conditions</w:t>
      </w:r>
    </w:p>
    <w:p w14:paraId="6F523F2F" w14:textId="77777777" w:rsidR="00160E7F" w:rsidRDefault="002B0299">
      <w:pPr>
        <w:pStyle w:val="ListParagraph"/>
        <w:numPr>
          <w:ilvl w:val="0"/>
          <w:numId w:val="8"/>
        </w:numPr>
        <w:tabs>
          <w:tab w:val="left" w:pos="1588"/>
        </w:tabs>
        <w:spacing w:before="115"/>
        <w:ind w:hanging="170"/>
        <w:rPr>
          <w:sz w:val="20"/>
        </w:rPr>
      </w:pPr>
      <w:r>
        <w:rPr>
          <w:color w:val="58595B"/>
          <w:sz w:val="20"/>
        </w:rPr>
        <w:t xml:space="preserve">offsite discharges under the </w:t>
      </w:r>
      <w:r>
        <w:rPr>
          <w:color w:val="58595B"/>
          <w:spacing w:val="-4"/>
          <w:sz w:val="20"/>
        </w:rPr>
        <w:t xml:space="preserve">EPA </w:t>
      </w:r>
      <w:r>
        <w:rPr>
          <w:color w:val="58595B"/>
          <w:sz w:val="20"/>
        </w:rPr>
        <w:t>work approval and</w:t>
      </w:r>
      <w:r>
        <w:rPr>
          <w:color w:val="58595B"/>
          <w:spacing w:val="13"/>
          <w:sz w:val="20"/>
        </w:rPr>
        <w:t xml:space="preserve"> </w:t>
      </w:r>
      <w:r>
        <w:rPr>
          <w:color w:val="58595B"/>
          <w:sz w:val="20"/>
        </w:rPr>
        <w:t>licence.</w:t>
      </w:r>
    </w:p>
    <w:p w14:paraId="414EDD6B" w14:textId="77777777" w:rsidR="00160E7F" w:rsidRDefault="00160E7F">
      <w:pPr>
        <w:pStyle w:val="BodyText"/>
        <w:spacing w:before="7"/>
        <w:rPr>
          <w:sz w:val="25"/>
        </w:rPr>
      </w:pPr>
    </w:p>
    <w:p w14:paraId="099128B7" w14:textId="77777777" w:rsidR="00160E7F" w:rsidRDefault="002B0299">
      <w:pPr>
        <w:pStyle w:val="ListParagraph"/>
        <w:numPr>
          <w:ilvl w:val="2"/>
          <w:numId w:val="9"/>
        </w:numPr>
        <w:tabs>
          <w:tab w:val="left" w:pos="2043"/>
        </w:tabs>
        <w:spacing w:before="0"/>
        <w:ind w:left="2042" w:hanging="625"/>
        <w:jc w:val="left"/>
        <w:rPr>
          <w:sz w:val="20"/>
        </w:rPr>
      </w:pPr>
      <w:r>
        <w:rPr>
          <w:color w:val="0095A7"/>
          <w:sz w:val="20"/>
        </w:rPr>
        <w:t>Inactive or ‘mothballed’</w:t>
      </w:r>
      <w:r>
        <w:rPr>
          <w:color w:val="0095A7"/>
          <w:spacing w:val="-1"/>
          <w:sz w:val="20"/>
        </w:rPr>
        <w:t xml:space="preserve"> </w:t>
      </w:r>
      <w:r>
        <w:rPr>
          <w:color w:val="0095A7"/>
          <w:sz w:val="20"/>
        </w:rPr>
        <w:t>mines</w:t>
      </w:r>
    </w:p>
    <w:p w14:paraId="20D3BBF7" w14:textId="77777777" w:rsidR="00160E7F" w:rsidRDefault="002B0299">
      <w:pPr>
        <w:pStyle w:val="BodyText"/>
        <w:spacing w:before="153" w:line="280" w:lineRule="auto"/>
        <w:ind w:left="1417" w:right="405"/>
      </w:pPr>
      <w:r>
        <w:rPr>
          <w:color w:val="58595B"/>
        </w:rPr>
        <w:t>We recommend that the EPA be responsible for compliance and enforcement of care and maintenance requirements in mining licence conditions. We also recommend imposing a statutory duty on mine operators to notify the EPA if they intend to temporarily close a mine.</w:t>
      </w:r>
    </w:p>
    <w:p w14:paraId="75DEB125" w14:textId="77777777" w:rsidR="00160E7F" w:rsidRDefault="002B0299">
      <w:pPr>
        <w:pStyle w:val="BodyText"/>
        <w:spacing w:before="172" w:line="280" w:lineRule="auto"/>
        <w:ind w:left="1417" w:right="405"/>
      </w:pPr>
      <w:r>
        <w:rPr>
          <w:color w:val="58595B"/>
        </w:rPr>
        <w:t>Because of the fluctuating nature of global minerals prices and changes in technology, a mine may become inactive a number of times during its lifecycle. Inactive mines can still impose amenity and potential contamination impacts on local communities. Regulatory oversight is necessary to ensure care and maintenance occurs during this stage.</w:t>
      </w:r>
    </w:p>
    <w:p w14:paraId="7B3EBE0A" w14:textId="47BAABCE" w:rsidR="00160E7F" w:rsidRDefault="002B0299">
      <w:pPr>
        <w:pStyle w:val="BodyText"/>
        <w:spacing w:before="172" w:line="280" w:lineRule="auto"/>
        <w:ind w:left="1417" w:right="413"/>
      </w:pPr>
      <w:r>
        <w:rPr>
          <w:color w:val="58595B"/>
        </w:rPr>
        <w:t xml:space="preserve">As </w:t>
      </w:r>
      <w:r>
        <w:rPr>
          <w:color w:val="58595B"/>
          <w:spacing w:val="3"/>
        </w:rPr>
        <w:t xml:space="preserve">part </w:t>
      </w:r>
      <w:r>
        <w:rPr>
          <w:color w:val="58595B"/>
        </w:rPr>
        <w:t xml:space="preserve">of its input in the mining works plan approvals </w:t>
      </w:r>
      <w:r>
        <w:rPr>
          <w:color w:val="58595B"/>
          <w:spacing w:val="2"/>
        </w:rPr>
        <w:t xml:space="preserve">process, </w:t>
      </w:r>
      <w:r>
        <w:rPr>
          <w:color w:val="58595B"/>
        </w:rPr>
        <w:t xml:space="preserve">the </w:t>
      </w:r>
      <w:r>
        <w:rPr>
          <w:color w:val="58595B"/>
          <w:spacing w:val="-3"/>
        </w:rPr>
        <w:t xml:space="preserve">EPA </w:t>
      </w:r>
      <w:r>
        <w:rPr>
          <w:color w:val="58595B"/>
        </w:rPr>
        <w:t xml:space="preserve">should </w:t>
      </w:r>
      <w:r>
        <w:rPr>
          <w:color w:val="58595B"/>
          <w:spacing w:val="2"/>
        </w:rPr>
        <w:t xml:space="preserve">consider </w:t>
      </w:r>
      <w:r>
        <w:rPr>
          <w:color w:val="58595B"/>
        </w:rPr>
        <w:t xml:space="preserve">including requirements for </w:t>
      </w:r>
      <w:r>
        <w:rPr>
          <w:color w:val="58595B"/>
          <w:spacing w:val="2"/>
        </w:rPr>
        <w:t xml:space="preserve">care </w:t>
      </w:r>
      <w:r>
        <w:rPr>
          <w:color w:val="58595B"/>
        </w:rPr>
        <w:t xml:space="preserve">and maintenance if the mining site </w:t>
      </w:r>
      <w:r>
        <w:rPr>
          <w:color w:val="58595B"/>
          <w:spacing w:val="2"/>
        </w:rPr>
        <w:t xml:space="preserve">becomes </w:t>
      </w:r>
      <w:r>
        <w:rPr>
          <w:color w:val="58595B"/>
        </w:rPr>
        <w:t xml:space="preserve">inactive. This measure will be </w:t>
      </w:r>
      <w:r>
        <w:rPr>
          <w:color w:val="58595B"/>
          <w:spacing w:val="2"/>
        </w:rPr>
        <w:t xml:space="preserve">especially important </w:t>
      </w:r>
      <w:r>
        <w:rPr>
          <w:color w:val="58595B"/>
        </w:rPr>
        <w:t xml:space="preserve">for tailings storage </w:t>
      </w:r>
      <w:r>
        <w:rPr>
          <w:color w:val="58595B"/>
          <w:spacing w:val="2"/>
        </w:rPr>
        <w:t xml:space="preserve">facilities </w:t>
      </w:r>
      <w:r>
        <w:rPr>
          <w:color w:val="58595B"/>
        </w:rPr>
        <w:t xml:space="preserve">and waste </w:t>
      </w:r>
      <w:r>
        <w:rPr>
          <w:color w:val="58595B"/>
          <w:spacing w:val="2"/>
        </w:rPr>
        <w:t xml:space="preserve">rock </w:t>
      </w:r>
      <w:r>
        <w:rPr>
          <w:color w:val="58595B"/>
        </w:rPr>
        <w:t xml:space="preserve">dumps. The </w:t>
      </w:r>
      <w:r>
        <w:rPr>
          <w:color w:val="58595B"/>
          <w:spacing w:val="2"/>
        </w:rPr>
        <w:t xml:space="preserve">proposed </w:t>
      </w:r>
      <w:r>
        <w:rPr>
          <w:color w:val="58595B"/>
        </w:rPr>
        <w:t xml:space="preserve">general duty will also strengthen the </w:t>
      </w:r>
      <w:r>
        <w:rPr>
          <w:color w:val="58595B"/>
          <w:spacing w:val="-7"/>
        </w:rPr>
        <w:t xml:space="preserve">EPA’s </w:t>
      </w:r>
      <w:r>
        <w:rPr>
          <w:color w:val="58595B"/>
        </w:rPr>
        <w:t xml:space="preserve">oversight in such situations. </w:t>
      </w:r>
      <w:r>
        <w:rPr>
          <w:color w:val="58595B"/>
          <w:spacing w:val="-8"/>
        </w:rPr>
        <w:t xml:space="preserve">To </w:t>
      </w:r>
      <w:r>
        <w:rPr>
          <w:color w:val="58595B"/>
        </w:rPr>
        <w:t xml:space="preserve">ensure   the effectiveness of these </w:t>
      </w:r>
      <w:r>
        <w:rPr>
          <w:color w:val="58595B"/>
          <w:spacing w:val="2"/>
        </w:rPr>
        <w:t xml:space="preserve">strengthened </w:t>
      </w:r>
      <w:r>
        <w:rPr>
          <w:color w:val="58595B"/>
        </w:rPr>
        <w:t xml:space="preserve">safeguards, we also </w:t>
      </w:r>
      <w:r>
        <w:rPr>
          <w:color w:val="58595B"/>
          <w:spacing w:val="2"/>
        </w:rPr>
        <w:t xml:space="preserve">propose </w:t>
      </w:r>
      <w:r>
        <w:rPr>
          <w:color w:val="58595B"/>
        </w:rPr>
        <w:t xml:space="preserve">a </w:t>
      </w:r>
      <w:r>
        <w:rPr>
          <w:color w:val="58595B"/>
          <w:spacing w:val="2"/>
        </w:rPr>
        <w:t xml:space="preserve">statutory </w:t>
      </w:r>
      <w:r>
        <w:rPr>
          <w:color w:val="58595B"/>
        </w:rPr>
        <w:t xml:space="preserve">duty for mine </w:t>
      </w:r>
      <w:r>
        <w:rPr>
          <w:color w:val="58595B"/>
          <w:spacing w:val="2"/>
        </w:rPr>
        <w:t xml:space="preserve">operators </w:t>
      </w:r>
      <w:r>
        <w:rPr>
          <w:color w:val="58595B"/>
        </w:rPr>
        <w:t xml:space="preserve">to </w:t>
      </w:r>
      <w:r>
        <w:rPr>
          <w:color w:val="58595B"/>
          <w:spacing w:val="2"/>
        </w:rPr>
        <w:t xml:space="preserve">notify </w:t>
      </w:r>
      <w:r>
        <w:rPr>
          <w:color w:val="58595B"/>
        </w:rPr>
        <w:t xml:space="preserve">the </w:t>
      </w:r>
      <w:r>
        <w:rPr>
          <w:color w:val="58595B"/>
          <w:spacing w:val="-3"/>
        </w:rPr>
        <w:t xml:space="preserve">EPA </w:t>
      </w:r>
      <w:r>
        <w:rPr>
          <w:color w:val="58595B"/>
        </w:rPr>
        <w:t xml:space="preserve">if they intend to </w:t>
      </w:r>
      <w:r>
        <w:rPr>
          <w:color w:val="58595B"/>
          <w:spacing w:val="2"/>
        </w:rPr>
        <w:t xml:space="preserve">temporarily close </w:t>
      </w:r>
      <w:r>
        <w:rPr>
          <w:color w:val="58595B"/>
        </w:rPr>
        <w:t>a mine.</w:t>
      </w:r>
    </w:p>
    <w:p w14:paraId="310D9186" w14:textId="77777777" w:rsidR="00160E7F" w:rsidRDefault="00160E7F">
      <w:pPr>
        <w:spacing w:line="280" w:lineRule="auto"/>
        <w:sectPr w:rsidR="00160E7F">
          <w:headerReference w:type="even" r:id="rId103"/>
          <w:headerReference w:type="default" r:id="rId104"/>
          <w:pgSz w:w="11910" w:h="16840"/>
          <w:pgMar w:top="980" w:right="1680" w:bottom="280" w:left="0" w:header="788" w:footer="0" w:gutter="0"/>
          <w:pgNumType w:start="300"/>
          <w:cols w:space="720"/>
        </w:sectPr>
      </w:pPr>
    </w:p>
    <w:p w14:paraId="7094A050" w14:textId="77777777" w:rsidR="00160E7F" w:rsidRDefault="00160E7F">
      <w:pPr>
        <w:pStyle w:val="BodyText"/>
      </w:pPr>
    </w:p>
    <w:p w14:paraId="10D706B7" w14:textId="77777777" w:rsidR="00160E7F" w:rsidRDefault="00160E7F">
      <w:pPr>
        <w:pStyle w:val="BodyText"/>
      </w:pPr>
    </w:p>
    <w:p w14:paraId="24295274" w14:textId="77777777" w:rsidR="00160E7F" w:rsidRDefault="00160E7F">
      <w:pPr>
        <w:pStyle w:val="BodyText"/>
      </w:pPr>
    </w:p>
    <w:p w14:paraId="604CF9EA" w14:textId="77777777" w:rsidR="00160E7F" w:rsidRDefault="00160E7F">
      <w:pPr>
        <w:pStyle w:val="BodyText"/>
      </w:pPr>
    </w:p>
    <w:p w14:paraId="041C74AE" w14:textId="77777777" w:rsidR="00160E7F" w:rsidRDefault="00160E7F">
      <w:pPr>
        <w:pStyle w:val="BodyText"/>
        <w:spacing w:before="8"/>
        <w:rPr>
          <w:sz w:val="17"/>
        </w:rPr>
      </w:pPr>
    </w:p>
    <w:p w14:paraId="52B4F58D" w14:textId="77777777" w:rsidR="00160E7F" w:rsidRDefault="002B0299">
      <w:pPr>
        <w:pStyle w:val="ListParagraph"/>
        <w:numPr>
          <w:ilvl w:val="2"/>
          <w:numId w:val="9"/>
        </w:numPr>
        <w:tabs>
          <w:tab w:val="left" w:pos="759"/>
        </w:tabs>
        <w:spacing w:before="1"/>
        <w:ind w:left="758" w:hanging="624"/>
        <w:jc w:val="left"/>
        <w:rPr>
          <w:sz w:val="20"/>
        </w:rPr>
      </w:pPr>
      <w:r>
        <w:rPr>
          <w:color w:val="0095A7"/>
          <w:sz w:val="20"/>
        </w:rPr>
        <w:t>Closure</w:t>
      </w:r>
    </w:p>
    <w:p w14:paraId="033D00DC" w14:textId="77777777" w:rsidR="00160E7F" w:rsidRDefault="002B0299">
      <w:pPr>
        <w:pStyle w:val="BodyText"/>
        <w:spacing w:before="153" w:line="280" w:lineRule="auto"/>
        <w:ind w:left="134" w:right="1433"/>
        <w:rPr>
          <w:sz w:val="11"/>
        </w:rPr>
      </w:pPr>
      <w:r>
        <w:rPr>
          <w:color w:val="58595B"/>
        </w:rPr>
        <w:t>The EPA should also be responsible for compliance and enforcement of the environmental elements of the mine remediation conditions (as specified in the mining licence). The MRSD Act requires the holder of a mining licence to rehabilitate the land in accordance with the mine licence conditions, rehabilitation plan, and the relevant codes of practice. Rehabilitation plans must account for a number of requirements under the legislation.</w:t>
      </w:r>
      <w:r>
        <w:rPr>
          <w:color w:val="58595B"/>
          <w:position w:val="7"/>
          <w:sz w:val="11"/>
        </w:rPr>
        <w:t>30</w:t>
      </w:r>
    </w:p>
    <w:p w14:paraId="5656BB35" w14:textId="77777777" w:rsidR="00160E7F" w:rsidRDefault="002B0299">
      <w:pPr>
        <w:pStyle w:val="BodyText"/>
        <w:spacing w:before="172" w:line="280" w:lineRule="auto"/>
        <w:ind w:left="134" w:right="1433"/>
      </w:pPr>
      <w:r>
        <w:rPr>
          <w:color w:val="58595B"/>
        </w:rPr>
        <w:t>The MRSD Act also requires rehabilitation to be carried out progressively during the life of the operation.</w:t>
      </w:r>
      <w:r>
        <w:rPr>
          <w:color w:val="58595B"/>
          <w:position w:val="7"/>
          <w:sz w:val="11"/>
        </w:rPr>
        <w:t xml:space="preserve">31 </w:t>
      </w:r>
      <w:r>
        <w:rPr>
          <w:color w:val="58595B"/>
        </w:rPr>
        <w:t>Operators may request a reduction in the bond if the rehabilitation liability of the site has been significantly reduced. In such circumstances, ERR considers revising the rehabilitation liability assessment.</w:t>
      </w:r>
      <w:r>
        <w:rPr>
          <w:color w:val="58595B"/>
          <w:position w:val="7"/>
          <w:sz w:val="11"/>
        </w:rPr>
        <w:t xml:space="preserve">32 </w:t>
      </w:r>
      <w:r>
        <w:rPr>
          <w:color w:val="58595B"/>
        </w:rPr>
        <w:t>We recommend the EPA have a formal advisory role with respect to ERR decisions on reducing the rehabilitation bond to take account of the residual risks to public health and the environment when a mine closes.</w:t>
      </w:r>
    </w:p>
    <w:p w14:paraId="5858BE71" w14:textId="77777777" w:rsidR="00160E7F" w:rsidRDefault="002B0299">
      <w:pPr>
        <w:pStyle w:val="BodyText"/>
        <w:spacing w:before="172" w:line="280" w:lineRule="auto"/>
        <w:ind w:left="134" w:right="1393"/>
      </w:pPr>
      <w:r>
        <w:rPr>
          <w:color w:val="58595B"/>
        </w:rPr>
        <w:t>There may be instances when a mining site has been rehabilitated to the minimum level expected in the mining licence and work plan for minimum safety considerations, but the community does not accept this standard. These cases are an issue for further policy consideration by government.</w:t>
      </w:r>
    </w:p>
    <w:p w14:paraId="5F8ECBE4" w14:textId="77777777" w:rsidR="00160E7F" w:rsidRDefault="002B0299">
      <w:pPr>
        <w:pStyle w:val="BodyText"/>
        <w:spacing w:before="2" w:line="280" w:lineRule="auto"/>
        <w:ind w:left="134" w:right="1494"/>
      </w:pPr>
      <w:r>
        <w:rPr>
          <w:color w:val="58595B"/>
        </w:rPr>
        <w:t>The EPA, like other agencies and departments, could play an advisory role in developing policy on this issue. The EPA’s role is limited to concerns about pollution and waste risks to the environment or to public health.</w:t>
      </w:r>
    </w:p>
    <w:p w14:paraId="0430D7AD" w14:textId="77777777" w:rsidR="00160E7F" w:rsidRDefault="00160E7F">
      <w:pPr>
        <w:spacing w:line="280" w:lineRule="auto"/>
        <w:sectPr w:rsidR="00160E7F">
          <w:pgSz w:w="11910" w:h="16840"/>
          <w:pgMar w:top="980" w:right="0" w:bottom="280" w:left="1680" w:header="788" w:footer="0" w:gutter="0"/>
          <w:cols w:space="720"/>
        </w:sectPr>
      </w:pPr>
    </w:p>
    <w:p w14:paraId="60CEC643" w14:textId="77777777" w:rsidR="00160E7F" w:rsidRDefault="00160E7F">
      <w:pPr>
        <w:pStyle w:val="BodyText"/>
      </w:pPr>
    </w:p>
    <w:p w14:paraId="7798DDF1" w14:textId="77777777" w:rsidR="00160E7F" w:rsidRDefault="00160E7F">
      <w:pPr>
        <w:pStyle w:val="BodyText"/>
      </w:pPr>
    </w:p>
    <w:p w14:paraId="3E874C14" w14:textId="77777777" w:rsidR="00160E7F" w:rsidRDefault="00160E7F">
      <w:pPr>
        <w:pStyle w:val="BodyText"/>
      </w:pPr>
    </w:p>
    <w:p w14:paraId="677E79E6" w14:textId="77777777" w:rsidR="00160E7F" w:rsidRDefault="00160E7F">
      <w:pPr>
        <w:pStyle w:val="BodyText"/>
      </w:pPr>
    </w:p>
    <w:p w14:paraId="7A175633" w14:textId="77777777" w:rsidR="00160E7F" w:rsidRDefault="002B0299">
      <w:pPr>
        <w:pStyle w:val="Heading3"/>
        <w:ind w:right="789"/>
      </w:pPr>
      <w:r>
        <w:rPr>
          <w:color w:val="0095A7"/>
        </w:rPr>
        <w:t>Recommendation</w:t>
      </w:r>
    </w:p>
    <w:p w14:paraId="6C52E713" w14:textId="77777777" w:rsidR="00160E7F" w:rsidRDefault="000638CB">
      <w:pPr>
        <w:pStyle w:val="BodyText"/>
        <w:rPr>
          <w:sz w:val="23"/>
        </w:rPr>
      </w:pPr>
      <w:r>
        <w:pict w14:anchorId="71151313">
          <v:shape id="_x0000_s1039" type="#_x0000_t202" style="position:absolute;margin-left:70.85pt;margin-top:14.45pt;width:433.7pt;height:324pt;z-index:2680;mso-wrap-distance-left:0;mso-wrap-distance-right:0;mso-position-horizontal-relative:page" fillcolor="#eff6f0" stroked="f">
            <v:textbox inset="0,0,0,0">
              <w:txbxContent>
                <w:p w14:paraId="413D76C7" w14:textId="77777777" w:rsidR="00804E46" w:rsidRDefault="00804E46">
                  <w:pPr>
                    <w:spacing w:before="128"/>
                    <w:ind w:left="170" w:right="165"/>
                    <w:rPr>
                      <w:b/>
                      <w:sz w:val="20"/>
                    </w:rPr>
                  </w:pPr>
                  <w:r>
                    <w:rPr>
                      <w:b/>
                      <w:color w:val="808285"/>
                      <w:sz w:val="20"/>
                    </w:rPr>
                    <w:t>RECOMMENDATION 17.1</w:t>
                  </w:r>
                </w:p>
                <w:p w14:paraId="6E027C45" w14:textId="77777777" w:rsidR="00804E46" w:rsidRDefault="00804E46">
                  <w:pPr>
                    <w:spacing w:before="153" w:line="280" w:lineRule="auto"/>
                    <w:ind w:left="170" w:right="513"/>
                    <w:rPr>
                      <w:sz w:val="20"/>
                    </w:rPr>
                  </w:pPr>
                  <w:r>
                    <w:rPr>
                      <w:color w:val="58595B"/>
                      <w:sz w:val="20"/>
                    </w:rPr>
                    <w:t xml:space="preserve">Strengthen and formalise the EPA’s role in mining regulation under the </w:t>
                  </w:r>
                  <w:r>
                    <w:rPr>
                      <w:i/>
                      <w:color w:val="58595B"/>
                      <w:sz w:val="20"/>
                    </w:rPr>
                    <w:t xml:space="preserve">Mineral Resources (Sustainable Development) Act 1990 </w:t>
                  </w:r>
                  <w:r>
                    <w:rPr>
                      <w:color w:val="58595B"/>
                      <w:sz w:val="20"/>
                    </w:rPr>
                    <w:t>by:</w:t>
                  </w:r>
                </w:p>
                <w:p w14:paraId="706643F2" w14:textId="77777777" w:rsidR="00804E46" w:rsidRDefault="00804E46">
                  <w:pPr>
                    <w:pStyle w:val="ListParagraph"/>
                    <w:numPr>
                      <w:ilvl w:val="0"/>
                      <w:numId w:val="7"/>
                    </w:numPr>
                    <w:tabs>
                      <w:tab w:val="left" w:pos="511"/>
                    </w:tabs>
                    <w:spacing w:before="172" w:line="280" w:lineRule="auto"/>
                    <w:ind w:right="541" w:hanging="340"/>
                    <w:rPr>
                      <w:sz w:val="20"/>
                    </w:rPr>
                  </w:pPr>
                  <w:r>
                    <w:rPr>
                      <w:color w:val="58595B"/>
                      <w:sz w:val="20"/>
                    </w:rPr>
                    <w:t xml:space="preserve">Requiring the </w:t>
                  </w:r>
                  <w:r>
                    <w:rPr>
                      <w:color w:val="58595B"/>
                      <w:spacing w:val="-4"/>
                      <w:sz w:val="20"/>
                    </w:rPr>
                    <w:t xml:space="preserve">EPA </w:t>
                  </w:r>
                  <w:r>
                    <w:rPr>
                      <w:color w:val="58595B"/>
                      <w:sz w:val="20"/>
                    </w:rPr>
                    <w:t>to advise on environmental considerations with respect to all mining</w:t>
                  </w:r>
                  <w:r>
                    <w:rPr>
                      <w:color w:val="58595B"/>
                      <w:spacing w:val="-8"/>
                      <w:sz w:val="20"/>
                    </w:rPr>
                    <w:t xml:space="preserve"> </w:t>
                  </w:r>
                  <w:r>
                    <w:rPr>
                      <w:color w:val="58595B"/>
                      <w:sz w:val="20"/>
                    </w:rPr>
                    <w:t>licence</w:t>
                  </w:r>
                  <w:r>
                    <w:rPr>
                      <w:color w:val="58595B"/>
                      <w:spacing w:val="-8"/>
                      <w:sz w:val="20"/>
                    </w:rPr>
                    <w:t xml:space="preserve"> </w:t>
                  </w:r>
                  <w:r>
                    <w:rPr>
                      <w:color w:val="58595B"/>
                      <w:sz w:val="20"/>
                    </w:rPr>
                    <w:t>applications,</w:t>
                  </w:r>
                  <w:r>
                    <w:rPr>
                      <w:color w:val="58595B"/>
                      <w:spacing w:val="-11"/>
                      <w:sz w:val="20"/>
                    </w:rPr>
                    <w:t xml:space="preserve"> </w:t>
                  </w:r>
                  <w:r>
                    <w:rPr>
                      <w:color w:val="58595B"/>
                      <w:spacing w:val="-3"/>
                      <w:sz w:val="20"/>
                    </w:rPr>
                    <w:t>renewals</w:t>
                  </w:r>
                  <w:r>
                    <w:rPr>
                      <w:color w:val="58595B"/>
                      <w:spacing w:val="-11"/>
                      <w:sz w:val="20"/>
                    </w:rPr>
                    <w:t xml:space="preserve"> </w:t>
                  </w:r>
                  <w:r>
                    <w:rPr>
                      <w:color w:val="58595B"/>
                      <w:sz w:val="20"/>
                    </w:rPr>
                    <w:t>and</w:t>
                  </w:r>
                  <w:r>
                    <w:rPr>
                      <w:color w:val="58595B"/>
                      <w:spacing w:val="-11"/>
                      <w:sz w:val="20"/>
                    </w:rPr>
                    <w:t xml:space="preserve"> </w:t>
                  </w:r>
                  <w:r>
                    <w:rPr>
                      <w:color w:val="58595B"/>
                      <w:sz w:val="20"/>
                    </w:rPr>
                    <w:t>extensions,</w:t>
                  </w:r>
                  <w:r>
                    <w:rPr>
                      <w:color w:val="58595B"/>
                      <w:spacing w:val="-11"/>
                      <w:sz w:val="20"/>
                    </w:rPr>
                    <w:t xml:space="preserve"> </w:t>
                  </w:r>
                  <w:r>
                    <w:rPr>
                      <w:color w:val="58595B"/>
                      <w:sz w:val="20"/>
                    </w:rPr>
                    <w:t>including</w:t>
                  </w:r>
                  <w:r>
                    <w:rPr>
                      <w:color w:val="58595B"/>
                      <w:spacing w:val="-11"/>
                      <w:sz w:val="20"/>
                    </w:rPr>
                    <w:t xml:space="preserve"> </w:t>
                  </w:r>
                  <w:r>
                    <w:rPr>
                      <w:color w:val="58595B"/>
                      <w:sz w:val="20"/>
                    </w:rPr>
                    <w:t>on</w:t>
                  </w:r>
                  <w:r>
                    <w:rPr>
                      <w:color w:val="58595B"/>
                      <w:spacing w:val="-11"/>
                      <w:sz w:val="20"/>
                    </w:rPr>
                    <w:t xml:space="preserve"> </w:t>
                  </w:r>
                  <w:r>
                    <w:rPr>
                      <w:color w:val="58595B"/>
                      <w:sz w:val="20"/>
                    </w:rPr>
                    <w:t>setting</w:t>
                  </w:r>
                  <w:r>
                    <w:rPr>
                      <w:color w:val="58595B"/>
                      <w:spacing w:val="-11"/>
                      <w:sz w:val="20"/>
                    </w:rPr>
                    <w:t xml:space="preserve"> </w:t>
                  </w:r>
                  <w:r>
                    <w:rPr>
                      <w:color w:val="58595B"/>
                      <w:sz w:val="20"/>
                    </w:rPr>
                    <w:t>of</w:t>
                  </w:r>
                  <w:r>
                    <w:rPr>
                      <w:color w:val="58595B"/>
                      <w:spacing w:val="-11"/>
                      <w:sz w:val="20"/>
                    </w:rPr>
                    <w:t xml:space="preserve"> </w:t>
                  </w:r>
                  <w:r>
                    <w:rPr>
                      <w:color w:val="58595B"/>
                      <w:sz w:val="20"/>
                    </w:rPr>
                    <w:t>bonds</w:t>
                  </w:r>
                  <w:r>
                    <w:rPr>
                      <w:color w:val="58595B"/>
                      <w:spacing w:val="-11"/>
                      <w:sz w:val="20"/>
                    </w:rPr>
                    <w:t xml:space="preserve"> </w:t>
                  </w:r>
                  <w:r>
                    <w:rPr>
                      <w:color w:val="58595B"/>
                      <w:sz w:val="20"/>
                    </w:rPr>
                    <w:t xml:space="preserve">and </w:t>
                  </w:r>
                  <w:r>
                    <w:rPr>
                      <w:color w:val="58595B"/>
                      <w:spacing w:val="-3"/>
                      <w:sz w:val="20"/>
                    </w:rPr>
                    <w:t xml:space="preserve">environmental </w:t>
                  </w:r>
                  <w:r>
                    <w:rPr>
                      <w:color w:val="58595B"/>
                      <w:sz w:val="20"/>
                    </w:rPr>
                    <w:t>conditions in licences</w:t>
                  </w:r>
                </w:p>
                <w:p w14:paraId="1E4995E0" w14:textId="77777777" w:rsidR="00804E46" w:rsidRDefault="00804E46">
                  <w:pPr>
                    <w:pStyle w:val="ListParagraph"/>
                    <w:numPr>
                      <w:ilvl w:val="0"/>
                      <w:numId w:val="7"/>
                    </w:numPr>
                    <w:tabs>
                      <w:tab w:val="left" w:pos="511"/>
                    </w:tabs>
                    <w:spacing w:before="172" w:line="280" w:lineRule="auto"/>
                    <w:ind w:right="742" w:hanging="340"/>
                    <w:rPr>
                      <w:sz w:val="20"/>
                    </w:rPr>
                  </w:pPr>
                  <w:r>
                    <w:rPr>
                      <w:color w:val="58595B"/>
                      <w:sz w:val="20"/>
                    </w:rPr>
                    <w:t>Requiring Earth Resources Regulation to refer mining work plan applications and variations to the EPA, including rehabilitation plans, for determination of appropriate environmental management conditions, consistent with the mining</w:t>
                  </w:r>
                  <w:r>
                    <w:rPr>
                      <w:color w:val="58595B"/>
                      <w:spacing w:val="4"/>
                      <w:sz w:val="20"/>
                    </w:rPr>
                    <w:t xml:space="preserve"> </w:t>
                  </w:r>
                  <w:r>
                    <w:rPr>
                      <w:color w:val="58595B"/>
                      <w:sz w:val="20"/>
                    </w:rPr>
                    <w:t>licence</w:t>
                  </w:r>
                </w:p>
                <w:p w14:paraId="080768B4" w14:textId="77777777" w:rsidR="00804E46" w:rsidRDefault="00804E46">
                  <w:pPr>
                    <w:pStyle w:val="ListParagraph"/>
                    <w:numPr>
                      <w:ilvl w:val="0"/>
                      <w:numId w:val="7"/>
                    </w:numPr>
                    <w:tabs>
                      <w:tab w:val="left" w:pos="511"/>
                    </w:tabs>
                    <w:spacing w:before="172" w:line="280" w:lineRule="auto"/>
                    <w:ind w:right="844" w:hanging="340"/>
                    <w:rPr>
                      <w:sz w:val="20"/>
                    </w:rPr>
                  </w:pPr>
                  <w:r>
                    <w:rPr>
                      <w:color w:val="58595B"/>
                      <w:sz w:val="20"/>
                    </w:rPr>
                    <w:t xml:space="preserve">Making the </w:t>
                  </w:r>
                  <w:r>
                    <w:rPr>
                      <w:color w:val="58595B"/>
                      <w:spacing w:val="-4"/>
                      <w:sz w:val="20"/>
                    </w:rPr>
                    <w:t xml:space="preserve">EPA </w:t>
                  </w:r>
                  <w:r>
                    <w:rPr>
                      <w:color w:val="58595B"/>
                      <w:sz w:val="20"/>
                    </w:rPr>
                    <w:t>responsible for compliance and enforcement of the environmental conditions in the mining</w:t>
                  </w:r>
                  <w:r>
                    <w:rPr>
                      <w:color w:val="58595B"/>
                      <w:spacing w:val="9"/>
                      <w:sz w:val="20"/>
                    </w:rPr>
                    <w:t xml:space="preserve"> </w:t>
                  </w:r>
                  <w:r>
                    <w:rPr>
                      <w:color w:val="58595B"/>
                      <w:sz w:val="20"/>
                    </w:rPr>
                    <w:t>licence</w:t>
                  </w:r>
                </w:p>
                <w:p w14:paraId="1F4868F5" w14:textId="77777777" w:rsidR="00804E46" w:rsidRDefault="00804E46">
                  <w:pPr>
                    <w:pStyle w:val="ListParagraph"/>
                    <w:numPr>
                      <w:ilvl w:val="0"/>
                      <w:numId w:val="7"/>
                    </w:numPr>
                    <w:tabs>
                      <w:tab w:val="left" w:pos="511"/>
                    </w:tabs>
                    <w:spacing w:before="172" w:line="280" w:lineRule="auto"/>
                    <w:ind w:right="220" w:hanging="340"/>
                    <w:rPr>
                      <w:sz w:val="20"/>
                    </w:rPr>
                  </w:pPr>
                  <w:r>
                    <w:rPr>
                      <w:color w:val="58595B"/>
                      <w:sz w:val="20"/>
                    </w:rPr>
                    <w:t xml:space="preserve">Requiring care and maintenance conditions to be established for inactive but still licensed mine sites, with the </w:t>
                  </w:r>
                  <w:r>
                    <w:rPr>
                      <w:color w:val="58595B"/>
                      <w:spacing w:val="-5"/>
                      <w:sz w:val="20"/>
                    </w:rPr>
                    <w:t xml:space="preserve">EPA </w:t>
                  </w:r>
                  <w:r>
                    <w:rPr>
                      <w:color w:val="58595B"/>
                      <w:sz w:val="20"/>
                    </w:rPr>
                    <w:t>to be responsible for compliance and enforcement of these conditions, and creating a statutory duty for mining operators to inform authorities if mining operations become</w:t>
                  </w:r>
                  <w:r>
                    <w:rPr>
                      <w:color w:val="58595B"/>
                      <w:spacing w:val="3"/>
                      <w:sz w:val="20"/>
                    </w:rPr>
                    <w:t xml:space="preserve"> </w:t>
                  </w:r>
                  <w:r>
                    <w:rPr>
                      <w:color w:val="58595B"/>
                      <w:sz w:val="20"/>
                    </w:rPr>
                    <w:t>inactive</w:t>
                  </w:r>
                </w:p>
                <w:p w14:paraId="37EF2EE2" w14:textId="77777777" w:rsidR="00804E46" w:rsidRDefault="00804E46">
                  <w:pPr>
                    <w:pStyle w:val="ListParagraph"/>
                    <w:numPr>
                      <w:ilvl w:val="0"/>
                      <w:numId w:val="7"/>
                    </w:numPr>
                    <w:tabs>
                      <w:tab w:val="left" w:pos="511"/>
                    </w:tabs>
                    <w:spacing w:before="172" w:line="280" w:lineRule="auto"/>
                    <w:ind w:right="703" w:hanging="340"/>
                    <w:rPr>
                      <w:sz w:val="20"/>
                    </w:rPr>
                  </w:pPr>
                  <w:r>
                    <w:rPr>
                      <w:color w:val="58595B"/>
                      <w:sz w:val="20"/>
                    </w:rPr>
                    <w:t>Requiring</w:t>
                  </w:r>
                  <w:r>
                    <w:rPr>
                      <w:color w:val="58595B"/>
                      <w:spacing w:val="-12"/>
                      <w:sz w:val="20"/>
                    </w:rPr>
                    <w:t xml:space="preserve"> </w:t>
                  </w:r>
                  <w:r>
                    <w:rPr>
                      <w:color w:val="58595B"/>
                      <w:sz w:val="20"/>
                    </w:rPr>
                    <w:t>Earth</w:t>
                  </w:r>
                  <w:r>
                    <w:rPr>
                      <w:color w:val="58595B"/>
                      <w:spacing w:val="-12"/>
                      <w:sz w:val="20"/>
                    </w:rPr>
                    <w:t xml:space="preserve"> </w:t>
                  </w:r>
                  <w:r>
                    <w:rPr>
                      <w:color w:val="58595B"/>
                      <w:sz w:val="20"/>
                    </w:rPr>
                    <w:t>Resources</w:t>
                  </w:r>
                  <w:r>
                    <w:rPr>
                      <w:color w:val="58595B"/>
                      <w:spacing w:val="-12"/>
                      <w:sz w:val="20"/>
                    </w:rPr>
                    <w:t xml:space="preserve"> </w:t>
                  </w:r>
                  <w:r>
                    <w:rPr>
                      <w:color w:val="58595B"/>
                      <w:sz w:val="20"/>
                    </w:rPr>
                    <w:t>Regulation</w:t>
                  </w:r>
                  <w:r>
                    <w:rPr>
                      <w:color w:val="58595B"/>
                      <w:spacing w:val="-12"/>
                      <w:sz w:val="20"/>
                    </w:rPr>
                    <w:t xml:space="preserve"> </w:t>
                  </w:r>
                  <w:r>
                    <w:rPr>
                      <w:color w:val="58595B"/>
                      <w:sz w:val="20"/>
                    </w:rPr>
                    <w:t>to</w:t>
                  </w:r>
                  <w:r>
                    <w:rPr>
                      <w:color w:val="58595B"/>
                      <w:spacing w:val="-12"/>
                      <w:sz w:val="20"/>
                    </w:rPr>
                    <w:t xml:space="preserve"> </w:t>
                  </w:r>
                  <w:r>
                    <w:rPr>
                      <w:color w:val="58595B"/>
                      <w:sz w:val="20"/>
                    </w:rPr>
                    <w:t>seek</w:t>
                  </w:r>
                  <w:r>
                    <w:rPr>
                      <w:color w:val="58595B"/>
                      <w:spacing w:val="-12"/>
                      <w:sz w:val="20"/>
                    </w:rPr>
                    <w:t xml:space="preserve"> </w:t>
                  </w:r>
                  <w:r>
                    <w:rPr>
                      <w:color w:val="58595B"/>
                      <w:sz w:val="20"/>
                    </w:rPr>
                    <w:t>the</w:t>
                  </w:r>
                  <w:r>
                    <w:rPr>
                      <w:color w:val="58595B"/>
                      <w:spacing w:val="-12"/>
                      <w:sz w:val="20"/>
                    </w:rPr>
                    <w:t xml:space="preserve"> </w:t>
                  </w:r>
                  <w:r>
                    <w:rPr>
                      <w:color w:val="58595B"/>
                      <w:spacing w:val="-8"/>
                      <w:sz w:val="20"/>
                    </w:rPr>
                    <w:t>EPA’s</w:t>
                  </w:r>
                  <w:r>
                    <w:rPr>
                      <w:color w:val="58595B"/>
                      <w:spacing w:val="-12"/>
                      <w:sz w:val="20"/>
                    </w:rPr>
                    <w:t xml:space="preserve"> </w:t>
                  </w:r>
                  <w:r>
                    <w:rPr>
                      <w:color w:val="58595B"/>
                      <w:sz w:val="20"/>
                    </w:rPr>
                    <w:t>advice</w:t>
                  </w:r>
                  <w:r>
                    <w:rPr>
                      <w:color w:val="58595B"/>
                      <w:spacing w:val="-12"/>
                      <w:sz w:val="20"/>
                    </w:rPr>
                    <w:t xml:space="preserve"> </w:t>
                  </w:r>
                  <w:r>
                    <w:rPr>
                      <w:color w:val="58595B"/>
                      <w:sz w:val="20"/>
                    </w:rPr>
                    <w:t>on</w:t>
                  </w:r>
                  <w:r>
                    <w:rPr>
                      <w:color w:val="58595B"/>
                      <w:spacing w:val="-12"/>
                      <w:sz w:val="20"/>
                    </w:rPr>
                    <w:t xml:space="preserve"> </w:t>
                  </w:r>
                  <w:r>
                    <w:rPr>
                      <w:color w:val="58595B"/>
                      <w:sz w:val="20"/>
                    </w:rPr>
                    <w:t>all</w:t>
                  </w:r>
                  <w:r>
                    <w:rPr>
                      <w:color w:val="58595B"/>
                      <w:spacing w:val="-12"/>
                      <w:sz w:val="20"/>
                    </w:rPr>
                    <w:t xml:space="preserve"> </w:t>
                  </w:r>
                  <w:r>
                    <w:rPr>
                      <w:color w:val="58595B"/>
                      <w:sz w:val="20"/>
                    </w:rPr>
                    <w:t>applications</w:t>
                  </w:r>
                  <w:r>
                    <w:rPr>
                      <w:color w:val="58595B"/>
                      <w:spacing w:val="-12"/>
                      <w:sz w:val="20"/>
                    </w:rPr>
                    <w:t xml:space="preserve"> </w:t>
                  </w:r>
                  <w:r>
                    <w:rPr>
                      <w:color w:val="58595B"/>
                      <w:sz w:val="20"/>
                    </w:rPr>
                    <w:t>for reductions in, or the return of, rehabilitation</w:t>
                  </w:r>
                  <w:r>
                    <w:rPr>
                      <w:color w:val="58595B"/>
                      <w:spacing w:val="-20"/>
                      <w:sz w:val="20"/>
                    </w:rPr>
                    <w:t xml:space="preserve"> </w:t>
                  </w:r>
                  <w:r>
                    <w:rPr>
                      <w:color w:val="58595B"/>
                      <w:sz w:val="20"/>
                    </w:rPr>
                    <w:t>bonds</w:t>
                  </w:r>
                </w:p>
                <w:p w14:paraId="6DE67090" w14:textId="77777777" w:rsidR="00804E46" w:rsidRDefault="00804E46">
                  <w:pPr>
                    <w:pStyle w:val="ListParagraph"/>
                    <w:numPr>
                      <w:ilvl w:val="0"/>
                      <w:numId w:val="7"/>
                    </w:numPr>
                    <w:tabs>
                      <w:tab w:val="left" w:pos="511"/>
                    </w:tabs>
                    <w:spacing w:before="172" w:line="280" w:lineRule="auto"/>
                    <w:ind w:right="309" w:hanging="340"/>
                    <w:rPr>
                      <w:sz w:val="20"/>
                    </w:rPr>
                  </w:pPr>
                  <w:r>
                    <w:rPr>
                      <w:color w:val="58595B"/>
                      <w:sz w:val="20"/>
                    </w:rPr>
                    <w:t xml:space="preserve">Making the </w:t>
                  </w:r>
                  <w:r>
                    <w:rPr>
                      <w:color w:val="58595B"/>
                      <w:spacing w:val="-4"/>
                      <w:sz w:val="20"/>
                    </w:rPr>
                    <w:t xml:space="preserve">EPA </w:t>
                  </w:r>
                  <w:r>
                    <w:rPr>
                      <w:color w:val="58595B"/>
                      <w:sz w:val="20"/>
                    </w:rPr>
                    <w:t>responsible for compliance and enforcement of environmental elements of remediation requirements in the mining licence</w:t>
                  </w:r>
                  <w:r>
                    <w:rPr>
                      <w:color w:val="58595B"/>
                      <w:spacing w:val="6"/>
                      <w:sz w:val="20"/>
                    </w:rPr>
                    <w:t xml:space="preserve"> </w:t>
                  </w:r>
                  <w:r>
                    <w:rPr>
                      <w:color w:val="58595B"/>
                      <w:sz w:val="20"/>
                    </w:rPr>
                    <w:t>conditions.</w:t>
                  </w:r>
                </w:p>
              </w:txbxContent>
            </v:textbox>
            <w10:wrap type="topAndBottom" anchorx="page"/>
          </v:shape>
        </w:pict>
      </w:r>
    </w:p>
    <w:p w14:paraId="4377AA2E" w14:textId="77777777" w:rsidR="00160E7F" w:rsidRDefault="00160E7F">
      <w:pPr>
        <w:rPr>
          <w:sz w:val="23"/>
        </w:rPr>
        <w:sectPr w:rsidR="00160E7F">
          <w:pgSz w:w="11910" w:h="16840"/>
          <w:pgMar w:top="980" w:right="1680" w:bottom="280" w:left="0" w:header="788" w:footer="0" w:gutter="0"/>
          <w:cols w:space="720"/>
        </w:sectPr>
      </w:pPr>
    </w:p>
    <w:p w14:paraId="60C87E4D" w14:textId="77777777" w:rsidR="00160E7F" w:rsidRDefault="00160E7F">
      <w:pPr>
        <w:pStyle w:val="BodyText"/>
      </w:pPr>
    </w:p>
    <w:p w14:paraId="06A236C7" w14:textId="77777777" w:rsidR="00160E7F" w:rsidRDefault="00160E7F">
      <w:pPr>
        <w:pStyle w:val="BodyText"/>
      </w:pPr>
    </w:p>
    <w:p w14:paraId="181C2BDD" w14:textId="77777777" w:rsidR="00160E7F" w:rsidRDefault="00160E7F">
      <w:pPr>
        <w:pStyle w:val="BodyText"/>
      </w:pPr>
    </w:p>
    <w:p w14:paraId="0BCB8046" w14:textId="77777777" w:rsidR="00160E7F" w:rsidRDefault="00160E7F">
      <w:pPr>
        <w:pStyle w:val="BodyText"/>
      </w:pPr>
    </w:p>
    <w:p w14:paraId="1904BFBE" w14:textId="77777777" w:rsidR="00160E7F" w:rsidRDefault="00160E7F">
      <w:pPr>
        <w:pStyle w:val="BodyText"/>
        <w:spacing w:before="4"/>
        <w:rPr>
          <w:sz w:val="13"/>
        </w:rPr>
      </w:pPr>
    </w:p>
    <w:p w14:paraId="663CAC58" w14:textId="77777777" w:rsidR="00160E7F" w:rsidRDefault="000638CB">
      <w:pPr>
        <w:pStyle w:val="BodyText"/>
        <w:spacing w:line="20" w:lineRule="exact"/>
        <w:ind w:left="129"/>
        <w:rPr>
          <w:sz w:val="2"/>
        </w:rPr>
      </w:pPr>
      <w:r>
        <w:rPr>
          <w:sz w:val="2"/>
        </w:rPr>
      </w:r>
      <w:r>
        <w:rPr>
          <w:sz w:val="2"/>
        </w:rPr>
        <w:pict w14:anchorId="4C68627D">
          <v:group id="_x0000_s1037" style="width:211.35pt;height:.5pt;mso-position-horizontal-relative:char;mso-position-vertical-relative:line" coordsize="4227,10">
            <v:line id="_x0000_s1038" style="position:absolute" from="5,5" to="4222,5" strokecolor="#58595b" strokeweight=".5pt"/>
            <w10:wrap type="none"/>
            <w10:anchorlock/>
          </v:group>
        </w:pict>
      </w:r>
    </w:p>
    <w:p w14:paraId="40ACA162" w14:textId="77777777" w:rsidR="00160E7F" w:rsidRDefault="002B0299">
      <w:pPr>
        <w:pStyle w:val="ListParagraph"/>
        <w:numPr>
          <w:ilvl w:val="0"/>
          <w:numId w:val="6"/>
        </w:numPr>
        <w:tabs>
          <w:tab w:val="left" w:pos="418"/>
        </w:tabs>
        <w:spacing w:before="47"/>
        <w:ind w:hanging="283"/>
        <w:rPr>
          <w:sz w:val="12"/>
        </w:rPr>
      </w:pPr>
      <w:r>
        <w:rPr>
          <w:color w:val="58595B"/>
          <w:sz w:val="12"/>
        </w:rPr>
        <w:t xml:space="preserve">Minerals Council of Australia – </w:t>
      </w:r>
      <w:r>
        <w:rPr>
          <w:color w:val="58595B"/>
          <w:spacing w:val="2"/>
          <w:sz w:val="12"/>
        </w:rPr>
        <w:t xml:space="preserve">Victoria </w:t>
      </w:r>
      <w:r>
        <w:rPr>
          <w:color w:val="58595B"/>
          <w:sz w:val="12"/>
        </w:rPr>
        <w:t xml:space="preserve">submission, p. </w:t>
      </w:r>
      <w:r>
        <w:rPr>
          <w:color w:val="58595B"/>
          <w:spacing w:val="32"/>
          <w:sz w:val="12"/>
        </w:rPr>
        <w:t xml:space="preserve"> </w:t>
      </w:r>
      <w:r>
        <w:rPr>
          <w:color w:val="58595B"/>
          <w:sz w:val="12"/>
        </w:rPr>
        <w:t>2.</w:t>
      </w:r>
    </w:p>
    <w:p w14:paraId="39B7F848" w14:textId="77777777" w:rsidR="00160E7F" w:rsidRDefault="002B0299">
      <w:pPr>
        <w:pStyle w:val="ListParagraph"/>
        <w:numPr>
          <w:ilvl w:val="0"/>
          <w:numId w:val="6"/>
        </w:numPr>
        <w:tabs>
          <w:tab w:val="left" w:pos="418"/>
        </w:tabs>
        <w:spacing w:before="30" w:line="242" w:lineRule="auto"/>
        <w:ind w:right="6018" w:hanging="283"/>
        <w:rPr>
          <w:sz w:val="12"/>
        </w:rPr>
      </w:pPr>
      <w:r>
        <w:rPr>
          <w:color w:val="58595B"/>
          <w:sz w:val="12"/>
        </w:rPr>
        <w:t xml:space="preserve">EPA’s input to prospecting </w:t>
      </w:r>
      <w:r>
        <w:rPr>
          <w:color w:val="58595B"/>
          <w:spacing w:val="2"/>
          <w:sz w:val="12"/>
        </w:rPr>
        <w:t xml:space="preserve">licences </w:t>
      </w:r>
      <w:r>
        <w:rPr>
          <w:color w:val="58595B"/>
          <w:sz w:val="12"/>
        </w:rPr>
        <w:t xml:space="preserve">is not </w:t>
      </w:r>
      <w:r>
        <w:rPr>
          <w:color w:val="58595B"/>
          <w:spacing w:val="2"/>
          <w:sz w:val="12"/>
        </w:rPr>
        <w:t xml:space="preserve">necessary </w:t>
      </w:r>
      <w:r>
        <w:rPr>
          <w:color w:val="58595B"/>
          <w:sz w:val="12"/>
        </w:rPr>
        <w:t>given their small scale.</w:t>
      </w:r>
    </w:p>
    <w:p w14:paraId="61BCA72A" w14:textId="77777777" w:rsidR="00160E7F" w:rsidRDefault="000638CB">
      <w:pPr>
        <w:pStyle w:val="ListParagraph"/>
        <w:numPr>
          <w:ilvl w:val="0"/>
          <w:numId w:val="6"/>
        </w:numPr>
        <w:tabs>
          <w:tab w:val="left" w:pos="418"/>
        </w:tabs>
        <w:spacing w:line="242" w:lineRule="auto"/>
        <w:ind w:right="6096" w:hanging="283"/>
        <w:rPr>
          <w:sz w:val="12"/>
        </w:rPr>
      </w:pPr>
      <w:hyperlink r:id="rId105">
        <w:r w:rsidR="002B0299">
          <w:rPr>
            <w:color w:val="58595B"/>
            <w:sz w:val="12"/>
          </w:rPr>
          <w:t>http://www.energyandresources.vic.gov.au/__data/assets/pdf_</w:t>
        </w:r>
      </w:hyperlink>
      <w:r w:rsidR="002B0299">
        <w:rPr>
          <w:color w:val="58595B"/>
          <w:sz w:val="12"/>
        </w:rPr>
        <w:t xml:space="preserve"> </w:t>
      </w:r>
      <w:r w:rsidR="002B0299">
        <w:rPr>
          <w:color w:val="58595B"/>
          <w:spacing w:val="2"/>
          <w:sz w:val="12"/>
        </w:rPr>
        <w:t xml:space="preserve">file/0009/1268820/Earth-Resources-Regulation-Draft-Stakeholder- </w:t>
      </w:r>
      <w:r w:rsidR="002B0299">
        <w:rPr>
          <w:color w:val="58595B"/>
          <w:sz w:val="12"/>
        </w:rPr>
        <w:t>Engagement-Strategy-2016-2018.pdf.</w:t>
      </w:r>
    </w:p>
    <w:p w14:paraId="1D65DB43" w14:textId="77777777" w:rsidR="00160E7F" w:rsidRDefault="000638CB">
      <w:pPr>
        <w:pStyle w:val="ListParagraph"/>
        <w:numPr>
          <w:ilvl w:val="0"/>
          <w:numId w:val="6"/>
        </w:numPr>
        <w:tabs>
          <w:tab w:val="left" w:pos="418"/>
        </w:tabs>
        <w:ind w:hanging="283"/>
        <w:rPr>
          <w:sz w:val="12"/>
        </w:rPr>
      </w:pPr>
      <w:hyperlink r:id="rId106">
        <w:r w:rsidR="002B0299">
          <w:rPr>
            <w:color w:val="58595B"/>
            <w:sz w:val="12"/>
          </w:rPr>
          <w:t>http://hazelwoodhealthstudy.org.au/</w:t>
        </w:r>
      </w:hyperlink>
      <w:r w:rsidR="002B0299">
        <w:rPr>
          <w:color w:val="58595B"/>
          <w:sz w:val="12"/>
        </w:rPr>
        <w:t xml:space="preserve"> (accessed 10 March  </w:t>
      </w:r>
      <w:r w:rsidR="002B0299">
        <w:rPr>
          <w:color w:val="58595B"/>
          <w:spacing w:val="13"/>
          <w:sz w:val="12"/>
        </w:rPr>
        <w:t xml:space="preserve"> </w:t>
      </w:r>
      <w:r w:rsidR="002B0299">
        <w:rPr>
          <w:color w:val="58595B"/>
          <w:sz w:val="12"/>
        </w:rPr>
        <w:t>2016).</w:t>
      </w:r>
    </w:p>
    <w:p w14:paraId="67996D7B" w14:textId="77777777" w:rsidR="00160E7F" w:rsidRDefault="000638CB">
      <w:pPr>
        <w:pStyle w:val="ListParagraph"/>
        <w:numPr>
          <w:ilvl w:val="0"/>
          <w:numId w:val="6"/>
        </w:numPr>
        <w:tabs>
          <w:tab w:val="left" w:pos="418"/>
        </w:tabs>
        <w:spacing w:before="30" w:line="242" w:lineRule="auto"/>
        <w:ind w:right="6528" w:hanging="283"/>
        <w:rPr>
          <w:sz w:val="12"/>
        </w:rPr>
      </w:pPr>
      <w:hyperlink r:id="rId107">
        <w:r w:rsidR="002B0299">
          <w:rPr>
            <w:color w:val="58595B"/>
            <w:sz w:val="12"/>
          </w:rPr>
          <w:t>http://www.epa.vic.gov.au/your-environment/air/air-pollution</w:t>
        </w:r>
      </w:hyperlink>
      <w:r w:rsidR="002B0299">
        <w:rPr>
          <w:color w:val="58595B"/>
          <w:sz w:val="12"/>
        </w:rPr>
        <w:t xml:space="preserve"> (accessed 10 March</w:t>
      </w:r>
      <w:r w:rsidR="002B0299">
        <w:rPr>
          <w:color w:val="58595B"/>
          <w:spacing w:val="21"/>
          <w:sz w:val="12"/>
        </w:rPr>
        <w:t xml:space="preserve"> </w:t>
      </w:r>
      <w:r w:rsidR="002B0299">
        <w:rPr>
          <w:color w:val="58595B"/>
          <w:sz w:val="12"/>
        </w:rPr>
        <w:t>2016).</w:t>
      </w:r>
    </w:p>
    <w:p w14:paraId="040A0737" w14:textId="77777777" w:rsidR="00160E7F" w:rsidRDefault="002B0299">
      <w:pPr>
        <w:pStyle w:val="ListParagraph"/>
        <w:numPr>
          <w:ilvl w:val="0"/>
          <w:numId w:val="6"/>
        </w:numPr>
        <w:tabs>
          <w:tab w:val="left" w:pos="418"/>
        </w:tabs>
        <w:spacing w:line="242" w:lineRule="auto"/>
        <w:ind w:right="5950" w:hanging="283"/>
        <w:rPr>
          <w:sz w:val="12"/>
        </w:rPr>
      </w:pPr>
      <w:r>
        <w:rPr>
          <w:color w:val="58595B"/>
          <w:sz w:val="12"/>
        </w:rPr>
        <w:t xml:space="preserve">Hazelwood Mine Fire </w:t>
      </w:r>
      <w:r>
        <w:rPr>
          <w:color w:val="58595B"/>
          <w:spacing w:val="2"/>
          <w:sz w:val="12"/>
        </w:rPr>
        <w:t xml:space="preserve">Inquiry Report </w:t>
      </w:r>
      <w:r>
        <w:rPr>
          <w:color w:val="58595B"/>
          <w:sz w:val="12"/>
        </w:rPr>
        <w:t xml:space="preserve">2015-2016, </w:t>
      </w:r>
      <w:r>
        <w:rPr>
          <w:i/>
          <w:color w:val="58595B"/>
          <w:sz w:val="12"/>
        </w:rPr>
        <w:t>Health and wellbeing</w:t>
      </w:r>
      <w:r>
        <w:rPr>
          <w:color w:val="58595B"/>
          <w:sz w:val="12"/>
        </w:rPr>
        <w:t>, Volume IV, Melbourne, p.</w:t>
      </w:r>
      <w:r>
        <w:rPr>
          <w:color w:val="58595B"/>
          <w:spacing w:val="19"/>
          <w:sz w:val="12"/>
        </w:rPr>
        <w:t xml:space="preserve"> </w:t>
      </w:r>
      <w:r>
        <w:rPr>
          <w:color w:val="58595B"/>
          <w:sz w:val="12"/>
        </w:rPr>
        <w:t>316.</w:t>
      </w:r>
    </w:p>
    <w:p w14:paraId="0FC3824E" w14:textId="77777777" w:rsidR="00160E7F" w:rsidRDefault="002B0299">
      <w:pPr>
        <w:pStyle w:val="ListParagraph"/>
        <w:numPr>
          <w:ilvl w:val="0"/>
          <w:numId w:val="6"/>
        </w:numPr>
        <w:tabs>
          <w:tab w:val="left" w:pos="418"/>
        </w:tabs>
        <w:spacing w:line="242" w:lineRule="auto"/>
        <w:ind w:right="6139" w:hanging="283"/>
        <w:rPr>
          <w:sz w:val="12"/>
        </w:rPr>
      </w:pPr>
      <w:r>
        <w:rPr>
          <w:color w:val="58595B"/>
          <w:sz w:val="12"/>
        </w:rPr>
        <w:t xml:space="preserve">Hazelwood Mine Fire </w:t>
      </w:r>
      <w:r>
        <w:rPr>
          <w:color w:val="58595B"/>
          <w:spacing w:val="2"/>
          <w:sz w:val="12"/>
        </w:rPr>
        <w:t xml:space="preserve">Inquiry Report </w:t>
      </w:r>
      <w:r>
        <w:rPr>
          <w:color w:val="58595B"/>
          <w:sz w:val="12"/>
        </w:rPr>
        <w:t xml:space="preserve">2015-2016, </w:t>
      </w:r>
      <w:r>
        <w:rPr>
          <w:i/>
          <w:color w:val="58595B"/>
          <w:sz w:val="12"/>
        </w:rPr>
        <w:t xml:space="preserve">Investigations into </w:t>
      </w:r>
      <w:r>
        <w:rPr>
          <w:i/>
          <w:color w:val="58595B"/>
          <w:spacing w:val="2"/>
          <w:sz w:val="12"/>
        </w:rPr>
        <w:t xml:space="preserve">2009–2014 </w:t>
      </w:r>
      <w:r>
        <w:rPr>
          <w:i/>
          <w:color w:val="58595B"/>
          <w:sz w:val="12"/>
        </w:rPr>
        <w:t>deaths</w:t>
      </w:r>
      <w:r>
        <w:rPr>
          <w:color w:val="58595B"/>
          <w:sz w:val="12"/>
        </w:rPr>
        <w:t xml:space="preserve">, Volume II, Melbourne, p. </w:t>
      </w:r>
      <w:r>
        <w:rPr>
          <w:color w:val="58595B"/>
          <w:spacing w:val="10"/>
          <w:sz w:val="12"/>
        </w:rPr>
        <w:t xml:space="preserve"> </w:t>
      </w:r>
      <w:r>
        <w:rPr>
          <w:color w:val="58595B"/>
          <w:sz w:val="12"/>
        </w:rPr>
        <w:t>18.</w:t>
      </w:r>
    </w:p>
    <w:p w14:paraId="5A6A9C16" w14:textId="77777777" w:rsidR="00160E7F" w:rsidRDefault="002B0299">
      <w:pPr>
        <w:pStyle w:val="ListParagraph"/>
        <w:numPr>
          <w:ilvl w:val="0"/>
          <w:numId w:val="6"/>
        </w:numPr>
        <w:tabs>
          <w:tab w:val="left" w:pos="418"/>
        </w:tabs>
        <w:spacing w:line="242" w:lineRule="auto"/>
        <w:ind w:right="5882" w:hanging="283"/>
        <w:rPr>
          <w:sz w:val="12"/>
        </w:rPr>
      </w:pPr>
      <w:r>
        <w:rPr>
          <w:color w:val="58595B"/>
          <w:spacing w:val="2"/>
          <w:sz w:val="12"/>
        </w:rPr>
        <w:t xml:space="preserve">Department </w:t>
      </w:r>
      <w:r>
        <w:rPr>
          <w:color w:val="58595B"/>
          <w:sz w:val="12"/>
        </w:rPr>
        <w:t xml:space="preserve">of Environment, Land, Water and Planning 2015, </w:t>
      </w:r>
      <w:r>
        <w:rPr>
          <w:i/>
          <w:color w:val="58595B"/>
          <w:sz w:val="12"/>
        </w:rPr>
        <w:t>Managing groundwater from Bendigo’s mines</w:t>
      </w:r>
      <w:r>
        <w:rPr>
          <w:color w:val="58595B"/>
          <w:sz w:val="12"/>
        </w:rPr>
        <w:t xml:space="preserve">, Technical </w:t>
      </w:r>
      <w:r>
        <w:rPr>
          <w:color w:val="58595B"/>
          <w:spacing w:val="2"/>
          <w:sz w:val="12"/>
        </w:rPr>
        <w:t xml:space="preserve">report, </w:t>
      </w:r>
      <w:r>
        <w:rPr>
          <w:color w:val="58595B"/>
          <w:sz w:val="12"/>
        </w:rPr>
        <w:t>Melbourne, January.</w:t>
      </w:r>
    </w:p>
    <w:p w14:paraId="46F2E935" w14:textId="77777777" w:rsidR="00160E7F" w:rsidRDefault="000638CB">
      <w:pPr>
        <w:pStyle w:val="ListParagraph"/>
        <w:numPr>
          <w:ilvl w:val="0"/>
          <w:numId w:val="6"/>
        </w:numPr>
        <w:tabs>
          <w:tab w:val="left" w:pos="418"/>
        </w:tabs>
        <w:ind w:hanging="283"/>
        <w:rPr>
          <w:sz w:val="12"/>
        </w:rPr>
      </w:pPr>
      <w:hyperlink r:id="rId108">
        <w:r w:rsidR="002B0299">
          <w:rPr>
            <w:color w:val="58595B"/>
            <w:spacing w:val="2"/>
            <w:sz w:val="12"/>
          </w:rPr>
          <w:t>http://www.doc.govt.nz/our-work/tui-mine/</w:t>
        </w:r>
      </w:hyperlink>
      <w:r w:rsidR="002B0299">
        <w:rPr>
          <w:color w:val="58595B"/>
          <w:spacing w:val="2"/>
          <w:sz w:val="12"/>
        </w:rPr>
        <w:t xml:space="preserve"> </w:t>
      </w:r>
      <w:r w:rsidR="002B0299">
        <w:rPr>
          <w:color w:val="58595B"/>
          <w:sz w:val="12"/>
        </w:rPr>
        <w:t>(accessed 10 March</w:t>
      </w:r>
      <w:r w:rsidR="002B0299">
        <w:rPr>
          <w:color w:val="58595B"/>
          <w:spacing w:val="26"/>
          <w:sz w:val="12"/>
        </w:rPr>
        <w:t xml:space="preserve"> </w:t>
      </w:r>
      <w:r w:rsidR="002B0299">
        <w:rPr>
          <w:color w:val="58595B"/>
          <w:sz w:val="12"/>
        </w:rPr>
        <w:t>2016).</w:t>
      </w:r>
    </w:p>
    <w:p w14:paraId="6FE981B3" w14:textId="77777777" w:rsidR="00160E7F" w:rsidRDefault="002B0299">
      <w:pPr>
        <w:pStyle w:val="ListParagraph"/>
        <w:numPr>
          <w:ilvl w:val="0"/>
          <w:numId w:val="6"/>
        </w:numPr>
        <w:tabs>
          <w:tab w:val="left" w:pos="418"/>
        </w:tabs>
        <w:spacing w:before="30"/>
        <w:ind w:hanging="283"/>
        <w:rPr>
          <w:sz w:val="12"/>
        </w:rPr>
      </w:pPr>
      <w:r>
        <w:rPr>
          <w:color w:val="58595B"/>
          <w:sz w:val="12"/>
        </w:rPr>
        <w:t xml:space="preserve">Safe </w:t>
      </w:r>
      <w:r>
        <w:rPr>
          <w:color w:val="58595B"/>
          <w:spacing w:val="2"/>
          <w:sz w:val="12"/>
        </w:rPr>
        <w:t xml:space="preserve">drinking </w:t>
      </w:r>
      <w:r>
        <w:rPr>
          <w:color w:val="58595B"/>
          <w:sz w:val="12"/>
        </w:rPr>
        <w:t xml:space="preserve">water foundation, </w:t>
      </w:r>
      <w:r>
        <w:rPr>
          <w:i/>
          <w:color w:val="58595B"/>
          <w:spacing w:val="2"/>
          <w:sz w:val="12"/>
        </w:rPr>
        <w:t xml:space="preserve">Mining </w:t>
      </w:r>
      <w:r>
        <w:rPr>
          <w:i/>
          <w:color w:val="58595B"/>
          <w:sz w:val="12"/>
        </w:rPr>
        <w:t>and water pollution</w:t>
      </w:r>
      <w:r>
        <w:rPr>
          <w:color w:val="58595B"/>
          <w:sz w:val="12"/>
        </w:rPr>
        <w:t xml:space="preserve">, pp. </w:t>
      </w:r>
      <w:r>
        <w:rPr>
          <w:color w:val="58595B"/>
          <w:spacing w:val="19"/>
          <w:sz w:val="12"/>
        </w:rPr>
        <w:t xml:space="preserve"> </w:t>
      </w:r>
      <w:r>
        <w:rPr>
          <w:color w:val="58595B"/>
          <w:spacing w:val="4"/>
          <w:sz w:val="12"/>
        </w:rPr>
        <w:t>3–4.</w:t>
      </w:r>
    </w:p>
    <w:p w14:paraId="6C219BFF" w14:textId="344978D1" w:rsidR="00160E7F" w:rsidRDefault="000638CB">
      <w:pPr>
        <w:pStyle w:val="ListParagraph"/>
        <w:numPr>
          <w:ilvl w:val="0"/>
          <w:numId w:val="6"/>
        </w:numPr>
        <w:tabs>
          <w:tab w:val="left" w:pos="418"/>
        </w:tabs>
        <w:spacing w:before="30" w:line="242" w:lineRule="auto"/>
        <w:ind w:right="5890" w:hanging="283"/>
        <w:jc w:val="both"/>
        <w:rPr>
          <w:sz w:val="12"/>
        </w:rPr>
      </w:pPr>
      <w:hyperlink r:id="rId109">
        <w:r w:rsidR="002B0299">
          <w:rPr>
            <w:color w:val="58595B"/>
            <w:spacing w:val="2"/>
            <w:sz w:val="12"/>
          </w:rPr>
          <w:t>http://www.smh.com.au/environment/water-issues/bengalla-coal-mine-</w:t>
        </w:r>
      </w:hyperlink>
      <w:r w:rsidR="002B0299">
        <w:rPr>
          <w:color w:val="58595B"/>
          <w:spacing w:val="2"/>
          <w:sz w:val="12"/>
        </w:rPr>
        <w:t xml:space="preserve"> dam-overflow-makes-it-three-spills-under-epa-investigation-20160118- </w:t>
      </w:r>
      <w:r w:rsidR="002B0299">
        <w:rPr>
          <w:color w:val="58595B"/>
          <w:sz w:val="12"/>
        </w:rPr>
        <w:t>gm8ayo.html (accessed 10 March 2016).</w:t>
      </w:r>
    </w:p>
    <w:p w14:paraId="606A7C19" w14:textId="01ACBFDF" w:rsidR="00160E7F" w:rsidRDefault="000638CB">
      <w:pPr>
        <w:pStyle w:val="ListParagraph"/>
        <w:numPr>
          <w:ilvl w:val="0"/>
          <w:numId w:val="6"/>
        </w:numPr>
        <w:tabs>
          <w:tab w:val="left" w:pos="418"/>
        </w:tabs>
        <w:spacing w:line="242" w:lineRule="auto"/>
        <w:ind w:right="6169" w:hanging="283"/>
        <w:rPr>
          <w:sz w:val="12"/>
        </w:rPr>
      </w:pPr>
      <w:hyperlink r:id="rId110">
        <w:r w:rsidR="002B0299">
          <w:rPr>
            <w:color w:val="58595B"/>
            <w:spacing w:val="2"/>
            <w:sz w:val="12"/>
          </w:rPr>
          <w:t>http://www.smh.com.au/environment/wambo-coal-mine-in-hunter-</w:t>
        </w:r>
      </w:hyperlink>
      <w:r w:rsidR="002B0299">
        <w:rPr>
          <w:color w:val="58595B"/>
          <w:spacing w:val="2"/>
          <w:sz w:val="12"/>
        </w:rPr>
        <w:t xml:space="preserve"> investigated-by-environment-protection-authority-over-dam-wall- </w:t>
      </w:r>
      <w:r w:rsidR="002B0299">
        <w:rPr>
          <w:color w:val="58595B"/>
          <w:sz w:val="12"/>
        </w:rPr>
        <w:t>collapse-20160113-gm4xp4.html (accessed 10 March 2016.).</w:t>
      </w:r>
    </w:p>
    <w:p w14:paraId="3CF177C4" w14:textId="4738DEC4" w:rsidR="00160E7F" w:rsidRPr="004D1852" w:rsidRDefault="002B0299" w:rsidP="004D1852">
      <w:pPr>
        <w:pStyle w:val="ListParagraph"/>
        <w:numPr>
          <w:ilvl w:val="0"/>
          <w:numId w:val="6"/>
        </w:numPr>
        <w:tabs>
          <w:tab w:val="left" w:pos="418"/>
        </w:tabs>
        <w:spacing w:line="242" w:lineRule="auto"/>
        <w:ind w:right="5966" w:hanging="283"/>
        <w:rPr>
          <w:sz w:val="12"/>
        </w:rPr>
      </w:pPr>
      <w:r>
        <w:rPr>
          <w:color w:val="58595B"/>
          <w:sz w:val="12"/>
        </w:rPr>
        <w:t xml:space="preserve">According to the EPA, the threshold for whether an EPA </w:t>
      </w:r>
      <w:r>
        <w:rPr>
          <w:color w:val="58595B"/>
          <w:spacing w:val="2"/>
          <w:sz w:val="12"/>
        </w:rPr>
        <w:t xml:space="preserve">licence </w:t>
      </w:r>
      <w:r>
        <w:rPr>
          <w:color w:val="58595B"/>
          <w:sz w:val="12"/>
        </w:rPr>
        <w:t>is required is established under the Scheduled Premises Regulations. Mining activities are scheduled activities (category C01) but premises with solely land discharges or deposits are exempt from the need for a works</w:t>
      </w:r>
      <w:r>
        <w:rPr>
          <w:color w:val="58595B"/>
          <w:spacing w:val="18"/>
          <w:sz w:val="12"/>
        </w:rPr>
        <w:t xml:space="preserve"> </w:t>
      </w:r>
      <w:r>
        <w:rPr>
          <w:color w:val="58595B"/>
          <w:sz w:val="12"/>
        </w:rPr>
        <w:t>approval</w:t>
      </w:r>
      <w:r w:rsidR="004D1852">
        <w:rPr>
          <w:color w:val="58595B"/>
          <w:sz w:val="12"/>
        </w:rPr>
        <w:t xml:space="preserve"> </w:t>
      </w:r>
      <w:r w:rsidRPr="004D1852">
        <w:rPr>
          <w:color w:val="58595B"/>
          <w:sz w:val="12"/>
        </w:rPr>
        <w:t>or licence.</w:t>
      </w:r>
    </w:p>
    <w:p w14:paraId="168C8055" w14:textId="455F3213" w:rsidR="00160E7F" w:rsidRDefault="002B0299">
      <w:pPr>
        <w:pStyle w:val="ListParagraph"/>
        <w:numPr>
          <w:ilvl w:val="0"/>
          <w:numId w:val="6"/>
        </w:numPr>
        <w:tabs>
          <w:tab w:val="left" w:pos="418"/>
        </w:tabs>
        <w:spacing w:before="30" w:line="242" w:lineRule="auto"/>
        <w:ind w:right="5933" w:hanging="283"/>
        <w:rPr>
          <w:sz w:val="12"/>
        </w:rPr>
      </w:pPr>
      <w:r>
        <w:rPr>
          <w:color w:val="58595B"/>
          <w:sz w:val="12"/>
        </w:rPr>
        <w:t>EPA works approval guidelines</w:t>
      </w:r>
      <w:hyperlink r:id="rId111">
        <w:r>
          <w:rPr>
            <w:color w:val="58595B"/>
            <w:sz w:val="12"/>
          </w:rPr>
          <w:t>, http://www.epa.vic.gov.au/our-work/</w:t>
        </w:r>
      </w:hyperlink>
      <w:r>
        <w:rPr>
          <w:color w:val="58595B"/>
          <w:sz w:val="12"/>
        </w:rPr>
        <w:t xml:space="preserve"> publications/publication/2015/april/1307-10 (accessed 10 March 2016).</w:t>
      </w:r>
    </w:p>
    <w:p w14:paraId="27240676" w14:textId="77777777" w:rsidR="00160E7F" w:rsidRDefault="002B0299">
      <w:pPr>
        <w:pStyle w:val="ListParagraph"/>
        <w:numPr>
          <w:ilvl w:val="0"/>
          <w:numId w:val="6"/>
        </w:numPr>
        <w:tabs>
          <w:tab w:val="left" w:pos="418"/>
        </w:tabs>
        <w:spacing w:line="242" w:lineRule="auto"/>
        <w:ind w:right="5911" w:hanging="283"/>
        <w:rPr>
          <w:sz w:val="12"/>
        </w:rPr>
      </w:pPr>
      <w:r>
        <w:rPr>
          <w:color w:val="58595B"/>
          <w:sz w:val="12"/>
        </w:rPr>
        <w:t xml:space="preserve">Hazelwood Mine Fire </w:t>
      </w:r>
      <w:r>
        <w:rPr>
          <w:color w:val="58595B"/>
          <w:spacing w:val="2"/>
          <w:sz w:val="12"/>
        </w:rPr>
        <w:t xml:space="preserve">Inquiry Report </w:t>
      </w:r>
      <w:r>
        <w:rPr>
          <w:color w:val="58595B"/>
          <w:sz w:val="12"/>
        </w:rPr>
        <w:t xml:space="preserve">2014, </w:t>
      </w:r>
      <w:r>
        <w:rPr>
          <w:i/>
          <w:color w:val="58595B"/>
          <w:sz w:val="12"/>
        </w:rPr>
        <w:t>Fire Risk Management</w:t>
      </w:r>
      <w:r>
        <w:rPr>
          <w:color w:val="58595B"/>
          <w:sz w:val="12"/>
        </w:rPr>
        <w:t xml:space="preserve">, </w:t>
      </w:r>
      <w:r>
        <w:rPr>
          <w:color w:val="58595B"/>
          <w:spacing w:val="2"/>
          <w:sz w:val="12"/>
        </w:rPr>
        <w:t xml:space="preserve">Part </w:t>
      </w:r>
      <w:r>
        <w:rPr>
          <w:color w:val="58595B"/>
          <w:sz w:val="12"/>
        </w:rPr>
        <w:t xml:space="preserve">Three, Melbourne, August, p. </w:t>
      </w:r>
      <w:r>
        <w:rPr>
          <w:color w:val="58595B"/>
          <w:spacing w:val="9"/>
          <w:sz w:val="12"/>
        </w:rPr>
        <w:t xml:space="preserve"> </w:t>
      </w:r>
      <w:r>
        <w:rPr>
          <w:color w:val="58595B"/>
          <w:sz w:val="12"/>
        </w:rPr>
        <w:t>159.</w:t>
      </w:r>
    </w:p>
    <w:p w14:paraId="2C189E95" w14:textId="7FD46CF5" w:rsidR="00160E7F" w:rsidRDefault="002B0299">
      <w:pPr>
        <w:pStyle w:val="ListParagraph"/>
        <w:numPr>
          <w:ilvl w:val="0"/>
          <w:numId w:val="6"/>
        </w:numPr>
        <w:tabs>
          <w:tab w:val="left" w:pos="418"/>
        </w:tabs>
        <w:ind w:hanging="283"/>
        <w:rPr>
          <w:sz w:val="12"/>
        </w:rPr>
      </w:pPr>
      <w:r>
        <w:rPr>
          <w:color w:val="58595B"/>
          <w:sz w:val="12"/>
        </w:rPr>
        <w:t xml:space="preserve">Section 14(3), </w:t>
      </w:r>
      <w:r>
        <w:rPr>
          <w:i/>
          <w:color w:val="58595B"/>
          <w:sz w:val="12"/>
        </w:rPr>
        <w:t>Mineral Resources (Sustainable Development) Act 1990</w:t>
      </w:r>
      <w:r>
        <w:rPr>
          <w:color w:val="58595B"/>
          <w:sz w:val="12"/>
        </w:rPr>
        <w:t>.</w:t>
      </w:r>
    </w:p>
    <w:p w14:paraId="47887912" w14:textId="21CD75B2" w:rsidR="00160E7F" w:rsidRDefault="002B0299">
      <w:pPr>
        <w:pStyle w:val="ListParagraph"/>
        <w:numPr>
          <w:ilvl w:val="0"/>
          <w:numId w:val="6"/>
        </w:numPr>
        <w:tabs>
          <w:tab w:val="left" w:pos="418"/>
        </w:tabs>
        <w:spacing w:before="30"/>
        <w:ind w:hanging="283"/>
        <w:rPr>
          <w:sz w:val="12"/>
        </w:rPr>
      </w:pPr>
      <w:r>
        <w:rPr>
          <w:color w:val="58595B"/>
          <w:sz w:val="12"/>
        </w:rPr>
        <w:t xml:space="preserve">Section 40, </w:t>
      </w:r>
      <w:r>
        <w:rPr>
          <w:i/>
          <w:color w:val="58595B"/>
          <w:sz w:val="12"/>
        </w:rPr>
        <w:t>Mineral Resources (Sustainable Development) Act 1990</w:t>
      </w:r>
      <w:r>
        <w:rPr>
          <w:color w:val="58595B"/>
          <w:sz w:val="12"/>
        </w:rPr>
        <w:t>.</w:t>
      </w:r>
    </w:p>
    <w:p w14:paraId="59997131" w14:textId="77777777" w:rsidR="00160E7F" w:rsidRDefault="002B0299">
      <w:pPr>
        <w:pStyle w:val="ListParagraph"/>
        <w:numPr>
          <w:ilvl w:val="0"/>
          <w:numId w:val="6"/>
        </w:numPr>
        <w:tabs>
          <w:tab w:val="left" w:pos="418"/>
        </w:tabs>
        <w:spacing w:before="30" w:line="242" w:lineRule="auto"/>
        <w:ind w:right="6242" w:hanging="283"/>
        <w:rPr>
          <w:sz w:val="12"/>
        </w:rPr>
      </w:pPr>
      <w:r>
        <w:rPr>
          <w:color w:val="58595B"/>
          <w:sz w:val="12"/>
        </w:rPr>
        <w:t xml:space="preserve">The types of approvals will depend on the type of </w:t>
      </w:r>
      <w:r>
        <w:rPr>
          <w:color w:val="58595B"/>
          <w:spacing w:val="2"/>
          <w:sz w:val="12"/>
        </w:rPr>
        <w:t xml:space="preserve">licence </w:t>
      </w:r>
      <w:r>
        <w:rPr>
          <w:color w:val="58595B"/>
          <w:sz w:val="12"/>
        </w:rPr>
        <w:t>granted by the</w:t>
      </w:r>
      <w:r>
        <w:rPr>
          <w:color w:val="58595B"/>
          <w:spacing w:val="11"/>
          <w:sz w:val="12"/>
        </w:rPr>
        <w:t xml:space="preserve"> </w:t>
      </w:r>
      <w:r>
        <w:rPr>
          <w:color w:val="58595B"/>
          <w:sz w:val="12"/>
        </w:rPr>
        <w:t>Minister.</w:t>
      </w:r>
    </w:p>
    <w:p w14:paraId="6E9853D8" w14:textId="77777777" w:rsidR="00160E7F" w:rsidRDefault="002B0299">
      <w:pPr>
        <w:pStyle w:val="ListParagraph"/>
        <w:numPr>
          <w:ilvl w:val="0"/>
          <w:numId w:val="6"/>
        </w:numPr>
        <w:tabs>
          <w:tab w:val="left" w:pos="418"/>
        </w:tabs>
        <w:spacing w:line="242" w:lineRule="auto"/>
        <w:ind w:right="6388" w:hanging="283"/>
        <w:rPr>
          <w:sz w:val="12"/>
        </w:rPr>
      </w:pPr>
      <w:r>
        <w:rPr>
          <w:color w:val="58595B"/>
          <w:sz w:val="12"/>
        </w:rPr>
        <w:t xml:space="preserve">As </w:t>
      </w:r>
      <w:r>
        <w:rPr>
          <w:color w:val="58595B"/>
          <w:spacing w:val="2"/>
          <w:sz w:val="12"/>
        </w:rPr>
        <w:t xml:space="preserve">modified </w:t>
      </w:r>
      <w:r>
        <w:rPr>
          <w:color w:val="58595B"/>
          <w:sz w:val="12"/>
        </w:rPr>
        <w:t>by section 42 (6), Mineral Resources (Sustainable Development) Act</w:t>
      </w:r>
      <w:r>
        <w:rPr>
          <w:color w:val="58595B"/>
          <w:spacing w:val="26"/>
          <w:sz w:val="12"/>
        </w:rPr>
        <w:t xml:space="preserve"> </w:t>
      </w:r>
      <w:r>
        <w:rPr>
          <w:color w:val="58595B"/>
          <w:sz w:val="12"/>
        </w:rPr>
        <w:t>1990.</w:t>
      </w:r>
    </w:p>
    <w:p w14:paraId="64D566A6" w14:textId="546F59FC" w:rsidR="00160E7F" w:rsidRDefault="002B0299">
      <w:pPr>
        <w:pStyle w:val="ListParagraph"/>
        <w:numPr>
          <w:ilvl w:val="0"/>
          <w:numId w:val="6"/>
        </w:numPr>
        <w:tabs>
          <w:tab w:val="left" w:pos="418"/>
        </w:tabs>
        <w:ind w:hanging="283"/>
        <w:rPr>
          <w:sz w:val="12"/>
        </w:rPr>
      </w:pPr>
      <w:r>
        <w:rPr>
          <w:color w:val="58595B"/>
          <w:sz w:val="12"/>
        </w:rPr>
        <w:t xml:space="preserve">Section 42(7), </w:t>
      </w:r>
      <w:r>
        <w:rPr>
          <w:i/>
          <w:color w:val="58595B"/>
          <w:sz w:val="12"/>
        </w:rPr>
        <w:t>Mineral Resources (Sustainable Development) Act 1990</w:t>
      </w:r>
      <w:r>
        <w:rPr>
          <w:color w:val="58595B"/>
          <w:sz w:val="12"/>
        </w:rPr>
        <w:t>.</w:t>
      </w:r>
    </w:p>
    <w:p w14:paraId="69CFDEC5" w14:textId="6D23BBBB" w:rsidR="00160E7F" w:rsidRDefault="002B0299">
      <w:pPr>
        <w:pStyle w:val="ListParagraph"/>
        <w:numPr>
          <w:ilvl w:val="0"/>
          <w:numId w:val="6"/>
        </w:numPr>
        <w:tabs>
          <w:tab w:val="left" w:pos="418"/>
        </w:tabs>
        <w:spacing w:before="30"/>
        <w:ind w:hanging="283"/>
        <w:rPr>
          <w:sz w:val="12"/>
        </w:rPr>
      </w:pPr>
      <w:r>
        <w:rPr>
          <w:color w:val="58595B"/>
          <w:sz w:val="12"/>
        </w:rPr>
        <w:t xml:space="preserve">Section 3, </w:t>
      </w:r>
      <w:r>
        <w:rPr>
          <w:i/>
          <w:color w:val="58595B"/>
          <w:sz w:val="12"/>
        </w:rPr>
        <w:t>Environment Effects Act 1978</w:t>
      </w:r>
      <w:r>
        <w:rPr>
          <w:color w:val="58595B"/>
          <w:sz w:val="12"/>
        </w:rPr>
        <w:t>.</w:t>
      </w:r>
    </w:p>
    <w:p w14:paraId="66A21E0E" w14:textId="67BD8853" w:rsidR="00160E7F" w:rsidRDefault="002B0299">
      <w:pPr>
        <w:pStyle w:val="ListParagraph"/>
        <w:numPr>
          <w:ilvl w:val="0"/>
          <w:numId w:val="6"/>
        </w:numPr>
        <w:tabs>
          <w:tab w:val="left" w:pos="418"/>
        </w:tabs>
        <w:spacing w:before="30"/>
        <w:ind w:hanging="283"/>
        <w:rPr>
          <w:sz w:val="12"/>
        </w:rPr>
      </w:pPr>
      <w:r>
        <w:rPr>
          <w:color w:val="58595B"/>
          <w:sz w:val="12"/>
        </w:rPr>
        <w:t xml:space="preserve">Section 42(7), </w:t>
      </w:r>
      <w:r>
        <w:rPr>
          <w:i/>
          <w:color w:val="58595B"/>
          <w:sz w:val="12"/>
        </w:rPr>
        <w:t>Mineral Resources (Sustainable Development) Act 1990</w:t>
      </w:r>
      <w:r>
        <w:rPr>
          <w:color w:val="58595B"/>
          <w:sz w:val="12"/>
        </w:rPr>
        <w:t>.</w:t>
      </w:r>
    </w:p>
    <w:p w14:paraId="7467EDE7" w14:textId="77777777" w:rsidR="00160E7F" w:rsidRDefault="002B0299">
      <w:pPr>
        <w:pStyle w:val="ListParagraph"/>
        <w:numPr>
          <w:ilvl w:val="0"/>
          <w:numId w:val="6"/>
        </w:numPr>
        <w:tabs>
          <w:tab w:val="left" w:pos="418"/>
        </w:tabs>
        <w:spacing w:before="30" w:line="242" w:lineRule="auto"/>
        <w:ind w:right="6052" w:hanging="283"/>
        <w:rPr>
          <w:sz w:val="12"/>
        </w:rPr>
      </w:pPr>
      <w:r>
        <w:rPr>
          <w:color w:val="58595B"/>
          <w:spacing w:val="2"/>
          <w:sz w:val="12"/>
        </w:rPr>
        <w:t xml:space="preserve">Making </w:t>
      </w:r>
      <w:r>
        <w:rPr>
          <w:color w:val="58595B"/>
          <w:sz w:val="12"/>
        </w:rPr>
        <w:t xml:space="preserve">WorkSafe directly responsible for regulating </w:t>
      </w:r>
      <w:r>
        <w:rPr>
          <w:color w:val="58595B"/>
          <w:spacing w:val="2"/>
          <w:sz w:val="12"/>
        </w:rPr>
        <w:t xml:space="preserve">occupational </w:t>
      </w:r>
      <w:r>
        <w:rPr>
          <w:color w:val="58595B"/>
          <w:sz w:val="12"/>
        </w:rPr>
        <w:t xml:space="preserve">health and safety laws in mines was recommended by: Pope N </w:t>
      </w:r>
      <w:r>
        <w:rPr>
          <w:color w:val="58595B"/>
          <w:spacing w:val="2"/>
          <w:sz w:val="12"/>
        </w:rPr>
        <w:t xml:space="preserve">2006, </w:t>
      </w:r>
      <w:r>
        <w:rPr>
          <w:i/>
          <w:color w:val="58595B"/>
          <w:spacing w:val="2"/>
          <w:sz w:val="12"/>
        </w:rPr>
        <w:t xml:space="preserve">Report </w:t>
      </w:r>
      <w:r>
        <w:rPr>
          <w:i/>
          <w:color w:val="58595B"/>
          <w:sz w:val="12"/>
        </w:rPr>
        <w:t xml:space="preserve">into the Regulation of Occupational Health and Safety in Victoria’s </w:t>
      </w:r>
      <w:r>
        <w:rPr>
          <w:i/>
          <w:color w:val="58595B"/>
          <w:spacing w:val="2"/>
          <w:sz w:val="12"/>
        </w:rPr>
        <w:t xml:space="preserve">Earth </w:t>
      </w:r>
      <w:r>
        <w:rPr>
          <w:i/>
          <w:color w:val="58595B"/>
          <w:sz w:val="12"/>
        </w:rPr>
        <w:t>Resources Industries</w:t>
      </w:r>
      <w:r>
        <w:rPr>
          <w:color w:val="58595B"/>
          <w:sz w:val="12"/>
        </w:rPr>
        <w:t xml:space="preserve">, p. 116. The Pope report’s recommendations were noted by the Hazelwood Mine Fire </w:t>
      </w:r>
      <w:r>
        <w:rPr>
          <w:color w:val="58595B"/>
          <w:spacing w:val="2"/>
          <w:sz w:val="12"/>
        </w:rPr>
        <w:t xml:space="preserve">Inquiry Report </w:t>
      </w:r>
      <w:r>
        <w:rPr>
          <w:color w:val="58595B"/>
          <w:sz w:val="12"/>
        </w:rPr>
        <w:t xml:space="preserve">2014, </w:t>
      </w:r>
      <w:r>
        <w:rPr>
          <w:i/>
          <w:color w:val="58595B"/>
          <w:sz w:val="12"/>
        </w:rPr>
        <w:t>Fire Risk Management</w:t>
      </w:r>
      <w:r>
        <w:rPr>
          <w:color w:val="58595B"/>
          <w:sz w:val="12"/>
        </w:rPr>
        <w:t xml:space="preserve">, </w:t>
      </w:r>
      <w:r>
        <w:rPr>
          <w:color w:val="58595B"/>
          <w:spacing w:val="2"/>
          <w:sz w:val="12"/>
        </w:rPr>
        <w:t xml:space="preserve">Part </w:t>
      </w:r>
      <w:r>
        <w:rPr>
          <w:color w:val="58595B"/>
          <w:sz w:val="12"/>
        </w:rPr>
        <w:t>Three, Melbourne, August p.</w:t>
      </w:r>
      <w:r>
        <w:rPr>
          <w:color w:val="58595B"/>
          <w:spacing w:val="3"/>
          <w:sz w:val="12"/>
        </w:rPr>
        <w:t xml:space="preserve"> </w:t>
      </w:r>
      <w:r>
        <w:rPr>
          <w:color w:val="58595B"/>
          <w:spacing w:val="-6"/>
          <w:sz w:val="12"/>
        </w:rPr>
        <w:t>157.</w:t>
      </w:r>
    </w:p>
    <w:p w14:paraId="521EA98F" w14:textId="77777777" w:rsidR="00160E7F" w:rsidRDefault="002B0299">
      <w:pPr>
        <w:pStyle w:val="ListParagraph"/>
        <w:numPr>
          <w:ilvl w:val="0"/>
          <w:numId w:val="6"/>
        </w:numPr>
        <w:tabs>
          <w:tab w:val="left" w:pos="418"/>
        </w:tabs>
        <w:spacing w:line="242" w:lineRule="auto"/>
        <w:ind w:right="5911" w:hanging="283"/>
        <w:rPr>
          <w:sz w:val="12"/>
        </w:rPr>
      </w:pPr>
      <w:r>
        <w:rPr>
          <w:color w:val="58595B"/>
          <w:sz w:val="12"/>
        </w:rPr>
        <w:t xml:space="preserve">Hazelwood Mine Fire </w:t>
      </w:r>
      <w:r>
        <w:rPr>
          <w:color w:val="58595B"/>
          <w:spacing w:val="2"/>
          <w:sz w:val="12"/>
        </w:rPr>
        <w:t xml:space="preserve">Inquiry Report </w:t>
      </w:r>
      <w:r>
        <w:rPr>
          <w:color w:val="58595B"/>
          <w:sz w:val="12"/>
        </w:rPr>
        <w:t xml:space="preserve">2014, </w:t>
      </w:r>
      <w:r>
        <w:rPr>
          <w:i/>
          <w:color w:val="58595B"/>
          <w:sz w:val="12"/>
        </w:rPr>
        <w:t>Fire Risk Management</w:t>
      </w:r>
      <w:r>
        <w:rPr>
          <w:color w:val="58595B"/>
          <w:sz w:val="12"/>
        </w:rPr>
        <w:t xml:space="preserve">, </w:t>
      </w:r>
      <w:r>
        <w:rPr>
          <w:color w:val="58595B"/>
          <w:spacing w:val="2"/>
          <w:sz w:val="12"/>
        </w:rPr>
        <w:t xml:space="preserve">Part </w:t>
      </w:r>
      <w:r>
        <w:rPr>
          <w:color w:val="58595B"/>
          <w:sz w:val="12"/>
        </w:rPr>
        <w:t xml:space="preserve">Three, Melbourne, August, p. </w:t>
      </w:r>
      <w:r>
        <w:rPr>
          <w:color w:val="58595B"/>
          <w:spacing w:val="9"/>
          <w:sz w:val="12"/>
        </w:rPr>
        <w:t xml:space="preserve"> </w:t>
      </w:r>
      <w:r>
        <w:rPr>
          <w:color w:val="58595B"/>
          <w:sz w:val="12"/>
        </w:rPr>
        <w:t>159.</w:t>
      </w:r>
    </w:p>
    <w:p w14:paraId="7D5BA97D" w14:textId="77777777" w:rsidR="00160E7F" w:rsidRDefault="002B0299">
      <w:pPr>
        <w:pStyle w:val="ListParagraph"/>
        <w:numPr>
          <w:ilvl w:val="0"/>
          <w:numId w:val="6"/>
        </w:numPr>
        <w:tabs>
          <w:tab w:val="left" w:pos="418"/>
        </w:tabs>
        <w:spacing w:line="242" w:lineRule="auto"/>
        <w:ind w:right="5911" w:hanging="283"/>
        <w:rPr>
          <w:sz w:val="12"/>
        </w:rPr>
      </w:pPr>
      <w:r>
        <w:rPr>
          <w:color w:val="58595B"/>
          <w:sz w:val="12"/>
        </w:rPr>
        <w:t xml:space="preserve">Hazelwood Mine Fire </w:t>
      </w:r>
      <w:r>
        <w:rPr>
          <w:color w:val="58595B"/>
          <w:spacing w:val="2"/>
          <w:sz w:val="12"/>
        </w:rPr>
        <w:t xml:space="preserve">Inquiry Report </w:t>
      </w:r>
      <w:r>
        <w:rPr>
          <w:color w:val="58595B"/>
          <w:sz w:val="12"/>
        </w:rPr>
        <w:t xml:space="preserve">2014, </w:t>
      </w:r>
      <w:r>
        <w:rPr>
          <w:i/>
          <w:color w:val="58595B"/>
          <w:sz w:val="12"/>
        </w:rPr>
        <w:t>Fire Risk Management</w:t>
      </w:r>
      <w:r>
        <w:rPr>
          <w:color w:val="58595B"/>
          <w:sz w:val="12"/>
        </w:rPr>
        <w:t xml:space="preserve">, </w:t>
      </w:r>
      <w:r>
        <w:rPr>
          <w:color w:val="58595B"/>
          <w:spacing w:val="2"/>
          <w:sz w:val="12"/>
        </w:rPr>
        <w:t xml:space="preserve">Part </w:t>
      </w:r>
      <w:r>
        <w:rPr>
          <w:color w:val="58595B"/>
          <w:sz w:val="12"/>
        </w:rPr>
        <w:t xml:space="preserve">Three, Melbourne, August, p. </w:t>
      </w:r>
      <w:r>
        <w:rPr>
          <w:color w:val="58595B"/>
          <w:spacing w:val="11"/>
          <w:sz w:val="12"/>
        </w:rPr>
        <w:t xml:space="preserve"> </w:t>
      </w:r>
      <w:r>
        <w:rPr>
          <w:color w:val="58595B"/>
          <w:sz w:val="12"/>
        </w:rPr>
        <w:t>163.</w:t>
      </w:r>
    </w:p>
    <w:p w14:paraId="408218BF" w14:textId="77777777" w:rsidR="00160E7F" w:rsidRDefault="002B0299">
      <w:pPr>
        <w:pStyle w:val="ListParagraph"/>
        <w:numPr>
          <w:ilvl w:val="0"/>
          <w:numId w:val="6"/>
        </w:numPr>
        <w:tabs>
          <w:tab w:val="left" w:pos="418"/>
        </w:tabs>
        <w:spacing w:line="242" w:lineRule="auto"/>
        <w:ind w:right="6043" w:hanging="283"/>
        <w:rPr>
          <w:sz w:val="12"/>
        </w:rPr>
      </w:pPr>
      <w:r>
        <w:rPr>
          <w:color w:val="58595B"/>
          <w:sz w:val="12"/>
        </w:rPr>
        <w:t xml:space="preserve">Pope N </w:t>
      </w:r>
      <w:r>
        <w:rPr>
          <w:color w:val="58595B"/>
          <w:spacing w:val="2"/>
          <w:sz w:val="12"/>
        </w:rPr>
        <w:t xml:space="preserve">2006, </w:t>
      </w:r>
      <w:r>
        <w:rPr>
          <w:i/>
          <w:color w:val="58595B"/>
          <w:spacing w:val="2"/>
          <w:sz w:val="12"/>
        </w:rPr>
        <w:t xml:space="preserve">Report </w:t>
      </w:r>
      <w:r>
        <w:rPr>
          <w:i/>
          <w:color w:val="58595B"/>
          <w:sz w:val="12"/>
        </w:rPr>
        <w:t xml:space="preserve">into the Regulation of Occupational Health and Safety in Victoria’s </w:t>
      </w:r>
      <w:r>
        <w:rPr>
          <w:i/>
          <w:color w:val="58595B"/>
          <w:spacing w:val="2"/>
          <w:sz w:val="12"/>
        </w:rPr>
        <w:t xml:space="preserve">Earth </w:t>
      </w:r>
      <w:r>
        <w:rPr>
          <w:i/>
          <w:color w:val="58595B"/>
          <w:sz w:val="12"/>
        </w:rPr>
        <w:t>Resources Industries</w:t>
      </w:r>
      <w:r>
        <w:rPr>
          <w:color w:val="58595B"/>
          <w:sz w:val="12"/>
        </w:rPr>
        <w:t xml:space="preserve">, p. </w:t>
      </w:r>
      <w:r>
        <w:rPr>
          <w:color w:val="58595B"/>
          <w:spacing w:val="23"/>
          <w:sz w:val="12"/>
        </w:rPr>
        <w:t xml:space="preserve"> </w:t>
      </w:r>
      <w:r>
        <w:rPr>
          <w:color w:val="58595B"/>
          <w:sz w:val="12"/>
        </w:rPr>
        <w:t>116.</w:t>
      </w:r>
    </w:p>
    <w:p w14:paraId="59FC266F" w14:textId="77777777" w:rsidR="00160E7F" w:rsidRDefault="002B0299">
      <w:pPr>
        <w:pStyle w:val="ListParagraph"/>
        <w:numPr>
          <w:ilvl w:val="0"/>
          <w:numId w:val="6"/>
        </w:numPr>
        <w:tabs>
          <w:tab w:val="left" w:pos="418"/>
        </w:tabs>
        <w:spacing w:line="242" w:lineRule="auto"/>
        <w:ind w:right="5896" w:hanging="283"/>
        <w:rPr>
          <w:sz w:val="12"/>
        </w:rPr>
      </w:pPr>
      <w:r>
        <w:rPr>
          <w:color w:val="58595B"/>
          <w:spacing w:val="2"/>
          <w:sz w:val="12"/>
        </w:rPr>
        <w:t xml:space="preserve">McGuckian </w:t>
      </w:r>
      <w:r>
        <w:rPr>
          <w:color w:val="58595B"/>
          <w:sz w:val="12"/>
        </w:rPr>
        <w:t xml:space="preserve">N 2015, </w:t>
      </w:r>
      <w:r>
        <w:rPr>
          <w:i/>
          <w:color w:val="58595B"/>
          <w:sz w:val="12"/>
        </w:rPr>
        <w:t xml:space="preserve">Independent engagement with the </w:t>
      </w:r>
      <w:r>
        <w:rPr>
          <w:i/>
          <w:color w:val="58595B"/>
          <w:spacing w:val="2"/>
          <w:sz w:val="12"/>
        </w:rPr>
        <w:t xml:space="preserve">Costerfield </w:t>
      </w:r>
      <w:r>
        <w:rPr>
          <w:i/>
          <w:color w:val="58595B"/>
          <w:sz w:val="12"/>
        </w:rPr>
        <w:t>community regarding the antimony mine</w:t>
      </w:r>
      <w:r>
        <w:rPr>
          <w:color w:val="58595B"/>
          <w:sz w:val="12"/>
        </w:rPr>
        <w:t xml:space="preserve">, </w:t>
      </w:r>
      <w:r>
        <w:rPr>
          <w:color w:val="58595B"/>
          <w:spacing w:val="2"/>
          <w:sz w:val="12"/>
        </w:rPr>
        <w:t xml:space="preserve">Report </w:t>
      </w:r>
      <w:r>
        <w:rPr>
          <w:color w:val="58595B"/>
          <w:sz w:val="12"/>
        </w:rPr>
        <w:t xml:space="preserve">to Minister for </w:t>
      </w:r>
      <w:r>
        <w:rPr>
          <w:color w:val="58595B"/>
          <w:spacing w:val="2"/>
          <w:sz w:val="12"/>
        </w:rPr>
        <w:t xml:space="preserve">Industry </w:t>
      </w:r>
      <w:r>
        <w:rPr>
          <w:color w:val="58595B"/>
          <w:sz w:val="12"/>
        </w:rPr>
        <w:t xml:space="preserve">and Minister for Energy and Resources, </w:t>
      </w:r>
      <w:r>
        <w:rPr>
          <w:color w:val="58595B"/>
          <w:spacing w:val="2"/>
          <w:sz w:val="12"/>
        </w:rPr>
        <w:t xml:space="preserve">Department </w:t>
      </w:r>
      <w:r>
        <w:rPr>
          <w:color w:val="58595B"/>
          <w:sz w:val="12"/>
        </w:rPr>
        <w:t>of Economic Development, Jobs, Transport and Resources, Melbourne, September,   p.</w:t>
      </w:r>
      <w:r>
        <w:rPr>
          <w:color w:val="58595B"/>
          <w:spacing w:val="5"/>
          <w:sz w:val="12"/>
        </w:rPr>
        <w:t xml:space="preserve"> </w:t>
      </w:r>
      <w:r>
        <w:rPr>
          <w:color w:val="58595B"/>
          <w:sz w:val="12"/>
        </w:rPr>
        <w:t>28.</w:t>
      </w:r>
    </w:p>
    <w:p w14:paraId="395B625E" w14:textId="77777777" w:rsidR="00160E7F" w:rsidRDefault="002B0299">
      <w:pPr>
        <w:pStyle w:val="ListParagraph"/>
        <w:numPr>
          <w:ilvl w:val="0"/>
          <w:numId w:val="6"/>
        </w:numPr>
        <w:tabs>
          <w:tab w:val="left" w:pos="418"/>
        </w:tabs>
        <w:spacing w:line="242" w:lineRule="auto"/>
        <w:ind w:right="5880" w:hanging="283"/>
        <w:rPr>
          <w:sz w:val="12"/>
        </w:rPr>
      </w:pPr>
      <w:r>
        <w:rPr>
          <w:color w:val="58595B"/>
          <w:sz w:val="12"/>
        </w:rPr>
        <w:t xml:space="preserve">NSW EPA fact sheet – Coal seam gas activities and air quality http:// </w:t>
      </w:r>
      <w:hyperlink r:id="rId112">
        <w:r>
          <w:rPr>
            <w:color w:val="58595B"/>
            <w:sz w:val="12"/>
          </w:rPr>
          <w:t>www.epa.nsw.gov.au/resources/licensing/140743CSGair.pdf</w:t>
        </w:r>
      </w:hyperlink>
      <w:r>
        <w:rPr>
          <w:color w:val="58595B"/>
          <w:sz w:val="12"/>
        </w:rPr>
        <w:t xml:space="preserve"> (accessed 10 March</w:t>
      </w:r>
      <w:r>
        <w:rPr>
          <w:color w:val="58595B"/>
          <w:spacing w:val="7"/>
          <w:sz w:val="12"/>
        </w:rPr>
        <w:t xml:space="preserve"> </w:t>
      </w:r>
      <w:r>
        <w:rPr>
          <w:color w:val="58595B"/>
          <w:sz w:val="12"/>
        </w:rPr>
        <w:t>2016).</w:t>
      </w:r>
    </w:p>
    <w:p w14:paraId="01D97529" w14:textId="77777777" w:rsidR="00160E7F" w:rsidRDefault="002B0299">
      <w:pPr>
        <w:pStyle w:val="ListParagraph"/>
        <w:numPr>
          <w:ilvl w:val="0"/>
          <w:numId w:val="6"/>
        </w:numPr>
        <w:tabs>
          <w:tab w:val="left" w:pos="418"/>
        </w:tabs>
        <w:spacing w:line="242" w:lineRule="auto"/>
        <w:ind w:right="6142" w:hanging="283"/>
        <w:rPr>
          <w:sz w:val="12"/>
        </w:rPr>
      </w:pPr>
      <w:r>
        <w:rPr>
          <w:color w:val="58595B"/>
          <w:sz w:val="12"/>
        </w:rPr>
        <w:t xml:space="preserve">Section 77(TF), </w:t>
      </w:r>
      <w:r>
        <w:rPr>
          <w:i/>
          <w:color w:val="58595B"/>
          <w:sz w:val="12"/>
        </w:rPr>
        <w:t>Mineral Resources (Sustainable Development) Act 1990</w:t>
      </w:r>
      <w:r>
        <w:rPr>
          <w:color w:val="58595B"/>
          <w:sz w:val="12"/>
        </w:rPr>
        <w:t>.</w:t>
      </w:r>
    </w:p>
    <w:p w14:paraId="0E70648A" w14:textId="23879917" w:rsidR="00160E7F" w:rsidRDefault="002B0299">
      <w:pPr>
        <w:pStyle w:val="ListParagraph"/>
        <w:numPr>
          <w:ilvl w:val="0"/>
          <w:numId w:val="6"/>
        </w:numPr>
        <w:tabs>
          <w:tab w:val="left" w:pos="418"/>
        </w:tabs>
        <w:ind w:hanging="283"/>
        <w:rPr>
          <w:sz w:val="12"/>
        </w:rPr>
      </w:pPr>
      <w:r>
        <w:rPr>
          <w:color w:val="58595B"/>
          <w:sz w:val="12"/>
        </w:rPr>
        <w:t xml:space="preserve">Section 79, </w:t>
      </w:r>
      <w:r>
        <w:rPr>
          <w:i/>
          <w:color w:val="58595B"/>
          <w:sz w:val="12"/>
        </w:rPr>
        <w:t>Mineral Resources (Sustainable Development) Act 1990</w:t>
      </w:r>
      <w:r>
        <w:rPr>
          <w:color w:val="58595B"/>
          <w:sz w:val="12"/>
        </w:rPr>
        <w:t>.</w:t>
      </w:r>
    </w:p>
    <w:p w14:paraId="08CDAFEC" w14:textId="03832F0A" w:rsidR="00160E7F" w:rsidRDefault="002B0299">
      <w:pPr>
        <w:pStyle w:val="ListParagraph"/>
        <w:numPr>
          <w:ilvl w:val="0"/>
          <w:numId w:val="6"/>
        </w:numPr>
        <w:tabs>
          <w:tab w:val="left" w:pos="418"/>
        </w:tabs>
        <w:spacing w:before="30"/>
        <w:ind w:hanging="283"/>
        <w:rPr>
          <w:sz w:val="12"/>
        </w:rPr>
      </w:pPr>
      <w:r>
        <w:rPr>
          <w:color w:val="58595B"/>
          <w:sz w:val="12"/>
        </w:rPr>
        <w:t xml:space="preserve">Section 81, </w:t>
      </w:r>
      <w:r>
        <w:rPr>
          <w:i/>
          <w:color w:val="58595B"/>
          <w:sz w:val="12"/>
        </w:rPr>
        <w:t>Mineral Resources (Sustainable Development) Act 1990</w:t>
      </w:r>
      <w:r>
        <w:rPr>
          <w:color w:val="58595B"/>
          <w:sz w:val="12"/>
        </w:rPr>
        <w:t>.</w:t>
      </w:r>
    </w:p>
    <w:p w14:paraId="55E2942D" w14:textId="77777777" w:rsidR="00160E7F" w:rsidRDefault="000638CB">
      <w:pPr>
        <w:pStyle w:val="ListParagraph"/>
        <w:numPr>
          <w:ilvl w:val="0"/>
          <w:numId w:val="6"/>
        </w:numPr>
        <w:tabs>
          <w:tab w:val="left" w:pos="418"/>
        </w:tabs>
        <w:spacing w:before="30" w:line="242" w:lineRule="auto"/>
        <w:ind w:right="6058" w:hanging="283"/>
        <w:rPr>
          <w:sz w:val="12"/>
        </w:rPr>
      </w:pPr>
      <w:hyperlink r:id="rId113">
        <w:r w:rsidR="002B0299">
          <w:rPr>
            <w:color w:val="58595B"/>
            <w:sz w:val="12"/>
          </w:rPr>
          <w:t>http://www.energyandresources.vic.gov.au/earth-resources/</w:t>
        </w:r>
      </w:hyperlink>
      <w:r w:rsidR="002B0299">
        <w:rPr>
          <w:color w:val="58595B"/>
          <w:sz w:val="12"/>
        </w:rPr>
        <w:t xml:space="preserve"> </w:t>
      </w:r>
      <w:r w:rsidR="002B0299">
        <w:rPr>
          <w:color w:val="58595B"/>
          <w:spacing w:val="2"/>
          <w:sz w:val="12"/>
        </w:rPr>
        <w:t xml:space="preserve">licensing-and-approvals/minerals/guidelines-and-codes-of-practice/ establishment-and-management-of-rehabilitation-bonds-for-the- mining-and-extractives-industries </w:t>
      </w:r>
      <w:r w:rsidR="002B0299">
        <w:rPr>
          <w:color w:val="58595B"/>
          <w:sz w:val="12"/>
        </w:rPr>
        <w:t>(accessed 10 March</w:t>
      </w:r>
      <w:r w:rsidR="002B0299">
        <w:rPr>
          <w:color w:val="58595B"/>
          <w:spacing w:val="31"/>
          <w:sz w:val="12"/>
        </w:rPr>
        <w:t xml:space="preserve"> </w:t>
      </w:r>
      <w:r w:rsidR="002B0299">
        <w:rPr>
          <w:color w:val="58595B"/>
          <w:sz w:val="12"/>
        </w:rPr>
        <w:t>2016).</w:t>
      </w:r>
    </w:p>
    <w:p w14:paraId="705B58F6" w14:textId="77777777" w:rsidR="00160E7F" w:rsidRDefault="00160E7F">
      <w:pPr>
        <w:spacing w:line="242" w:lineRule="auto"/>
        <w:rPr>
          <w:sz w:val="12"/>
        </w:rPr>
        <w:sectPr w:rsidR="00160E7F">
          <w:headerReference w:type="even" r:id="rId114"/>
          <w:pgSz w:w="11910" w:h="16840"/>
          <w:pgMar w:top="980" w:right="0" w:bottom="280" w:left="1680" w:header="788" w:footer="0" w:gutter="0"/>
          <w:cols w:space="720"/>
        </w:sectPr>
      </w:pPr>
    </w:p>
    <w:p w14:paraId="7B70D4AB" w14:textId="77777777" w:rsidR="00160E7F" w:rsidRDefault="002B0299">
      <w:pPr>
        <w:pStyle w:val="BodyText"/>
        <w:ind w:right="-39"/>
      </w:pPr>
      <w:r>
        <w:rPr>
          <w:noProof/>
        </w:rPr>
        <w:lastRenderedPageBreak/>
        <w:drawing>
          <wp:inline distT="0" distB="0" distL="0" distR="0" wp14:anchorId="5B972DF9" wp14:editId="21DE4646">
            <wp:extent cx="7559310" cy="10692384"/>
            <wp:effectExtent l="0" t="0" r="0" b="0"/>
            <wp:docPr id="2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jpeg"/>
                    <pic:cNvPicPr/>
                  </pic:nvPicPr>
                  <pic:blipFill>
                    <a:blip r:embed="rId22"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329B9557" w14:textId="77777777" w:rsidR="00160E7F" w:rsidRDefault="00160E7F">
      <w:pPr>
        <w:sectPr w:rsidR="00160E7F">
          <w:headerReference w:type="default" r:id="rId115"/>
          <w:pgSz w:w="11910" w:h="16840"/>
          <w:pgMar w:top="0" w:right="0" w:bottom="0" w:left="0" w:header="0" w:footer="0" w:gutter="0"/>
          <w:cols w:space="720"/>
        </w:sectPr>
      </w:pPr>
    </w:p>
    <w:p w14:paraId="15BCEFC4" w14:textId="77777777" w:rsidR="00160E7F" w:rsidRDefault="000638CB">
      <w:pPr>
        <w:spacing w:before="61"/>
        <w:ind w:right="111"/>
        <w:jc w:val="right"/>
        <w:rPr>
          <w:sz w:val="15"/>
        </w:rPr>
      </w:pPr>
      <w:r>
        <w:lastRenderedPageBreak/>
        <w:pict w14:anchorId="0B7DDDFC">
          <v:group id="_x0000_s1034" style="position:absolute;left:0;text-align:left;margin-left:.05pt;margin-top:0;width:598.7pt;height:841.9pt;z-index:-89368;mso-position-horizontal-relative:page;mso-position-vertical-relative:page" coordorigin="2" coordsize="11974,16838">
            <v:shape id="_x0000_s1036" type="#_x0000_t75" style="position:absolute;left:2;width:11904;height:16838">
              <v:imagedata r:id="rId116" o:title=""/>
            </v:shape>
            <v:line id="_x0000_s1035" style="position:absolute" from="10700,917" to="11906,917" strokecolor="#0095a7" strokeweight="7pt"/>
            <w10:wrap anchorx="page" anchory="page"/>
          </v:group>
        </w:pict>
      </w:r>
      <w:r w:rsidR="002B0299">
        <w:rPr>
          <w:color w:val="58595B"/>
          <w:sz w:val="15"/>
        </w:rPr>
        <w:t>305</w:t>
      </w:r>
    </w:p>
    <w:p w14:paraId="0C46FEC9" w14:textId="77777777" w:rsidR="00160E7F" w:rsidRDefault="00160E7F">
      <w:pPr>
        <w:pStyle w:val="BodyText"/>
      </w:pPr>
    </w:p>
    <w:p w14:paraId="1AA90A90" w14:textId="77777777" w:rsidR="00160E7F" w:rsidRDefault="00160E7F">
      <w:pPr>
        <w:pStyle w:val="BodyText"/>
      </w:pPr>
    </w:p>
    <w:p w14:paraId="6206E9DD" w14:textId="77777777" w:rsidR="00160E7F" w:rsidRDefault="00160E7F">
      <w:pPr>
        <w:pStyle w:val="BodyText"/>
      </w:pPr>
    </w:p>
    <w:p w14:paraId="3E469BED" w14:textId="77777777" w:rsidR="00160E7F" w:rsidRDefault="00160E7F">
      <w:pPr>
        <w:pStyle w:val="BodyText"/>
      </w:pPr>
    </w:p>
    <w:p w14:paraId="35D8A85E" w14:textId="77777777" w:rsidR="00160E7F" w:rsidRDefault="00160E7F">
      <w:pPr>
        <w:pStyle w:val="BodyText"/>
        <w:spacing w:before="5"/>
        <w:rPr>
          <w:sz w:val="17"/>
        </w:rPr>
      </w:pPr>
    </w:p>
    <w:p w14:paraId="53BFECBF" w14:textId="77777777" w:rsidR="00160E7F" w:rsidRDefault="002B0299">
      <w:pPr>
        <w:pStyle w:val="Heading4"/>
        <w:spacing w:before="0"/>
        <w:ind w:left="134" w:right="822"/>
      </w:pPr>
      <w:r>
        <w:rPr>
          <w:color w:val="0095A7"/>
        </w:rPr>
        <w:t>CHAPTER 18</w:t>
      </w:r>
    </w:p>
    <w:p w14:paraId="04EA49FC" w14:textId="77777777" w:rsidR="00160E7F" w:rsidRDefault="002B0299">
      <w:pPr>
        <w:spacing w:before="102" w:line="440" w:lineRule="exact"/>
        <w:ind w:left="134" w:right="822"/>
        <w:rPr>
          <w:sz w:val="40"/>
        </w:rPr>
      </w:pPr>
      <w:r>
        <w:rPr>
          <w:color w:val="58595B"/>
          <w:sz w:val="40"/>
        </w:rPr>
        <w:t xml:space="preserve">A </w:t>
      </w:r>
      <w:r>
        <w:rPr>
          <w:color w:val="58595B"/>
          <w:spacing w:val="-9"/>
          <w:sz w:val="40"/>
        </w:rPr>
        <w:t xml:space="preserve">BROADER </w:t>
      </w:r>
      <w:r>
        <w:rPr>
          <w:color w:val="58595B"/>
          <w:spacing w:val="-3"/>
          <w:sz w:val="40"/>
        </w:rPr>
        <w:t xml:space="preserve">AND </w:t>
      </w:r>
      <w:r>
        <w:rPr>
          <w:color w:val="58595B"/>
          <w:spacing w:val="-5"/>
          <w:sz w:val="40"/>
        </w:rPr>
        <w:t xml:space="preserve">MORE </w:t>
      </w:r>
      <w:r>
        <w:rPr>
          <w:color w:val="58595B"/>
          <w:spacing w:val="-11"/>
          <w:sz w:val="40"/>
        </w:rPr>
        <w:t xml:space="preserve">EFFECTIVE </w:t>
      </w:r>
      <w:r>
        <w:rPr>
          <w:color w:val="58595B"/>
          <w:spacing w:val="-9"/>
          <w:sz w:val="40"/>
        </w:rPr>
        <w:t xml:space="preserve">LOCAL </w:t>
      </w:r>
      <w:r>
        <w:rPr>
          <w:color w:val="58595B"/>
          <w:spacing w:val="-8"/>
          <w:sz w:val="40"/>
        </w:rPr>
        <w:t>RESPONSE</w:t>
      </w:r>
    </w:p>
    <w:p w14:paraId="2B24FFEC" w14:textId="77777777" w:rsidR="00160E7F" w:rsidRDefault="00160E7F">
      <w:pPr>
        <w:spacing w:line="440" w:lineRule="exact"/>
        <w:rPr>
          <w:sz w:val="40"/>
        </w:rPr>
        <w:sectPr w:rsidR="00160E7F">
          <w:headerReference w:type="even" r:id="rId117"/>
          <w:pgSz w:w="11910" w:h="16840"/>
          <w:pgMar w:top="740" w:right="1300" w:bottom="280" w:left="1680" w:header="0" w:footer="0" w:gutter="0"/>
          <w:cols w:space="720"/>
        </w:sectPr>
      </w:pPr>
    </w:p>
    <w:p w14:paraId="457ABD20" w14:textId="77777777" w:rsidR="00160E7F" w:rsidRDefault="00160E7F">
      <w:pPr>
        <w:pStyle w:val="BodyText"/>
      </w:pPr>
    </w:p>
    <w:p w14:paraId="10B65DE7" w14:textId="77777777" w:rsidR="00160E7F" w:rsidRDefault="00160E7F">
      <w:pPr>
        <w:pStyle w:val="BodyText"/>
      </w:pPr>
    </w:p>
    <w:p w14:paraId="3F3D2243" w14:textId="77777777" w:rsidR="00160E7F" w:rsidRDefault="00160E7F">
      <w:pPr>
        <w:pStyle w:val="BodyText"/>
      </w:pPr>
    </w:p>
    <w:p w14:paraId="275838C9" w14:textId="77777777" w:rsidR="00160E7F" w:rsidRDefault="00160E7F">
      <w:pPr>
        <w:pStyle w:val="BodyText"/>
      </w:pPr>
    </w:p>
    <w:p w14:paraId="7E8745B1" w14:textId="77777777" w:rsidR="00160E7F" w:rsidRDefault="002B0299">
      <w:pPr>
        <w:pStyle w:val="Heading2"/>
      </w:pPr>
      <w:r>
        <w:rPr>
          <w:color w:val="0095A7"/>
        </w:rPr>
        <w:t>A BROADER AND MORE EFFECTIVE LOCAL RESPONSE</w:t>
      </w:r>
    </w:p>
    <w:p w14:paraId="26898CDD" w14:textId="77777777" w:rsidR="00160E7F" w:rsidRDefault="000638CB">
      <w:pPr>
        <w:pStyle w:val="BodyText"/>
        <w:spacing w:before="4"/>
        <w:rPr>
          <w:sz w:val="17"/>
        </w:rPr>
      </w:pPr>
      <w:r>
        <w:pict w14:anchorId="76B9D466">
          <v:shape id="_x0000_s1033" type="#_x0000_t202" style="position:absolute;margin-left:70.85pt;margin-top:11.2pt;width:433.7pt;height:204pt;z-index:2752;mso-wrap-distance-left:0;mso-wrap-distance-right:0;mso-position-horizontal-relative:page" fillcolor="#eff6f0" stroked="f">
            <v:textbox inset="0,0,0,0">
              <w:txbxContent>
                <w:p w14:paraId="0E5B4659" w14:textId="77777777" w:rsidR="00804E46" w:rsidRDefault="00804E46">
                  <w:pPr>
                    <w:spacing w:before="128"/>
                    <w:ind w:left="170" w:right="165"/>
                    <w:rPr>
                      <w:b/>
                      <w:sz w:val="20"/>
                    </w:rPr>
                  </w:pPr>
                  <w:r>
                    <w:rPr>
                      <w:b/>
                      <w:color w:val="0095A7"/>
                      <w:sz w:val="20"/>
                    </w:rPr>
                    <w:t>KEY MESSAGES</w:t>
                  </w:r>
                </w:p>
                <w:p w14:paraId="5EA68046" w14:textId="77777777" w:rsidR="00804E46" w:rsidRDefault="00804E46">
                  <w:pPr>
                    <w:pStyle w:val="BodyText"/>
                    <w:spacing w:before="153" w:line="280" w:lineRule="auto"/>
                    <w:ind w:left="170" w:right="165"/>
                  </w:pPr>
                  <w:r>
                    <w:rPr>
                      <w:color w:val="58595B"/>
                    </w:rPr>
                    <w:t>Local government plays an important role in the lives of all Victorians and delivers many services in partnership with the state.</w:t>
                  </w:r>
                </w:p>
                <w:p w14:paraId="3493E342" w14:textId="77777777" w:rsidR="00804E46" w:rsidRDefault="00804E46">
                  <w:pPr>
                    <w:pStyle w:val="BodyText"/>
                    <w:spacing w:before="172"/>
                    <w:ind w:left="170" w:right="165"/>
                  </w:pPr>
                  <w:r>
                    <w:rPr>
                      <w:color w:val="58595B"/>
                    </w:rPr>
                    <w:t>The EPA cannot efficiently deliver timely responses to localised pollution and waste issues</w:t>
                  </w:r>
                </w:p>
                <w:p w14:paraId="28822F0C" w14:textId="77777777" w:rsidR="00804E46" w:rsidRDefault="00804E46">
                  <w:pPr>
                    <w:pStyle w:val="BodyText"/>
                    <w:spacing w:before="40" w:line="280" w:lineRule="auto"/>
                    <w:ind w:left="170" w:right="165"/>
                  </w:pPr>
                  <w:r>
                    <w:rPr>
                      <w:color w:val="58595B"/>
                    </w:rPr>
                    <w:t>– but they impact significantly on the quality of people’s lives. There is a gap in service and protection for the community.</w:t>
                  </w:r>
                </w:p>
                <w:p w14:paraId="2553B18F" w14:textId="77777777" w:rsidR="00804E46" w:rsidRDefault="00804E46">
                  <w:pPr>
                    <w:pStyle w:val="BodyText"/>
                    <w:spacing w:before="172" w:line="280" w:lineRule="auto"/>
                    <w:ind w:left="170" w:right="165"/>
                  </w:pPr>
                  <w:r>
                    <w:rPr>
                      <w:color w:val="58595B"/>
                    </w:rPr>
                    <w:t>Local government is well trusted by the community as a source of advice and uniquely placed to deliver timely responses to local concerns, particularly to amenity and waste issues. But it needs clearly defined responsibilities, proper authorisation and resourcing.</w:t>
                  </w:r>
                </w:p>
                <w:p w14:paraId="16CF7865" w14:textId="77777777" w:rsidR="00804E46" w:rsidRDefault="00804E46">
                  <w:pPr>
                    <w:pStyle w:val="BodyText"/>
                    <w:spacing w:before="172" w:line="280" w:lineRule="auto"/>
                    <w:ind w:left="170" w:right="178"/>
                  </w:pPr>
                  <w:r>
                    <w:rPr>
                      <w:color w:val="58595B"/>
                    </w:rPr>
                    <w:t>A new localised layer of environment protection can provide a timely and more effective response to small scale local pollution and waste issues that otherwise go unattended. This will provide enhanced protection for the community and support liveability and prosperity.</w:t>
                  </w:r>
                </w:p>
              </w:txbxContent>
            </v:textbox>
            <w10:wrap type="topAndBottom" anchorx="page"/>
          </v:shape>
        </w:pict>
      </w:r>
    </w:p>
    <w:p w14:paraId="05EDD3FA" w14:textId="77777777" w:rsidR="00160E7F" w:rsidRDefault="00160E7F">
      <w:pPr>
        <w:pStyle w:val="BodyText"/>
        <w:spacing w:before="7"/>
        <w:rPr>
          <w:sz w:val="28"/>
        </w:rPr>
      </w:pPr>
    </w:p>
    <w:p w14:paraId="0FE9E18F" w14:textId="77777777" w:rsidR="00160E7F" w:rsidRDefault="002B0299">
      <w:pPr>
        <w:pStyle w:val="ListParagraph"/>
        <w:numPr>
          <w:ilvl w:val="1"/>
          <w:numId w:val="5"/>
        </w:numPr>
        <w:tabs>
          <w:tab w:val="left" w:pos="1981"/>
        </w:tabs>
        <w:spacing w:before="69"/>
        <w:ind w:hanging="563"/>
        <w:jc w:val="left"/>
        <w:rPr>
          <w:sz w:val="24"/>
        </w:rPr>
      </w:pPr>
      <w:r>
        <w:rPr>
          <w:color w:val="0095A7"/>
          <w:sz w:val="24"/>
        </w:rPr>
        <w:t>Introduction</w:t>
      </w:r>
    </w:p>
    <w:p w14:paraId="1A7EE638" w14:textId="77777777" w:rsidR="00160E7F" w:rsidRDefault="002B0299">
      <w:pPr>
        <w:spacing w:before="145" w:line="280" w:lineRule="auto"/>
        <w:ind w:left="1984" w:right="789"/>
        <w:rPr>
          <w:sz w:val="11"/>
        </w:rPr>
      </w:pPr>
      <w:r>
        <w:rPr>
          <w:i/>
          <w:color w:val="231F20"/>
          <w:sz w:val="20"/>
        </w:rPr>
        <w:t>Local government is the third level of government in Australia and has a significant impact on the lives of all Victorians. … Local government is responsible for implementing many diverse programs, policies and regulations set by the Victorian and Australian governments.</w:t>
      </w:r>
      <w:r>
        <w:rPr>
          <w:color w:val="231F20"/>
          <w:position w:val="7"/>
          <w:sz w:val="11"/>
        </w:rPr>
        <w:t>1</w:t>
      </w:r>
    </w:p>
    <w:p w14:paraId="1152BFD3" w14:textId="77777777" w:rsidR="00160E7F" w:rsidRDefault="002B0299">
      <w:pPr>
        <w:pStyle w:val="BodyText"/>
        <w:spacing w:before="172" w:line="280" w:lineRule="auto"/>
        <w:ind w:left="1417" w:right="185"/>
      </w:pPr>
      <w:r>
        <w:rPr>
          <w:color w:val="58595B"/>
        </w:rPr>
        <w:t>Communities expect timely responses to localised pollution problems that impact their health, environment and liveability. Driven by population growth, changing demographics, information technology and generally higher expectations of government, communities are now less tolerant of adverse noise, odour and other pollution impacts.</w:t>
      </w:r>
    </w:p>
    <w:p w14:paraId="2E95AE16" w14:textId="013303E8" w:rsidR="00160E7F" w:rsidRDefault="002B0299">
      <w:pPr>
        <w:pStyle w:val="BodyText"/>
        <w:spacing w:before="172" w:line="280" w:lineRule="auto"/>
        <w:ind w:left="1417" w:right="177"/>
      </w:pPr>
      <w:r>
        <w:rPr>
          <w:color w:val="58595B"/>
        </w:rPr>
        <w:t xml:space="preserve">We heard from many communities that they wanted more timely responses to local pollution problems. They are frustrated about delays in responses and limited responses. We heard this from communities in rural and regional Victoria, and also within metropolitan Melbourne. Inquiry participants were concerned about how this ‘lack of service’ affected people’s lives and wellbeing. They were also concerned about ‘buck passing’ between the </w:t>
      </w:r>
      <w:r>
        <w:rPr>
          <w:color w:val="58595B"/>
          <w:spacing w:val="-4"/>
        </w:rPr>
        <w:t xml:space="preserve">EPA </w:t>
      </w:r>
      <w:r>
        <w:rPr>
          <w:color w:val="58595B"/>
        </w:rPr>
        <w:t>and local government, or at least lack of clarity about who was responsible for what. We consider that these conce</w:t>
      </w:r>
      <w:r w:rsidR="008C7B17">
        <w:rPr>
          <w:color w:val="58595B"/>
        </w:rPr>
        <w:t xml:space="preserve">rns are </w:t>
      </w:r>
      <w:r>
        <w:rPr>
          <w:color w:val="58595B"/>
        </w:rPr>
        <w:t>well founded and that they warrant a</w:t>
      </w:r>
      <w:r>
        <w:rPr>
          <w:color w:val="58595B"/>
          <w:spacing w:val="-6"/>
        </w:rPr>
        <w:t xml:space="preserve"> </w:t>
      </w:r>
      <w:r>
        <w:rPr>
          <w:color w:val="58595B"/>
        </w:rPr>
        <w:t>response.</w:t>
      </w:r>
    </w:p>
    <w:p w14:paraId="3F4450D1" w14:textId="77777777" w:rsidR="00160E7F" w:rsidRDefault="002B0299">
      <w:pPr>
        <w:pStyle w:val="BodyText"/>
        <w:spacing w:before="172" w:line="280" w:lineRule="auto"/>
        <w:ind w:left="1417" w:right="223"/>
      </w:pPr>
      <w:r>
        <w:rPr>
          <w:color w:val="58595B"/>
        </w:rPr>
        <w:t>We also heard from many councils – some 28 provided detailed written submissions and we met with many others. Local government authorities see themselves at the frontline in dealing with community concerns. And they act as advocates for their communities. But, local government also argued for greater support from the EPA, including to work with them in dealing with local waste and pollution issues. While their problems were often different, we received a consistent message from rural, regional and metropolitan councils – there is a gap in service and protection for a range of smaller scale pollution and waste issues. And these significantly affect the wellbeing of local communities.</w:t>
      </w:r>
    </w:p>
    <w:p w14:paraId="3ADD3F10" w14:textId="77777777" w:rsidR="00160E7F" w:rsidRDefault="00160E7F">
      <w:pPr>
        <w:spacing w:line="280" w:lineRule="auto"/>
        <w:sectPr w:rsidR="00160E7F">
          <w:headerReference w:type="even" r:id="rId118"/>
          <w:headerReference w:type="default" r:id="rId119"/>
          <w:pgSz w:w="11910" w:h="16840"/>
          <w:pgMar w:top="980" w:right="1680" w:bottom="280" w:left="0" w:header="788" w:footer="0" w:gutter="0"/>
          <w:pgNumType w:start="306"/>
          <w:cols w:space="720"/>
        </w:sectPr>
      </w:pPr>
    </w:p>
    <w:p w14:paraId="54C91A2F" w14:textId="77777777" w:rsidR="00160E7F" w:rsidRDefault="00160E7F">
      <w:pPr>
        <w:pStyle w:val="BodyText"/>
      </w:pPr>
    </w:p>
    <w:p w14:paraId="41FE60F4" w14:textId="77777777" w:rsidR="00160E7F" w:rsidRDefault="00160E7F">
      <w:pPr>
        <w:pStyle w:val="BodyText"/>
      </w:pPr>
    </w:p>
    <w:p w14:paraId="56DA4F59" w14:textId="77777777" w:rsidR="00160E7F" w:rsidRDefault="00160E7F">
      <w:pPr>
        <w:pStyle w:val="BodyText"/>
      </w:pPr>
    </w:p>
    <w:p w14:paraId="1022F9F4" w14:textId="77777777" w:rsidR="00160E7F" w:rsidRDefault="00160E7F">
      <w:pPr>
        <w:pStyle w:val="BodyText"/>
      </w:pPr>
    </w:p>
    <w:p w14:paraId="28DBB958" w14:textId="77777777" w:rsidR="00160E7F" w:rsidRDefault="00160E7F">
      <w:pPr>
        <w:pStyle w:val="BodyText"/>
        <w:spacing w:before="8"/>
        <w:rPr>
          <w:sz w:val="17"/>
        </w:rPr>
      </w:pPr>
    </w:p>
    <w:p w14:paraId="1062252F" w14:textId="77777777" w:rsidR="00160E7F" w:rsidRDefault="002B0299">
      <w:pPr>
        <w:pStyle w:val="BodyText"/>
        <w:spacing w:before="1" w:line="280" w:lineRule="auto"/>
        <w:ind w:left="134" w:right="1433"/>
      </w:pPr>
      <w:r>
        <w:rPr>
          <w:color w:val="58595B"/>
        </w:rPr>
        <w:t>In many cases, there is no practical solution that allows the EPA to provide the level of service required to manage the problem and to meet community expectations. For example, illegal dumping requires vigilance at the local level, and noise and odour complaints require quick responses – time delays mean polluters are not held to account.</w:t>
      </w:r>
    </w:p>
    <w:p w14:paraId="2039491A" w14:textId="77777777" w:rsidR="00160E7F" w:rsidRDefault="002B0299">
      <w:pPr>
        <w:pStyle w:val="BodyText"/>
        <w:spacing w:before="172" w:line="280" w:lineRule="auto"/>
        <w:ind w:left="134" w:right="1414"/>
      </w:pPr>
      <w:r>
        <w:rPr>
          <w:color w:val="58595B"/>
        </w:rPr>
        <w:t>Providing a highly responsive service with statewide coverage requires a very significant expansion of the EPA. We do not consider this appropriate. But local government is well placed to provide such a service – as recognised in the subsidiarity principle.</w:t>
      </w:r>
    </w:p>
    <w:p w14:paraId="50B639CB" w14:textId="77777777" w:rsidR="00160E7F" w:rsidRDefault="002B0299">
      <w:pPr>
        <w:pStyle w:val="BodyText"/>
        <w:spacing w:before="172" w:line="280" w:lineRule="auto"/>
        <w:ind w:left="134" w:right="1966"/>
        <w:jc w:val="both"/>
      </w:pPr>
      <w:r>
        <w:rPr>
          <w:color w:val="58595B"/>
        </w:rPr>
        <w:t>A</w:t>
      </w:r>
      <w:r>
        <w:rPr>
          <w:color w:val="58595B"/>
          <w:spacing w:val="-12"/>
        </w:rPr>
        <w:t xml:space="preserve"> </w:t>
      </w:r>
      <w:r>
        <w:rPr>
          <w:color w:val="58595B"/>
        </w:rPr>
        <w:t>practical</w:t>
      </w:r>
      <w:r>
        <w:rPr>
          <w:color w:val="58595B"/>
          <w:spacing w:val="-12"/>
        </w:rPr>
        <w:t xml:space="preserve"> </w:t>
      </w:r>
      <w:r>
        <w:rPr>
          <w:color w:val="58595B"/>
        </w:rPr>
        <w:t>and</w:t>
      </w:r>
      <w:r>
        <w:rPr>
          <w:color w:val="58595B"/>
          <w:spacing w:val="-12"/>
        </w:rPr>
        <w:t xml:space="preserve"> </w:t>
      </w:r>
      <w:r>
        <w:rPr>
          <w:color w:val="58595B"/>
        </w:rPr>
        <w:t>highly</w:t>
      </w:r>
      <w:r>
        <w:rPr>
          <w:color w:val="58595B"/>
          <w:spacing w:val="-12"/>
        </w:rPr>
        <w:t xml:space="preserve"> </w:t>
      </w:r>
      <w:r>
        <w:rPr>
          <w:color w:val="58595B"/>
        </w:rPr>
        <w:t>effective</w:t>
      </w:r>
      <w:r>
        <w:rPr>
          <w:color w:val="58595B"/>
          <w:spacing w:val="-12"/>
        </w:rPr>
        <w:t xml:space="preserve"> </w:t>
      </w:r>
      <w:r>
        <w:rPr>
          <w:color w:val="58595B"/>
        </w:rPr>
        <w:t>response</w:t>
      </w:r>
      <w:r>
        <w:rPr>
          <w:color w:val="58595B"/>
          <w:spacing w:val="-12"/>
        </w:rPr>
        <w:t xml:space="preserve"> </w:t>
      </w:r>
      <w:r>
        <w:rPr>
          <w:color w:val="58595B"/>
        </w:rPr>
        <w:t>can</w:t>
      </w:r>
      <w:r>
        <w:rPr>
          <w:color w:val="58595B"/>
          <w:spacing w:val="-12"/>
        </w:rPr>
        <w:t xml:space="preserve"> </w:t>
      </w:r>
      <w:r>
        <w:rPr>
          <w:color w:val="58595B"/>
        </w:rPr>
        <w:t>be</w:t>
      </w:r>
      <w:r>
        <w:rPr>
          <w:color w:val="58595B"/>
          <w:spacing w:val="-12"/>
        </w:rPr>
        <w:t xml:space="preserve"> </w:t>
      </w:r>
      <w:r>
        <w:rPr>
          <w:color w:val="58595B"/>
        </w:rPr>
        <w:t>provided</w:t>
      </w:r>
      <w:r>
        <w:rPr>
          <w:color w:val="58595B"/>
          <w:spacing w:val="-12"/>
        </w:rPr>
        <w:t xml:space="preserve"> </w:t>
      </w:r>
      <w:r>
        <w:rPr>
          <w:color w:val="58595B"/>
          <w:spacing w:val="-3"/>
        </w:rPr>
        <w:t>by</w:t>
      </w:r>
      <w:r>
        <w:rPr>
          <w:color w:val="58595B"/>
          <w:spacing w:val="-12"/>
        </w:rPr>
        <w:t xml:space="preserve"> </w:t>
      </w:r>
      <w:r>
        <w:rPr>
          <w:color w:val="58595B"/>
        </w:rPr>
        <w:t>authorising</w:t>
      </w:r>
      <w:r>
        <w:rPr>
          <w:color w:val="58595B"/>
          <w:spacing w:val="-12"/>
        </w:rPr>
        <w:t xml:space="preserve"> </w:t>
      </w:r>
      <w:r>
        <w:rPr>
          <w:color w:val="58595B"/>
        </w:rPr>
        <w:t>and</w:t>
      </w:r>
      <w:r>
        <w:rPr>
          <w:color w:val="58595B"/>
          <w:spacing w:val="-12"/>
        </w:rPr>
        <w:t xml:space="preserve"> </w:t>
      </w:r>
      <w:r>
        <w:rPr>
          <w:color w:val="58595B"/>
        </w:rPr>
        <w:t>resourcing</w:t>
      </w:r>
      <w:r>
        <w:rPr>
          <w:color w:val="58595B"/>
          <w:spacing w:val="-12"/>
        </w:rPr>
        <w:t xml:space="preserve"> </w:t>
      </w:r>
      <w:r>
        <w:rPr>
          <w:color w:val="58595B"/>
        </w:rPr>
        <w:t xml:space="preserve">local </w:t>
      </w:r>
      <w:r>
        <w:rPr>
          <w:color w:val="58595B"/>
          <w:spacing w:val="-3"/>
        </w:rPr>
        <w:t xml:space="preserve">government, </w:t>
      </w:r>
      <w:r>
        <w:rPr>
          <w:color w:val="58595B"/>
        </w:rPr>
        <w:t xml:space="preserve">to enhance its role in environment protection. With support from the EPA, local government can provide an extension of the </w:t>
      </w:r>
      <w:r>
        <w:rPr>
          <w:color w:val="58595B"/>
          <w:spacing w:val="-7"/>
        </w:rPr>
        <w:t xml:space="preserve">EPA’s </w:t>
      </w:r>
      <w:r>
        <w:rPr>
          <w:color w:val="58595B"/>
        </w:rPr>
        <w:t>compliance and enforcement</w:t>
      </w:r>
      <w:r>
        <w:rPr>
          <w:color w:val="58595B"/>
          <w:spacing w:val="11"/>
        </w:rPr>
        <w:t xml:space="preserve"> </w:t>
      </w:r>
      <w:r>
        <w:rPr>
          <w:color w:val="58595B"/>
        </w:rPr>
        <w:t>capacity.</w:t>
      </w:r>
    </w:p>
    <w:p w14:paraId="79D4084B" w14:textId="77777777" w:rsidR="00160E7F" w:rsidRDefault="002B0299">
      <w:pPr>
        <w:pStyle w:val="BodyText"/>
        <w:spacing w:before="172" w:line="280" w:lineRule="auto"/>
        <w:ind w:left="134" w:right="1900"/>
      </w:pPr>
      <w:r>
        <w:rPr>
          <w:color w:val="58595B"/>
        </w:rPr>
        <w:t xml:space="preserve">We consider the </w:t>
      </w:r>
      <w:r>
        <w:rPr>
          <w:color w:val="58595B"/>
          <w:spacing w:val="-4"/>
        </w:rPr>
        <w:t xml:space="preserve">EPA </w:t>
      </w:r>
      <w:r>
        <w:rPr>
          <w:color w:val="58595B"/>
        </w:rPr>
        <w:t>best serves the Victorian community by focusing on the highest order risks that affect the health and environment – through environmental surveillance, specialist investigative groups and strategic compliance campaigns.</w:t>
      </w:r>
      <w:r>
        <w:rPr>
          <w:color w:val="58595B"/>
          <w:position w:val="7"/>
          <w:sz w:val="11"/>
        </w:rPr>
        <w:t xml:space="preserve">2 </w:t>
      </w:r>
      <w:r>
        <w:rPr>
          <w:color w:val="58595B"/>
        </w:rPr>
        <w:t xml:space="preserve">The community wants the </w:t>
      </w:r>
      <w:r>
        <w:rPr>
          <w:color w:val="58595B"/>
          <w:spacing w:val="-4"/>
        </w:rPr>
        <w:t xml:space="preserve">EPA </w:t>
      </w:r>
      <w:r>
        <w:rPr>
          <w:color w:val="58595B"/>
        </w:rPr>
        <w:t>to proactively scan for and prevent a range of problems across the state. And a new approach to partnering with local government extends a local response to lower risk pollution and waste</w:t>
      </w:r>
      <w:r>
        <w:rPr>
          <w:color w:val="58595B"/>
          <w:spacing w:val="-5"/>
        </w:rPr>
        <w:t xml:space="preserve"> </w:t>
      </w:r>
      <w:r>
        <w:rPr>
          <w:color w:val="58595B"/>
        </w:rPr>
        <w:t>issues.</w:t>
      </w:r>
    </w:p>
    <w:p w14:paraId="564F267F" w14:textId="77777777" w:rsidR="00160E7F" w:rsidRDefault="00160E7F">
      <w:pPr>
        <w:pStyle w:val="BodyText"/>
        <w:spacing w:before="1"/>
        <w:rPr>
          <w:sz w:val="19"/>
        </w:rPr>
      </w:pPr>
    </w:p>
    <w:p w14:paraId="3584BCB7" w14:textId="77777777" w:rsidR="00160E7F" w:rsidRDefault="002B0299">
      <w:pPr>
        <w:pStyle w:val="Heading3"/>
        <w:numPr>
          <w:ilvl w:val="1"/>
          <w:numId w:val="5"/>
        </w:numPr>
        <w:tabs>
          <w:tab w:val="left" w:pos="726"/>
        </w:tabs>
        <w:spacing w:before="0"/>
        <w:ind w:left="725" w:hanging="591"/>
        <w:jc w:val="left"/>
      </w:pPr>
      <w:r>
        <w:rPr>
          <w:color w:val="0095A7"/>
        </w:rPr>
        <w:t>Dealing with local pollution and waste</w:t>
      </w:r>
      <w:r>
        <w:rPr>
          <w:color w:val="0095A7"/>
          <w:spacing w:val="49"/>
        </w:rPr>
        <w:t xml:space="preserve"> </w:t>
      </w:r>
      <w:r>
        <w:rPr>
          <w:color w:val="0095A7"/>
        </w:rPr>
        <w:t>problems</w:t>
      </w:r>
    </w:p>
    <w:p w14:paraId="40488582" w14:textId="77777777" w:rsidR="00160E7F" w:rsidRDefault="002B0299">
      <w:pPr>
        <w:pStyle w:val="BodyText"/>
        <w:spacing w:before="145" w:line="280" w:lineRule="auto"/>
        <w:ind w:left="134" w:right="1559"/>
      </w:pPr>
      <w:r>
        <w:rPr>
          <w:color w:val="58595B"/>
        </w:rPr>
        <w:t>Communities increasingly expect timely and localised responses to pollution problems that impact their health, environment and liveability. Driven in part by changing demographics, information technology and generally higher expectations of government, communities are now less tolerant of adverse noise, odour and other impacts within or near their neighbourhoods.</w:t>
      </w:r>
    </w:p>
    <w:p w14:paraId="39369B94" w14:textId="77777777" w:rsidR="00160E7F" w:rsidRDefault="002B0299">
      <w:pPr>
        <w:pStyle w:val="BodyText"/>
        <w:spacing w:before="172" w:line="280" w:lineRule="auto"/>
        <w:ind w:left="134" w:right="1443"/>
      </w:pPr>
      <w:r>
        <w:rPr>
          <w:color w:val="58595B"/>
        </w:rPr>
        <w:t xml:space="preserve">As the state’s environmental regulator, the </w:t>
      </w:r>
      <w:r>
        <w:rPr>
          <w:color w:val="58595B"/>
          <w:spacing w:val="-4"/>
        </w:rPr>
        <w:t xml:space="preserve">EPA </w:t>
      </w:r>
      <w:r>
        <w:rPr>
          <w:color w:val="58595B"/>
        </w:rPr>
        <w:t>is increasingly expected to fulfil these expectations. Its pollution hotline service encourages the community to actively participate in  local enforcement by reporting pollution and waste problems. And the community has responded, reporting a broad range of problems at different ends of the risk</w:t>
      </w:r>
      <w:r>
        <w:rPr>
          <w:color w:val="58595B"/>
          <w:spacing w:val="12"/>
        </w:rPr>
        <w:t xml:space="preserve"> </w:t>
      </w:r>
      <w:r>
        <w:rPr>
          <w:color w:val="58595B"/>
        </w:rPr>
        <w:t>scale:</w:t>
      </w:r>
    </w:p>
    <w:p w14:paraId="7EFB3DF3" w14:textId="77777777" w:rsidR="00160E7F" w:rsidRDefault="002B0299">
      <w:pPr>
        <w:pStyle w:val="ListParagraph"/>
        <w:numPr>
          <w:ilvl w:val="0"/>
          <w:numId w:val="25"/>
        </w:numPr>
        <w:tabs>
          <w:tab w:val="left" w:pos="305"/>
        </w:tabs>
        <w:spacing w:before="115"/>
        <w:ind w:hanging="170"/>
        <w:rPr>
          <w:sz w:val="20"/>
        </w:rPr>
      </w:pPr>
      <w:r>
        <w:rPr>
          <w:color w:val="58595B"/>
          <w:sz w:val="20"/>
        </w:rPr>
        <w:t>foul-smelling or abnormal emissions, for example from industrial</w:t>
      </w:r>
      <w:r>
        <w:rPr>
          <w:color w:val="58595B"/>
          <w:spacing w:val="8"/>
          <w:sz w:val="20"/>
        </w:rPr>
        <w:t xml:space="preserve"> </w:t>
      </w:r>
      <w:r>
        <w:rPr>
          <w:color w:val="58595B"/>
          <w:sz w:val="20"/>
        </w:rPr>
        <w:t>premises</w:t>
      </w:r>
    </w:p>
    <w:p w14:paraId="07849488" w14:textId="77777777" w:rsidR="00160E7F" w:rsidRDefault="002B0299">
      <w:pPr>
        <w:pStyle w:val="ListParagraph"/>
        <w:numPr>
          <w:ilvl w:val="0"/>
          <w:numId w:val="25"/>
        </w:numPr>
        <w:tabs>
          <w:tab w:val="left" w:pos="305"/>
        </w:tabs>
        <w:spacing w:before="153"/>
        <w:ind w:hanging="170"/>
        <w:rPr>
          <w:sz w:val="20"/>
        </w:rPr>
      </w:pPr>
      <w:r>
        <w:rPr>
          <w:color w:val="58595B"/>
          <w:sz w:val="20"/>
        </w:rPr>
        <w:t>objectionable noise affecting people in their</w:t>
      </w:r>
      <w:r>
        <w:rPr>
          <w:color w:val="58595B"/>
          <w:spacing w:val="19"/>
          <w:sz w:val="20"/>
        </w:rPr>
        <w:t xml:space="preserve"> </w:t>
      </w:r>
      <w:r>
        <w:rPr>
          <w:color w:val="58595B"/>
          <w:sz w:val="20"/>
        </w:rPr>
        <w:t>homes</w:t>
      </w:r>
    </w:p>
    <w:p w14:paraId="0442E5A0" w14:textId="77777777" w:rsidR="00160E7F" w:rsidRDefault="002B0299">
      <w:pPr>
        <w:pStyle w:val="ListParagraph"/>
        <w:numPr>
          <w:ilvl w:val="0"/>
          <w:numId w:val="25"/>
        </w:numPr>
        <w:tabs>
          <w:tab w:val="left" w:pos="305"/>
        </w:tabs>
        <w:spacing w:before="153"/>
        <w:ind w:hanging="170"/>
        <w:rPr>
          <w:sz w:val="20"/>
        </w:rPr>
      </w:pPr>
      <w:r>
        <w:rPr>
          <w:color w:val="58595B"/>
          <w:sz w:val="20"/>
        </w:rPr>
        <w:t>unreasonable</w:t>
      </w:r>
      <w:r>
        <w:rPr>
          <w:color w:val="58595B"/>
          <w:spacing w:val="-5"/>
          <w:sz w:val="20"/>
        </w:rPr>
        <w:t xml:space="preserve"> </w:t>
      </w:r>
      <w:r>
        <w:rPr>
          <w:color w:val="58595B"/>
          <w:sz w:val="20"/>
        </w:rPr>
        <w:t>dust</w:t>
      </w:r>
    </w:p>
    <w:p w14:paraId="156FD1CA" w14:textId="77777777" w:rsidR="00160E7F" w:rsidRDefault="002B0299">
      <w:pPr>
        <w:pStyle w:val="ListParagraph"/>
        <w:numPr>
          <w:ilvl w:val="0"/>
          <w:numId w:val="25"/>
        </w:numPr>
        <w:tabs>
          <w:tab w:val="left" w:pos="305"/>
        </w:tabs>
        <w:spacing w:before="153"/>
        <w:ind w:hanging="170"/>
        <w:rPr>
          <w:sz w:val="20"/>
        </w:rPr>
      </w:pPr>
      <w:r>
        <w:rPr>
          <w:color w:val="58595B"/>
          <w:sz w:val="20"/>
        </w:rPr>
        <w:t>substances being discharged into stormwater drains such as oil, fuel or</w:t>
      </w:r>
      <w:r>
        <w:rPr>
          <w:color w:val="58595B"/>
          <w:spacing w:val="-6"/>
          <w:sz w:val="20"/>
        </w:rPr>
        <w:t xml:space="preserve"> </w:t>
      </w:r>
      <w:r>
        <w:rPr>
          <w:color w:val="58595B"/>
          <w:sz w:val="20"/>
        </w:rPr>
        <w:t>paint</w:t>
      </w:r>
    </w:p>
    <w:p w14:paraId="7DD001BA" w14:textId="77777777" w:rsidR="00160E7F" w:rsidRDefault="002B0299">
      <w:pPr>
        <w:pStyle w:val="ListParagraph"/>
        <w:numPr>
          <w:ilvl w:val="0"/>
          <w:numId w:val="25"/>
        </w:numPr>
        <w:tabs>
          <w:tab w:val="left" w:pos="305"/>
        </w:tabs>
        <w:spacing w:before="153"/>
        <w:ind w:hanging="170"/>
        <w:rPr>
          <w:sz w:val="20"/>
        </w:rPr>
      </w:pPr>
      <w:r>
        <w:rPr>
          <w:color w:val="58595B"/>
          <w:sz w:val="20"/>
        </w:rPr>
        <w:t>multiple fish deaths, indicating environmental stress, which may be caused by a</w:t>
      </w:r>
      <w:r>
        <w:rPr>
          <w:color w:val="58595B"/>
          <w:spacing w:val="-1"/>
          <w:sz w:val="20"/>
        </w:rPr>
        <w:t xml:space="preserve"> </w:t>
      </w:r>
      <w:r>
        <w:rPr>
          <w:color w:val="58595B"/>
          <w:sz w:val="20"/>
        </w:rPr>
        <w:t>pollutant</w:t>
      </w:r>
    </w:p>
    <w:p w14:paraId="2FDF4A7C" w14:textId="77777777" w:rsidR="00160E7F" w:rsidRDefault="002B0299">
      <w:pPr>
        <w:pStyle w:val="ListParagraph"/>
        <w:numPr>
          <w:ilvl w:val="0"/>
          <w:numId w:val="25"/>
        </w:numPr>
        <w:tabs>
          <w:tab w:val="left" w:pos="305"/>
        </w:tabs>
        <w:spacing w:before="153"/>
        <w:ind w:hanging="170"/>
        <w:rPr>
          <w:sz w:val="20"/>
        </w:rPr>
      </w:pPr>
      <w:r>
        <w:rPr>
          <w:color w:val="58595B"/>
          <w:sz w:val="20"/>
        </w:rPr>
        <w:t>excessive smoke from a</w:t>
      </w:r>
      <w:r>
        <w:rPr>
          <w:color w:val="58595B"/>
          <w:spacing w:val="-10"/>
          <w:sz w:val="20"/>
        </w:rPr>
        <w:t xml:space="preserve"> </w:t>
      </w:r>
      <w:r>
        <w:rPr>
          <w:color w:val="58595B"/>
          <w:sz w:val="20"/>
        </w:rPr>
        <w:t>vehicle</w:t>
      </w:r>
    </w:p>
    <w:p w14:paraId="24395216" w14:textId="77777777" w:rsidR="00160E7F" w:rsidRDefault="002B0299">
      <w:pPr>
        <w:pStyle w:val="ListParagraph"/>
        <w:numPr>
          <w:ilvl w:val="0"/>
          <w:numId w:val="25"/>
        </w:numPr>
        <w:tabs>
          <w:tab w:val="left" w:pos="305"/>
        </w:tabs>
        <w:spacing w:before="153"/>
        <w:ind w:hanging="170"/>
        <w:rPr>
          <w:sz w:val="20"/>
        </w:rPr>
      </w:pPr>
      <w:r>
        <w:rPr>
          <w:color w:val="58595B"/>
          <w:sz w:val="20"/>
        </w:rPr>
        <w:t>littering from a vehicle, such as a food packet, a lit or unlit cigarette</w:t>
      </w:r>
      <w:r>
        <w:rPr>
          <w:color w:val="58595B"/>
          <w:spacing w:val="3"/>
          <w:sz w:val="20"/>
        </w:rPr>
        <w:t xml:space="preserve"> </w:t>
      </w:r>
      <w:r>
        <w:rPr>
          <w:color w:val="58595B"/>
          <w:sz w:val="20"/>
        </w:rPr>
        <w:t>butt</w:t>
      </w:r>
    </w:p>
    <w:p w14:paraId="460EE411" w14:textId="77777777" w:rsidR="00160E7F" w:rsidRDefault="002B0299">
      <w:pPr>
        <w:pStyle w:val="ListParagraph"/>
        <w:numPr>
          <w:ilvl w:val="0"/>
          <w:numId w:val="25"/>
        </w:numPr>
        <w:tabs>
          <w:tab w:val="left" w:pos="305"/>
        </w:tabs>
        <w:spacing w:before="153"/>
        <w:ind w:hanging="170"/>
        <w:rPr>
          <w:sz w:val="20"/>
        </w:rPr>
      </w:pPr>
      <w:r>
        <w:rPr>
          <w:color w:val="58595B"/>
          <w:sz w:val="20"/>
        </w:rPr>
        <w:t>dumping</w:t>
      </w:r>
      <w:r>
        <w:rPr>
          <w:color w:val="58595B"/>
          <w:spacing w:val="-8"/>
          <w:sz w:val="20"/>
        </w:rPr>
        <w:t xml:space="preserve"> </w:t>
      </w:r>
      <w:r>
        <w:rPr>
          <w:color w:val="58595B"/>
          <w:sz w:val="20"/>
        </w:rPr>
        <w:t>waste</w:t>
      </w:r>
    </w:p>
    <w:p w14:paraId="4450445B" w14:textId="77777777" w:rsidR="00160E7F" w:rsidRDefault="002B0299">
      <w:pPr>
        <w:pStyle w:val="ListParagraph"/>
        <w:numPr>
          <w:ilvl w:val="0"/>
          <w:numId w:val="25"/>
        </w:numPr>
        <w:tabs>
          <w:tab w:val="left" w:pos="305"/>
        </w:tabs>
        <w:spacing w:before="153"/>
        <w:ind w:hanging="170"/>
        <w:rPr>
          <w:sz w:val="11"/>
        </w:rPr>
      </w:pPr>
      <w:r>
        <w:rPr>
          <w:color w:val="58595B"/>
          <w:sz w:val="20"/>
        </w:rPr>
        <w:t>inadequate storage or handling of chemicals or</w:t>
      </w:r>
      <w:r>
        <w:rPr>
          <w:color w:val="58595B"/>
          <w:spacing w:val="-4"/>
          <w:sz w:val="20"/>
        </w:rPr>
        <w:t xml:space="preserve"> </w:t>
      </w:r>
      <w:r>
        <w:rPr>
          <w:color w:val="58595B"/>
          <w:sz w:val="20"/>
        </w:rPr>
        <w:t>waste.</w:t>
      </w:r>
      <w:r>
        <w:rPr>
          <w:color w:val="58595B"/>
          <w:position w:val="7"/>
          <w:sz w:val="11"/>
        </w:rPr>
        <w:t>3</w:t>
      </w:r>
    </w:p>
    <w:p w14:paraId="565B2B47" w14:textId="77777777" w:rsidR="00160E7F" w:rsidRDefault="00160E7F">
      <w:pPr>
        <w:pStyle w:val="BodyText"/>
        <w:spacing w:before="3"/>
        <w:rPr>
          <w:sz w:val="18"/>
        </w:rPr>
      </w:pPr>
    </w:p>
    <w:p w14:paraId="029822EE" w14:textId="77777777" w:rsidR="00160E7F" w:rsidRDefault="002B0299">
      <w:pPr>
        <w:pStyle w:val="BodyText"/>
        <w:spacing w:line="280" w:lineRule="auto"/>
        <w:ind w:left="134" w:right="1433"/>
      </w:pPr>
      <w:r>
        <w:rPr>
          <w:color w:val="58595B"/>
        </w:rPr>
        <w:t>These issues require a range of proportionate responses, and often different responders. Some need a quick local response but may not involve high levels of risk. An authorised local government officer can issue a routine infringement notice. Others require highly technical and informed investigations, more suited to EPA officers. Some cases may even require emergency services. Having different responders is appropriate, depending on the nature of the risk.</w:t>
      </w:r>
    </w:p>
    <w:p w14:paraId="2180B9AA" w14:textId="77777777" w:rsidR="00160E7F" w:rsidRDefault="00160E7F">
      <w:pPr>
        <w:spacing w:line="280" w:lineRule="auto"/>
        <w:sectPr w:rsidR="00160E7F">
          <w:pgSz w:w="11910" w:h="16840"/>
          <w:pgMar w:top="980" w:right="0" w:bottom="280" w:left="1680" w:header="788" w:footer="0" w:gutter="0"/>
          <w:cols w:space="720"/>
        </w:sectPr>
      </w:pPr>
    </w:p>
    <w:p w14:paraId="625F60E3" w14:textId="77777777" w:rsidR="00160E7F" w:rsidRDefault="00160E7F">
      <w:pPr>
        <w:pStyle w:val="BodyText"/>
      </w:pPr>
    </w:p>
    <w:p w14:paraId="0014C2CE" w14:textId="77777777" w:rsidR="00160E7F" w:rsidRDefault="00160E7F">
      <w:pPr>
        <w:pStyle w:val="BodyText"/>
      </w:pPr>
    </w:p>
    <w:p w14:paraId="37820040" w14:textId="77777777" w:rsidR="00160E7F" w:rsidRDefault="00160E7F">
      <w:pPr>
        <w:pStyle w:val="BodyText"/>
      </w:pPr>
    </w:p>
    <w:p w14:paraId="11505F8F" w14:textId="77777777" w:rsidR="00160E7F" w:rsidRDefault="00160E7F">
      <w:pPr>
        <w:pStyle w:val="BodyText"/>
      </w:pPr>
    </w:p>
    <w:p w14:paraId="536EBCED" w14:textId="77777777" w:rsidR="00160E7F" w:rsidRDefault="00160E7F">
      <w:pPr>
        <w:pStyle w:val="BodyText"/>
        <w:spacing w:before="8"/>
        <w:rPr>
          <w:sz w:val="17"/>
        </w:rPr>
      </w:pPr>
    </w:p>
    <w:p w14:paraId="315C61B4" w14:textId="5C4591F2" w:rsidR="00160E7F" w:rsidRDefault="002B0299" w:rsidP="008C7B17">
      <w:pPr>
        <w:pStyle w:val="BodyText"/>
        <w:spacing w:before="1" w:line="280" w:lineRule="auto"/>
        <w:ind w:left="1417" w:right="500"/>
      </w:pPr>
      <w:r>
        <w:rPr>
          <w:color w:val="58595B"/>
        </w:rPr>
        <w:t>To be an effective regulator, the EPA must prioritise its responses; that is, it must apply a risk- based approach. To this end, the EPA has established a triage system to direct its resources to ‘… where the biggest difference can be made, or where the biggest risks to environment,</w:t>
      </w:r>
      <w:r w:rsidR="008C7B17">
        <w:br/>
      </w:r>
      <w:r>
        <w:rPr>
          <w:color w:val="58595B"/>
        </w:rPr>
        <w:t>health, safety or wellbeing can be managed.’</w:t>
      </w:r>
      <w:r>
        <w:rPr>
          <w:color w:val="58595B"/>
          <w:position w:val="7"/>
          <w:sz w:val="11"/>
        </w:rPr>
        <w:t xml:space="preserve">4 </w:t>
      </w:r>
      <w:r>
        <w:rPr>
          <w:color w:val="58595B"/>
        </w:rPr>
        <w:t>This approach provides assurance that the EPA is identifying and addressing the highest risks in a timely way. But it also means that many smaller scale issues are not addressed at all.</w:t>
      </w:r>
    </w:p>
    <w:p w14:paraId="401D0C09" w14:textId="77777777" w:rsidR="00160E7F" w:rsidRDefault="002B0299">
      <w:pPr>
        <w:spacing w:before="172" w:line="280" w:lineRule="auto"/>
        <w:ind w:left="1984" w:right="994"/>
        <w:rPr>
          <w:sz w:val="20"/>
        </w:rPr>
      </w:pPr>
      <w:r>
        <w:rPr>
          <w:i/>
          <w:color w:val="231F20"/>
          <w:sz w:val="20"/>
        </w:rPr>
        <w:t xml:space="preserve">Council’s experience has been that the EPA’s enforcement activities tend to focus on large, higher risk land uses (such as landfills) at the expense enforcing other allegations (such as developers removing potentially contaminated soil from development sites). While Council recognises that this is an outcome of the EPA’s risk-based enforcement approach, Council is of the view that more resources are required to effectively enforce the other allegations that may not be as high risk. Council’s experience is that the community expects EPA enforcement to occur regardless of the risk factor associated with the alleged non-compliance. </w:t>
      </w:r>
      <w:r>
        <w:rPr>
          <w:color w:val="231F20"/>
          <w:sz w:val="20"/>
        </w:rPr>
        <w:t>(City of Boroondara submission, pp. 3–4)</w:t>
      </w:r>
    </w:p>
    <w:p w14:paraId="35638059" w14:textId="77777777" w:rsidR="00160E7F" w:rsidRDefault="002B0299">
      <w:pPr>
        <w:pStyle w:val="BodyText"/>
        <w:spacing w:before="172" w:line="280" w:lineRule="auto"/>
        <w:ind w:left="1417" w:right="302"/>
        <w:jc w:val="both"/>
      </w:pPr>
      <w:r>
        <w:rPr>
          <w:color w:val="58595B"/>
        </w:rPr>
        <w:t>The EPA’s response to pollution reports also accounts for ‘… how likely it is that EPA can detect and mitigate [the] harm and prevent future harms’.</w:t>
      </w:r>
      <w:r>
        <w:rPr>
          <w:color w:val="58595B"/>
          <w:position w:val="7"/>
          <w:sz w:val="11"/>
        </w:rPr>
        <w:t xml:space="preserve">5 </w:t>
      </w:r>
      <w:r>
        <w:rPr>
          <w:color w:val="58595B"/>
        </w:rPr>
        <w:t>In practice, the EPA’s capacity to detect and mitigate is constrained because it does not have an extensive network of on-the-ground officers who can make early interventions and pursue compliance to prevent harms.</w:t>
      </w:r>
    </w:p>
    <w:p w14:paraId="453FB052" w14:textId="77777777" w:rsidR="00160E7F" w:rsidRDefault="002B0299">
      <w:pPr>
        <w:spacing w:before="172" w:line="280" w:lineRule="auto"/>
        <w:ind w:left="1984" w:right="642"/>
        <w:rPr>
          <w:sz w:val="20"/>
        </w:rPr>
      </w:pPr>
      <w:r>
        <w:rPr>
          <w:i/>
          <w:color w:val="231F20"/>
          <w:sz w:val="20"/>
        </w:rPr>
        <w:t xml:space="preserve">The lack of presence of EPA officers in the area … The time taken for an EPA officer to arrive onsite after the lodgement of a complaint, due to the size of the region and the placement of the regional office some 80 kilometres away, is known to polluters and thus poor practices are undertaken in the knowledge that an EPA response is often ‘hours late’. </w:t>
      </w:r>
      <w:r>
        <w:rPr>
          <w:color w:val="231F20"/>
          <w:sz w:val="20"/>
        </w:rPr>
        <w:t>(City of Wodonga submission, p. 1)</w:t>
      </w:r>
    </w:p>
    <w:p w14:paraId="375C1966" w14:textId="77777777" w:rsidR="00160E7F" w:rsidRDefault="002B0299">
      <w:pPr>
        <w:spacing w:before="172" w:line="280" w:lineRule="auto"/>
        <w:ind w:left="1984" w:right="642"/>
        <w:rPr>
          <w:sz w:val="20"/>
        </w:rPr>
      </w:pPr>
      <w:r>
        <w:rPr>
          <w:i/>
          <w:color w:val="231F20"/>
          <w:sz w:val="20"/>
        </w:rPr>
        <w:t xml:space="preserve">Our </w:t>
      </w:r>
      <w:r>
        <w:rPr>
          <w:i/>
          <w:color w:val="231F20"/>
          <w:spacing w:val="-3"/>
          <w:sz w:val="20"/>
        </w:rPr>
        <w:t xml:space="preserve">experience </w:t>
      </w:r>
      <w:r>
        <w:rPr>
          <w:i/>
          <w:color w:val="231F20"/>
          <w:sz w:val="20"/>
        </w:rPr>
        <w:t xml:space="preserve">is that it is near impossible to </w:t>
      </w:r>
      <w:r>
        <w:rPr>
          <w:i/>
          <w:color w:val="231F20"/>
          <w:spacing w:val="-4"/>
          <w:sz w:val="20"/>
        </w:rPr>
        <w:t xml:space="preserve">have </w:t>
      </w:r>
      <w:r>
        <w:rPr>
          <w:i/>
          <w:color w:val="231F20"/>
          <w:sz w:val="20"/>
        </w:rPr>
        <w:t xml:space="preserve">an </w:t>
      </w:r>
      <w:r>
        <w:rPr>
          <w:i/>
          <w:color w:val="231F20"/>
          <w:spacing w:val="-4"/>
          <w:sz w:val="20"/>
        </w:rPr>
        <w:t xml:space="preserve">EPA </w:t>
      </w:r>
      <w:r>
        <w:rPr>
          <w:i/>
          <w:color w:val="231F20"/>
          <w:sz w:val="20"/>
        </w:rPr>
        <w:t xml:space="preserve">Officer come out to </w:t>
      </w:r>
      <w:r>
        <w:rPr>
          <w:i/>
          <w:color w:val="231F20"/>
          <w:spacing w:val="-4"/>
          <w:sz w:val="20"/>
        </w:rPr>
        <w:t xml:space="preserve">Yarra </w:t>
      </w:r>
      <w:r>
        <w:rPr>
          <w:i/>
          <w:color w:val="231F20"/>
          <w:spacing w:val="-3"/>
          <w:sz w:val="20"/>
        </w:rPr>
        <w:t xml:space="preserve">Ranges </w:t>
      </w:r>
      <w:r>
        <w:rPr>
          <w:i/>
          <w:color w:val="231F20"/>
          <w:sz w:val="20"/>
        </w:rPr>
        <w:t xml:space="preserve">to </w:t>
      </w:r>
      <w:r>
        <w:rPr>
          <w:i/>
          <w:color w:val="231F20"/>
          <w:spacing w:val="-3"/>
          <w:sz w:val="20"/>
        </w:rPr>
        <w:t xml:space="preserve">investigate </w:t>
      </w:r>
      <w:r>
        <w:rPr>
          <w:i/>
          <w:color w:val="231F20"/>
          <w:sz w:val="20"/>
        </w:rPr>
        <w:t xml:space="preserve">a matter where </w:t>
      </w:r>
      <w:r>
        <w:rPr>
          <w:i/>
          <w:color w:val="231F20"/>
          <w:spacing w:val="-3"/>
          <w:sz w:val="20"/>
        </w:rPr>
        <w:t xml:space="preserve">they </w:t>
      </w:r>
      <w:r>
        <w:rPr>
          <w:i/>
          <w:color w:val="231F20"/>
          <w:spacing w:val="-4"/>
          <w:sz w:val="20"/>
        </w:rPr>
        <w:t xml:space="preserve">have </w:t>
      </w:r>
      <w:r>
        <w:rPr>
          <w:i/>
          <w:color w:val="231F20"/>
          <w:spacing w:val="-2"/>
          <w:sz w:val="20"/>
        </w:rPr>
        <w:t xml:space="preserve">powers </w:t>
      </w:r>
      <w:r>
        <w:rPr>
          <w:i/>
          <w:color w:val="231F20"/>
          <w:sz w:val="20"/>
        </w:rPr>
        <w:t xml:space="preserve">to Act and where Council Officers </w:t>
      </w:r>
      <w:r>
        <w:rPr>
          <w:i/>
          <w:color w:val="231F20"/>
          <w:spacing w:val="-3"/>
          <w:sz w:val="20"/>
        </w:rPr>
        <w:t xml:space="preserve">haven’t. </w:t>
      </w:r>
      <w:r>
        <w:rPr>
          <w:i/>
          <w:color w:val="231F20"/>
          <w:sz w:val="20"/>
        </w:rPr>
        <w:t xml:space="preserve">This is frustrating when Council </w:t>
      </w:r>
      <w:r>
        <w:rPr>
          <w:i/>
          <w:color w:val="231F20"/>
          <w:spacing w:val="-3"/>
          <w:sz w:val="20"/>
        </w:rPr>
        <w:t xml:space="preserve">receives </w:t>
      </w:r>
      <w:r>
        <w:rPr>
          <w:i/>
          <w:color w:val="231F20"/>
          <w:sz w:val="20"/>
        </w:rPr>
        <w:t xml:space="preserve">and is compelled to manage the complainants </w:t>
      </w:r>
      <w:r>
        <w:rPr>
          <w:i/>
          <w:color w:val="231F20"/>
          <w:spacing w:val="-3"/>
          <w:sz w:val="20"/>
        </w:rPr>
        <w:t xml:space="preserve">expectations. </w:t>
      </w:r>
      <w:r>
        <w:rPr>
          <w:color w:val="231F20"/>
          <w:spacing w:val="-3"/>
          <w:sz w:val="20"/>
        </w:rPr>
        <w:t xml:space="preserve">(Yarra </w:t>
      </w:r>
      <w:r>
        <w:rPr>
          <w:color w:val="231F20"/>
          <w:sz w:val="20"/>
        </w:rPr>
        <w:t xml:space="preserve">Ranges Shire Council submission, </w:t>
      </w:r>
      <w:r>
        <w:rPr>
          <w:color w:val="231F20"/>
          <w:spacing w:val="-3"/>
          <w:sz w:val="20"/>
        </w:rPr>
        <w:t xml:space="preserve">p. </w:t>
      </w:r>
      <w:r>
        <w:rPr>
          <w:color w:val="231F20"/>
          <w:spacing w:val="-5"/>
          <w:sz w:val="20"/>
        </w:rPr>
        <w:t>2)</w:t>
      </w:r>
    </w:p>
    <w:p w14:paraId="63472F33" w14:textId="77777777" w:rsidR="00160E7F" w:rsidRDefault="00160E7F">
      <w:pPr>
        <w:pStyle w:val="BodyText"/>
        <w:spacing w:before="4"/>
        <w:rPr>
          <w:sz w:val="22"/>
        </w:rPr>
      </w:pPr>
    </w:p>
    <w:p w14:paraId="3CEAACDE" w14:textId="77777777" w:rsidR="00160E7F" w:rsidRDefault="002B0299">
      <w:pPr>
        <w:pStyle w:val="ListParagraph"/>
        <w:numPr>
          <w:ilvl w:val="2"/>
          <w:numId w:val="5"/>
        </w:numPr>
        <w:tabs>
          <w:tab w:val="left" w:pos="2055"/>
        </w:tabs>
        <w:spacing w:before="0"/>
        <w:ind w:hanging="637"/>
        <w:rPr>
          <w:sz w:val="20"/>
        </w:rPr>
      </w:pPr>
      <w:r>
        <w:rPr>
          <w:color w:val="0095A7"/>
          <w:sz w:val="20"/>
        </w:rPr>
        <w:t>Limitations in current response</w:t>
      </w:r>
      <w:r>
        <w:rPr>
          <w:color w:val="0095A7"/>
          <w:spacing w:val="7"/>
          <w:sz w:val="20"/>
        </w:rPr>
        <w:t xml:space="preserve"> </w:t>
      </w:r>
      <w:r>
        <w:rPr>
          <w:color w:val="0095A7"/>
          <w:sz w:val="20"/>
        </w:rPr>
        <w:t>model</w:t>
      </w:r>
    </w:p>
    <w:p w14:paraId="11F6855C" w14:textId="77777777" w:rsidR="00160E7F" w:rsidRDefault="002B0299">
      <w:pPr>
        <w:pStyle w:val="BodyText"/>
        <w:spacing w:before="153" w:line="280" w:lineRule="auto"/>
        <w:ind w:left="1417" w:right="189"/>
        <w:rPr>
          <w:sz w:val="11"/>
        </w:rPr>
      </w:pPr>
      <w:r>
        <w:rPr>
          <w:color w:val="58595B"/>
        </w:rPr>
        <w:t xml:space="preserve">Currently, the EPA and local government share responsibility for small scale pollution response. This approach is appropriate in principle, but there are a number of deficiencies in its current application. Local governments act under the provisions of the </w:t>
      </w:r>
      <w:r>
        <w:rPr>
          <w:i/>
          <w:color w:val="58595B"/>
        </w:rPr>
        <w:t xml:space="preserve">Public Health and Wellbeing Act 2008 </w:t>
      </w:r>
      <w:r>
        <w:rPr>
          <w:color w:val="58595B"/>
        </w:rPr>
        <w:t>(PHWB Act) relating to ‘nuisance’; they also exercise limited powers relating to septic tanks, litter and noise under the EP Act.</w:t>
      </w:r>
      <w:r>
        <w:rPr>
          <w:color w:val="58595B"/>
          <w:position w:val="7"/>
          <w:sz w:val="11"/>
        </w:rPr>
        <w:t>6</w:t>
      </w:r>
    </w:p>
    <w:p w14:paraId="3966E38D" w14:textId="77777777" w:rsidR="00160E7F" w:rsidRDefault="002B0299">
      <w:pPr>
        <w:pStyle w:val="BodyText"/>
        <w:spacing w:before="172" w:line="280" w:lineRule="auto"/>
        <w:ind w:left="1417" w:right="789"/>
      </w:pPr>
      <w:r>
        <w:rPr>
          <w:color w:val="58595B"/>
        </w:rPr>
        <w:t>Local government authorities reported they find it difficult to discharge even these limited environmental functions due to:</w:t>
      </w:r>
    </w:p>
    <w:p w14:paraId="3B347CDA" w14:textId="77777777" w:rsidR="00160E7F" w:rsidRDefault="002B0299">
      <w:pPr>
        <w:pStyle w:val="ListParagraph"/>
        <w:numPr>
          <w:ilvl w:val="1"/>
          <w:numId w:val="25"/>
        </w:numPr>
        <w:tabs>
          <w:tab w:val="left" w:pos="1588"/>
        </w:tabs>
        <w:spacing w:before="115"/>
        <w:ind w:hanging="170"/>
        <w:rPr>
          <w:sz w:val="20"/>
        </w:rPr>
      </w:pPr>
      <w:r>
        <w:rPr>
          <w:color w:val="58595B"/>
          <w:sz w:val="20"/>
        </w:rPr>
        <w:t>a lack of defined statutory powers to address pollution</w:t>
      </w:r>
      <w:r>
        <w:rPr>
          <w:color w:val="58595B"/>
          <w:spacing w:val="13"/>
          <w:sz w:val="20"/>
        </w:rPr>
        <w:t xml:space="preserve"> </w:t>
      </w:r>
      <w:r>
        <w:rPr>
          <w:color w:val="58595B"/>
          <w:sz w:val="20"/>
        </w:rPr>
        <w:t>complaints</w:t>
      </w:r>
    </w:p>
    <w:p w14:paraId="67A68EDC" w14:textId="77777777" w:rsidR="00160E7F" w:rsidRDefault="002B0299">
      <w:pPr>
        <w:pStyle w:val="ListParagraph"/>
        <w:numPr>
          <w:ilvl w:val="1"/>
          <w:numId w:val="25"/>
        </w:numPr>
        <w:tabs>
          <w:tab w:val="left" w:pos="1588"/>
        </w:tabs>
        <w:spacing w:before="153"/>
        <w:ind w:hanging="170"/>
        <w:rPr>
          <w:sz w:val="11"/>
        </w:rPr>
      </w:pPr>
      <w:r>
        <w:rPr>
          <w:color w:val="58595B"/>
          <w:sz w:val="20"/>
        </w:rPr>
        <w:t>poorly defined powers under the PHWB</w:t>
      </w:r>
      <w:r>
        <w:rPr>
          <w:color w:val="58595B"/>
          <w:spacing w:val="9"/>
          <w:sz w:val="20"/>
        </w:rPr>
        <w:t xml:space="preserve"> </w:t>
      </w:r>
      <w:r>
        <w:rPr>
          <w:color w:val="58595B"/>
          <w:sz w:val="20"/>
        </w:rPr>
        <w:t>Act.</w:t>
      </w:r>
      <w:r>
        <w:rPr>
          <w:color w:val="58595B"/>
          <w:position w:val="7"/>
          <w:sz w:val="11"/>
        </w:rPr>
        <w:t>7</w:t>
      </w:r>
    </w:p>
    <w:p w14:paraId="7BC37BB0" w14:textId="77777777" w:rsidR="00160E7F" w:rsidRDefault="002B0299">
      <w:pPr>
        <w:spacing w:before="125" w:line="280" w:lineRule="auto"/>
        <w:ind w:left="1587" w:right="642"/>
        <w:rPr>
          <w:sz w:val="20"/>
        </w:rPr>
      </w:pPr>
      <w:r>
        <w:rPr>
          <w:i/>
          <w:color w:val="231F20"/>
          <w:sz w:val="20"/>
        </w:rPr>
        <w:t xml:space="preserve">Council considers that it would be appropriate to review the offences under the Environment Protection Act </w:t>
      </w:r>
      <w:r>
        <w:rPr>
          <w:i/>
          <w:color w:val="231F20"/>
          <w:spacing w:val="-4"/>
          <w:sz w:val="20"/>
        </w:rPr>
        <w:t xml:space="preserve">1970 </w:t>
      </w:r>
      <w:r>
        <w:rPr>
          <w:i/>
          <w:color w:val="231F20"/>
          <w:sz w:val="20"/>
        </w:rPr>
        <w:t xml:space="preserve">and the [Public] Health and Wellbeing Act </w:t>
      </w:r>
      <w:r>
        <w:rPr>
          <w:i/>
          <w:color w:val="231F20"/>
          <w:spacing w:val="2"/>
          <w:sz w:val="20"/>
        </w:rPr>
        <w:t xml:space="preserve">2008 </w:t>
      </w:r>
      <w:r>
        <w:rPr>
          <w:i/>
          <w:color w:val="231F20"/>
          <w:sz w:val="20"/>
        </w:rPr>
        <w:t>so that clear</w:t>
      </w:r>
      <w:r>
        <w:rPr>
          <w:i/>
          <w:color w:val="231F20"/>
          <w:spacing w:val="-8"/>
          <w:sz w:val="20"/>
        </w:rPr>
        <w:t xml:space="preserve"> </w:t>
      </w:r>
      <w:r>
        <w:rPr>
          <w:i/>
          <w:color w:val="231F20"/>
          <w:sz w:val="20"/>
        </w:rPr>
        <w:t>delineation</w:t>
      </w:r>
      <w:r>
        <w:rPr>
          <w:i/>
          <w:color w:val="231F20"/>
          <w:spacing w:val="-8"/>
          <w:sz w:val="20"/>
        </w:rPr>
        <w:t xml:space="preserve"> </w:t>
      </w:r>
      <w:r>
        <w:rPr>
          <w:i/>
          <w:color w:val="231F20"/>
          <w:sz w:val="20"/>
        </w:rPr>
        <w:t>of</w:t>
      </w:r>
      <w:r>
        <w:rPr>
          <w:i/>
          <w:color w:val="231F20"/>
          <w:spacing w:val="-12"/>
          <w:sz w:val="20"/>
        </w:rPr>
        <w:t xml:space="preserve"> </w:t>
      </w:r>
      <w:r>
        <w:rPr>
          <w:i/>
          <w:color w:val="231F20"/>
          <w:sz w:val="20"/>
        </w:rPr>
        <w:t>enforcement</w:t>
      </w:r>
      <w:r>
        <w:rPr>
          <w:i/>
          <w:color w:val="231F20"/>
          <w:spacing w:val="-12"/>
          <w:sz w:val="20"/>
        </w:rPr>
        <w:t xml:space="preserve"> </w:t>
      </w:r>
      <w:r>
        <w:rPr>
          <w:i/>
          <w:color w:val="231F20"/>
          <w:sz w:val="20"/>
        </w:rPr>
        <w:t>responsibilities</w:t>
      </w:r>
      <w:r>
        <w:rPr>
          <w:i/>
          <w:color w:val="231F20"/>
          <w:spacing w:val="-12"/>
          <w:sz w:val="20"/>
        </w:rPr>
        <w:t xml:space="preserve"> </w:t>
      </w:r>
      <w:r>
        <w:rPr>
          <w:i/>
          <w:color w:val="231F20"/>
          <w:sz w:val="20"/>
        </w:rPr>
        <w:t>is</w:t>
      </w:r>
      <w:r>
        <w:rPr>
          <w:i/>
          <w:color w:val="231F20"/>
          <w:spacing w:val="-12"/>
          <w:sz w:val="20"/>
        </w:rPr>
        <w:t xml:space="preserve"> </w:t>
      </w:r>
      <w:r>
        <w:rPr>
          <w:i/>
          <w:color w:val="231F20"/>
          <w:sz w:val="20"/>
        </w:rPr>
        <w:t>provided.</w:t>
      </w:r>
      <w:r>
        <w:rPr>
          <w:i/>
          <w:color w:val="231F20"/>
          <w:spacing w:val="-12"/>
          <w:sz w:val="20"/>
        </w:rPr>
        <w:t xml:space="preserve"> </w:t>
      </w:r>
      <w:r>
        <w:rPr>
          <w:i/>
          <w:color w:val="231F20"/>
          <w:sz w:val="20"/>
        </w:rPr>
        <w:t>While</w:t>
      </w:r>
      <w:r>
        <w:rPr>
          <w:i/>
          <w:color w:val="231F20"/>
          <w:spacing w:val="-12"/>
          <w:sz w:val="20"/>
        </w:rPr>
        <w:t xml:space="preserve"> </w:t>
      </w:r>
      <w:r>
        <w:rPr>
          <w:i/>
          <w:color w:val="231F20"/>
          <w:sz w:val="20"/>
        </w:rPr>
        <w:t>it</w:t>
      </w:r>
      <w:r>
        <w:rPr>
          <w:i/>
          <w:color w:val="231F20"/>
          <w:spacing w:val="-12"/>
          <w:sz w:val="20"/>
        </w:rPr>
        <w:t xml:space="preserve"> </w:t>
      </w:r>
      <w:r>
        <w:rPr>
          <w:i/>
          <w:color w:val="231F20"/>
          <w:spacing w:val="-3"/>
          <w:sz w:val="20"/>
        </w:rPr>
        <w:t>may</w:t>
      </w:r>
      <w:r>
        <w:rPr>
          <w:i/>
          <w:color w:val="231F20"/>
          <w:spacing w:val="-12"/>
          <w:sz w:val="20"/>
        </w:rPr>
        <w:t xml:space="preserve"> </w:t>
      </w:r>
      <w:r>
        <w:rPr>
          <w:i/>
          <w:color w:val="231F20"/>
          <w:sz w:val="20"/>
        </w:rPr>
        <w:t>be</w:t>
      </w:r>
      <w:r>
        <w:rPr>
          <w:i/>
          <w:color w:val="231F20"/>
          <w:spacing w:val="-12"/>
          <w:sz w:val="20"/>
        </w:rPr>
        <w:t xml:space="preserve"> </w:t>
      </w:r>
      <w:r>
        <w:rPr>
          <w:i/>
          <w:color w:val="231F20"/>
          <w:sz w:val="20"/>
        </w:rPr>
        <w:t>appropriate</w:t>
      </w:r>
      <w:r>
        <w:rPr>
          <w:i/>
          <w:color w:val="231F20"/>
          <w:spacing w:val="-12"/>
          <w:sz w:val="20"/>
        </w:rPr>
        <w:t xml:space="preserve"> </w:t>
      </w:r>
      <w:r>
        <w:rPr>
          <w:i/>
          <w:color w:val="231F20"/>
          <w:sz w:val="20"/>
        </w:rPr>
        <w:t xml:space="preserve">to increase the enforcement responsibilities and powers for local government (for example enforcement of SEPPs) this should be met with a commensurate increase in funding for local government. </w:t>
      </w:r>
      <w:r>
        <w:rPr>
          <w:color w:val="231F20"/>
          <w:sz w:val="20"/>
        </w:rPr>
        <w:t>(City of Boroondara submission, p.</w:t>
      </w:r>
      <w:r>
        <w:rPr>
          <w:color w:val="231F20"/>
          <w:spacing w:val="-8"/>
          <w:sz w:val="20"/>
        </w:rPr>
        <w:t xml:space="preserve"> </w:t>
      </w:r>
      <w:r>
        <w:rPr>
          <w:color w:val="231F20"/>
          <w:spacing w:val="-4"/>
          <w:sz w:val="20"/>
        </w:rPr>
        <w:t>3)</w:t>
      </w:r>
    </w:p>
    <w:p w14:paraId="156D131D" w14:textId="77777777" w:rsidR="00160E7F" w:rsidRDefault="00160E7F">
      <w:pPr>
        <w:spacing w:line="280" w:lineRule="auto"/>
        <w:rPr>
          <w:sz w:val="20"/>
        </w:rPr>
        <w:sectPr w:rsidR="00160E7F">
          <w:pgSz w:w="11910" w:h="16840"/>
          <w:pgMar w:top="980" w:right="1680" w:bottom="280" w:left="0" w:header="788" w:footer="0" w:gutter="0"/>
          <w:cols w:space="720"/>
        </w:sectPr>
      </w:pPr>
    </w:p>
    <w:p w14:paraId="148302E6" w14:textId="77777777" w:rsidR="00160E7F" w:rsidRDefault="00160E7F">
      <w:pPr>
        <w:pStyle w:val="BodyText"/>
      </w:pPr>
    </w:p>
    <w:p w14:paraId="0112F059" w14:textId="77777777" w:rsidR="00160E7F" w:rsidRDefault="00160E7F">
      <w:pPr>
        <w:pStyle w:val="BodyText"/>
      </w:pPr>
    </w:p>
    <w:p w14:paraId="4E9B420D" w14:textId="77777777" w:rsidR="00160E7F" w:rsidRDefault="00160E7F">
      <w:pPr>
        <w:pStyle w:val="BodyText"/>
      </w:pPr>
    </w:p>
    <w:p w14:paraId="3541BDA6" w14:textId="77777777" w:rsidR="00160E7F" w:rsidRDefault="00160E7F">
      <w:pPr>
        <w:pStyle w:val="BodyText"/>
      </w:pPr>
    </w:p>
    <w:p w14:paraId="36154ED7" w14:textId="77777777" w:rsidR="00160E7F" w:rsidRDefault="00160E7F">
      <w:pPr>
        <w:pStyle w:val="BodyText"/>
        <w:spacing w:before="8"/>
        <w:rPr>
          <w:sz w:val="17"/>
        </w:rPr>
      </w:pPr>
    </w:p>
    <w:p w14:paraId="6A7E5729" w14:textId="77777777" w:rsidR="00160E7F" w:rsidRDefault="002B0299">
      <w:pPr>
        <w:pStyle w:val="BodyText"/>
        <w:spacing w:before="1" w:line="280" w:lineRule="auto"/>
        <w:ind w:left="134" w:right="1433"/>
      </w:pPr>
      <w:r>
        <w:rPr>
          <w:color w:val="58595B"/>
        </w:rPr>
        <w:t>Local governments also lack specialised resources and skills. In particular, council officers do not have access to EPA’s specialist resources to support local compliance and enforcement activity. These limitations were raised with us by a number of councils:</w:t>
      </w:r>
    </w:p>
    <w:p w14:paraId="0BE29D8F" w14:textId="77777777" w:rsidR="00160E7F" w:rsidRDefault="002B0299">
      <w:pPr>
        <w:spacing w:before="172" w:line="280" w:lineRule="auto"/>
        <w:ind w:left="701" w:right="1716"/>
        <w:rPr>
          <w:sz w:val="20"/>
        </w:rPr>
      </w:pPr>
      <w:r>
        <w:rPr>
          <w:i/>
          <w:color w:val="231F20"/>
          <w:sz w:val="20"/>
        </w:rPr>
        <w:t xml:space="preserve">Council considers it important that the </w:t>
      </w:r>
      <w:r>
        <w:rPr>
          <w:i/>
          <w:color w:val="231F20"/>
          <w:spacing w:val="-4"/>
          <w:sz w:val="20"/>
        </w:rPr>
        <w:t xml:space="preserve">EPA </w:t>
      </w:r>
      <w:r>
        <w:rPr>
          <w:i/>
          <w:color w:val="231F20"/>
          <w:sz w:val="20"/>
        </w:rPr>
        <w:t xml:space="preserve">is responsive to </w:t>
      </w:r>
      <w:r>
        <w:rPr>
          <w:i/>
          <w:color w:val="231F20"/>
          <w:spacing w:val="-3"/>
          <w:sz w:val="20"/>
        </w:rPr>
        <w:t xml:space="preserve">requests </w:t>
      </w:r>
      <w:r>
        <w:rPr>
          <w:i/>
          <w:color w:val="231F20"/>
          <w:sz w:val="20"/>
        </w:rPr>
        <w:t xml:space="preserve">for advice </w:t>
      </w:r>
      <w:r>
        <w:rPr>
          <w:i/>
          <w:color w:val="231F20"/>
          <w:spacing w:val="-3"/>
          <w:sz w:val="20"/>
        </w:rPr>
        <w:t xml:space="preserve">and </w:t>
      </w:r>
      <w:r>
        <w:rPr>
          <w:i/>
          <w:color w:val="231F20"/>
          <w:sz w:val="20"/>
        </w:rPr>
        <w:t xml:space="preserve">assistance in a timely </w:t>
      </w:r>
      <w:r>
        <w:rPr>
          <w:i/>
          <w:color w:val="231F20"/>
          <w:spacing w:val="-2"/>
          <w:sz w:val="20"/>
        </w:rPr>
        <w:t xml:space="preserve">manner </w:t>
      </w:r>
      <w:r>
        <w:rPr>
          <w:i/>
          <w:color w:val="231F20"/>
          <w:sz w:val="20"/>
        </w:rPr>
        <w:t xml:space="preserve">when dealing with </w:t>
      </w:r>
      <w:r>
        <w:rPr>
          <w:i/>
          <w:color w:val="231F20"/>
          <w:spacing w:val="-3"/>
          <w:sz w:val="20"/>
        </w:rPr>
        <w:t xml:space="preserve">environmental hazards, </w:t>
      </w:r>
      <w:r>
        <w:rPr>
          <w:i/>
          <w:color w:val="231F20"/>
          <w:sz w:val="20"/>
        </w:rPr>
        <w:t xml:space="preserve">to </w:t>
      </w:r>
      <w:r>
        <w:rPr>
          <w:i/>
          <w:color w:val="231F20"/>
          <w:spacing w:val="-2"/>
          <w:sz w:val="20"/>
        </w:rPr>
        <w:t xml:space="preserve">ensure </w:t>
      </w:r>
      <w:r>
        <w:rPr>
          <w:i/>
          <w:color w:val="231F20"/>
          <w:sz w:val="20"/>
        </w:rPr>
        <w:t xml:space="preserve">appropriate and timely action is </w:t>
      </w:r>
      <w:r>
        <w:rPr>
          <w:i/>
          <w:color w:val="231F20"/>
          <w:spacing w:val="-3"/>
          <w:sz w:val="20"/>
        </w:rPr>
        <w:t xml:space="preserve">taken </w:t>
      </w:r>
      <w:r>
        <w:rPr>
          <w:i/>
          <w:color w:val="231F20"/>
          <w:sz w:val="20"/>
        </w:rPr>
        <w:t xml:space="preserve">where necessary to minimise </w:t>
      </w:r>
      <w:r>
        <w:rPr>
          <w:i/>
          <w:color w:val="231F20"/>
          <w:spacing w:val="-3"/>
          <w:sz w:val="20"/>
        </w:rPr>
        <w:t xml:space="preserve">environmental impacts resulting </w:t>
      </w:r>
      <w:r>
        <w:rPr>
          <w:i/>
          <w:color w:val="231F20"/>
          <w:sz w:val="20"/>
        </w:rPr>
        <w:t xml:space="preserve">from </w:t>
      </w:r>
      <w:r>
        <w:rPr>
          <w:i/>
          <w:color w:val="231F20"/>
          <w:spacing w:val="-5"/>
          <w:sz w:val="20"/>
        </w:rPr>
        <w:t xml:space="preserve">events </w:t>
      </w:r>
      <w:r>
        <w:rPr>
          <w:i/>
          <w:color w:val="231F20"/>
          <w:spacing w:val="-3"/>
          <w:sz w:val="20"/>
        </w:rPr>
        <w:t xml:space="preserve">and accidents. </w:t>
      </w:r>
      <w:r>
        <w:rPr>
          <w:color w:val="231F20"/>
          <w:spacing w:val="-3"/>
          <w:sz w:val="20"/>
        </w:rPr>
        <w:t xml:space="preserve">(Pyrenees Shire Council submission, </w:t>
      </w:r>
      <w:r>
        <w:rPr>
          <w:color w:val="231F20"/>
          <w:spacing w:val="-4"/>
          <w:sz w:val="20"/>
        </w:rPr>
        <w:t xml:space="preserve">p. </w:t>
      </w:r>
      <w:r>
        <w:rPr>
          <w:color w:val="231F20"/>
          <w:spacing w:val="-9"/>
          <w:sz w:val="20"/>
        </w:rPr>
        <w:t>1)</w:t>
      </w:r>
    </w:p>
    <w:p w14:paraId="0FC32C60" w14:textId="77777777" w:rsidR="00160E7F" w:rsidRDefault="002B0299">
      <w:pPr>
        <w:spacing w:before="172" w:line="280" w:lineRule="auto"/>
        <w:ind w:left="701" w:right="1433"/>
        <w:rPr>
          <w:sz w:val="20"/>
        </w:rPr>
      </w:pPr>
      <w:r>
        <w:rPr>
          <w:i/>
          <w:color w:val="231F20"/>
          <w:sz w:val="20"/>
        </w:rPr>
        <w:t xml:space="preserve">Environmental Health officers look to the EPA to provide more specific and specialist advice. </w:t>
      </w:r>
      <w:r>
        <w:rPr>
          <w:color w:val="231F20"/>
          <w:sz w:val="20"/>
        </w:rPr>
        <w:t>(Baw Baw Shire Council submission, p.1)</w:t>
      </w:r>
    </w:p>
    <w:p w14:paraId="4D8A25E8" w14:textId="77777777" w:rsidR="00160E7F" w:rsidRDefault="002B0299">
      <w:pPr>
        <w:pStyle w:val="BodyText"/>
        <w:spacing w:before="172" w:line="280" w:lineRule="auto"/>
        <w:ind w:left="134" w:right="1433"/>
      </w:pPr>
      <w:r>
        <w:rPr>
          <w:color w:val="58595B"/>
        </w:rPr>
        <w:t>At the same time, the EPA has around 90 officers operating on-the-ground across the state, of which around 50 are located in the four non-metropolitan regional offices. This illustrates the real challenges the EPA faces in responding to pollution and waste concerns effectively. And perhaps explains why the community perceives a gap in protection. This situation is both a system and</w:t>
      </w:r>
    </w:p>
    <w:p w14:paraId="47DD169D" w14:textId="77777777" w:rsidR="00160E7F" w:rsidRDefault="002B0299">
      <w:pPr>
        <w:pStyle w:val="BodyText"/>
        <w:spacing w:before="2"/>
        <w:ind w:left="134" w:right="789"/>
      </w:pPr>
      <w:r>
        <w:rPr>
          <w:color w:val="58595B"/>
        </w:rPr>
        <w:t>a resourcing problem.</w:t>
      </w:r>
    </w:p>
    <w:p w14:paraId="07B95D01" w14:textId="77777777" w:rsidR="00160E7F" w:rsidRDefault="00160E7F">
      <w:pPr>
        <w:pStyle w:val="BodyText"/>
        <w:spacing w:before="3"/>
        <w:rPr>
          <w:sz w:val="18"/>
        </w:rPr>
      </w:pPr>
    </w:p>
    <w:p w14:paraId="6D31AC47" w14:textId="77777777" w:rsidR="00160E7F" w:rsidRDefault="002B0299">
      <w:pPr>
        <w:pStyle w:val="BodyText"/>
        <w:spacing w:line="280" w:lineRule="auto"/>
        <w:ind w:left="134" w:right="1716"/>
      </w:pPr>
      <w:r>
        <w:rPr>
          <w:color w:val="58595B"/>
        </w:rPr>
        <w:t>For the community, the lack of response is exacerbated by confusion about roles and a sense that no one seems to be in charge. Without changes to the current regulatory arrangements, neither the EPA nor local government can meet community expectations. The Municipal Association of Victoria commented in its submission:</w:t>
      </w:r>
    </w:p>
    <w:p w14:paraId="25AB137C" w14:textId="77777777" w:rsidR="00160E7F" w:rsidRDefault="002B0299">
      <w:pPr>
        <w:spacing w:before="172" w:line="280" w:lineRule="auto"/>
        <w:ind w:left="701" w:right="1947"/>
        <w:rPr>
          <w:sz w:val="20"/>
        </w:rPr>
      </w:pPr>
      <w:r>
        <w:rPr>
          <w:i/>
          <w:color w:val="231F20"/>
          <w:sz w:val="20"/>
        </w:rPr>
        <w:t xml:space="preserve">The regulation of noise and odour causes significant workload for councils. Councils receive many complaints from the community about these issues and there is a lack of clarity about when matters should be addressed by the EPA and when they are the responsibility of local government. </w:t>
      </w:r>
      <w:r>
        <w:rPr>
          <w:color w:val="231F20"/>
          <w:sz w:val="20"/>
        </w:rPr>
        <w:t>(Municipal Association of Victoria submission, p. 7)</w:t>
      </w:r>
    </w:p>
    <w:p w14:paraId="2F1740E8" w14:textId="77777777" w:rsidR="00160E7F" w:rsidRDefault="002B0299">
      <w:pPr>
        <w:pStyle w:val="BodyText"/>
        <w:spacing w:before="172" w:line="458" w:lineRule="auto"/>
        <w:ind w:left="134" w:right="1900"/>
      </w:pPr>
      <w:r>
        <w:rPr>
          <w:color w:val="58595B"/>
        </w:rPr>
        <w:t>The complex arrangements relating to noise pollution demonstrate the problem (box 18.1). The distribution of responsibilities creates several problems:</w:t>
      </w:r>
    </w:p>
    <w:p w14:paraId="2A21DB59" w14:textId="77777777" w:rsidR="00160E7F" w:rsidRDefault="002B0299">
      <w:pPr>
        <w:pStyle w:val="ListParagraph"/>
        <w:numPr>
          <w:ilvl w:val="0"/>
          <w:numId w:val="25"/>
        </w:numPr>
        <w:tabs>
          <w:tab w:val="left" w:pos="305"/>
        </w:tabs>
        <w:spacing w:before="0" w:line="180" w:lineRule="exact"/>
        <w:ind w:hanging="170"/>
        <w:rPr>
          <w:sz w:val="20"/>
        </w:rPr>
      </w:pPr>
      <w:r>
        <w:rPr>
          <w:color w:val="58595B"/>
          <w:sz w:val="20"/>
        </w:rPr>
        <w:t>Standards vary across noise types, including both ‘general’ and ‘technical’</w:t>
      </w:r>
      <w:r>
        <w:rPr>
          <w:color w:val="58595B"/>
          <w:spacing w:val="19"/>
          <w:sz w:val="20"/>
        </w:rPr>
        <w:t xml:space="preserve"> </w:t>
      </w:r>
      <w:r>
        <w:rPr>
          <w:color w:val="58595B"/>
          <w:sz w:val="20"/>
        </w:rPr>
        <w:t>standards.</w:t>
      </w:r>
    </w:p>
    <w:p w14:paraId="6FE8C1B7" w14:textId="77777777" w:rsidR="00160E7F" w:rsidRDefault="002B0299">
      <w:pPr>
        <w:pStyle w:val="ListParagraph"/>
        <w:numPr>
          <w:ilvl w:val="0"/>
          <w:numId w:val="25"/>
        </w:numPr>
        <w:tabs>
          <w:tab w:val="left" w:pos="305"/>
        </w:tabs>
        <w:spacing w:before="153" w:line="280" w:lineRule="auto"/>
        <w:ind w:right="2070" w:hanging="170"/>
        <w:rPr>
          <w:sz w:val="20"/>
        </w:rPr>
      </w:pPr>
      <w:r>
        <w:rPr>
          <w:color w:val="58595B"/>
          <w:sz w:val="20"/>
        </w:rPr>
        <w:t>The EP Act uses a different test and description of ‘unreasonable noise’ than that used for ‘nuisance’ under the Public Health and Well Being Act, creating confusion at the local compliance</w:t>
      </w:r>
      <w:r>
        <w:rPr>
          <w:color w:val="58595B"/>
          <w:spacing w:val="-3"/>
          <w:sz w:val="20"/>
        </w:rPr>
        <w:t xml:space="preserve"> </w:t>
      </w:r>
      <w:r>
        <w:rPr>
          <w:color w:val="58595B"/>
          <w:sz w:val="20"/>
        </w:rPr>
        <w:t>level.</w:t>
      </w:r>
    </w:p>
    <w:p w14:paraId="4F5C8842" w14:textId="77777777" w:rsidR="00160E7F" w:rsidRDefault="002B0299">
      <w:pPr>
        <w:pStyle w:val="ListParagraph"/>
        <w:numPr>
          <w:ilvl w:val="0"/>
          <w:numId w:val="25"/>
        </w:numPr>
        <w:tabs>
          <w:tab w:val="left" w:pos="305"/>
        </w:tabs>
        <w:spacing w:before="115" w:line="280" w:lineRule="auto"/>
        <w:ind w:right="1579" w:hanging="170"/>
        <w:rPr>
          <w:sz w:val="20"/>
        </w:rPr>
      </w:pPr>
      <w:r>
        <w:rPr>
          <w:color w:val="58595B"/>
          <w:sz w:val="20"/>
        </w:rPr>
        <w:t xml:space="preserve">Responsibilities between local government and the </w:t>
      </w:r>
      <w:r>
        <w:rPr>
          <w:color w:val="58595B"/>
          <w:spacing w:val="-4"/>
          <w:sz w:val="20"/>
        </w:rPr>
        <w:t xml:space="preserve">EPA </w:t>
      </w:r>
      <w:r>
        <w:rPr>
          <w:color w:val="58595B"/>
          <w:sz w:val="20"/>
        </w:rPr>
        <w:t>for premises that are not a scheduled premises are poorly</w:t>
      </w:r>
      <w:r>
        <w:rPr>
          <w:color w:val="58595B"/>
          <w:spacing w:val="2"/>
          <w:sz w:val="20"/>
        </w:rPr>
        <w:t xml:space="preserve"> </w:t>
      </w:r>
      <w:r>
        <w:rPr>
          <w:color w:val="58595B"/>
          <w:sz w:val="20"/>
        </w:rPr>
        <w:t>delineated.</w:t>
      </w:r>
    </w:p>
    <w:p w14:paraId="2BE432B4" w14:textId="77777777" w:rsidR="00160E7F" w:rsidRDefault="00160E7F">
      <w:pPr>
        <w:spacing w:line="280" w:lineRule="auto"/>
        <w:rPr>
          <w:sz w:val="20"/>
        </w:rPr>
        <w:sectPr w:rsidR="00160E7F">
          <w:pgSz w:w="11910" w:h="16840"/>
          <w:pgMar w:top="980" w:right="0" w:bottom="280" w:left="1680" w:header="788" w:footer="0" w:gutter="0"/>
          <w:cols w:space="720"/>
        </w:sectPr>
      </w:pPr>
    </w:p>
    <w:p w14:paraId="6C79FE5A" w14:textId="77777777" w:rsidR="00160E7F" w:rsidRDefault="00160E7F">
      <w:pPr>
        <w:pStyle w:val="BodyText"/>
      </w:pPr>
    </w:p>
    <w:p w14:paraId="1F1FB02B" w14:textId="77777777" w:rsidR="00160E7F" w:rsidRDefault="00160E7F">
      <w:pPr>
        <w:pStyle w:val="BodyText"/>
      </w:pPr>
    </w:p>
    <w:p w14:paraId="1DB623A3" w14:textId="77777777" w:rsidR="00160E7F" w:rsidRDefault="00160E7F">
      <w:pPr>
        <w:pStyle w:val="BodyText"/>
      </w:pPr>
    </w:p>
    <w:p w14:paraId="6F81D8A9" w14:textId="77777777" w:rsidR="00160E7F" w:rsidRDefault="00160E7F">
      <w:pPr>
        <w:pStyle w:val="BodyText"/>
      </w:pPr>
    </w:p>
    <w:p w14:paraId="6361D14A" w14:textId="77777777" w:rsidR="00160E7F" w:rsidRDefault="00160E7F">
      <w:pPr>
        <w:pStyle w:val="BodyText"/>
        <w:spacing w:before="4" w:after="1"/>
        <w:rPr>
          <w:sz w:val="21"/>
        </w:rPr>
      </w:pPr>
    </w:p>
    <w:p w14:paraId="3AA6F480" w14:textId="77777777" w:rsidR="00160E7F" w:rsidRDefault="000638CB">
      <w:pPr>
        <w:pStyle w:val="BodyText"/>
        <w:ind w:left="1417"/>
      </w:pPr>
      <w:r>
        <w:pict w14:anchorId="3DBB41FF">
          <v:shape id="_x0000_s1032" type="#_x0000_t202" style="width:433.7pt;height:245.15pt;mso-left-percent:-10001;mso-top-percent:-10001;mso-position-horizontal:absolute;mso-position-horizontal-relative:char;mso-position-vertical:absolute;mso-position-vertical-relative:line;mso-left-percent:-10001;mso-top-percent:-10001" fillcolor="#eaf2f3" stroked="f">
            <v:textbox inset="0,0,0,0">
              <w:txbxContent>
                <w:p w14:paraId="3220BCEA" w14:textId="77777777" w:rsidR="00804E46" w:rsidRDefault="00804E46">
                  <w:pPr>
                    <w:spacing w:before="128"/>
                    <w:ind w:left="170" w:right="165"/>
                    <w:rPr>
                      <w:sz w:val="20"/>
                    </w:rPr>
                  </w:pPr>
                  <w:r>
                    <w:rPr>
                      <w:b/>
                      <w:color w:val="0095A7"/>
                      <w:sz w:val="20"/>
                    </w:rPr>
                    <w:t xml:space="preserve">BOX 18.1  </w:t>
                  </w:r>
                  <w:r>
                    <w:rPr>
                      <w:color w:val="0095A7"/>
                      <w:sz w:val="20"/>
                    </w:rPr>
                    <w:t>NOISE MANAGEMENT</w:t>
                  </w:r>
                </w:p>
                <w:p w14:paraId="2CFC36B3" w14:textId="77777777" w:rsidR="00804E46" w:rsidRDefault="00804E46">
                  <w:pPr>
                    <w:pStyle w:val="BodyText"/>
                    <w:spacing w:before="153" w:line="280" w:lineRule="auto"/>
                    <w:ind w:left="170" w:right="371"/>
                    <w:rPr>
                      <w:sz w:val="11"/>
                    </w:rPr>
                  </w:pPr>
                  <w:r>
                    <w:rPr>
                      <w:color w:val="58595B"/>
                    </w:rPr>
                    <w:t>Noise issues in Victoria are managed within a joint regulation matrix. Key sources of noise and the regulatory agency primarily responsible for them include:</w:t>
                  </w:r>
                  <w:r>
                    <w:rPr>
                      <w:color w:val="58595B"/>
                      <w:position w:val="7"/>
                      <w:sz w:val="11"/>
                    </w:rPr>
                    <w:t>8</w:t>
                  </w:r>
                </w:p>
                <w:p w14:paraId="62CB34C3" w14:textId="77777777" w:rsidR="00804E46" w:rsidRDefault="00804E46">
                  <w:pPr>
                    <w:pStyle w:val="ListParagraph"/>
                    <w:numPr>
                      <w:ilvl w:val="0"/>
                      <w:numId w:val="4"/>
                    </w:numPr>
                    <w:tabs>
                      <w:tab w:val="left" w:pos="341"/>
                    </w:tabs>
                    <w:spacing w:before="115" w:line="280" w:lineRule="auto"/>
                    <w:ind w:right="492" w:hanging="170"/>
                    <w:rPr>
                      <w:sz w:val="20"/>
                    </w:rPr>
                  </w:pPr>
                  <w:r>
                    <w:rPr>
                      <w:color w:val="58595B"/>
                      <w:sz w:val="20"/>
                    </w:rPr>
                    <w:t>residential noise resulting in disturbance (such as party and air conditioner noise) – local governments and police</w:t>
                  </w:r>
                </w:p>
                <w:p w14:paraId="28B3FE79" w14:textId="77777777" w:rsidR="00804E46" w:rsidRDefault="00804E46">
                  <w:pPr>
                    <w:pStyle w:val="ListParagraph"/>
                    <w:numPr>
                      <w:ilvl w:val="0"/>
                      <w:numId w:val="4"/>
                    </w:numPr>
                    <w:tabs>
                      <w:tab w:val="left" w:pos="341"/>
                    </w:tabs>
                    <w:spacing w:before="115" w:line="280" w:lineRule="auto"/>
                    <w:ind w:right="652" w:hanging="170"/>
                    <w:rPr>
                      <w:sz w:val="20"/>
                    </w:rPr>
                  </w:pPr>
                  <w:r>
                    <w:rPr>
                      <w:color w:val="58595B"/>
                      <w:sz w:val="20"/>
                    </w:rPr>
                    <w:t xml:space="preserve">commercial and industrial noise – the </w:t>
                  </w:r>
                  <w:r>
                    <w:rPr>
                      <w:color w:val="58595B"/>
                      <w:spacing w:val="-4"/>
                      <w:sz w:val="20"/>
                    </w:rPr>
                    <w:t xml:space="preserve">EPA </w:t>
                  </w:r>
                  <w:r>
                    <w:rPr>
                      <w:color w:val="58595B"/>
                      <w:sz w:val="20"/>
                    </w:rPr>
                    <w:t>for larger and EPA-licensed premises, local governments for shops and smaller</w:t>
                  </w:r>
                  <w:r>
                    <w:rPr>
                      <w:color w:val="58595B"/>
                      <w:spacing w:val="2"/>
                      <w:sz w:val="20"/>
                    </w:rPr>
                    <w:t xml:space="preserve"> </w:t>
                  </w:r>
                  <w:r>
                    <w:rPr>
                      <w:color w:val="58595B"/>
                      <w:sz w:val="20"/>
                    </w:rPr>
                    <w:t>enterprises</w:t>
                  </w:r>
                </w:p>
                <w:p w14:paraId="1C36356F" w14:textId="77777777" w:rsidR="00804E46" w:rsidRDefault="00804E46">
                  <w:pPr>
                    <w:pStyle w:val="ListParagraph"/>
                    <w:numPr>
                      <w:ilvl w:val="0"/>
                      <w:numId w:val="4"/>
                    </w:numPr>
                    <w:tabs>
                      <w:tab w:val="left" w:pos="341"/>
                    </w:tabs>
                    <w:spacing w:before="115"/>
                    <w:ind w:hanging="170"/>
                    <w:rPr>
                      <w:sz w:val="20"/>
                    </w:rPr>
                  </w:pPr>
                  <w:r>
                    <w:rPr>
                      <w:color w:val="58595B"/>
                      <w:sz w:val="20"/>
                    </w:rPr>
                    <w:t>construction noise – local governments or other authority that gives planning</w:t>
                  </w:r>
                  <w:r>
                    <w:rPr>
                      <w:color w:val="58595B"/>
                      <w:spacing w:val="9"/>
                      <w:sz w:val="20"/>
                    </w:rPr>
                    <w:t xml:space="preserve"> </w:t>
                  </w:r>
                  <w:r>
                    <w:rPr>
                      <w:color w:val="58595B"/>
                      <w:sz w:val="20"/>
                    </w:rPr>
                    <w:t>approval</w:t>
                  </w:r>
                </w:p>
                <w:p w14:paraId="66ACB61E" w14:textId="77777777" w:rsidR="00804E46" w:rsidRDefault="00804E46">
                  <w:pPr>
                    <w:pStyle w:val="ListParagraph"/>
                    <w:numPr>
                      <w:ilvl w:val="0"/>
                      <w:numId w:val="4"/>
                    </w:numPr>
                    <w:tabs>
                      <w:tab w:val="left" w:pos="341"/>
                    </w:tabs>
                    <w:spacing w:before="153" w:line="280" w:lineRule="auto"/>
                    <w:ind w:right="605" w:hanging="170"/>
                    <w:rPr>
                      <w:sz w:val="20"/>
                    </w:rPr>
                  </w:pPr>
                  <w:r>
                    <w:rPr>
                      <w:color w:val="58595B"/>
                      <w:sz w:val="20"/>
                    </w:rPr>
                    <w:t xml:space="preserve">vehicle noise – the </w:t>
                  </w:r>
                  <w:r>
                    <w:rPr>
                      <w:color w:val="58595B"/>
                      <w:spacing w:val="-4"/>
                      <w:sz w:val="20"/>
                    </w:rPr>
                    <w:t xml:space="preserve">EPA </w:t>
                  </w:r>
                  <w:r>
                    <w:rPr>
                      <w:color w:val="58595B"/>
                      <w:sz w:val="20"/>
                    </w:rPr>
                    <w:t>for light vehicles, and the National Heavy Vehicle Regulator for heavy vehicles (such as</w:t>
                  </w:r>
                  <w:r>
                    <w:rPr>
                      <w:color w:val="58595B"/>
                      <w:spacing w:val="-14"/>
                      <w:sz w:val="20"/>
                    </w:rPr>
                    <w:t xml:space="preserve"> </w:t>
                  </w:r>
                  <w:r>
                    <w:rPr>
                      <w:color w:val="58595B"/>
                      <w:sz w:val="20"/>
                    </w:rPr>
                    <w:t>trucks)</w:t>
                  </w:r>
                </w:p>
                <w:p w14:paraId="0AD39217" w14:textId="77777777" w:rsidR="00804E46" w:rsidRDefault="00804E46">
                  <w:pPr>
                    <w:pStyle w:val="ListParagraph"/>
                    <w:numPr>
                      <w:ilvl w:val="0"/>
                      <w:numId w:val="4"/>
                    </w:numPr>
                    <w:tabs>
                      <w:tab w:val="left" w:pos="341"/>
                    </w:tabs>
                    <w:spacing w:before="115"/>
                    <w:ind w:hanging="170"/>
                    <w:rPr>
                      <w:sz w:val="20"/>
                    </w:rPr>
                  </w:pPr>
                  <w:r>
                    <w:rPr>
                      <w:color w:val="58595B"/>
                      <w:sz w:val="20"/>
                    </w:rPr>
                    <w:t>traffic noise –</w:t>
                  </w:r>
                  <w:r>
                    <w:rPr>
                      <w:color w:val="58595B"/>
                      <w:spacing w:val="14"/>
                      <w:sz w:val="20"/>
                    </w:rPr>
                    <w:t xml:space="preserve"> </w:t>
                  </w:r>
                  <w:r>
                    <w:rPr>
                      <w:color w:val="58595B"/>
                      <w:sz w:val="20"/>
                    </w:rPr>
                    <w:t>VicRoads</w:t>
                  </w:r>
                </w:p>
                <w:p w14:paraId="71983320" w14:textId="77777777" w:rsidR="00804E46" w:rsidRDefault="00804E46">
                  <w:pPr>
                    <w:pStyle w:val="ListParagraph"/>
                    <w:numPr>
                      <w:ilvl w:val="0"/>
                      <w:numId w:val="4"/>
                    </w:numPr>
                    <w:tabs>
                      <w:tab w:val="left" w:pos="341"/>
                    </w:tabs>
                    <w:spacing w:before="153"/>
                    <w:ind w:hanging="170"/>
                    <w:rPr>
                      <w:sz w:val="20"/>
                    </w:rPr>
                  </w:pPr>
                  <w:r>
                    <w:rPr>
                      <w:color w:val="58595B"/>
                      <w:sz w:val="20"/>
                    </w:rPr>
                    <w:t>aircraft noise – the Commonwealth</w:t>
                  </w:r>
                  <w:r>
                    <w:rPr>
                      <w:color w:val="58595B"/>
                      <w:spacing w:val="6"/>
                      <w:sz w:val="20"/>
                    </w:rPr>
                    <w:t xml:space="preserve"> </w:t>
                  </w:r>
                  <w:r>
                    <w:rPr>
                      <w:color w:val="58595B"/>
                      <w:sz w:val="20"/>
                    </w:rPr>
                    <w:t>Government</w:t>
                  </w:r>
                </w:p>
                <w:p w14:paraId="76EE4A5B" w14:textId="77777777" w:rsidR="00804E46" w:rsidRDefault="00804E46">
                  <w:pPr>
                    <w:pStyle w:val="ListParagraph"/>
                    <w:numPr>
                      <w:ilvl w:val="0"/>
                      <w:numId w:val="4"/>
                    </w:numPr>
                    <w:tabs>
                      <w:tab w:val="left" w:pos="341"/>
                    </w:tabs>
                    <w:spacing w:before="153" w:line="280" w:lineRule="auto"/>
                    <w:ind w:right="170" w:hanging="170"/>
                    <w:rPr>
                      <w:sz w:val="20"/>
                    </w:rPr>
                  </w:pPr>
                  <w:r>
                    <w:rPr>
                      <w:color w:val="58595B"/>
                      <w:sz w:val="20"/>
                    </w:rPr>
                    <w:t>entertainment venue noise – local governments and the Victorian Commission for Gambling and Liquor</w:t>
                  </w:r>
                  <w:r>
                    <w:rPr>
                      <w:color w:val="58595B"/>
                      <w:spacing w:val="-3"/>
                      <w:sz w:val="20"/>
                    </w:rPr>
                    <w:t xml:space="preserve"> </w:t>
                  </w:r>
                  <w:r>
                    <w:rPr>
                      <w:color w:val="58595B"/>
                      <w:sz w:val="20"/>
                    </w:rPr>
                    <w:t>Regulation.</w:t>
                  </w:r>
                </w:p>
              </w:txbxContent>
            </v:textbox>
            <w10:wrap type="none"/>
            <w10:anchorlock/>
          </v:shape>
        </w:pict>
      </w:r>
    </w:p>
    <w:p w14:paraId="31FEAC91" w14:textId="77777777" w:rsidR="00160E7F" w:rsidRDefault="00160E7F">
      <w:pPr>
        <w:pStyle w:val="BodyText"/>
      </w:pPr>
    </w:p>
    <w:p w14:paraId="122EF6E4" w14:textId="77777777" w:rsidR="00160E7F" w:rsidRDefault="00160E7F">
      <w:pPr>
        <w:pStyle w:val="BodyText"/>
        <w:spacing w:before="8"/>
        <w:rPr>
          <w:sz w:val="17"/>
        </w:rPr>
      </w:pPr>
    </w:p>
    <w:p w14:paraId="2EC255DB" w14:textId="77777777" w:rsidR="00160E7F" w:rsidRDefault="002B0299">
      <w:pPr>
        <w:pStyle w:val="ListParagraph"/>
        <w:numPr>
          <w:ilvl w:val="2"/>
          <w:numId w:val="5"/>
        </w:numPr>
        <w:tabs>
          <w:tab w:val="left" w:pos="2078"/>
        </w:tabs>
        <w:spacing w:before="0"/>
        <w:ind w:left="2077" w:hanging="660"/>
        <w:rPr>
          <w:sz w:val="20"/>
        </w:rPr>
      </w:pPr>
      <w:r>
        <w:rPr>
          <w:color w:val="0095A7"/>
          <w:sz w:val="20"/>
        </w:rPr>
        <w:t>Pollution – not just an urban</w:t>
      </w:r>
      <w:r>
        <w:rPr>
          <w:color w:val="0095A7"/>
          <w:spacing w:val="-4"/>
          <w:sz w:val="20"/>
        </w:rPr>
        <w:t xml:space="preserve"> </w:t>
      </w:r>
      <w:r>
        <w:rPr>
          <w:color w:val="0095A7"/>
          <w:sz w:val="20"/>
        </w:rPr>
        <w:t>issue</w:t>
      </w:r>
    </w:p>
    <w:p w14:paraId="706481E8" w14:textId="77777777" w:rsidR="00160E7F" w:rsidRDefault="002B0299">
      <w:pPr>
        <w:pStyle w:val="BodyText"/>
        <w:spacing w:before="153" w:line="280" w:lineRule="auto"/>
        <w:ind w:left="1417" w:right="142"/>
      </w:pPr>
      <w:r>
        <w:rPr>
          <w:color w:val="58595B"/>
        </w:rPr>
        <w:t>Perceptions of pollution as a problem relating to large industry concentrated in metropolitan Melbourne persist despite the evidence of communities in rural and regional Victoria experiencing significant problems. The rural and regional domain has its own risks and hazards.</w:t>
      </w:r>
    </w:p>
    <w:p w14:paraId="5AD888D5" w14:textId="6C910B56" w:rsidR="00160E7F" w:rsidRDefault="002B0299">
      <w:pPr>
        <w:pStyle w:val="BodyText"/>
        <w:spacing w:before="172" w:line="280" w:lineRule="auto"/>
        <w:ind w:left="1417" w:right="152"/>
      </w:pPr>
      <w:r>
        <w:rPr>
          <w:color w:val="58595B"/>
        </w:rPr>
        <w:t>We heard from these communities about a range of concerns, including septic tanks impacting local water quality, odour from local industry and intensive agricultur</w:t>
      </w:r>
      <w:r w:rsidR="008C7B17">
        <w:rPr>
          <w:color w:val="58595B"/>
        </w:rPr>
        <w:t>e, wind farms, spray drift</w:t>
      </w:r>
      <w:r w:rsidR="008C7B17">
        <w:rPr>
          <w:color w:val="58595B"/>
        </w:rPr>
        <w:br/>
      </w:r>
      <w:r>
        <w:rPr>
          <w:color w:val="58595B"/>
        </w:rPr>
        <w:t>from agriculture and forestry, dust from mining, groundwater contamination from historical mining, chemical use in farming and illegal dumping and stockpiling of hazardous</w:t>
      </w:r>
      <w:r>
        <w:rPr>
          <w:color w:val="58595B"/>
          <w:spacing w:val="1"/>
        </w:rPr>
        <w:t xml:space="preserve"> </w:t>
      </w:r>
      <w:r>
        <w:rPr>
          <w:color w:val="58595B"/>
        </w:rPr>
        <w:t>waste.</w:t>
      </w:r>
    </w:p>
    <w:p w14:paraId="40062E6B" w14:textId="77777777" w:rsidR="00160E7F" w:rsidRDefault="002B0299">
      <w:pPr>
        <w:pStyle w:val="BodyText"/>
        <w:spacing w:before="172" w:line="280" w:lineRule="auto"/>
        <w:ind w:left="1417" w:right="395"/>
      </w:pPr>
      <w:r>
        <w:rPr>
          <w:color w:val="58595B"/>
        </w:rPr>
        <w:t>We also received many submissions from rural and regional councils (16 out of the 28 submissions we received from local government) about specific issues. They also identified their needs for an expanded presence, increased access to technical advice and expertise and a capacity for quick response to deal with local pollution issues.</w:t>
      </w:r>
    </w:p>
    <w:p w14:paraId="482F8CF2" w14:textId="77777777" w:rsidR="00160E7F" w:rsidRDefault="002B0299">
      <w:pPr>
        <w:spacing w:before="172" w:line="280" w:lineRule="auto"/>
        <w:ind w:left="1984" w:right="719"/>
        <w:rPr>
          <w:sz w:val="20"/>
        </w:rPr>
      </w:pPr>
      <w:r>
        <w:rPr>
          <w:i/>
          <w:color w:val="231F20"/>
          <w:sz w:val="20"/>
        </w:rPr>
        <w:t>Given the pressures on landfills, the issues surrounding composting and the  increase in intensive agriculture, a more regionally focused presence should be considered. … Effective future partnerships with rural local government will be highly dependent on resourcing and the availability of EPA staff that can provide advice</w:t>
      </w:r>
      <w:r>
        <w:rPr>
          <w:i/>
          <w:color w:val="231F20"/>
          <w:spacing w:val="-4"/>
          <w:sz w:val="20"/>
        </w:rPr>
        <w:t xml:space="preserve"> </w:t>
      </w:r>
      <w:r>
        <w:rPr>
          <w:i/>
          <w:color w:val="231F20"/>
          <w:sz w:val="20"/>
        </w:rPr>
        <w:t xml:space="preserve">and guide outcomes. </w:t>
      </w:r>
      <w:r>
        <w:rPr>
          <w:color w:val="231F20"/>
          <w:sz w:val="20"/>
        </w:rPr>
        <w:t>(Shire of Campaspe submission, pp.</w:t>
      </w:r>
      <w:r>
        <w:rPr>
          <w:color w:val="231F20"/>
          <w:spacing w:val="-19"/>
          <w:sz w:val="20"/>
        </w:rPr>
        <w:t xml:space="preserve"> </w:t>
      </w:r>
      <w:r>
        <w:rPr>
          <w:color w:val="231F20"/>
          <w:sz w:val="20"/>
        </w:rPr>
        <w:t>1–2)</w:t>
      </w:r>
    </w:p>
    <w:p w14:paraId="633F0417" w14:textId="77777777" w:rsidR="00160E7F" w:rsidRDefault="002B0299">
      <w:pPr>
        <w:spacing w:before="172" w:line="280" w:lineRule="auto"/>
        <w:ind w:left="1984" w:right="789"/>
        <w:rPr>
          <w:sz w:val="20"/>
        </w:rPr>
      </w:pPr>
      <w:r>
        <w:rPr>
          <w:i/>
          <w:color w:val="231F20"/>
          <w:sz w:val="20"/>
        </w:rPr>
        <w:t xml:space="preserve">Most septic systems within this local government area were installed prior to the introduction of Septic Permits in the 1970s. These systems are already and will increasingly become a source of water pollution in the future as they deteriorate, causing adverse impacts on health of humans and the environment. </w:t>
      </w:r>
      <w:r>
        <w:rPr>
          <w:color w:val="231F20"/>
          <w:sz w:val="20"/>
        </w:rPr>
        <w:t>(Southern Grampians Shire Council submission, p. 5)</w:t>
      </w:r>
    </w:p>
    <w:p w14:paraId="038CE0F1" w14:textId="77777777" w:rsidR="00160E7F" w:rsidRDefault="00160E7F">
      <w:pPr>
        <w:spacing w:line="280" w:lineRule="auto"/>
        <w:rPr>
          <w:sz w:val="20"/>
        </w:rPr>
        <w:sectPr w:rsidR="00160E7F">
          <w:headerReference w:type="even" r:id="rId120"/>
          <w:headerReference w:type="default" r:id="rId121"/>
          <w:pgSz w:w="11910" w:h="16840"/>
          <w:pgMar w:top="980" w:right="1680" w:bottom="280" w:left="0" w:header="788" w:footer="0" w:gutter="0"/>
          <w:pgNumType w:start="310"/>
          <w:cols w:space="720"/>
        </w:sectPr>
      </w:pPr>
    </w:p>
    <w:p w14:paraId="4E9E3752" w14:textId="77777777" w:rsidR="00160E7F" w:rsidRDefault="00160E7F">
      <w:pPr>
        <w:pStyle w:val="BodyText"/>
      </w:pPr>
    </w:p>
    <w:p w14:paraId="26BD205A" w14:textId="77777777" w:rsidR="00160E7F" w:rsidRDefault="00160E7F">
      <w:pPr>
        <w:pStyle w:val="BodyText"/>
      </w:pPr>
    </w:p>
    <w:p w14:paraId="408EF530" w14:textId="77777777" w:rsidR="00160E7F" w:rsidRDefault="00160E7F">
      <w:pPr>
        <w:pStyle w:val="BodyText"/>
      </w:pPr>
    </w:p>
    <w:p w14:paraId="4760F9C5" w14:textId="77777777" w:rsidR="00160E7F" w:rsidRDefault="00160E7F">
      <w:pPr>
        <w:pStyle w:val="BodyText"/>
      </w:pPr>
    </w:p>
    <w:p w14:paraId="6E5AD168" w14:textId="77777777" w:rsidR="00160E7F" w:rsidRDefault="00160E7F">
      <w:pPr>
        <w:pStyle w:val="BodyText"/>
        <w:spacing w:before="8"/>
        <w:rPr>
          <w:sz w:val="17"/>
        </w:rPr>
      </w:pPr>
    </w:p>
    <w:p w14:paraId="2D2070A1" w14:textId="77777777" w:rsidR="00160E7F" w:rsidRDefault="002B0299">
      <w:pPr>
        <w:spacing w:before="1" w:line="280" w:lineRule="auto"/>
        <w:ind w:left="701" w:right="1900"/>
        <w:rPr>
          <w:i/>
          <w:sz w:val="20"/>
        </w:rPr>
      </w:pPr>
      <w:r>
        <w:rPr>
          <w:i/>
          <w:color w:val="231F20"/>
          <w:sz w:val="20"/>
        </w:rPr>
        <w:t>It is apparent to Council that EPA officers with key expertise are based in Melbourne and not in regional areas and the EPA’s organisational structure is such that</w:t>
      </w:r>
    </w:p>
    <w:p w14:paraId="508D8F0D" w14:textId="77777777" w:rsidR="00160E7F" w:rsidRDefault="002B0299">
      <w:pPr>
        <w:spacing w:before="2" w:line="280" w:lineRule="auto"/>
        <w:ind w:left="701" w:right="2572"/>
        <w:rPr>
          <w:i/>
          <w:sz w:val="20"/>
        </w:rPr>
      </w:pPr>
      <w:r>
        <w:rPr>
          <w:i/>
          <w:color w:val="231F20"/>
          <w:sz w:val="20"/>
        </w:rPr>
        <w:t>higher level decision making is also undertaken in Melbourne. Whilst the EPA has a presence in Latrobe with an office based in Traralgon, officers with the</w:t>
      </w:r>
    </w:p>
    <w:p w14:paraId="61B5D943" w14:textId="77777777" w:rsidR="00160E7F" w:rsidRDefault="002B0299">
      <w:pPr>
        <w:spacing w:before="2" w:line="280" w:lineRule="auto"/>
        <w:ind w:left="701" w:right="2071"/>
        <w:rPr>
          <w:sz w:val="20"/>
        </w:rPr>
      </w:pPr>
      <w:r>
        <w:rPr>
          <w:i/>
          <w:color w:val="231F20"/>
          <w:sz w:val="20"/>
        </w:rPr>
        <w:t xml:space="preserve">relevant expertise and authorisation are not immediately available to Council. This has consequences particularly in emergency situations as EPA cannot respond immediately and time is wasted while waiting for non-local officers with the relevant expertise and experience to be at hand. Further delays are also experienced with EPA’s delegation of decision making which can take too long to respond to an emergency. </w:t>
      </w:r>
      <w:r>
        <w:rPr>
          <w:color w:val="231F20"/>
          <w:sz w:val="20"/>
        </w:rPr>
        <w:t>(Latrobe City Council submission, p. 2)</w:t>
      </w:r>
    </w:p>
    <w:p w14:paraId="185CBCA1" w14:textId="77777777" w:rsidR="00160E7F" w:rsidRDefault="00160E7F">
      <w:pPr>
        <w:pStyle w:val="BodyText"/>
        <w:spacing w:before="1"/>
        <w:rPr>
          <w:sz w:val="19"/>
        </w:rPr>
      </w:pPr>
    </w:p>
    <w:p w14:paraId="38BD256F" w14:textId="77777777" w:rsidR="00160E7F" w:rsidRDefault="002B0299">
      <w:pPr>
        <w:pStyle w:val="Heading3"/>
        <w:numPr>
          <w:ilvl w:val="1"/>
          <w:numId w:val="5"/>
        </w:numPr>
        <w:tabs>
          <w:tab w:val="left" w:pos="722"/>
        </w:tabs>
        <w:spacing w:before="0"/>
        <w:ind w:left="721" w:hanging="587"/>
        <w:jc w:val="left"/>
      </w:pPr>
      <w:r>
        <w:rPr>
          <w:color w:val="0095A7"/>
        </w:rPr>
        <w:t>The rationale for an enhanced local government</w:t>
      </w:r>
      <w:r>
        <w:rPr>
          <w:color w:val="0095A7"/>
          <w:spacing w:val="52"/>
        </w:rPr>
        <w:t xml:space="preserve"> </w:t>
      </w:r>
      <w:r>
        <w:rPr>
          <w:color w:val="0095A7"/>
        </w:rPr>
        <w:t>role</w:t>
      </w:r>
    </w:p>
    <w:p w14:paraId="4B51EEF6" w14:textId="77777777" w:rsidR="00160E7F" w:rsidRDefault="002B0299">
      <w:pPr>
        <w:spacing w:before="145" w:line="280" w:lineRule="auto"/>
        <w:ind w:left="701" w:right="2572"/>
        <w:rPr>
          <w:sz w:val="20"/>
        </w:rPr>
      </w:pPr>
      <w:r>
        <w:rPr>
          <w:i/>
          <w:color w:val="231F20"/>
          <w:sz w:val="20"/>
        </w:rPr>
        <w:t xml:space="preserve">The MAV and councils firmly believe that environment protection is a shared responsibility. All levels of government, and agencies within government, need to effectively understand and play their role for this cooperative model to work. Responsibility must be very clear and there must be also be knowledge and [acceptance] of the limitations of the parties. </w:t>
      </w:r>
      <w:r>
        <w:rPr>
          <w:color w:val="231F20"/>
          <w:sz w:val="20"/>
        </w:rPr>
        <w:t>(Municipal Association of Victoria submission, p. 6)</w:t>
      </w:r>
    </w:p>
    <w:p w14:paraId="214932D4" w14:textId="77777777" w:rsidR="00160E7F" w:rsidRDefault="002B0299">
      <w:pPr>
        <w:pStyle w:val="BodyText"/>
        <w:spacing w:before="172" w:line="280" w:lineRule="auto"/>
        <w:ind w:left="134" w:right="1630"/>
      </w:pPr>
      <w:r>
        <w:rPr>
          <w:color w:val="58595B"/>
        </w:rPr>
        <w:t>We have looked for the most effective, efficient and practical response to localised pollution  and waste issues. Given the mix of skills and resources to deal with local environmental issues, it is not possible to apportion the entire responsibility to the EPA. In particular, pollution and waste problems can be very transient and localised, and have different effects depending on local</w:t>
      </w:r>
      <w:r>
        <w:rPr>
          <w:color w:val="58595B"/>
          <w:spacing w:val="6"/>
        </w:rPr>
        <w:t xml:space="preserve"> </w:t>
      </w:r>
      <w:r>
        <w:rPr>
          <w:color w:val="58595B"/>
        </w:rPr>
        <w:t>conditions.</w:t>
      </w:r>
    </w:p>
    <w:p w14:paraId="102FB23B" w14:textId="77777777" w:rsidR="00160E7F" w:rsidRDefault="002B0299">
      <w:pPr>
        <w:pStyle w:val="BodyText"/>
        <w:spacing w:before="172" w:line="280" w:lineRule="auto"/>
        <w:ind w:left="134" w:right="1629"/>
        <w:jc w:val="both"/>
      </w:pPr>
      <w:r>
        <w:rPr>
          <w:color w:val="58595B"/>
        </w:rPr>
        <w:t>Given their close proximity to many pollution and waste events and their good understanding of local businesses and communities, local governments are often best placed to provide a timely and informed response to such problems. Local governments already have a recognised role in managing their local environment.</w:t>
      </w:r>
    </w:p>
    <w:p w14:paraId="10D5324A" w14:textId="77777777" w:rsidR="00160E7F" w:rsidRDefault="002B0299">
      <w:pPr>
        <w:spacing w:before="172" w:line="280" w:lineRule="auto"/>
        <w:ind w:left="701" w:right="1971"/>
        <w:rPr>
          <w:i/>
          <w:sz w:val="20"/>
        </w:rPr>
      </w:pPr>
      <w:r>
        <w:rPr>
          <w:i/>
          <w:color w:val="231F20"/>
          <w:sz w:val="20"/>
        </w:rPr>
        <w:t>[L]ocal governments are very significant actors in environmental governance, particularly in planning and environmental approvals and in the local implementation of environmental laws concerned with heritage, waste management, environmental health, native vegetation, tree preservation and threatened species protection.</w:t>
      </w:r>
    </w:p>
    <w:p w14:paraId="5DF704D7" w14:textId="77777777" w:rsidR="00160E7F" w:rsidRDefault="002B0299">
      <w:pPr>
        <w:spacing w:before="2" w:line="280" w:lineRule="auto"/>
        <w:ind w:left="701" w:right="2193"/>
        <w:rPr>
          <w:sz w:val="11"/>
        </w:rPr>
      </w:pPr>
      <w:r>
        <w:rPr>
          <w:i/>
          <w:color w:val="231F20"/>
          <w:sz w:val="20"/>
        </w:rPr>
        <w:t>Local government is also often the vehicle for expression of local community environmental values.</w:t>
      </w:r>
      <w:r>
        <w:rPr>
          <w:color w:val="231F20"/>
          <w:position w:val="7"/>
          <w:sz w:val="11"/>
        </w:rPr>
        <w:t>9</w:t>
      </w:r>
    </w:p>
    <w:p w14:paraId="6881A2A4" w14:textId="77777777" w:rsidR="00160E7F" w:rsidRDefault="002B0299">
      <w:pPr>
        <w:pStyle w:val="BodyText"/>
        <w:spacing w:before="172" w:line="280" w:lineRule="auto"/>
        <w:ind w:left="134" w:right="789"/>
        <w:rPr>
          <w:sz w:val="11"/>
        </w:rPr>
      </w:pPr>
      <w:r>
        <w:rPr>
          <w:color w:val="58595B"/>
        </w:rPr>
        <w:t>Further, our social research found the community viewed local government as the ‘most trusted messenger’ for information about waste, pollution, air and water quality issues in their local area.</w:t>
      </w:r>
      <w:r>
        <w:rPr>
          <w:color w:val="58595B"/>
          <w:position w:val="7"/>
          <w:sz w:val="11"/>
        </w:rPr>
        <w:t>10</w:t>
      </w:r>
    </w:p>
    <w:p w14:paraId="5049550E" w14:textId="77777777" w:rsidR="00160E7F" w:rsidRDefault="002B0299">
      <w:pPr>
        <w:pStyle w:val="BodyText"/>
        <w:spacing w:before="172" w:line="280" w:lineRule="auto"/>
        <w:ind w:left="134" w:right="1433"/>
      </w:pPr>
      <w:r>
        <w:rPr>
          <w:color w:val="58595B"/>
        </w:rPr>
        <w:t>To improve environment protection delivery at a local level, local governments need defined powers, resources and capabilities. In particular, their role needs a clear statutory basis as part of Victoria’s environment protection system.</w:t>
      </w:r>
    </w:p>
    <w:p w14:paraId="2850CE02" w14:textId="77777777" w:rsidR="00160E7F" w:rsidRDefault="00160E7F">
      <w:pPr>
        <w:spacing w:line="280" w:lineRule="auto"/>
        <w:sectPr w:rsidR="00160E7F">
          <w:pgSz w:w="11910" w:h="16840"/>
          <w:pgMar w:top="980" w:right="0" w:bottom="280" w:left="1680" w:header="788" w:footer="0" w:gutter="0"/>
          <w:cols w:space="720"/>
        </w:sectPr>
      </w:pPr>
    </w:p>
    <w:p w14:paraId="3EFBE6FD" w14:textId="77777777" w:rsidR="00160E7F" w:rsidRDefault="00160E7F">
      <w:pPr>
        <w:pStyle w:val="BodyText"/>
      </w:pPr>
    </w:p>
    <w:p w14:paraId="60D93D97" w14:textId="77777777" w:rsidR="00160E7F" w:rsidRDefault="00160E7F">
      <w:pPr>
        <w:pStyle w:val="BodyText"/>
      </w:pPr>
    </w:p>
    <w:p w14:paraId="091CC737" w14:textId="77777777" w:rsidR="00160E7F" w:rsidRDefault="00160E7F">
      <w:pPr>
        <w:pStyle w:val="BodyText"/>
      </w:pPr>
    </w:p>
    <w:p w14:paraId="30133809" w14:textId="77777777" w:rsidR="00160E7F" w:rsidRDefault="00160E7F">
      <w:pPr>
        <w:pStyle w:val="BodyText"/>
      </w:pPr>
    </w:p>
    <w:p w14:paraId="6C598DCE" w14:textId="77777777" w:rsidR="00160E7F" w:rsidRDefault="00160E7F">
      <w:pPr>
        <w:pStyle w:val="BodyText"/>
        <w:spacing w:before="8"/>
        <w:rPr>
          <w:sz w:val="17"/>
        </w:rPr>
      </w:pPr>
    </w:p>
    <w:p w14:paraId="42A1FE30" w14:textId="77777777" w:rsidR="00160E7F" w:rsidRDefault="002B0299">
      <w:pPr>
        <w:pStyle w:val="ListParagraph"/>
        <w:numPr>
          <w:ilvl w:val="2"/>
          <w:numId w:val="5"/>
        </w:numPr>
        <w:tabs>
          <w:tab w:val="left" w:pos="2053"/>
        </w:tabs>
        <w:spacing w:before="1"/>
        <w:ind w:left="2052" w:hanging="635"/>
        <w:rPr>
          <w:sz w:val="20"/>
        </w:rPr>
      </w:pPr>
      <w:r>
        <w:rPr>
          <w:color w:val="0095A7"/>
          <w:sz w:val="20"/>
        </w:rPr>
        <w:t>Subsidiarity – being close to the</w:t>
      </w:r>
      <w:r>
        <w:rPr>
          <w:color w:val="0095A7"/>
          <w:spacing w:val="10"/>
          <w:sz w:val="20"/>
        </w:rPr>
        <w:t xml:space="preserve"> </w:t>
      </w:r>
      <w:r>
        <w:rPr>
          <w:color w:val="0095A7"/>
          <w:sz w:val="20"/>
        </w:rPr>
        <w:t>problem</w:t>
      </w:r>
    </w:p>
    <w:p w14:paraId="5BA15612" w14:textId="77777777" w:rsidR="00160E7F" w:rsidRDefault="002B0299">
      <w:pPr>
        <w:spacing w:before="153" w:line="280" w:lineRule="auto"/>
        <w:ind w:left="1984" w:right="789"/>
        <w:rPr>
          <w:sz w:val="20"/>
        </w:rPr>
      </w:pPr>
      <w:r>
        <w:rPr>
          <w:i/>
          <w:color w:val="231F20"/>
          <w:sz w:val="20"/>
        </w:rPr>
        <w:t xml:space="preserve">Local government is often best placed to deal with local issues. However, councils do not have the adequate or appropriate authority, capacity, capability or resources to deal with many environmental management challenges they face. </w:t>
      </w:r>
      <w:r>
        <w:rPr>
          <w:color w:val="231F20"/>
          <w:sz w:val="20"/>
        </w:rPr>
        <w:t>(Municipal Association of Victoria submission, p. 6)</w:t>
      </w:r>
    </w:p>
    <w:p w14:paraId="576FDA30" w14:textId="77777777" w:rsidR="00160E7F" w:rsidRDefault="002B0299">
      <w:pPr>
        <w:pStyle w:val="BodyText"/>
        <w:spacing w:before="172" w:line="280" w:lineRule="auto"/>
        <w:ind w:left="1417" w:right="185"/>
        <w:rPr>
          <w:sz w:val="11"/>
        </w:rPr>
      </w:pPr>
      <w:r>
        <w:rPr>
          <w:color w:val="58595B"/>
          <w:spacing w:val="-3"/>
        </w:rPr>
        <w:t xml:space="preserve">We </w:t>
      </w:r>
      <w:r>
        <w:rPr>
          <w:color w:val="58595B"/>
        </w:rPr>
        <w:t xml:space="preserve">consider local </w:t>
      </w:r>
      <w:r>
        <w:rPr>
          <w:color w:val="58595B"/>
          <w:spacing w:val="-3"/>
        </w:rPr>
        <w:t xml:space="preserve">government </w:t>
      </w:r>
      <w:r>
        <w:rPr>
          <w:color w:val="58595B"/>
        </w:rPr>
        <w:t xml:space="preserve">is the appropriate </w:t>
      </w:r>
      <w:r>
        <w:rPr>
          <w:color w:val="58595B"/>
          <w:spacing w:val="-3"/>
        </w:rPr>
        <w:t xml:space="preserve">level </w:t>
      </w:r>
      <w:r>
        <w:rPr>
          <w:color w:val="58595B"/>
        </w:rPr>
        <w:t xml:space="preserve">to address </w:t>
      </w:r>
      <w:r>
        <w:rPr>
          <w:color w:val="58595B"/>
          <w:spacing w:val="-3"/>
        </w:rPr>
        <w:t xml:space="preserve">many </w:t>
      </w:r>
      <w:r>
        <w:rPr>
          <w:color w:val="58595B"/>
        </w:rPr>
        <w:t xml:space="preserve">localised, small scale pollution and </w:t>
      </w:r>
      <w:r>
        <w:rPr>
          <w:color w:val="58595B"/>
          <w:spacing w:val="-3"/>
        </w:rPr>
        <w:t xml:space="preserve">waste </w:t>
      </w:r>
      <w:r>
        <w:rPr>
          <w:color w:val="58595B"/>
        </w:rPr>
        <w:t xml:space="preserve">issues. The principle of subsidiarity means that responsibility for a function </w:t>
      </w:r>
      <w:r>
        <w:rPr>
          <w:color w:val="58595B"/>
          <w:spacing w:val="-3"/>
        </w:rPr>
        <w:t>should,</w:t>
      </w:r>
      <w:r>
        <w:rPr>
          <w:color w:val="58595B"/>
          <w:spacing w:val="-9"/>
        </w:rPr>
        <w:t xml:space="preserve"> </w:t>
      </w:r>
      <w:r>
        <w:rPr>
          <w:color w:val="58595B"/>
        </w:rPr>
        <w:t>where</w:t>
      </w:r>
      <w:r>
        <w:rPr>
          <w:color w:val="58595B"/>
          <w:spacing w:val="-9"/>
        </w:rPr>
        <w:t xml:space="preserve"> </w:t>
      </w:r>
      <w:r>
        <w:rPr>
          <w:color w:val="58595B"/>
        </w:rPr>
        <w:t>practicable,</w:t>
      </w:r>
      <w:r>
        <w:rPr>
          <w:color w:val="58595B"/>
          <w:spacing w:val="-9"/>
        </w:rPr>
        <w:t xml:space="preserve"> </w:t>
      </w:r>
      <w:r>
        <w:rPr>
          <w:color w:val="58595B"/>
        </w:rPr>
        <w:t>be</w:t>
      </w:r>
      <w:r>
        <w:rPr>
          <w:color w:val="58595B"/>
          <w:spacing w:val="-9"/>
        </w:rPr>
        <w:t xml:space="preserve"> </w:t>
      </w:r>
      <w:r>
        <w:rPr>
          <w:color w:val="58595B"/>
        </w:rPr>
        <w:t>allocated</w:t>
      </w:r>
      <w:r>
        <w:rPr>
          <w:color w:val="58595B"/>
          <w:spacing w:val="-9"/>
        </w:rPr>
        <w:t xml:space="preserve"> </w:t>
      </w:r>
      <w:r>
        <w:rPr>
          <w:color w:val="58595B"/>
        </w:rPr>
        <w:t>to</w:t>
      </w:r>
      <w:r>
        <w:rPr>
          <w:color w:val="58595B"/>
          <w:spacing w:val="-9"/>
        </w:rPr>
        <w:t xml:space="preserve"> </w:t>
      </w:r>
      <w:r>
        <w:rPr>
          <w:color w:val="58595B"/>
        </w:rPr>
        <w:t>the</w:t>
      </w:r>
      <w:r>
        <w:rPr>
          <w:color w:val="58595B"/>
          <w:spacing w:val="-9"/>
        </w:rPr>
        <w:t xml:space="preserve"> </w:t>
      </w:r>
      <w:r>
        <w:rPr>
          <w:color w:val="58595B"/>
        </w:rPr>
        <w:t>tier</w:t>
      </w:r>
      <w:r>
        <w:rPr>
          <w:color w:val="58595B"/>
          <w:spacing w:val="-9"/>
        </w:rPr>
        <w:t xml:space="preserve"> </w:t>
      </w:r>
      <w:r>
        <w:rPr>
          <w:color w:val="58595B"/>
        </w:rPr>
        <w:t>of</w:t>
      </w:r>
      <w:r>
        <w:rPr>
          <w:color w:val="58595B"/>
          <w:spacing w:val="-9"/>
        </w:rPr>
        <w:t xml:space="preserve"> </w:t>
      </w:r>
      <w:r>
        <w:rPr>
          <w:color w:val="58595B"/>
          <w:spacing w:val="-3"/>
        </w:rPr>
        <w:t>government</w:t>
      </w:r>
      <w:r>
        <w:rPr>
          <w:color w:val="58595B"/>
          <w:spacing w:val="-9"/>
        </w:rPr>
        <w:t xml:space="preserve"> </w:t>
      </w:r>
      <w:r>
        <w:rPr>
          <w:color w:val="58595B"/>
        </w:rPr>
        <w:t>that</w:t>
      </w:r>
      <w:r>
        <w:rPr>
          <w:color w:val="58595B"/>
          <w:spacing w:val="-9"/>
        </w:rPr>
        <w:t xml:space="preserve"> </w:t>
      </w:r>
      <w:r>
        <w:rPr>
          <w:color w:val="58595B"/>
        </w:rPr>
        <w:t>is</w:t>
      </w:r>
      <w:r>
        <w:rPr>
          <w:color w:val="58595B"/>
          <w:spacing w:val="-9"/>
        </w:rPr>
        <w:t xml:space="preserve"> </w:t>
      </w:r>
      <w:r>
        <w:rPr>
          <w:color w:val="58595B"/>
        </w:rPr>
        <w:t>closest</w:t>
      </w:r>
      <w:r>
        <w:rPr>
          <w:color w:val="58595B"/>
          <w:spacing w:val="-9"/>
        </w:rPr>
        <w:t xml:space="preserve"> </w:t>
      </w:r>
      <w:r>
        <w:rPr>
          <w:color w:val="58595B"/>
        </w:rPr>
        <w:t>to</w:t>
      </w:r>
      <w:r>
        <w:rPr>
          <w:color w:val="58595B"/>
          <w:spacing w:val="-9"/>
        </w:rPr>
        <w:t xml:space="preserve"> </w:t>
      </w:r>
      <w:r>
        <w:rPr>
          <w:color w:val="58595B"/>
        </w:rPr>
        <w:t>those</w:t>
      </w:r>
      <w:r>
        <w:rPr>
          <w:color w:val="58595B"/>
          <w:spacing w:val="-9"/>
        </w:rPr>
        <w:t xml:space="preserve"> </w:t>
      </w:r>
      <w:r>
        <w:rPr>
          <w:color w:val="58595B"/>
        </w:rPr>
        <w:t>affected</w:t>
      </w:r>
      <w:r>
        <w:rPr>
          <w:color w:val="58595B"/>
          <w:spacing w:val="-9"/>
        </w:rPr>
        <w:t xml:space="preserve"> </w:t>
      </w:r>
      <w:r>
        <w:rPr>
          <w:color w:val="58595B"/>
          <w:spacing w:val="-3"/>
        </w:rPr>
        <w:t xml:space="preserve">by </w:t>
      </w:r>
      <w:r>
        <w:rPr>
          <w:color w:val="58595B"/>
        </w:rPr>
        <w:t>the</w:t>
      </w:r>
      <w:r>
        <w:rPr>
          <w:color w:val="58595B"/>
          <w:spacing w:val="-9"/>
        </w:rPr>
        <w:t xml:space="preserve"> </w:t>
      </w:r>
      <w:r>
        <w:rPr>
          <w:color w:val="58595B"/>
        </w:rPr>
        <w:t>decisions</w:t>
      </w:r>
      <w:r>
        <w:rPr>
          <w:color w:val="58595B"/>
          <w:spacing w:val="-9"/>
        </w:rPr>
        <w:t xml:space="preserve"> </w:t>
      </w:r>
      <w:r>
        <w:rPr>
          <w:color w:val="58595B"/>
          <w:spacing w:val="-2"/>
        </w:rPr>
        <w:t>and/or</w:t>
      </w:r>
      <w:r>
        <w:rPr>
          <w:color w:val="58595B"/>
          <w:spacing w:val="-9"/>
        </w:rPr>
        <w:t xml:space="preserve"> </w:t>
      </w:r>
      <w:r>
        <w:rPr>
          <w:color w:val="58595B"/>
        </w:rPr>
        <w:t>is</w:t>
      </w:r>
      <w:r>
        <w:rPr>
          <w:color w:val="58595B"/>
          <w:spacing w:val="-9"/>
        </w:rPr>
        <w:t xml:space="preserve"> </w:t>
      </w:r>
      <w:r>
        <w:rPr>
          <w:color w:val="58595B"/>
        </w:rPr>
        <w:t>best</w:t>
      </w:r>
      <w:r>
        <w:rPr>
          <w:color w:val="58595B"/>
          <w:spacing w:val="-9"/>
        </w:rPr>
        <w:t xml:space="preserve"> </w:t>
      </w:r>
      <w:r>
        <w:rPr>
          <w:color w:val="58595B"/>
        </w:rPr>
        <w:t>placed</w:t>
      </w:r>
      <w:r>
        <w:rPr>
          <w:color w:val="58595B"/>
          <w:spacing w:val="-9"/>
        </w:rPr>
        <w:t xml:space="preserve"> </w:t>
      </w:r>
      <w:r>
        <w:rPr>
          <w:color w:val="58595B"/>
        </w:rPr>
        <w:t>to</w:t>
      </w:r>
      <w:r>
        <w:rPr>
          <w:color w:val="58595B"/>
          <w:spacing w:val="-9"/>
        </w:rPr>
        <w:t xml:space="preserve"> </w:t>
      </w:r>
      <w:r>
        <w:rPr>
          <w:color w:val="58595B"/>
          <w:spacing w:val="-3"/>
        </w:rPr>
        <w:t>deliver</w:t>
      </w:r>
      <w:r>
        <w:rPr>
          <w:color w:val="58595B"/>
          <w:spacing w:val="-9"/>
        </w:rPr>
        <w:t xml:space="preserve"> </w:t>
      </w:r>
      <w:r>
        <w:rPr>
          <w:color w:val="58595B"/>
        </w:rPr>
        <w:t>the</w:t>
      </w:r>
      <w:r>
        <w:rPr>
          <w:color w:val="58595B"/>
          <w:spacing w:val="-9"/>
        </w:rPr>
        <w:t xml:space="preserve"> </w:t>
      </w:r>
      <w:r>
        <w:rPr>
          <w:color w:val="58595B"/>
        </w:rPr>
        <w:t>function:</w:t>
      </w:r>
      <w:r>
        <w:rPr>
          <w:color w:val="58595B"/>
          <w:spacing w:val="-9"/>
        </w:rPr>
        <w:t xml:space="preserve"> </w:t>
      </w:r>
      <w:r>
        <w:rPr>
          <w:color w:val="58595B"/>
        </w:rPr>
        <w:t>‘decisions</w:t>
      </w:r>
      <w:r>
        <w:rPr>
          <w:color w:val="58595B"/>
          <w:spacing w:val="-9"/>
        </w:rPr>
        <w:t xml:space="preserve"> </w:t>
      </w:r>
      <w:r>
        <w:rPr>
          <w:color w:val="58595B"/>
        </w:rPr>
        <w:t>should</w:t>
      </w:r>
      <w:r>
        <w:rPr>
          <w:color w:val="58595B"/>
          <w:spacing w:val="-9"/>
        </w:rPr>
        <w:t xml:space="preserve"> </w:t>
      </w:r>
      <w:r>
        <w:rPr>
          <w:color w:val="58595B"/>
          <w:spacing w:val="-3"/>
        </w:rPr>
        <w:t>always</w:t>
      </w:r>
      <w:r>
        <w:rPr>
          <w:color w:val="58595B"/>
          <w:spacing w:val="-9"/>
        </w:rPr>
        <w:t xml:space="preserve"> </w:t>
      </w:r>
      <w:r>
        <w:rPr>
          <w:color w:val="58595B"/>
        </w:rPr>
        <w:t>be</w:t>
      </w:r>
      <w:r>
        <w:rPr>
          <w:color w:val="58595B"/>
          <w:spacing w:val="-9"/>
        </w:rPr>
        <w:t xml:space="preserve"> </w:t>
      </w:r>
      <w:r>
        <w:rPr>
          <w:color w:val="58595B"/>
          <w:spacing w:val="-3"/>
        </w:rPr>
        <w:t>taken</w:t>
      </w:r>
      <w:r>
        <w:rPr>
          <w:color w:val="58595B"/>
          <w:spacing w:val="-9"/>
        </w:rPr>
        <w:t xml:space="preserve"> </w:t>
      </w:r>
      <w:r>
        <w:rPr>
          <w:color w:val="58595B"/>
        </w:rPr>
        <w:t>at</w:t>
      </w:r>
      <w:r>
        <w:rPr>
          <w:color w:val="58595B"/>
          <w:spacing w:val="-9"/>
        </w:rPr>
        <w:t xml:space="preserve"> </w:t>
      </w:r>
      <w:r>
        <w:rPr>
          <w:color w:val="58595B"/>
        </w:rPr>
        <w:t>the lowest</w:t>
      </w:r>
      <w:r>
        <w:rPr>
          <w:color w:val="58595B"/>
          <w:spacing w:val="-9"/>
        </w:rPr>
        <w:t xml:space="preserve"> </w:t>
      </w:r>
      <w:r>
        <w:rPr>
          <w:color w:val="58595B"/>
        </w:rPr>
        <w:t>possible</w:t>
      </w:r>
      <w:r>
        <w:rPr>
          <w:color w:val="58595B"/>
          <w:spacing w:val="-9"/>
        </w:rPr>
        <w:t xml:space="preserve"> </w:t>
      </w:r>
      <w:r>
        <w:rPr>
          <w:color w:val="58595B"/>
          <w:spacing w:val="-3"/>
        </w:rPr>
        <w:t>level</w:t>
      </w:r>
      <w:r>
        <w:rPr>
          <w:color w:val="58595B"/>
          <w:spacing w:val="-9"/>
        </w:rPr>
        <w:t xml:space="preserve"> </w:t>
      </w:r>
      <w:r>
        <w:rPr>
          <w:color w:val="58595B"/>
        </w:rPr>
        <w:t>or</w:t>
      </w:r>
      <w:r>
        <w:rPr>
          <w:color w:val="58595B"/>
          <w:spacing w:val="-9"/>
        </w:rPr>
        <w:t xml:space="preserve"> </w:t>
      </w:r>
      <w:r>
        <w:rPr>
          <w:color w:val="58595B"/>
        </w:rPr>
        <w:t>closest</w:t>
      </w:r>
      <w:r>
        <w:rPr>
          <w:color w:val="58595B"/>
          <w:spacing w:val="-9"/>
        </w:rPr>
        <w:t xml:space="preserve"> </w:t>
      </w:r>
      <w:r>
        <w:rPr>
          <w:color w:val="58595B"/>
        </w:rPr>
        <w:t>to</w:t>
      </w:r>
      <w:r>
        <w:rPr>
          <w:color w:val="58595B"/>
          <w:spacing w:val="-9"/>
        </w:rPr>
        <w:t xml:space="preserve"> </w:t>
      </w:r>
      <w:r>
        <w:rPr>
          <w:color w:val="58595B"/>
        </w:rPr>
        <w:t>where</w:t>
      </w:r>
      <w:r>
        <w:rPr>
          <w:color w:val="58595B"/>
          <w:spacing w:val="-9"/>
        </w:rPr>
        <w:t xml:space="preserve"> </w:t>
      </w:r>
      <w:r>
        <w:rPr>
          <w:color w:val="58595B"/>
          <w:spacing w:val="-3"/>
        </w:rPr>
        <w:t>they</w:t>
      </w:r>
      <w:r>
        <w:rPr>
          <w:color w:val="58595B"/>
          <w:spacing w:val="-9"/>
        </w:rPr>
        <w:t xml:space="preserve"> </w:t>
      </w:r>
      <w:r>
        <w:rPr>
          <w:color w:val="58595B"/>
        </w:rPr>
        <w:t>will</w:t>
      </w:r>
      <w:r>
        <w:rPr>
          <w:color w:val="58595B"/>
          <w:spacing w:val="-9"/>
        </w:rPr>
        <w:t xml:space="preserve"> </w:t>
      </w:r>
      <w:r>
        <w:rPr>
          <w:color w:val="58595B"/>
          <w:spacing w:val="-3"/>
        </w:rPr>
        <w:t>have</w:t>
      </w:r>
      <w:r>
        <w:rPr>
          <w:color w:val="58595B"/>
          <w:spacing w:val="-9"/>
        </w:rPr>
        <w:t xml:space="preserve"> </w:t>
      </w:r>
      <w:r>
        <w:rPr>
          <w:color w:val="58595B"/>
        </w:rPr>
        <w:t>their</w:t>
      </w:r>
      <w:r>
        <w:rPr>
          <w:color w:val="58595B"/>
          <w:spacing w:val="-9"/>
        </w:rPr>
        <w:t xml:space="preserve"> </w:t>
      </w:r>
      <w:r>
        <w:rPr>
          <w:color w:val="58595B"/>
          <w:spacing w:val="-5"/>
        </w:rPr>
        <w:t>effect’.</w:t>
      </w:r>
      <w:r>
        <w:rPr>
          <w:color w:val="58595B"/>
          <w:spacing w:val="-5"/>
          <w:position w:val="7"/>
          <w:sz w:val="11"/>
        </w:rPr>
        <w:t>11</w:t>
      </w:r>
      <w:r>
        <w:rPr>
          <w:color w:val="58595B"/>
          <w:spacing w:val="17"/>
          <w:position w:val="7"/>
          <w:sz w:val="11"/>
        </w:rPr>
        <w:t xml:space="preserve"> </w:t>
      </w:r>
      <w:r>
        <w:rPr>
          <w:color w:val="58595B"/>
        </w:rPr>
        <w:t>Placing</w:t>
      </w:r>
      <w:r>
        <w:rPr>
          <w:color w:val="58595B"/>
          <w:spacing w:val="-9"/>
        </w:rPr>
        <w:t xml:space="preserve"> </w:t>
      </w:r>
      <w:r>
        <w:rPr>
          <w:color w:val="58595B"/>
        </w:rPr>
        <w:t>decision</w:t>
      </w:r>
      <w:r>
        <w:rPr>
          <w:color w:val="58595B"/>
          <w:spacing w:val="-9"/>
        </w:rPr>
        <w:t xml:space="preserve"> </w:t>
      </w:r>
      <w:r>
        <w:rPr>
          <w:color w:val="58595B"/>
        </w:rPr>
        <w:t>making</w:t>
      </w:r>
      <w:r>
        <w:rPr>
          <w:color w:val="58595B"/>
          <w:spacing w:val="-9"/>
        </w:rPr>
        <w:t xml:space="preserve"> </w:t>
      </w:r>
      <w:r>
        <w:rPr>
          <w:color w:val="58595B"/>
        </w:rPr>
        <w:t>at</w:t>
      </w:r>
      <w:r>
        <w:rPr>
          <w:color w:val="58595B"/>
          <w:spacing w:val="-9"/>
        </w:rPr>
        <w:t xml:space="preserve"> </w:t>
      </w:r>
      <w:r>
        <w:rPr>
          <w:color w:val="58595B"/>
        </w:rPr>
        <w:t>the closest</w:t>
      </w:r>
      <w:r>
        <w:rPr>
          <w:color w:val="58595B"/>
          <w:spacing w:val="-10"/>
        </w:rPr>
        <w:t xml:space="preserve"> </w:t>
      </w:r>
      <w:r>
        <w:rPr>
          <w:color w:val="58595B"/>
        </w:rPr>
        <w:t>capable</w:t>
      </w:r>
      <w:r>
        <w:rPr>
          <w:color w:val="58595B"/>
          <w:spacing w:val="-10"/>
        </w:rPr>
        <w:t xml:space="preserve"> </w:t>
      </w:r>
      <w:r>
        <w:rPr>
          <w:color w:val="58595B"/>
          <w:spacing w:val="-3"/>
        </w:rPr>
        <w:t>level</w:t>
      </w:r>
      <w:r>
        <w:rPr>
          <w:color w:val="58595B"/>
          <w:spacing w:val="-10"/>
        </w:rPr>
        <w:t xml:space="preserve"> </w:t>
      </w:r>
      <w:r>
        <w:rPr>
          <w:color w:val="58595B"/>
        </w:rPr>
        <w:t>to</w:t>
      </w:r>
      <w:r>
        <w:rPr>
          <w:color w:val="58595B"/>
          <w:spacing w:val="-10"/>
        </w:rPr>
        <w:t xml:space="preserve"> </w:t>
      </w:r>
      <w:r>
        <w:rPr>
          <w:color w:val="58595B"/>
        </w:rPr>
        <w:t>the</w:t>
      </w:r>
      <w:r>
        <w:rPr>
          <w:color w:val="58595B"/>
          <w:spacing w:val="-10"/>
        </w:rPr>
        <w:t xml:space="preserve"> </w:t>
      </w:r>
      <w:r>
        <w:rPr>
          <w:color w:val="58595B"/>
        </w:rPr>
        <w:t>problem</w:t>
      </w:r>
      <w:r>
        <w:rPr>
          <w:color w:val="58595B"/>
          <w:spacing w:val="-10"/>
        </w:rPr>
        <w:t xml:space="preserve"> </w:t>
      </w:r>
      <w:r>
        <w:rPr>
          <w:color w:val="58595B"/>
        </w:rPr>
        <w:t>allows</w:t>
      </w:r>
      <w:r>
        <w:rPr>
          <w:color w:val="58595B"/>
          <w:spacing w:val="-10"/>
        </w:rPr>
        <w:t xml:space="preserve"> </w:t>
      </w:r>
      <w:r>
        <w:rPr>
          <w:color w:val="58595B"/>
        </w:rPr>
        <w:t>for</w:t>
      </w:r>
      <w:r>
        <w:rPr>
          <w:color w:val="58595B"/>
          <w:spacing w:val="-10"/>
        </w:rPr>
        <w:t xml:space="preserve"> </w:t>
      </w:r>
      <w:r>
        <w:rPr>
          <w:color w:val="58595B"/>
        </w:rPr>
        <w:t>the</w:t>
      </w:r>
      <w:r>
        <w:rPr>
          <w:color w:val="58595B"/>
          <w:spacing w:val="-10"/>
        </w:rPr>
        <w:t xml:space="preserve"> </w:t>
      </w:r>
      <w:r>
        <w:rPr>
          <w:color w:val="58595B"/>
        </w:rPr>
        <w:t>‘best</w:t>
      </w:r>
      <w:r>
        <w:rPr>
          <w:color w:val="58595B"/>
          <w:spacing w:val="-10"/>
        </w:rPr>
        <w:t xml:space="preserve"> </w:t>
      </w:r>
      <w:r>
        <w:rPr>
          <w:color w:val="58595B"/>
        </w:rPr>
        <w:t>engagement</w:t>
      </w:r>
      <w:r>
        <w:rPr>
          <w:color w:val="58595B"/>
          <w:spacing w:val="-10"/>
        </w:rPr>
        <w:t xml:space="preserve"> </w:t>
      </w:r>
      <w:r>
        <w:rPr>
          <w:color w:val="58595B"/>
        </w:rPr>
        <w:t>of</w:t>
      </w:r>
      <w:r>
        <w:rPr>
          <w:color w:val="58595B"/>
          <w:spacing w:val="-10"/>
        </w:rPr>
        <w:t xml:space="preserve"> </w:t>
      </w:r>
      <w:r>
        <w:rPr>
          <w:color w:val="58595B"/>
          <w:spacing w:val="-3"/>
        </w:rPr>
        <w:t>people’s</w:t>
      </w:r>
      <w:r>
        <w:rPr>
          <w:color w:val="58595B"/>
          <w:spacing w:val="-10"/>
        </w:rPr>
        <w:t xml:space="preserve"> </w:t>
      </w:r>
      <w:r>
        <w:rPr>
          <w:color w:val="58595B"/>
        </w:rPr>
        <w:t>skills</w:t>
      </w:r>
      <w:r>
        <w:rPr>
          <w:color w:val="58595B"/>
          <w:spacing w:val="-10"/>
        </w:rPr>
        <w:t xml:space="preserve"> </w:t>
      </w:r>
      <w:r>
        <w:rPr>
          <w:color w:val="58595B"/>
        </w:rPr>
        <w:t>and</w:t>
      </w:r>
      <w:r>
        <w:rPr>
          <w:color w:val="58595B"/>
          <w:spacing w:val="-10"/>
        </w:rPr>
        <w:t xml:space="preserve"> </w:t>
      </w:r>
      <w:r>
        <w:rPr>
          <w:color w:val="58595B"/>
          <w:spacing w:val="-4"/>
        </w:rPr>
        <w:t>effort’.</w:t>
      </w:r>
      <w:r>
        <w:rPr>
          <w:color w:val="58595B"/>
          <w:spacing w:val="-4"/>
          <w:position w:val="7"/>
          <w:sz w:val="11"/>
        </w:rPr>
        <w:t>12</w:t>
      </w:r>
    </w:p>
    <w:p w14:paraId="7912419F" w14:textId="77777777" w:rsidR="00160E7F" w:rsidRDefault="002B0299">
      <w:pPr>
        <w:pStyle w:val="BodyText"/>
        <w:spacing w:before="172"/>
        <w:ind w:left="1417" w:right="789"/>
      </w:pPr>
      <w:r>
        <w:rPr>
          <w:color w:val="58595B"/>
        </w:rPr>
        <w:t>In examining local environment issues, we considered the following issues:</w:t>
      </w:r>
    </w:p>
    <w:p w14:paraId="4C6C56F7" w14:textId="77777777" w:rsidR="00160E7F" w:rsidRDefault="002B0299">
      <w:pPr>
        <w:pStyle w:val="ListParagraph"/>
        <w:numPr>
          <w:ilvl w:val="1"/>
          <w:numId w:val="25"/>
        </w:numPr>
        <w:tabs>
          <w:tab w:val="left" w:pos="1588"/>
        </w:tabs>
        <w:spacing w:before="153" w:line="280" w:lineRule="auto"/>
        <w:ind w:right="160" w:hanging="170"/>
        <w:rPr>
          <w:sz w:val="20"/>
        </w:rPr>
      </w:pPr>
      <w:r>
        <w:rPr>
          <w:color w:val="58595B"/>
          <w:sz w:val="20"/>
        </w:rPr>
        <w:t xml:space="preserve">Geographical spillovers – When local issues indicate a more significant system-wide problem, the </w:t>
      </w:r>
      <w:r>
        <w:rPr>
          <w:color w:val="58595B"/>
          <w:spacing w:val="-4"/>
          <w:sz w:val="20"/>
        </w:rPr>
        <w:t xml:space="preserve">EPA </w:t>
      </w:r>
      <w:r>
        <w:rPr>
          <w:color w:val="58595B"/>
          <w:sz w:val="20"/>
        </w:rPr>
        <w:t>will be involved and deploy a strategic response, in consultation with local</w:t>
      </w:r>
      <w:r>
        <w:rPr>
          <w:color w:val="58595B"/>
          <w:spacing w:val="3"/>
          <w:sz w:val="20"/>
        </w:rPr>
        <w:t xml:space="preserve"> </w:t>
      </w:r>
      <w:r>
        <w:rPr>
          <w:color w:val="58595B"/>
          <w:sz w:val="20"/>
        </w:rPr>
        <w:t>government.</w:t>
      </w:r>
    </w:p>
    <w:p w14:paraId="73511247" w14:textId="77777777" w:rsidR="00160E7F" w:rsidRDefault="002B0299">
      <w:pPr>
        <w:pStyle w:val="ListParagraph"/>
        <w:numPr>
          <w:ilvl w:val="1"/>
          <w:numId w:val="25"/>
        </w:numPr>
        <w:tabs>
          <w:tab w:val="left" w:pos="1588"/>
        </w:tabs>
        <w:spacing w:before="115" w:line="280" w:lineRule="auto"/>
        <w:ind w:right="291" w:hanging="170"/>
        <w:rPr>
          <w:sz w:val="20"/>
        </w:rPr>
      </w:pPr>
      <w:r>
        <w:rPr>
          <w:color w:val="58595B"/>
          <w:sz w:val="20"/>
        </w:rPr>
        <w:t>Economies of scale – Local governments need to access the specialist resources, capabilities and expertise of the EPA, but should focus on dealing with the simpler issues that do not require complex, technical responses. There are likely to be economies of scale and scope from centralising responsibilities (such as training and</w:t>
      </w:r>
      <w:r>
        <w:rPr>
          <w:color w:val="58595B"/>
          <w:spacing w:val="-14"/>
          <w:sz w:val="20"/>
        </w:rPr>
        <w:t xml:space="preserve"> </w:t>
      </w:r>
      <w:r>
        <w:rPr>
          <w:color w:val="58595B"/>
          <w:sz w:val="20"/>
        </w:rPr>
        <w:t>databases).</w:t>
      </w:r>
    </w:p>
    <w:p w14:paraId="083711C0" w14:textId="77777777" w:rsidR="00160E7F" w:rsidRDefault="002B0299">
      <w:pPr>
        <w:pStyle w:val="ListParagraph"/>
        <w:numPr>
          <w:ilvl w:val="1"/>
          <w:numId w:val="25"/>
        </w:numPr>
        <w:tabs>
          <w:tab w:val="left" w:pos="1588"/>
        </w:tabs>
        <w:spacing w:before="115" w:line="280" w:lineRule="auto"/>
        <w:ind w:right="180" w:hanging="170"/>
        <w:rPr>
          <w:sz w:val="20"/>
        </w:rPr>
      </w:pPr>
      <w:r>
        <w:rPr>
          <w:color w:val="58595B"/>
          <w:sz w:val="20"/>
        </w:rPr>
        <w:t>Local variation and local knowledge – Problems differ between localities and agencies must consider how local context influences risk. But the system as a whole needs strong oversight to ensure consistency and provide support for local government</w:t>
      </w:r>
      <w:r>
        <w:rPr>
          <w:color w:val="58595B"/>
          <w:spacing w:val="20"/>
          <w:sz w:val="20"/>
        </w:rPr>
        <w:t xml:space="preserve"> </w:t>
      </w:r>
      <w:r>
        <w:rPr>
          <w:color w:val="58595B"/>
          <w:sz w:val="20"/>
        </w:rPr>
        <w:t>officers.</w:t>
      </w:r>
    </w:p>
    <w:p w14:paraId="43B0B237" w14:textId="77777777" w:rsidR="00160E7F" w:rsidRDefault="00160E7F">
      <w:pPr>
        <w:pStyle w:val="BodyText"/>
        <w:spacing w:before="1"/>
        <w:rPr>
          <w:sz w:val="19"/>
        </w:rPr>
      </w:pPr>
    </w:p>
    <w:p w14:paraId="6CB1BC0C" w14:textId="77777777" w:rsidR="00160E7F" w:rsidRDefault="002B0299">
      <w:pPr>
        <w:pStyle w:val="Heading3"/>
        <w:numPr>
          <w:ilvl w:val="1"/>
          <w:numId w:val="3"/>
        </w:numPr>
        <w:tabs>
          <w:tab w:val="left" w:pos="1993"/>
        </w:tabs>
        <w:spacing w:before="0"/>
      </w:pPr>
      <w:r>
        <w:rPr>
          <w:color w:val="0095A7"/>
        </w:rPr>
        <w:t xml:space="preserve">Establishing local </w:t>
      </w:r>
      <w:r>
        <w:rPr>
          <w:color w:val="0095A7"/>
          <w:spacing w:val="-3"/>
        </w:rPr>
        <w:t xml:space="preserve">government environment </w:t>
      </w:r>
      <w:r>
        <w:rPr>
          <w:color w:val="0095A7"/>
        </w:rPr>
        <w:t>protection</w:t>
      </w:r>
      <w:r>
        <w:rPr>
          <w:color w:val="0095A7"/>
          <w:spacing w:val="-8"/>
        </w:rPr>
        <w:t xml:space="preserve"> </w:t>
      </w:r>
      <w:r>
        <w:rPr>
          <w:color w:val="0095A7"/>
        </w:rPr>
        <w:t>officers</w:t>
      </w:r>
    </w:p>
    <w:p w14:paraId="798810EA" w14:textId="77777777" w:rsidR="00160E7F" w:rsidRDefault="002B0299">
      <w:pPr>
        <w:spacing w:before="145" w:line="280" w:lineRule="auto"/>
        <w:ind w:left="1984" w:right="772"/>
        <w:rPr>
          <w:sz w:val="20"/>
        </w:rPr>
      </w:pPr>
      <w:r>
        <w:rPr>
          <w:i/>
          <w:color w:val="231F20"/>
          <w:sz w:val="20"/>
        </w:rPr>
        <w:t xml:space="preserve">If there is to be a reliance in the future by the EPA on Local Government as a first responder and/or investigator of environmental matters then the Environment Protection Act needs … to reflect this. The powers now enjoyed by EPA officers must be given to local government Environmental Health Officers … This would enable prompt attendance at incidents which would not only minimise any environmental damage but greatly enhance the ability to identify the parties involved and undertake appropriate enforcement action. This is a win for the EPA, a win for the Environment, a win for the Council and a win for the community. </w:t>
      </w:r>
      <w:r>
        <w:rPr>
          <w:color w:val="231F20"/>
          <w:sz w:val="20"/>
        </w:rPr>
        <w:t>(Alex Serrurier submission, p. 3)</w:t>
      </w:r>
    </w:p>
    <w:p w14:paraId="73FDEB3F" w14:textId="77777777" w:rsidR="00160E7F" w:rsidRDefault="002B0299">
      <w:pPr>
        <w:pStyle w:val="BodyText"/>
        <w:spacing w:before="172" w:line="280" w:lineRule="auto"/>
        <w:ind w:left="1417" w:right="405"/>
      </w:pPr>
      <w:r>
        <w:rPr>
          <w:color w:val="58595B"/>
        </w:rPr>
        <w:t>We recommend establishing a new statewide network of local government environment protection officers to address localised pollution and waste complaints. The officers will be employed by councils but be appropriately authorised under the EP Act to undertake low level, low risk compliance and enforcement activities. The local government environment protection officers would perform a local protection role, complementing the EPA’s focus on higher order risks and strategic interventions.</w:t>
      </w:r>
    </w:p>
    <w:p w14:paraId="6F36D508" w14:textId="77777777" w:rsidR="00160E7F" w:rsidRDefault="002B0299">
      <w:pPr>
        <w:pStyle w:val="BodyText"/>
        <w:spacing w:before="172" w:line="280" w:lineRule="auto"/>
        <w:ind w:left="1417" w:right="142"/>
      </w:pPr>
      <w:r>
        <w:rPr>
          <w:color w:val="58595B"/>
        </w:rPr>
        <w:t>Under this proposal, local governments will be empowered to take a stronger and lead role in responding to local pollution complaints and issues – a role that plays to their strengths. The EPA will support this role through training and technical support, as well as through its responsibilities for setting standards, developing the regulatory toolkit, managing high risk sites and strategic interventions. The EPA will need to develop a close ongoing relationship with local government authorities, to support joint regional planning, and determine strategic opportunities and gaps and resource requirements.</w:t>
      </w:r>
    </w:p>
    <w:p w14:paraId="25978B92" w14:textId="77777777" w:rsidR="00160E7F" w:rsidRDefault="00160E7F">
      <w:pPr>
        <w:spacing w:line="280" w:lineRule="auto"/>
        <w:sectPr w:rsidR="00160E7F">
          <w:pgSz w:w="11910" w:h="16840"/>
          <w:pgMar w:top="980" w:right="1680" w:bottom="280" w:left="0" w:header="788" w:footer="0" w:gutter="0"/>
          <w:cols w:space="720"/>
        </w:sectPr>
      </w:pPr>
    </w:p>
    <w:p w14:paraId="41D216A9" w14:textId="77777777" w:rsidR="00160E7F" w:rsidRDefault="00160E7F">
      <w:pPr>
        <w:pStyle w:val="BodyText"/>
      </w:pPr>
    </w:p>
    <w:p w14:paraId="33BC3B32" w14:textId="77777777" w:rsidR="00160E7F" w:rsidRDefault="00160E7F">
      <w:pPr>
        <w:pStyle w:val="BodyText"/>
      </w:pPr>
    </w:p>
    <w:p w14:paraId="5737B2EC" w14:textId="77777777" w:rsidR="00160E7F" w:rsidRDefault="00160E7F">
      <w:pPr>
        <w:pStyle w:val="BodyText"/>
      </w:pPr>
    </w:p>
    <w:p w14:paraId="0ED7E5B3" w14:textId="77777777" w:rsidR="00160E7F" w:rsidRDefault="00160E7F">
      <w:pPr>
        <w:pStyle w:val="BodyText"/>
      </w:pPr>
    </w:p>
    <w:p w14:paraId="0B93AEF7" w14:textId="77777777" w:rsidR="00160E7F" w:rsidRDefault="00160E7F">
      <w:pPr>
        <w:pStyle w:val="BodyText"/>
        <w:spacing w:before="8"/>
        <w:rPr>
          <w:sz w:val="17"/>
        </w:rPr>
      </w:pPr>
    </w:p>
    <w:p w14:paraId="3BABF047" w14:textId="77777777" w:rsidR="00160E7F" w:rsidRDefault="002B0299">
      <w:pPr>
        <w:pStyle w:val="BodyText"/>
        <w:spacing w:before="1" w:line="280" w:lineRule="auto"/>
        <w:ind w:left="134" w:right="1433"/>
      </w:pPr>
      <w:r>
        <w:rPr>
          <w:color w:val="58595B"/>
        </w:rPr>
        <w:t>To provide truly local coverage, we recommend each of Victoria’s 79 local government authorities must have a local environment protection officer. In most cases, we expect officers will be located within each local government authority. But we recognise officers may need ‘virtual hubs’, to exchange information and to provide support and training.</w:t>
      </w:r>
    </w:p>
    <w:p w14:paraId="4E2DB69F" w14:textId="77777777" w:rsidR="00160E7F" w:rsidRDefault="002B0299">
      <w:pPr>
        <w:pStyle w:val="BodyText"/>
        <w:spacing w:before="172" w:line="280" w:lineRule="auto"/>
        <w:ind w:left="134" w:right="789"/>
      </w:pPr>
      <w:r>
        <w:rPr>
          <w:color w:val="58595B"/>
        </w:rPr>
        <w:t>The local government environment protection officers will need clearly defined statutory roles and governance arrangements, including the following elements:</w:t>
      </w:r>
    </w:p>
    <w:p w14:paraId="4AC3E201" w14:textId="77777777" w:rsidR="00160E7F" w:rsidRDefault="002B0299">
      <w:pPr>
        <w:pStyle w:val="ListParagraph"/>
        <w:numPr>
          <w:ilvl w:val="0"/>
          <w:numId w:val="25"/>
        </w:numPr>
        <w:tabs>
          <w:tab w:val="left" w:pos="305"/>
        </w:tabs>
        <w:spacing w:before="115"/>
        <w:ind w:hanging="170"/>
        <w:rPr>
          <w:sz w:val="20"/>
        </w:rPr>
      </w:pPr>
      <w:r>
        <w:rPr>
          <w:color w:val="58595B"/>
          <w:sz w:val="20"/>
        </w:rPr>
        <w:t>authorisation under the EP Act to address localised, low level pollution and waste</w:t>
      </w:r>
      <w:r>
        <w:rPr>
          <w:color w:val="58595B"/>
          <w:spacing w:val="1"/>
          <w:sz w:val="20"/>
        </w:rPr>
        <w:t xml:space="preserve"> </w:t>
      </w:r>
      <w:r>
        <w:rPr>
          <w:color w:val="58595B"/>
          <w:sz w:val="20"/>
        </w:rPr>
        <w:t>complaints</w:t>
      </w:r>
    </w:p>
    <w:p w14:paraId="57C21DF3" w14:textId="77777777" w:rsidR="00160E7F" w:rsidRDefault="002B0299">
      <w:pPr>
        <w:pStyle w:val="BodyText"/>
        <w:spacing w:before="40"/>
        <w:ind w:left="304" w:right="789"/>
      </w:pPr>
      <w:r>
        <w:rPr>
          <w:color w:val="58595B"/>
        </w:rPr>
        <w:t>– they will not be expected to deal with facilities that are licensed by the EPA</w:t>
      </w:r>
    </w:p>
    <w:p w14:paraId="4D03C818" w14:textId="77777777" w:rsidR="00160E7F" w:rsidRDefault="002B0299">
      <w:pPr>
        <w:pStyle w:val="ListParagraph"/>
        <w:numPr>
          <w:ilvl w:val="0"/>
          <w:numId w:val="25"/>
        </w:numPr>
        <w:tabs>
          <w:tab w:val="left" w:pos="305"/>
        </w:tabs>
        <w:spacing w:before="153"/>
        <w:ind w:hanging="170"/>
        <w:rPr>
          <w:sz w:val="20"/>
        </w:rPr>
      </w:pPr>
      <w:r>
        <w:rPr>
          <w:color w:val="58595B"/>
          <w:sz w:val="20"/>
        </w:rPr>
        <w:t>have defined powers to issue infringements and</w:t>
      </w:r>
      <w:r>
        <w:rPr>
          <w:color w:val="58595B"/>
          <w:spacing w:val="3"/>
          <w:sz w:val="20"/>
        </w:rPr>
        <w:t xml:space="preserve"> </w:t>
      </w:r>
      <w:r>
        <w:rPr>
          <w:color w:val="58595B"/>
          <w:sz w:val="20"/>
        </w:rPr>
        <w:t>notices</w:t>
      </w:r>
    </w:p>
    <w:p w14:paraId="2520323D" w14:textId="77777777" w:rsidR="00160E7F" w:rsidRDefault="002B0299">
      <w:pPr>
        <w:pStyle w:val="ListParagraph"/>
        <w:numPr>
          <w:ilvl w:val="0"/>
          <w:numId w:val="25"/>
        </w:numPr>
        <w:tabs>
          <w:tab w:val="left" w:pos="305"/>
        </w:tabs>
        <w:spacing w:before="153" w:line="280" w:lineRule="auto"/>
        <w:ind w:right="2127" w:hanging="170"/>
        <w:rPr>
          <w:sz w:val="20"/>
        </w:rPr>
      </w:pPr>
      <w:r>
        <w:rPr>
          <w:color w:val="58595B"/>
          <w:sz w:val="20"/>
        </w:rPr>
        <w:t>be expected to support compliance by providing information to local businesses and the broader</w:t>
      </w:r>
      <w:r>
        <w:rPr>
          <w:color w:val="58595B"/>
          <w:spacing w:val="5"/>
          <w:sz w:val="20"/>
        </w:rPr>
        <w:t xml:space="preserve"> </w:t>
      </w:r>
      <w:r>
        <w:rPr>
          <w:color w:val="58595B"/>
          <w:sz w:val="20"/>
        </w:rPr>
        <w:t>community</w:t>
      </w:r>
    </w:p>
    <w:p w14:paraId="5F3408C1" w14:textId="77777777" w:rsidR="00160E7F" w:rsidRDefault="002B0299">
      <w:pPr>
        <w:pStyle w:val="ListParagraph"/>
        <w:numPr>
          <w:ilvl w:val="0"/>
          <w:numId w:val="25"/>
        </w:numPr>
        <w:tabs>
          <w:tab w:val="left" w:pos="305"/>
        </w:tabs>
        <w:spacing w:before="115"/>
        <w:ind w:hanging="170"/>
        <w:rPr>
          <w:sz w:val="20"/>
        </w:rPr>
      </w:pPr>
      <w:r>
        <w:rPr>
          <w:color w:val="58595B"/>
          <w:sz w:val="20"/>
        </w:rPr>
        <w:t xml:space="preserve">be able to enforce the general duty with appropriate support from the </w:t>
      </w:r>
      <w:r>
        <w:rPr>
          <w:color w:val="58595B"/>
          <w:spacing w:val="-4"/>
          <w:sz w:val="20"/>
        </w:rPr>
        <w:t xml:space="preserve">EPA </w:t>
      </w:r>
      <w:r>
        <w:rPr>
          <w:color w:val="58595B"/>
          <w:sz w:val="20"/>
        </w:rPr>
        <w:t>(see chapter</w:t>
      </w:r>
      <w:r>
        <w:rPr>
          <w:color w:val="58595B"/>
          <w:spacing w:val="18"/>
          <w:sz w:val="20"/>
        </w:rPr>
        <w:t xml:space="preserve"> </w:t>
      </w:r>
      <w:r>
        <w:rPr>
          <w:color w:val="58595B"/>
          <w:spacing w:val="-5"/>
          <w:sz w:val="20"/>
        </w:rPr>
        <w:t>12).</w:t>
      </w:r>
    </w:p>
    <w:p w14:paraId="6A40AF99" w14:textId="77777777" w:rsidR="00160E7F" w:rsidRDefault="00160E7F">
      <w:pPr>
        <w:pStyle w:val="BodyText"/>
        <w:spacing w:before="3"/>
        <w:rPr>
          <w:sz w:val="18"/>
        </w:rPr>
      </w:pPr>
    </w:p>
    <w:p w14:paraId="4E9D7877" w14:textId="77777777" w:rsidR="00160E7F" w:rsidRDefault="002B0299">
      <w:pPr>
        <w:pStyle w:val="BodyText"/>
        <w:spacing w:line="280" w:lineRule="auto"/>
        <w:ind w:left="134" w:right="1433"/>
      </w:pPr>
      <w:r>
        <w:rPr>
          <w:color w:val="58595B"/>
        </w:rPr>
        <w:t>As providers of services and owners of facilities and infrastructure, local governments are also regulated by the EPA. To ensure confidence and transparency, the EPA will keep regulating local government activities.</w:t>
      </w:r>
    </w:p>
    <w:p w14:paraId="0A235F0D" w14:textId="77777777" w:rsidR="00160E7F" w:rsidRDefault="002B0299">
      <w:pPr>
        <w:pStyle w:val="BodyText"/>
        <w:spacing w:before="172" w:line="280" w:lineRule="auto"/>
        <w:ind w:left="134" w:right="1433"/>
      </w:pPr>
      <w:r>
        <w:rPr>
          <w:color w:val="58595B"/>
        </w:rPr>
        <w:t>As well as a formal statutory relationship between local government environment protection officers and the EPA, the EPA will provide oversight and support, especially in the initial stages. This will occur primarily through the regional offices. In particular, the EPA will need to provide:</w:t>
      </w:r>
    </w:p>
    <w:p w14:paraId="0A0225D5" w14:textId="77777777" w:rsidR="00160E7F" w:rsidRDefault="002B0299">
      <w:pPr>
        <w:pStyle w:val="ListParagraph"/>
        <w:numPr>
          <w:ilvl w:val="0"/>
          <w:numId w:val="25"/>
        </w:numPr>
        <w:tabs>
          <w:tab w:val="left" w:pos="305"/>
        </w:tabs>
        <w:spacing w:before="115" w:line="280" w:lineRule="auto"/>
        <w:ind w:right="1897" w:hanging="170"/>
        <w:rPr>
          <w:sz w:val="20"/>
        </w:rPr>
      </w:pPr>
      <w:r>
        <w:rPr>
          <w:color w:val="58595B"/>
          <w:sz w:val="20"/>
        </w:rPr>
        <w:t>guidance materials and education on standards to assist local government environment protection officers, including outlining how duty holders are expected to meet their environment protection obligations to drive consistent compliance and enforcement across local</w:t>
      </w:r>
      <w:r>
        <w:rPr>
          <w:color w:val="58595B"/>
          <w:spacing w:val="1"/>
          <w:sz w:val="20"/>
        </w:rPr>
        <w:t xml:space="preserve"> </w:t>
      </w:r>
      <w:r>
        <w:rPr>
          <w:color w:val="58595B"/>
          <w:sz w:val="20"/>
        </w:rPr>
        <w:t>governments</w:t>
      </w:r>
    </w:p>
    <w:p w14:paraId="0F720106" w14:textId="77777777" w:rsidR="00160E7F" w:rsidRDefault="002B0299">
      <w:pPr>
        <w:pStyle w:val="ListParagraph"/>
        <w:numPr>
          <w:ilvl w:val="0"/>
          <w:numId w:val="25"/>
        </w:numPr>
        <w:tabs>
          <w:tab w:val="left" w:pos="305"/>
        </w:tabs>
        <w:spacing w:before="115" w:line="280" w:lineRule="auto"/>
        <w:ind w:right="1499" w:hanging="170"/>
        <w:rPr>
          <w:sz w:val="20"/>
        </w:rPr>
      </w:pPr>
      <w:r>
        <w:rPr>
          <w:color w:val="58595B"/>
          <w:sz w:val="20"/>
        </w:rPr>
        <w:t xml:space="preserve">quick access to </w:t>
      </w:r>
      <w:r>
        <w:rPr>
          <w:color w:val="58595B"/>
          <w:spacing w:val="-4"/>
          <w:sz w:val="20"/>
        </w:rPr>
        <w:t xml:space="preserve">EPA </w:t>
      </w:r>
      <w:r>
        <w:rPr>
          <w:color w:val="58595B"/>
          <w:sz w:val="20"/>
        </w:rPr>
        <w:t xml:space="preserve">technical assistance and surveillance, to identify problems in a timely </w:t>
      </w:r>
      <w:r>
        <w:rPr>
          <w:color w:val="58595B"/>
          <w:spacing w:val="-2"/>
          <w:sz w:val="20"/>
        </w:rPr>
        <w:t xml:space="preserve">way </w:t>
      </w:r>
      <w:r>
        <w:rPr>
          <w:color w:val="58595B"/>
          <w:sz w:val="20"/>
        </w:rPr>
        <w:t>and to have the knowledge and skills to apply tailored</w:t>
      </w:r>
      <w:r>
        <w:rPr>
          <w:color w:val="58595B"/>
          <w:spacing w:val="-1"/>
          <w:sz w:val="20"/>
        </w:rPr>
        <w:t xml:space="preserve"> </w:t>
      </w:r>
      <w:r>
        <w:rPr>
          <w:color w:val="58595B"/>
          <w:sz w:val="20"/>
        </w:rPr>
        <w:t>solutions</w:t>
      </w:r>
    </w:p>
    <w:p w14:paraId="239DEFD7" w14:textId="77777777" w:rsidR="00160E7F" w:rsidRDefault="002B0299">
      <w:pPr>
        <w:pStyle w:val="ListParagraph"/>
        <w:numPr>
          <w:ilvl w:val="0"/>
          <w:numId w:val="25"/>
        </w:numPr>
        <w:tabs>
          <w:tab w:val="left" w:pos="305"/>
        </w:tabs>
        <w:spacing w:before="115"/>
        <w:ind w:hanging="170"/>
        <w:rPr>
          <w:sz w:val="20"/>
        </w:rPr>
      </w:pPr>
      <w:r>
        <w:rPr>
          <w:color w:val="58595B"/>
          <w:sz w:val="20"/>
        </w:rPr>
        <w:t>clear protocols on referring more complex issues to the</w:t>
      </w:r>
      <w:r>
        <w:rPr>
          <w:color w:val="58595B"/>
          <w:spacing w:val="12"/>
          <w:sz w:val="20"/>
        </w:rPr>
        <w:t xml:space="preserve"> </w:t>
      </w:r>
      <w:r>
        <w:rPr>
          <w:color w:val="58595B"/>
          <w:spacing w:val="-4"/>
          <w:sz w:val="20"/>
        </w:rPr>
        <w:t>EPA</w:t>
      </w:r>
    </w:p>
    <w:p w14:paraId="7D06C878" w14:textId="77777777" w:rsidR="00160E7F" w:rsidRDefault="002B0299">
      <w:pPr>
        <w:pStyle w:val="ListParagraph"/>
        <w:numPr>
          <w:ilvl w:val="0"/>
          <w:numId w:val="25"/>
        </w:numPr>
        <w:tabs>
          <w:tab w:val="left" w:pos="305"/>
        </w:tabs>
        <w:spacing w:before="153" w:line="280" w:lineRule="auto"/>
        <w:ind w:right="1634" w:hanging="170"/>
        <w:rPr>
          <w:sz w:val="20"/>
        </w:rPr>
      </w:pPr>
      <w:r>
        <w:rPr>
          <w:color w:val="58595B"/>
          <w:sz w:val="20"/>
        </w:rPr>
        <w:t>effective mechanisms for integrated data gathering and information exchange across the new statewide</w:t>
      </w:r>
      <w:r>
        <w:rPr>
          <w:color w:val="58595B"/>
          <w:spacing w:val="6"/>
          <w:sz w:val="20"/>
        </w:rPr>
        <w:t xml:space="preserve"> </w:t>
      </w:r>
      <w:r>
        <w:rPr>
          <w:color w:val="58595B"/>
          <w:sz w:val="20"/>
        </w:rPr>
        <w:t>network.</w:t>
      </w:r>
    </w:p>
    <w:p w14:paraId="08459ABC" w14:textId="77777777" w:rsidR="00160E7F" w:rsidRDefault="002B0299">
      <w:pPr>
        <w:spacing w:before="172" w:line="280" w:lineRule="auto"/>
        <w:ind w:left="701" w:right="2039"/>
        <w:rPr>
          <w:i/>
          <w:sz w:val="20"/>
        </w:rPr>
      </w:pPr>
      <w:r>
        <w:rPr>
          <w:i/>
          <w:color w:val="231F20"/>
          <w:sz w:val="20"/>
        </w:rPr>
        <w:t>The EPA needs to be adequately resourced at a regional level to be effective and relevant... Council acknowledges EPA responsiveness and assistance after an event; however councils also rely upon the guidance and regulatory interpretation of the EPA to assist them with compliance and problem solving. (Municipal Association of Victoria Submission, p. 11).</w:t>
      </w:r>
    </w:p>
    <w:p w14:paraId="714DCA94" w14:textId="77777777" w:rsidR="00160E7F" w:rsidRDefault="002B0299">
      <w:pPr>
        <w:spacing w:before="172" w:line="280" w:lineRule="auto"/>
        <w:ind w:left="701" w:right="1716"/>
        <w:rPr>
          <w:i/>
          <w:sz w:val="20"/>
        </w:rPr>
      </w:pPr>
      <w:r>
        <w:rPr>
          <w:i/>
          <w:color w:val="231F20"/>
          <w:sz w:val="20"/>
        </w:rPr>
        <w:t>At present, Council finds its relationship with the EPA is fragmented and occurs only when specific matters arise. Council is of the view that the EPA’s functions would</w:t>
      </w:r>
    </w:p>
    <w:p w14:paraId="50617704" w14:textId="77777777" w:rsidR="00160E7F" w:rsidRDefault="002B0299">
      <w:pPr>
        <w:spacing w:before="2" w:line="280" w:lineRule="auto"/>
        <w:ind w:left="701" w:right="2182"/>
        <w:rPr>
          <w:sz w:val="20"/>
        </w:rPr>
      </w:pPr>
      <w:r>
        <w:rPr>
          <w:i/>
          <w:color w:val="231F20"/>
          <w:sz w:val="20"/>
        </w:rPr>
        <w:t xml:space="preserve">be greatly enhanced by an ongoing relationship with Council officers in regards to issues. Such an ongoing relationship would enable both Council officers and the EPA to exchange concerns, share knowledge and work through solutions together. </w:t>
      </w:r>
      <w:r>
        <w:rPr>
          <w:color w:val="231F20"/>
          <w:sz w:val="20"/>
        </w:rPr>
        <w:t>(City of Boroondara submission, p. 3)</w:t>
      </w:r>
    </w:p>
    <w:p w14:paraId="461FB9FB" w14:textId="77777777" w:rsidR="00160E7F" w:rsidRDefault="00160E7F">
      <w:pPr>
        <w:spacing w:line="280" w:lineRule="auto"/>
        <w:rPr>
          <w:sz w:val="20"/>
        </w:rPr>
        <w:sectPr w:rsidR="00160E7F">
          <w:pgSz w:w="11910" w:h="16840"/>
          <w:pgMar w:top="980" w:right="0" w:bottom="280" w:left="1680" w:header="788" w:footer="0" w:gutter="0"/>
          <w:cols w:space="720"/>
        </w:sectPr>
      </w:pPr>
    </w:p>
    <w:p w14:paraId="4A2EB0BE" w14:textId="77777777" w:rsidR="00160E7F" w:rsidRDefault="00160E7F">
      <w:pPr>
        <w:pStyle w:val="BodyText"/>
      </w:pPr>
    </w:p>
    <w:p w14:paraId="7C3F4BB3" w14:textId="77777777" w:rsidR="00160E7F" w:rsidRDefault="00160E7F">
      <w:pPr>
        <w:pStyle w:val="BodyText"/>
      </w:pPr>
    </w:p>
    <w:p w14:paraId="23481AB3" w14:textId="77777777" w:rsidR="00160E7F" w:rsidRDefault="00160E7F">
      <w:pPr>
        <w:pStyle w:val="BodyText"/>
      </w:pPr>
    </w:p>
    <w:p w14:paraId="2035047E" w14:textId="77777777" w:rsidR="00160E7F" w:rsidRDefault="00160E7F">
      <w:pPr>
        <w:pStyle w:val="BodyText"/>
      </w:pPr>
    </w:p>
    <w:p w14:paraId="2CFA29D8" w14:textId="77777777" w:rsidR="00160E7F" w:rsidRDefault="00160E7F">
      <w:pPr>
        <w:pStyle w:val="BodyText"/>
        <w:spacing w:before="8"/>
        <w:rPr>
          <w:sz w:val="17"/>
        </w:rPr>
      </w:pPr>
    </w:p>
    <w:p w14:paraId="142415AB" w14:textId="77777777" w:rsidR="00160E7F" w:rsidRDefault="002B0299">
      <w:pPr>
        <w:pStyle w:val="ListParagraph"/>
        <w:numPr>
          <w:ilvl w:val="2"/>
          <w:numId w:val="3"/>
        </w:numPr>
        <w:tabs>
          <w:tab w:val="left" w:pos="2049"/>
        </w:tabs>
        <w:spacing w:before="1"/>
        <w:ind w:hanging="631"/>
        <w:jc w:val="left"/>
        <w:rPr>
          <w:sz w:val="20"/>
        </w:rPr>
      </w:pPr>
      <w:r>
        <w:rPr>
          <w:color w:val="0095A7"/>
          <w:sz w:val="20"/>
        </w:rPr>
        <w:t>State-local</w:t>
      </w:r>
      <w:r>
        <w:rPr>
          <w:color w:val="0095A7"/>
          <w:spacing w:val="24"/>
          <w:sz w:val="20"/>
        </w:rPr>
        <w:t xml:space="preserve"> </w:t>
      </w:r>
      <w:r>
        <w:rPr>
          <w:color w:val="0095A7"/>
          <w:sz w:val="20"/>
        </w:rPr>
        <w:t>partnership</w:t>
      </w:r>
    </w:p>
    <w:p w14:paraId="475FFE90" w14:textId="77777777" w:rsidR="00160E7F" w:rsidRDefault="002B0299">
      <w:pPr>
        <w:pStyle w:val="BodyText"/>
        <w:spacing w:before="148" w:line="276" w:lineRule="auto"/>
        <w:ind w:left="1417" w:right="623"/>
      </w:pPr>
      <w:r>
        <w:rPr>
          <w:color w:val="58595B"/>
        </w:rPr>
        <w:t>Local governments partner with state regulators and agencies across a wide range of areas, such as food safety, rooming house regulation, land use planning, aged care and libraries, as well as environmental</w:t>
      </w:r>
      <w:r>
        <w:rPr>
          <w:color w:val="58595B"/>
          <w:spacing w:val="-8"/>
        </w:rPr>
        <w:t xml:space="preserve"> </w:t>
      </w:r>
      <w:r>
        <w:rPr>
          <w:color w:val="58595B"/>
        </w:rPr>
        <w:t>regulation.</w:t>
      </w:r>
    </w:p>
    <w:p w14:paraId="48B5B20E" w14:textId="77777777" w:rsidR="00160E7F" w:rsidRDefault="002B0299">
      <w:pPr>
        <w:pStyle w:val="BodyText"/>
        <w:spacing w:before="171" w:line="276" w:lineRule="auto"/>
        <w:ind w:left="1417" w:right="201"/>
      </w:pPr>
      <w:r>
        <w:rPr>
          <w:color w:val="58595B"/>
        </w:rPr>
        <w:t xml:space="preserve">The </w:t>
      </w:r>
      <w:r>
        <w:rPr>
          <w:i/>
          <w:color w:val="58595B"/>
        </w:rPr>
        <w:t xml:space="preserve">Victorian state-local government agreement </w:t>
      </w:r>
      <w:r>
        <w:rPr>
          <w:color w:val="58595B"/>
        </w:rPr>
        <w:t>is a non-legally binding agreement between local governments and the Victorian government that sets out principles to guide state-local government relations and the respective accountabilities of local and state government.</w:t>
      </w:r>
      <w:r>
        <w:rPr>
          <w:color w:val="58595B"/>
          <w:position w:val="7"/>
          <w:sz w:val="11"/>
        </w:rPr>
        <w:t xml:space="preserve">13 </w:t>
      </w:r>
      <w:r>
        <w:rPr>
          <w:color w:val="58595B"/>
        </w:rPr>
        <w:t>The agreement also sets out implementation considerations for any new proposal where the Victorian Government intends for local government to administer or enforce new or revised primary legislation or regulation, or act as an agent and deliver services on its</w:t>
      </w:r>
      <w:r>
        <w:rPr>
          <w:color w:val="58595B"/>
          <w:spacing w:val="6"/>
        </w:rPr>
        <w:t xml:space="preserve"> </w:t>
      </w:r>
      <w:r>
        <w:rPr>
          <w:color w:val="58595B"/>
        </w:rPr>
        <w:t>behalf.</w:t>
      </w:r>
    </w:p>
    <w:p w14:paraId="7D7C9175" w14:textId="77777777" w:rsidR="00160E7F" w:rsidRDefault="002B0299">
      <w:pPr>
        <w:pStyle w:val="BodyText"/>
        <w:spacing w:before="171" w:line="276" w:lineRule="auto"/>
        <w:ind w:left="1417" w:right="189"/>
      </w:pPr>
      <w:r>
        <w:rPr>
          <w:color w:val="58595B"/>
        </w:rPr>
        <w:t>Under</w:t>
      </w:r>
      <w:r>
        <w:rPr>
          <w:color w:val="58595B"/>
          <w:spacing w:val="-8"/>
        </w:rPr>
        <w:t xml:space="preserve"> </w:t>
      </w:r>
      <w:r>
        <w:rPr>
          <w:color w:val="58595B"/>
        </w:rPr>
        <w:t>the</w:t>
      </w:r>
      <w:r>
        <w:rPr>
          <w:color w:val="58595B"/>
          <w:spacing w:val="-8"/>
        </w:rPr>
        <w:t xml:space="preserve"> </w:t>
      </w:r>
      <w:r>
        <w:rPr>
          <w:color w:val="58595B"/>
        </w:rPr>
        <w:t>Victorian</w:t>
      </w:r>
      <w:r>
        <w:rPr>
          <w:color w:val="58595B"/>
          <w:spacing w:val="-8"/>
        </w:rPr>
        <w:t xml:space="preserve"> </w:t>
      </w:r>
      <w:r>
        <w:rPr>
          <w:color w:val="58595B"/>
        </w:rPr>
        <w:t>state-local</w:t>
      </w:r>
      <w:r>
        <w:rPr>
          <w:color w:val="58595B"/>
          <w:spacing w:val="-8"/>
        </w:rPr>
        <w:t xml:space="preserve"> </w:t>
      </w:r>
      <w:r>
        <w:rPr>
          <w:color w:val="58595B"/>
          <w:spacing w:val="-3"/>
        </w:rPr>
        <w:t>government</w:t>
      </w:r>
      <w:r>
        <w:rPr>
          <w:color w:val="58595B"/>
          <w:spacing w:val="-8"/>
        </w:rPr>
        <w:t xml:space="preserve"> </w:t>
      </w:r>
      <w:r>
        <w:rPr>
          <w:color w:val="58595B"/>
        </w:rPr>
        <w:t>agreement,</w:t>
      </w:r>
      <w:r>
        <w:rPr>
          <w:color w:val="58595B"/>
          <w:spacing w:val="-8"/>
        </w:rPr>
        <w:t xml:space="preserve"> </w:t>
      </w:r>
      <w:r>
        <w:rPr>
          <w:color w:val="58595B"/>
          <w:spacing w:val="-4"/>
        </w:rPr>
        <w:t>DELWP</w:t>
      </w:r>
      <w:r>
        <w:rPr>
          <w:color w:val="58595B"/>
          <w:spacing w:val="-8"/>
        </w:rPr>
        <w:t xml:space="preserve"> </w:t>
      </w:r>
      <w:r>
        <w:rPr>
          <w:color w:val="58595B"/>
          <w:spacing w:val="-3"/>
        </w:rPr>
        <w:t>plays</w:t>
      </w:r>
      <w:r>
        <w:rPr>
          <w:color w:val="58595B"/>
          <w:spacing w:val="-8"/>
        </w:rPr>
        <w:t xml:space="preserve"> </w:t>
      </w:r>
      <w:r>
        <w:rPr>
          <w:color w:val="58595B"/>
        </w:rPr>
        <w:t>an</w:t>
      </w:r>
      <w:r>
        <w:rPr>
          <w:color w:val="58595B"/>
          <w:spacing w:val="-8"/>
        </w:rPr>
        <w:t xml:space="preserve"> </w:t>
      </w:r>
      <w:r>
        <w:rPr>
          <w:color w:val="58595B"/>
        </w:rPr>
        <w:t>important</w:t>
      </w:r>
      <w:r>
        <w:rPr>
          <w:color w:val="58595B"/>
          <w:spacing w:val="-8"/>
        </w:rPr>
        <w:t xml:space="preserve"> </w:t>
      </w:r>
      <w:r>
        <w:rPr>
          <w:color w:val="58595B"/>
        </w:rPr>
        <w:t>role</w:t>
      </w:r>
      <w:r>
        <w:rPr>
          <w:color w:val="58595B"/>
          <w:spacing w:val="-8"/>
        </w:rPr>
        <w:t xml:space="preserve"> </w:t>
      </w:r>
      <w:r>
        <w:rPr>
          <w:color w:val="58595B"/>
        </w:rPr>
        <w:t>as</w:t>
      </w:r>
      <w:r>
        <w:rPr>
          <w:color w:val="58595B"/>
          <w:spacing w:val="-8"/>
        </w:rPr>
        <w:t xml:space="preserve"> </w:t>
      </w:r>
      <w:r>
        <w:rPr>
          <w:color w:val="58595B"/>
        </w:rPr>
        <w:t>the</w:t>
      </w:r>
      <w:r>
        <w:rPr>
          <w:color w:val="58595B"/>
          <w:spacing w:val="-8"/>
        </w:rPr>
        <w:t xml:space="preserve"> </w:t>
      </w:r>
      <w:r>
        <w:rPr>
          <w:color w:val="58595B"/>
          <w:spacing w:val="-3"/>
        </w:rPr>
        <w:t xml:space="preserve">lead </w:t>
      </w:r>
      <w:r>
        <w:rPr>
          <w:color w:val="58595B"/>
        </w:rPr>
        <w:t xml:space="preserve">department for the </w:t>
      </w:r>
      <w:r>
        <w:rPr>
          <w:color w:val="58595B"/>
          <w:spacing w:val="-3"/>
        </w:rPr>
        <w:t xml:space="preserve">environment, </w:t>
      </w:r>
      <w:r>
        <w:rPr>
          <w:color w:val="58595B"/>
        </w:rPr>
        <w:t xml:space="preserve">‘to consider the impacts of the regulation on local </w:t>
      </w:r>
      <w:r>
        <w:rPr>
          <w:color w:val="58595B"/>
          <w:spacing w:val="-3"/>
        </w:rPr>
        <w:t xml:space="preserve">governments, </w:t>
      </w:r>
      <w:r>
        <w:rPr>
          <w:color w:val="58595B"/>
        </w:rPr>
        <w:t xml:space="preserve">including </w:t>
      </w:r>
      <w:r>
        <w:rPr>
          <w:color w:val="58595B"/>
          <w:spacing w:val="-3"/>
        </w:rPr>
        <w:t xml:space="preserve">any </w:t>
      </w:r>
      <w:r>
        <w:rPr>
          <w:color w:val="58595B"/>
        </w:rPr>
        <w:t xml:space="preserve">cost and resource impacts on local </w:t>
      </w:r>
      <w:r>
        <w:rPr>
          <w:color w:val="58595B"/>
          <w:spacing w:val="-3"/>
        </w:rPr>
        <w:t xml:space="preserve">governments </w:t>
      </w:r>
      <w:r>
        <w:rPr>
          <w:color w:val="58595B"/>
        </w:rPr>
        <w:t xml:space="preserve">of administering the </w:t>
      </w:r>
      <w:r>
        <w:rPr>
          <w:color w:val="58595B"/>
          <w:spacing w:val="-5"/>
        </w:rPr>
        <w:t>regulation’.</w:t>
      </w:r>
      <w:r>
        <w:rPr>
          <w:color w:val="58595B"/>
          <w:spacing w:val="-5"/>
          <w:position w:val="7"/>
          <w:sz w:val="11"/>
        </w:rPr>
        <w:t xml:space="preserve">14 </w:t>
      </w:r>
      <w:r>
        <w:rPr>
          <w:color w:val="58595B"/>
          <w:spacing w:val="-3"/>
        </w:rPr>
        <w:t>We</w:t>
      </w:r>
      <w:r>
        <w:rPr>
          <w:color w:val="58595B"/>
          <w:spacing w:val="-8"/>
        </w:rPr>
        <w:t xml:space="preserve"> </w:t>
      </w:r>
      <w:r>
        <w:rPr>
          <w:color w:val="58595B"/>
        </w:rPr>
        <w:t>note</w:t>
      </w:r>
      <w:r>
        <w:rPr>
          <w:color w:val="58595B"/>
          <w:spacing w:val="-8"/>
        </w:rPr>
        <w:t xml:space="preserve"> </w:t>
      </w:r>
      <w:r>
        <w:rPr>
          <w:color w:val="58595B"/>
          <w:spacing w:val="-4"/>
        </w:rPr>
        <w:t>DELWP</w:t>
      </w:r>
      <w:r>
        <w:rPr>
          <w:color w:val="58595B"/>
          <w:spacing w:val="-8"/>
        </w:rPr>
        <w:t xml:space="preserve"> </w:t>
      </w:r>
      <w:r>
        <w:rPr>
          <w:color w:val="58595B"/>
        </w:rPr>
        <w:t>will</w:t>
      </w:r>
      <w:r>
        <w:rPr>
          <w:color w:val="58595B"/>
          <w:spacing w:val="-8"/>
        </w:rPr>
        <w:t xml:space="preserve"> </w:t>
      </w:r>
      <w:r>
        <w:rPr>
          <w:color w:val="58595B"/>
        </w:rPr>
        <w:t>need</w:t>
      </w:r>
      <w:r>
        <w:rPr>
          <w:color w:val="58595B"/>
          <w:spacing w:val="-8"/>
        </w:rPr>
        <w:t xml:space="preserve"> </w:t>
      </w:r>
      <w:r>
        <w:rPr>
          <w:color w:val="58595B"/>
        </w:rPr>
        <w:t>to</w:t>
      </w:r>
      <w:r>
        <w:rPr>
          <w:color w:val="58595B"/>
          <w:spacing w:val="-8"/>
        </w:rPr>
        <w:t xml:space="preserve"> </w:t>
      </w:r>
      <w:r>
        <w:rPr>
          <w:color w:val="58595B"/>
        </w:rPr>
        <w:t>consult</w:t>
      </w:r>
      <w:r>
        <w:rPr>
          <w:color w:val="58595B"/>
          <w:spacing w:val="-8"/>
        </w:rPr>
        <w:t xml:space="preserve"> </w:t>
      </w:r>
      <w:r>
        <w:rPr>
          <w:color w:val="58595B"/>
        </w:rPr>
        <w:t>with</w:t>
      </w:r>
      <w:r>
        <w:rPr>
          <w:color w:val="58595B"/>
          <w:spacing w:val="-8"/>
        </w:rPr>
        <w:t xml:space="preserve"> </w:t>
      </w:r>
      <w:r>
        <w:rPr>
          <w:color w:val="58595B"/>
        </w:rPr>
        <w:t>local</w:t>
      </w:r>
      <w:r>
        <w:rPr>
          <w:color w:val="58595B"/>
          <w:spacing w:val="-8"/>
        </w:rPr>
        <w:t xml:space="preserve"> </w:t>
      </w:r>
      <w:r>
        <w:rPr>
          <w:color w:val="58595B"/>
          <w:spacing w:val="-3"/>
        </w:rPr>
        <w:t>governments</w:t>
      </w:r>
      <w:r>
        <w:rPr>
          <w:color w:val="58595B"/>
          <w:spacing w:val="-8"/>
        </w:rPr>
        <w:t xml:space="preserve"> </w:t>
      </w:r>
      <w:r>
        <w:rPr>
          <w:color w:val="58595B"/>
        </w:rPr>
        <w:t>to</w:t>
      </w:r>
      <w:r>
        <w:rPr>
          <w:color w:val="58595B"/>
          <w:spacing w:val="-8"/>
        </w:rPr>
        <w:t xml:space="preserve"> </w:t>
      </w:r>
      <w:r>
        <w:rPr>
          <w:color w:val="58595B"/>
        </w:rPr>
        <w:t>establish</w:t>
      </w:r>
      <w:r>
        <w:rPr>
          <w:color w:val="58595B"/>
          <w:spacing w:val="-8"/>
        </w:rPr>
        <w:t xml:space="preserve"> </w:t>
      </w:r>
      <w:r>
        <w:rPr>
          <w:color w:val="58595B"/>
        </w:rPr>
        <w:t>the</w:t>
      </w:r>
      <w:r>
        <w:rPr>
          <w:color w:val="58595B"/>
          <w:spacing w:val="-8"/>
        </w:rPr>
        <w:t xml:space="preserve"> </w:t>
      </w:r>
      <w:r>
        <w:rPr>
          <w:color w:val="58595B"/>
        </w:rPr>
        <w:t>critical</w:t>
      </w:r>
      <w:r>
        <w:rPr>
          <w:color w:val="58595B"/>
          <w:spacing w:val="-8"/>
        </w:rPr>
        <w:t xml:space="preserve"> </w:t>
      </w:r>
      <w:r>
        <w:rPr>
          <w:color w:val="58595B"/>
        </w:rPr>
        <w:t>aspects</w:t>
      </w:r>
      <w:r>
        <w:rPr>
          <w:color w:val="58595B"/>
          <w:spacing w:val="-8"/>
        </w:rPr>
        <w:t xml:space="preserve"> </w:t>
      </w:r>
      <w:r>
        <w:rPr>
          <w:color w:val="58595B"/>
        </w:rPr>
        <w:t>of</w:t>
      </w:r>
      <w:r>
        <w:rPr>
          <w:color w:val="58595B"/>
          <w:spacing w:val="-8"/>
        </w:rPr>
        <w:t xml:space="preserve"> </w:t>
      </w:r>
      <w:r>
        <w:rPr>
          <w:color w:val="58595B"/>
        </w:rPr>
        <w:t>the proposal,</w:t>
      </w:r>
      <w:r>
        <w:rPr>
          <w:color w:val="58595B"/>
          <w:spacing w:val="-14"/>
        </w:rPr>
        <w:t xml:space="preserve"> </w:t>
      </w:r>
      <w:r>
        <w:rPr>
          <w:color w:val="58595B"/>
          <w:spacing w:val="-3"/>
        </w:rPr>
        <w:t>including:</w:t>
      </w:r>
      <w:r>
        <w:rPr>
          <w:color w:val="58595B"/>
          <w:spacing w:val="-14"/>
        </w:rPr>
        <w:t xml:space="preserve"> </w:t>
      </w:r>
      <w:r>
        <w:rPr>
          <w:color w:val="58595B"/>
        </w:rPr>
        <w:t>scope</w:t>
      </w:r>
      <w:r>
        <w:rPr>
          <w:color w:val="58595B"/>
          <w:spacing w:val="-14"/>
        </w:rPr>
        <w:t xml:space="preserve"> </w:t>
      </w:r>
      <w:r>
        <w:rPr>
          <w:color w:val="58595B"/>
        </w:rPr>
        <w:t>and</w:t>
      </w:r>
      <w:r>
        <w:rPr>
          <w:color w:val="58595B"/>
          <w:spacing w:val="-14"/>
        </w:rPr>
        <w:t xml:space="preserve"> </w:t>
      </w:r>
      <w:r>
        <w:rPr>
          <w:color w:val="58595B"/>
        </w:rPr>
        <w:t>statutory</w:t>
      </w:r>
      <w:r>
        <w:rPr>
          <w:color w:val="58595B"/>
          <w:spacing w:val="-14"/>
        </w:rPr>
        <w:t xml:space="preserve"> </w:t>
      </w:r>
      <w:r>
        <w:rPr>
          <w:color w:val="58595B"/>
        </w:rPr>
        <w:t>definition,</w:t>
      </w:r>
      <w:r>
        <w:rPr>
          <w:color w:val="58595B"/>
          <w:spacing w:val="-14"/>
        </w:rPr>
        <w:t xml:space="preserve"> </w:t>
      </w:r>
      <w:r>
        <w:rPr>
          <w:color w:val="58595B"/>
        </w:rPr>
        <w:t>legislative</w:t>
      </w:r>
      <w:r>
        <w:rPr>
          <w:color w:val="58595B"/>
          <w:spacing w:val="-14"/>
        </w:rPr>
        <w:t xml:space="preserve"> </w:t>
      </w:r>
      <w:r>
        <w:rPr>
          <w:color w:val="58595B"/>
        </w:rPr>
        <w:t>amendment,</w:t>
      </w:r>
      <w:r>
        <w:rPr>
          <w:color w:val="58595B"/>
          <w:spacing w:val="-14"/>
        </w:rPr>
        <w:t xml:space="preserve"> </w:t>
      </w:r>
      <w:r>
        <w:rPr>
          <w:color w:val="58595B"/>
        </w:rPr>
        <w:t>and</w:t>
      </w:r>
      <w:r>
        <w:rPr>
          <w:color w:val="58595B"/>
          <w:spacing w:val="-14"/>
        </w:rPr>
        <w:t xml:space="preserve"> </w:t>
      </w:r>
      <w:r>
        <w:rPr>
          <w:color w:val="58595B"/>
        </w:rPr>
        <w:t>establishment</w:t>
      </w:r>
      <w:r>
        <w:rPr>
          <w:color w:val="58595B"/>
          <w:spacing w:val="-14"/>
        </w:rPr>
        <w:t xml:space="preserve"> </w:t>
      </w:r>
      <w:r>
        <w:rPr>
          <w:color w:val="58595B"/>
        </w:rPr>
        <w:t>of</w:t>
      </w:r>
      <w:r>
        <w:rPr>
          <w:color w:val="58595B"/>
          <w:spacing w:val="-14"/>
        </w:rPr>
        <w:t xml:space="preserve"> </w:t>
      </w:r>
      <w:r>
        <w:rPr>
          <w:color w:val="58595B"/>
        </w:rPr>
        <w:t xml:space="preserve">an </w:t>
      </w:r>
      <w:r>
        <w:rPr>
          <w:color w:val="58595B"/>
          <w:spacing w:val="-3"/>
        </w:rPr>
        <w:t>adequate</w:t>
      </w:r>
      <w:r>
        <w:rPr>
          <w:color w:val="58595B"/>
          <w:spacing w:val="-10"/>
        </w:rPr>
        <w:t xml:space="preserve"> </w:t>
      </w:r>
      <w:r>
        <w:rPr>
          <w:color w:val="58595B"/>
        </w:rPr>
        <w:t>resourcing</w:t>
      </w:r>
      <w:r>
        <w:rPr>
          <w:color w:val="58595B"/>
          <w:spacing w:val="-10"/>
        </w:rPr>
        <w:t xml:space="preserve"> </w:t>
      </w:r>
      <w:r>
        <w:rPr>
          <w:color w:val="58595B"/>
        </w:rPr>
        <w:t>base</w:t>
      </w:r>
      <w:r>
        <w:rPr>
          <w:color w:val="58595B"/>
          <w:spacing w:val="-10"/>
        </w:rPr>
        <w:t xml:space="preserve"> </w:t>
      </w:r>
      <w:r>
        <w:rPr>
          <w:color w:val="58595B"/>
        </w:rPr>
        <w:t>for</w:t>
      </w:r>
      <w:r>
        <w:rPr>
          <w:color w:val="58595B"/>
          <w:spacing w:val="-10"/>
        </w:rPr>
        <w:t xml:space="preserve"> </w:t>
      </w:r>
      <w:r>
        <w:rPr>
          <w:color w:val="58595B"/>
        </w:rPr>
        <w:t>local</w:t>
      </w:r>
      <w:r>
        <w:rPr>
          <w:color w:val="58595B"/>
          <w:spacing w:val="-10"/>
        </w:rPr>
        <w:t xml:space="preserve"> </w:t>
      </w:r>
      <w:r>
        <w:rPr>
          <w:color w:val="58595B"/>
          <w:spacing w:val="-3"/>
        </w:rPr>
        <w:t>governments</w:t>
      </w:r>
      <w:r>
        <w:rPr>
          <w:color w:val="58595B"/>
          <w:spacing w:val="-10"/>
        </w:rPr>
        <w:t xml:space="preserve"> </w:t>
      </w:r>
      <w:r>
        <w:rPr>
          <w:color w:val="58595B"/>
        </w:rPr>
        <w:t>to</w:t>
      </w:r>
      <w:r>
        <w:rPr>
          <w:color w:val="58595B"/>
          <w:spacing w:val="-10"/>
        </w:rPr>
        <w:t xml:space="preserve"> </w:t>
      </w:r>
      <w:r>
        <w:rPr>
          <w:color w:val="58595B"/>
        </w:rPr>
        <w:t>undertake</w:t>
      </w:r>
      <w:r>
        <w:rPr>
          <w:color w:val="58595B"/>
          <w:spacing w:val="-10"/>
        </w:rPr>
        <w:t xml:space="preserve"> </w:t>
      </w:r>
      <w:r>
        <w:rPr>
          <w:color w:val="58595B"/>
        </w:rPr>
        <w:t>this</w:t>
      </w:r>
      <w:r>
        <w:rPr>
          <w:color w:val="58595B"/>
          <w:spacing w:val="-10"/>
        </w:rPr>
        <w:t xml:space="preserve"> </w:t>
      </w:r>
      <w:r>
        <w:rPr>
          <w:color w:val="58595B"/>
        </w:rPr>
        <w:t>newly</w:t>
      </w:r>
      <w:r>
        <w:rPr>
          <w:color w:val="58595B"/>
          <w:spacing w:val="-10"/>
        </w:rPr>
        <w:t xml:space="preserve"> </w:t>
      </w:r>
      <w:r>
        <w:rPr>
          <w:color w:val="58595B"/>
        </w:rPr>
        <w:t>defined</w:t>
      </w:r>
      <w:r>
        <w:rPr>
          <w:color w:val="58595B"/>
          <w:spacing w:val="-10"/>
        </w:rPr>
        <w:t xml:space="preserve"> </w:t>
      </w:r>
      <w:r>
        <w:rPr>
          <w:color w:val="58595B"/>
        </w:rPr>
        <w:t>role.</w:t>
      </w:r>
    </w:p>
    <w:p w14:paraId="2EE5358F" w14:textId="77777777" w:rsidR="00160E7F" w:rsidRDefault="00160E7F">
      <w:pPr>
        <w:pStyle w:val="BodyText"/>
        <w:spacing w:before="3"/>
        <w:rPr>
          <w:sz w:val="22"/>
        </w:rPr>
      </w:pPr>
    </w:p>
    <w:p w14:paraId="2A4472C3" w14:textId="77777777" w:rsidR="00160E7F" w:rsidRDefault="002B0299">
      <w:pPr>
        <w:pStyle w:val="ListParagraph"/>
        <w:numPr>
          <w:ilvl w:val="2"/>
          <w:numId w:val="3"/>
        </w:numPr>
        <w:tabs>
          <w:tab w:val="left" w:pos="2138"/>
        </w:tabs>
        <w:spacing w:before="0"/>
        <w:ind w:left="2137" w:hanging="720"/>
        <w:jc w:val="left"/>
        <w:rPr>
          <w:sz w:val="20"/>
        </w:rPr>
      </w:pPr>
      <w:r>
        <w:rPr>
          <w:color w:val="0095A7"/>
          <w:sz w:val="20"/>
        </w:rPr>
        <w:t>Funding</w:t>
      </w:r>
      <w:r>
        <w:rPr>
          <w:color w:val="0095A7"/>
          <w:spacing w:val="-4"/>
          <w:sz w:val="20"/>
        </w:rPr>
        <w:t xml:space="preserve"> </w:t>
      </w:r>
      <w:r>
        <w:rPr>
          <w:color w:val="0095A7"/>
          <w:sz w:val="20"/>
        </w:rPr>
        <w:t>considerations</w:t>
      </w:r>
    </w:p>
    <w:p w14:paraId="1EF36514" w14:textId="77777777" w:rsidR="00160E7F" w:rsidRDefault="002B0299">
      <w:pPr>
        <w:pStyle w:val="BodyText"/>
        <w:spacing w:before="148" w:line="276" w:lineRule="auto"/>
        <w:ind w:left="1417" w:right="170"/>
        <w:jc w:val="both"/>
      </w:pPr>
      <w:r>
        <w:rPr>
          <w:color w:val="58595B"/>
        </w:rPr>
        <w:t>Funding will be a critical issue. Local government authorities will require additional funding to fulfil their increased role for managing local issues. Specifically, they will need funding to appoint local government environment protection officers.</w:t>
      </w:r>
    </w:p>
    <w:p w14:paraId="7A79799E" w14:textId="77777777" w:rsidR="00160E7F" w:rsidRDefault="002B0299">
      <w:pPr>
        <w:pStyle w:val="BodyText"/>
        <w:spacing w:before="171" w:line="276" w:lineRule="auto"/>
        <w:ind w:left="1417" w:right="131"/>
      </w:pPr>
      <w:r>
        <w:rPr>
          <w:color w:val="58595B"/>
          <w:spacing w:val="-4"/>
        </w:rPr>
        <w:t xml:space="preserve">We acknowledge </w:t>
      </w:r>
      <w:r>
        <w:rPr>
          <w:color w:val="58595B"/>
          <w:spacing w:val="-3"/>
        </w:rPr>
        <w:t xml:space="preserve">local </w:t>
      </w:r>
      <w:r>
        <w:rPr>
          <w:color w:val="58595B"/>
          <w:spacing w:val="-4"/>
        </w:rPr>
        <w:t xml:space="preserve">governments may </w:t>
      </w:r>
      <w:r>
        <w:rPr>
          <w:color w:val="58595B"/>
          <w:spacing w:val="-3"/>
        </w:rPr>
        <w:t xml:space="preserve">see our proposal as cost </w:t>
      </w:r>
      <w:r>
        <w:rPr>
          <w:color w:val="58595B"/>
          <w:spacing w:val="-4"/>
        </w:rPr>
        <w:t xml:space="preserve">shifting. </w:t>
      </w:r>
      <w:r>
        <w:rPr>
          <w:color w:val="58595B"/>
          <w:spacing w:val="-6"/>
        </w:rPr>
        <w:t xml:space="preserve">However, </w:t>
      </w:r>
      <w:r>
        <w:rPr>
          <w:color w:val="58595B"/>
          <w:spacing w:val="-3"/>
        </w:rPr>
        <w:t xml:space="preserve">we consider the proposal </w:t>
      </w:r>
      <w:r>
        <w:rPr>
          <w:color w:val="58595B"/>
          <w:spacing w:val="-4"/>
        </w:rPr>
        <w:t xml:space="preserve">represents </w:t>
      </w:r>
      <w:r>
        <w:rPr>
          <w:color w:val="58595B"/>
        </w:rPr>
        <w:t xml:space="preserve">a </w:t>
      </w:r>
      <w:r>
        <w:rPr>
          <w:color w:val="58595B"/>
          <w:spacing w:val="-4"/>
        </w:rPr>
        <w:t xml:space="preserve">significant new </w:t>
      </w:r>
      <w:r>
        <w:rPr>
          <w:color w:val="58595B"/>
          <w:spacing w:val="-3"/>
        </w:rPr>
        <w:t xml:space="preserve">function and </w:t>
      </w:r>
      <w:r>
        <w:rPr>
          <w:color w:val="58595B"/>
          <w:spacing w:val="-4"/>
        </w:rPr>
        <w:t xml:space="preserve">enhancement </w:t>
      </w:r>
      <w:r>
        <w:rPr>
          <w:color w:val="58595B"/>
          <w:spacing w:val="-3"/>
        </w:rPr>
        <w:t xml:space="preserve">to </w:t>
      </w:r>
      <w:r>
        <w:rPr>
          <w:color w:val="58595B"/>
        </w:rPr>
        <w:t xml:space="preserve">service </w:t>
      </w:r>
      <w:r>
        <w:rPr>
          <w:color w:val="58595B"/>
          <w:spacing w:val="-4"/>
        </w:rPr>
        <w:t xml:space="preserve">delivery </w:t>
      </w:r>
      <w:r>
        <w:rPr>
          <w:color w:val="58595B"/>
          <w:spacing w:val="-3"/>
        </w:rPr>
        <w:t xml:space="preserve">for the Victorian </w:t>
      </w:r>
      <w:r>
        <w:rPr>
          <w:color w:val="58595B"/>
          <w:spacing w:val="-5"/>
        </w:rPr>
        <w:t xml:space="preserve">community. </w:t>
      </w:r>
      <w:r>
        <w:rPr>
          <w:color w:val="58595B"/>
          <w:spacing w:val="-3"/>
        </w:rPr>
        <w:t xml:space="preserve">This </w:t>
      </w:r>
      <w:r>
        <w:rPr>
          <w:color w:val="58595B"/>
        </w:rPr>
        <w:t xml:space="preserve">is a service </w:t>
      </w:r>
      <w:r>
        <w:rPr>
          <w:color w:val="58595B"/>
          <w:spacing w:val="-3"/>
        </w:rPr>
        <w:t xml:space="preserve">not </w:t>
      </w:r>
      <w:r>
        <w:rPr>
          <w:color w:val="58595B"/>
          <w:spacing w:val="-4"/>
        </w:rPr>
        <w:t xml:space="preserve">currently </w:t>
      </w:r>
      <w:r>
        <w:rPr>
          <w:color w:val="58595B"/>
        </w:rPr>
        <w:t xml:space="preserve">performed </w:t>
      </w:r>
      <w:r>
        <w:rPr>
          <w:color w:val="58595B"/>
          <w:spacing w:val="-4"/>
        </w:rPr>
        <w:t xml:space="preserve">by either </w:t>
      </w:r>
      <w:r>
        <w:rPr>
          <w:color w:val="58595B"/>
          <w:spacing w:val="-3"/>
        </w:rPr>
        <w:t xml:space="preserve">local </w:t>
      </w:r>
      <w:r>
        <w:rPr>
          <w:color w:val="58595B"/>
          <w:spacing w:val="-5"/>
        </w:rPr>
        <w:t xml:space="preserve">government </w:t>
      </w:r>
      <w:r>
        <w:rPr>
          <w:color w:val="58595B"/>
        </w:rPr>
        <w:t xml:space="preserve">or </w:t>
      </w:r>
      <w:r>
        <w:rPr>
          <w:color w:val="58595B"/>
          <w:spacing w:val="-3"/>
        </w:rPr>
        <w:t xml:space="preserve">the </w:t>
      </w:r>
      <w:r>
        <w:rPr>
          <w:color w:val="58595B"/>
          <w:spacing w:val="-5"/>
        </w:rPr>
        <w:t xml:space="preserve">EPA. </w:t>
      </w:r>
      <w:r>
        <w:rPr>
          <w:color w:val="58595B"/>
        </w:rPr>
        <w:t xml:space="preserve">As </w:t>
      </w:r>
      <w:r>
        <w:rPr>
          <w:color w:val="58595B"/>
          <w:spacing w:val="-4"/>
        </w:rPr>
        <w:t xml:space="preserve">such, </w:t>
      </w:r>
      <w:r>
        <w:rPr>
          <w:color w:val="58595B"/>
          <w:spacing w:val="-3"/>
        </w:rPr>
        <w:t xml:space="preserve">we consider that </w:t>
      </w:r>
      <w:r>
        <w:rPr>
          <w:color w:val="58595B"/>
        </w:rPr>
        <w:t xml:space="preserve">it </w:t>
      </w:r>
      <w:r>
        <w:rPr>
          <w:color w:val="58595B"/>
          <w:spacing w:val="-4"/>
        </w:rPr>
        <w:t xml:space="preserve">must </w:t>
      </w:r>
      <w:r>
        <w:rPr>
          <w:color w:val="58595B"/>
        </w:rPr>
        <w:t xml:space="preserve">be </w:t>
      </w:r>
      <w:r>
        <w:rPr>
          <w:color w:val="58595B"/>
          <w:spacing w:val="-4"/>
        </w:rPr>
        <w:t xml:space="preserve">viewed </w:t>
      </w:r>
      <w:r>
        <w:rPr>
          <w:color w:val="58595B"/>
          <w:spacing w:val="-3"/>
        </w:rPr>
        <w:t xml:space="preserve">as </w:t>
      </w:r>
      <w:r>
        <w:rPr>
          <w:color w:val="58595B"/>
        </w:rPr>
        <w:t xml:space="preserve">a </w:t>
      </w:r>
      <w:r>
        <w:rPr>
          <w:color w:val="58595B"/>
          <w:spacing w:val="-4"/>
        </w:rPr>
        <w:t>new initiative warranting dedicated new funding.</w:t>
      </w:r>
    </w:p>
    <w:p w14:paraId="213B9BEF" w14:textId="77777777" w:rsidR="00160E7F" w:rsidRDefault="002B0299">
      <w:pPr>
        <w:pStyle w:val="BodyText"/>
        <w:spacing w:before="171" w:line="276" w:lineRule="auto"/>
        <w:ind w:left="1417" w:right="461"/>
      </w:pPr>
      <w:r>
        <w:rPr>
          <w:color w:val="58595B"/>
        </w:rPr>
        <w:t>We recommend that DELWP bring a proposal to government to identify additional resources for local government to fund these additional functions. One option is developing a landfill levy revenue sharing arrangement with local councils.</w:t>
      </w:r>
    </w:p>
    <w:p w14:paraId="06D9EB48" w14:textId="77777777" w:rsidR="00160E7F" w:rsidRDefault="00160E7F">
      <w:pPr>
        <w:pStyle w:val="BodyText"/>
        <w:spacing w:before="9"/>
        <w:rPr>
          <w:sz w:val="19"/>
        </w:rPr>
      </w:pPr>
    </w:p>
    <w:p w14:paraId="7123D942" w14:textId="77777777" w:rsidR="00160E7F" w:rsidRDefault="002B0299">
      <w:pPr>
        <w:ind w:left="1417" w:right="789"/>
        <w:rPr>
          <w:i/>
          <w:sz w:val="20"/>
        </w:rPr>
      </w:pPr>
      <w:r>
        <w:rPr>
          <w:i/>
          <w:color w:val="6D6E71"/>
          <w:sz w:val="20"/>
        </w:rPr>
        <w:t>Rural and regional considerations</w:t>
      </w:r>
    </w:p>
    <w:p w14:paraId="0752AA59" w14:textId="77777777" w:rsidR="00160E7F" w:rsidRDefault="002B0299">
      <w:pPr>
        <w:pStyle w:val="BodyText"/>
        <w:spacing w:before="120" w:line="276" w:lineRule="auto"/>
        <w:ind w:left="1417" w:right="142"/>
      </w:pPr>
      <w:r>
        <w:rPr>
          <w:color w:val="58595B"/>
        </w:rPr>
        <w:t>Rural and regional councils with lower populations have a different resource and rate base than councils with larger populations. But they often have equally challenging pollution and waste problems. Submissions from several rural and regional councils described the regional EPA office as providing important regional expertise as well as providing important education and facilitation to local governments and businesses.</w:t>
      </w:r>
    </w:p>
    <w:p w14:paraId="095DC511" w14:textId="77777777" w:rsidR="00160E7F" w:rsidRDefault="002B0299">
      <w:pPr>
        <w:spacing w:before="171" w:line="276" w:lineRule="auto"/>
        <w:ind w:left="1984" w:right="642"/>
        <w:rPr>
          <w:sz w:val="20"/>
        </w:rPr>
      </w:pPr>
      <w:r>
        <w:rPr>
          <w:i/>
          <w:color w:val="231F20"/>
          <w:sz w:val="20"/>
        </w:rPr>
        <w:t xml:space="preserve">The EPA also fulfils a valuable regional expert oversight role across different sectors of the environment including wastewater management, waste management (e.g. closed landfills) and water quality. </w:t>
      </w:r>
      <w:r>
        <w:rPr>
          <w:color w:val="231F20"/>
          <w:sz w:val="20"/>
        </w:rPr>
        <w:t>(Warrnambool City Council submission, p. 2)</w:t>
      </w:r>
    </w:p>
    <w:p w14:paraId="6D5DE182" w14:textId="77777777" w:rsidR="00160E7F" w:rsidRDefault="002B0299">
      <w:pPr>
        <w:spacing w:before="171" w:line="276" w:lineRule="auto"/>
        <w:ind w:left="1984" w:right="515"/>
        <w:rPr>
          <w:sz w:val="20"/>
        </w:rPr>
      </w:pPr>
      <w:r>
        <w:rPr>
          <w:i/>
          <w:color w:val="231F20"/>
          <w:spacing w:val="-3"/>
          <w:sz w:val="20"/>
        </w:rPr>
        <w:t xml:space="preserve">Council </w:t>
      </w:r>
      <w:r>
        <w:rPr>
          <w:i/>
          <w:color w:val="231F20"/>
          <w:spacing w:val="-4"/>
          <w:sz w:val="20"/>
        </w:rPr>
        <w:t xml:space="preserve">relies </w:t>
      </w:r>
      <w:r>
        <w:rPr>
          <w:i/>
          <w:color w:val="231F20"/>
          <w:sz w:val="20"/>
        </w:rPr>
        <w:t xml:space="preserve">on </w:t>
      </w:r>
      <w:r>
        <w:rPr>
          <w:i/>
          <w:color w:val="231F20"/>
          <w:spacing w:val="-3"/>
          <w:sz w:val="20"/>
        </w:rPr>
        <w:t xml:space="preserve">the </w:t>
      </w:r>
      <w:r>
        <w:rPr>
          <w:i/>
          <w:color w:val="231F20"/>
          <w:spacing w:val="-8"/>
          <w:sz w:val="20"/>
        </w:rPr>
        <w:t xml:space="preserve">EPA’s </w:t>
      </w:r>
      <w:r>
        <w:rPr>
          <w:i/>
          <w:color w:val="231F20"/>
          <w:spacing w:val="-3"/>
          <w:sz w:val="20"/>
        </w:rPr>
        <w:t xml:space="preserve">expert advice and </w:t>
      </w:r>
      <w:r>
        <w:rPr>
          <w:i/>
          <w:color w:val="231F20"/>
          <w:spacing w:val="-4"/>
          <w:sz w:val="20"/>
        </w:rPr>
        <w:t xml:space="preserve">oversight </w:t>
      </w:r>
      <w:r>
        <w:rPr>
          <w:i/>
          <w:color w:val="231F20"/>
          <w:sz w:val="20"/>
        </w:rPr>
        <w:t xml:space="preserve">on </w:t>
      </w:r>
      <w:r>
        <w:rPr>
          <w:i/>
          <w:color w:val="231F20"/>
          <w:spacing w:val="-4"/>
          <w:sz w:val="20"/>
        </w:rPr>
        <w:t xml:space="preserve">regional issues </w:t>
      </w:r>
      <w:r>
        <w:rPr>
          <w:i/>
          <w:color w:val="231F20"/>
          <w:spacing w:val="-3"/>
          <w:sz w:val="20"/>
        </w:rPr>
        <w:t xml:space="preserve">such as </w:t>
      </w:r>
      <w:r>
        <w:rPr>
          <w:i/>
          <w:color w:val="231F20"/>
          <w:spacing w:val="-4"/>
          <w:sz w:val="20"/>
        </w:rPr>
        <w:t xml:space="preserve">waste water management </w:t>
      </w:r>
      <w:r>
        <w:rPr>
          <w:i/>
          <w:color w:val="231F20"/>
          <w:spacing w:val="-3"/>
          <w:sz w:val="20"/>
        </w:rPr>
        <w:t xml:space="preserve">and landfill </w:t>
      </w:r>
      <w:r>
        <w:rPr>
          <w:i/>
          <w:color w:val="231F20"/>
          <w:spacing w:val="-4"/>
          <w:sz w:val="20"/>
        </w:rPr>
        <w:t xml:space="preserve">management. </w:t>
      </w:r>
      <w:r>
        <w:rPr>
          <w:color w:val="231F20"/>
          <w:spacing w:val="-3"/>
          <w:sz w:val="20"/>
        </w:rPr>
        <w:t xml:space="preserve">(Warrnambool City Council </w:t>
      </w:r>
      <w:r>
        <w:rPr>
          <w:color w:val="231F20"/>
          <w:spacing w:val="-4"/>
          <w:sz w:val="20"/>
        </w:rPr>
        <w:t xml:space="preserve">submission, p. </w:t>
      </w:r>
      <w:r>
        <w:rPr>
          <w:color w:val="231F20"/>
          <w:spacing w:val="-6"/>
          <w:sz w:val="20"/>
        </w:rPr>
        <w:t>3)</w:t>
      </w:r>
    </w:p>
    <w:p w14:paraId="45A12B3E" w14:textId="77777777" w:rsidR="00160E7F" w:rsidRDefault="002B0299">
      <w:pPr>
        <w:spacing w:before="171" w:line="276" w:lineRule="auto"/>
        <w:ind w:left="1984" w:right="900"/>
        <w:jc w:val="both"/>
        <w:rPr>
          <w:sz w:val="20"/>
        </w:rPr>
      </w:pPr>
      <w:r>
        <w:rPr>
          <w:i/>
          <w:color w:val="231F20"/>
          <w:spacing w:val="-3"/>
          <w:sz w:val="20"/>
        </w:rPr>
        <w:t xml:space="preserve">The </w:t>
      </w:r>
      <w:r>
        <w:rPr>
          <w:i/>
          <w:color w:val="231F20"/>
          <w:spacing w:val="-5"/>
          <w:sz w:val="20"/>
        </w:rPr>
        <w:t xml:space="preserve">EPA </w:t>
      </w:r>
      <w:r>
        <w:rPr>
          <w:i/>
          <w:color w:val="231F20"/>
          <w:spacing w:val="-3"/>
          <w:sz w:val="20"/>
        </w:rPr>
        <w:t xml:space="preserve">also </w:t>
      </w:r>
      <w:r>
        <w:rPr>
          <w:i/>
          <w:color w:val="231F20"/>
          <w:spacing w:val="-4"/>
          <w:sz w:val="20"/>
        </w:rPr>
        <w:t xml:space="preserve">has </w:t>
      </w:r>
      <w:r>
        <w:rPr>
          <w:i/>
          <w:color w:val="231F20"/>
          <w:sz w:val="20"/>
        </w:rPr>
        <w:t xml:space="preserve">an </w:t>
      </w:r>
      <w:r>
        <w:rPr>
          <w:i/>
          <w:color w:val="231F20"/>
          <w:spacing w:val="-3"/>
          <w:sz w:val="20"/>
        </w:rPr>
        <w:t xml:space="preserve">important </w:t>
      </w:r>
      <w:r>
        <w:rPr>
          <w:i/>
          <w:color w:val="231F20"/>
          <w:spacing w:val="-4"/>
          <w:sz w:val="20"/>
        </w:rPr>
        <w:t xml:space="preserve">facilitation </w:t>
      </w:r>
      <w:r>
        <w:rPr>
          <w:i/>
          <w:color w:val="231F20"/>
          <w:spacing w:val="-3"/>
          <w:sz w:val="20"/>
        </w:rPr>
        <w:t xml:space="preserve">and </w:t>
      </w:r>
      <w:r>
        <w:rPr>
          <w:i/>
          <w:color w:val="231F20"/>
          <w:spacing w:val="-4"/>
          <w:sz w:val="20"/>
        </w:rPr>
        <w:t xml:space="preserve">education </w:t>
      </w:r>
      <w:r>
        <w:rPr>
          <w:i/>
          <w:color w:val="231F20"/>
          <w:spacing w:val="-3"/>
          <w:sz w:val="20"/>
        </w:rPr>
        <w:t xml:space="preserve">role to help local </w:t>
      </w:r>
      <w:r>
        <w:rPr>
          <w:i/>
          <w:color w:val="231F20"/>
          <w:spacing w:val="-5"/>
          <w:sz w:val="20"/>
        </w:rPr>
        <w:t xml:space="preserve">government </w:t>
      </w:r>
      <w:r>
        <w:rPr>
          <w:i/>
          <w:color w:val="231F20"/>
          <w:spacing w:val="-3"/>
          <w:sz w:val="20"/>
        </w:rPr>
        <w:t xml:space="preserve">and </w:t>
      </w:r>
      <w:r>
        <w:rPr>
          <w:i/>
          <w:color w:val="231F20"/>
          <w:spacing w:val="-4"/>
          <w:sz w:val="20"/>
        </w:rPr>
        <w:t xml:space="preserve">business </w:t>
      </w:r>
      <w:r>
        <w:rPr>
          <w:i/>
          <w:color w:val="231F20"/>
          <w:spacing w:val="-3"/>
          <w:sz w:val="20"/>
        </w:rPr>
        <w:t xml:space="preserve">to most cost </w:t>
      </w:r>
      <w:r>
        <w:rPr>
          <w:i/>
          <w:color w:val="231F20"/>
          <w:spacing w:val="-4"/>
          <w:sz w:val="20"/>
        </w:rPr>
        <w:t xml:space="preserve">effectively meet their environmental obligations. </w:t>
      </w:r>
      <w:r>
        <w:rPr>
          <w:color w:val="231F20"/>
          <w:spacing w:val="-4"/>
          <w:sz w:val="20"/>
        </w:rPr>
        <w:t xml:space="preserve">(Wellington Shire </w:t>
      </w:r>
      <w:r>
        <w:rPr>
          <w:color w:val="231F20"/>
          <w:spacing w:val="-3"/>
          <w:sz w:val="20"/>
        </w:rPr>
        <w:t xml:space="preserve">Council </w:t>
      </w:r>
      <w:r>
        <w:rPr>
          <w:color w:val="231F20"/>
          <w:spacing w:val="-4"/>
          <w:sz w:val="20"/>
        </w:rPr>
        <w:t xml:space="preserve">submission, p. </w:t>
      </w:r>
      <w:r>
        <w:rPr>
          <w:color w:val="231F20"/>
          <w:spacing w:val="-9"/>
          <w:sz w:val="20"/>
        </w:rPr>
        <w:t>1)</w:t>
      </w:r>
    </w:p>
    <w:p w14:paraId="5304BC78" w14:textId="77777777" w:rsidR="00160E7F" w:rsidRDefault="002B0299">
      <w:pPr>
        <w:spacing w:before="171" w:line="276" w:lineRule="auto"/>
        <w:ind w:left="1984" w:right="642"/>
        <w:rPr>
          <w:sz w:val="20"/>
        </w:rPr>
      </w:pPr>
      <w:r>
        <w:rPr>
          <w:i/>
          <w:color w:val="231F20"/>
          <w:sz w:val="20"/>
        </w:rPr>
        <w:t xml:space="preserve">Currently the majority of technical expertise resides in the Melbourne office, particularly for landfill rehabilitation works, and can be difficult to access. </w:t>
      </w:r>
      <w:r>
        <w:rPr>
          <w:color w:val="231F20"/>
          <w:sz w:val="20"/>
        </w:rPr>
        <w:t>(Bass Coast Shire submission, p. 3)</w:t>
      </w:r>
    </w:p>
    <w:p w14:paraId="77BF245A" w14:textId="77777777" w:rsidR="00160E7F" w:rsidRDefault="00160E7F">
      <w:pPr>
        <w:spacing w:line="276" w:lineRule="auto"/>
        <w:rPr>
          <w:sz w:val="20"/>
        </w:rPr>
        <w:sectPr w:rsidR="00160E7F">
          <w:pgSz w:w="11910" w:h="16840"/>
          <w:pgMar w:top="980" w:right="1680" w:bottom="280" w:left="0" w:header="788" w:footer="0" w:gutter="0"/>
          <w:cols w:space="720"/>
        </w:sectPr>
      </w:pPr>
    </w:p>
    <w:p w14:paraId="7AE28BF3" w14:textId="77777777" w:rsidR="00160E7F" w:rsidRDefault="00160E7F">
      <w:pPr>
        <w:pStyle w:val="BodyText"/>
      </w:pPr>
    </w:p>
    <w:p w14:paraId="601FE1D6" w14:textId="77777777" w:rsidR="00160E7F" w:rsidRDefault="00160E7F">
      <w:pPr>
        <w:pStyle w:val="BodyText"/>
      </w:pPr>
    </w:p>
    <w:p w14:paraId="4227B29F" w14:textId="77777777" w:rsidR="00160E7F" w:rsidRDefault="00160E7F">
      <w:pPr>
        <w:pStyle w:val="BodyText"/>
      </w:pPr>
    </w:p>
    <w:p w14:paraId="07FC5C7A" w14:textId="77777777" w:rsidR="00160E7F" w:rsidRDefault="00160E7F">
      <w:pPr>
        <w:pStyle w:val="BodyText"/>
      </w:pPr>
    </w:p>
    <w:p w14:paraId="77745835" w14:textId="77777777" w:rsidR="00160E7F" w:rsidRDefault="00160E7F">
      <w:pPr>
        <w:pStyle w:val="BodyText"/>
        <w:spacing w:before="8"/>
        <w:rPr>
          <w:sz w:val="17"/>
        </w:rPr>
      </w:pPr>
    </w:p>
    <w:p w14:paraId="4568E9AE" w14:textId="77777777" w:rsidR="00160E7F" w:rsidRDefault="002B0299">
      <w:pPr>
        <w:pStyle w:val="BodyText"/>
        <w:spacing w:before="1" w:line="276" w:lineRule="auto"/>
        <w:ind w:left="134" w:right="1433"/>
      </w:pPr>
      <w:r>
        <w:rPr>
          <w:color w:val="58595B"/>
        </w:rPr>
        <w:t>Development of the proposal should account for rural and regional councils’ resource base. Chapter 21 considers implications for funding.</w:t>
      </w:r>
    </w:p>
    <w:p w14:paraId="64D99EF0" w14:textId="77777777" w:rsidR="00160E7F" w:rsidRDefault="00160E7F">
      <w:pPr>
        <w:pStyle w:val="BodyText"/>
        <w:spacing w:before="3"/>
        <w:rPr>
          <w:sz w:val="22"/>
        </w:rPr>
      </w:pPr>
    </w:p>
    <w:p w14:paraId="0BB33827" w14:textId="77777777" w:rsidR="00160E7F" w:rsidRDefault="002B0299">
      <w:pPr>
        <w:pStyle w:val="ListParagraph"/>
        <w:numPr>
          <w:ilvl w:val="2"/>
          <w:numId w:val="3"/>
        </w:numPr>
        <w:tabs>
          <w:tab w:val="left" w:pos="786"/>
        </w:tabs>
        <w:spacing w:before="0"/>
        <w:ind w:left="785" w:hanging="651"/>
        <w:jc w:val="left"/>
        <w:rPr>
          <w:sz w:val="20"/>
        </w:rPr>
      </w:pPr>
      <w:r>
        <w:rPr>
          <w:color w:val="0095A7"/>
          <w:sz w:val="20"/>
        </w:rPr>
        <w:t>Defining a statutory</w:t>
      </w:r>
      <w:r>
        <w:rPr>
          <w:color w:val="0095A7"/>
          <w:spacing w:val="10"/>
          <w:sz w:val="20"/>
        </w:rPr>
        <w:t xml:space="preserve"> </w:t>
      </w:r>
      <w:r>
        <w:rPr>
          <w:color w:val="0095A7"/>
          <w:sz w:val="20"/>
        </w:rPr>
        <w:t>role</w:t>
      </w:r>
    </w:p>
    <w:p w14:paraId="757DF746" w14:textId="77777777" w:rsidR="00160E7F" w:rsidRDefault="002B0299">
      <w:pPr>
        <w:pStyle w:val="BodyText"/>
        <w:spacing w:before="148" w:line="276" w:lineRule="auto"/>
        <w:ind w:left="134" w:right="1433"/>
      </w:pPr>
      <w:r>
        <w:rPr>
          <w:color w:val="58595B"/>
          <w:spacing w:val="-3"/>
        </w:rPr>
        <w:t xml:space="preserve">We </w:t>
      </w:r>
      <w:r>
        <w:rPr>
          <w:color w:val="58595B"/>
        </w:rPr>
        <w:t xml:space="preserve">consider that there needs to be a clear legislated basis for the </w:t>
      </w:r>
      <w:r>
        <w:rPr>
          <w:color w:val="58595B"/>
          <w:spacing w:val="-2"/>
        </w:rPr>
        <w:t xml:space="preserve">new </w:t>
      </w:r>
      <w:r>
        <w:rPr>
          <w:color w:val="58595B"/>
        </w:rPr>
        <w:t xml:space="preserve">local </w:t>
      </w:r>
      <w:r>
        <w:rPr>
          <w:color w:val="58595B"/>
          <w:spacing w:val="-3"/>
        </w:rPr>
        <w:t xml:space="preserve">government environment </w:t>
      </w:r>
      <w:r>
        <w:rPr>
          <w:color w:val="58595B"/>
        </w:rPr>
        <w:t xml:space="preserve">protection role, to </w:t>
      </w:r>
      <w:r>
        <w:rPr>
          <w:color w:val="58595B"/>
          <w:spacing w:val="-3"/>
        </w:rPr>
        <w:t xml:space="preserve">ensure </w:t>
      </w:r>
      <w:r>
        <w:rPr>
          <w:color w:val="58595B"/>
        </w:rPr>
        <w:t xml:space="preserve">certainty for local </w:t>
      </w:r>
      <w:r>
        <w:rPr>
          <w:color w:val="58595B"/>
          <w:spacing w:val="-3"/>
        </w:rPr>
        <w:t xml:space="preserve">governments </w:t>
      </w:r>
      <w:r>
        <w:rPr>
          <w:color w:val="58595B"/>
        </w:rPr>
        <w:t xml:space="preserve">and local communities. Our preferred approach is to define local </w:t>
      </w:r>
      <w:r>
        <w:rPr>
          <w:color w:val="58595B"/>
          <w:spacing w:val="-3"/>
        </w:rPr>
        <w:t xml:space="preserve">governments </w:t>
      </w:r>
      <w:r>
        <w:rPr>
          <w:color w:val="58595B"/>
        </w:rPr>
        <w:t xml:space="preserve">roles and responsibilities </w:t>
      </w:r>
      <w:r>
        <w:rPr>
          <w:color w:val="58595B"/>
          <w:spacing w:val="-3"/>
        </w:rPr>
        <w:t xml:space="preserve">by </w:t>
      </w:r>
      <w:r>
        <w:rPr>
          <w:color w:val="58595B"/>
        </w:rPr>
        <w:t>amending the EP Act,</w:t>
      </w:r>
      <w:r>
        <w:rPr>
          <w:color w:val="58595B"/>
          <w:spacing w:val="-13"/>
        </w:rPr>
        <w:t xml:space="preserve"> </w:t>
      </w:r>
      <w:r>
        <w:rPr>
          <w:color w:val="58595B"/>
        </w:rPr>
        <w:t>noting</w:t>
      </w:r>
      <w:r>
        <w:rPr>
          <w:color w:val="58595B"/>
          <w:spacing w:val="-13"/>
        </w:rPr>
        <w:t xml:space="preserve"> </w:t>
      </w:r>
      <w:r>
        <w:rPr>
          <w:color w:val="58595B"/>
        </w:rPr>
        <w:t>that</w:t>
      </w:r>
      <w:r>
        <w:rPr>
          <w:color w:val="58595B"/>
          <w:spacing w:val="-13"/>
        </w:rPr>
        <w:t xml:space="preserve"> </w:t>
      </w:r>
      <w:r>
        <w:rPr>
          <w:color w:val="58595B"/>
        </w:rPr>
        <w:t>there</w:t>
      </w:r>
      <w:r>
        <w:rPr>
          <w:color w:val="58595B"/>
          <w:spacing w:val="-13"/>
        </w:rPr>
        <w:t xml:space="preserve"> </w:t>
      </w:r>
      <w:r>
        <w:rPr>
          <w:color w:val="58595B"/>
        </w:rPr>
        <w:t>will</w:t>
      </w:r>
      <w:r>
        <w:rPr>
          <w:color w:val="58595B"/>
          <w:spacing w:val="-13"/>
        </w:rPr>
        <w:t xml:space="preserve"> </w:t>
      </w:r>
      <w:r>
        <w:rPr>
          <w:color w:val="58595B"/>
        </w:rPr>
        <w:t>need</w:t>
      </w:r>
      <w:r>
        <w:rPr>
          <w:color w:val="58595B"/>
          <w:spacing w:val="-13"/>
        </w:rPr>
        <w:t xml:space="preserve"> </w:t>
      </w:r>
      <w:r>
        <w:rPr>
          <w:color w:val="58595B"/>
        </w:rPr>
        <w:t>to</w:t>
      </w:r>
      <w:r>
        <w:rPr>
          <w:color w:val="58595B"/>
          <w:spacing w:val="-13"/>
        </w:rPr>
        <w:t xml:space="preserve"> </w:t>
      </w:r>
      <w:r>
        <w:rPr>
          <w:color w:val="58595B"/>
        </w:rPr>
        <w:t>be</w:t>
      </w:r>
      <w:r>
        <w:rPr>
          <w:color w:val="58595B"/>
          <w:spacing w:val="-13"/>
        </w:rPr>
        <w:t xml:space="preserve"> </w:t>
      </w:r>
      <w:r>
        <w:rPr>
          <w:color w:val="58595B"/>
        </w:rPr>
        <w:t>further</w:t>
      </w:r>
      <w:r>
        <w:rPr>
          <w:color w:val="58595B"/>
          <w:spacing w:val="-13"/>
        </w:rPr>
        <w:t xml:space="preserve"> </w:t>
      </w:r>
      <w:r>
        <w:rPr>
          <w:color w:val="58595B"/>
        </w:rPr>
        <w:t>detailed</w:t>
      </w:r>
      <w:r>
        <w:rPr>
          <w:color w:val="58595B"/>
          <w:spacing w:val="-13"/>
        </w:rPr>
        <w:t xml:space="preserve"> </w:t>
      </w:r>
      <w:r>
        <w:rPr>
          <w:color w:val="58595B"/>
        </w:rPr>
        <w:t>consideration</w:t>
      </w:r>
      <w:r>
        <w:rPr>
          <w:color w:val="58595B"/>
          <w:spacing w:val="-13"/>
        </w:rPr>
        <w:t xml:space="preserve"> </w:t>
      </w:r>
      <w:r>
        <w:rPr>
          <w:color w:val="58595B"/>
        </w:rPr>
        <w:t>of</w:t>
      </w:r>
      <w:r>
        <w:rPr>
          <w:color w:val="58595B"/>
          <w:spacing w:val="-13"/>
        </w:rPr>
        <w:t xml:space="preserve"> </w:t>
      </w:r>
      <w:r>
        <w:rPr>
          <w:color w:val="58595B"/>
        </w:rPr>
        <w:t>the</w:t>
      </w:r>
      <w:r>
        <w:rPr>
          <w:color w:val="58595B"/>
          <w:spacing w:val="-13"/>
        </w:rPr>
        <w:t xml:space="preserve"> </w:t>
      </w:r>
      <w:r>
        <w:rPr>
          <w:color w:val="58595B"/>
        </w:rPr>
        <w:t>appropriate</w:t>
      </w:r>
      <w:r>
        <w:rPr>
          <w:color w:val="58595B"/>
          <w:spacing w:val="-13"/>
        </w:rPr>
        <w:t xml:space="preserve"> </w:t>
      </w:r>
      <w:r>
        <w:rPr>
          <w:color w:val="58595B"/>
        </w:rPr>
        <w:t>fit-for-purpose statutory</w:t>
      </w:r>
      <w:r>
        <w:rPr>
          <w:color w:val="58595B"/>
          <w:spacing w:val="-10"/>
        </w:rPr>
        <w:t xml:space="preserve"> </w:t>
      </w:r>
      <w:r>
        <w:rPr>
          <w:color w:val="58595B"/>
          <w:spacing w:val="-3"/>
        </w:rPr>
        <w:t>provisions.</w:t>
      </w:r>
      <w:r>
        <w:rPr>
          <w:color w:val="58595B"/>
          <w:spacing w:val="-10"/>
        </w:rPr>
        <w:t xml:space="preserve"> </w:t>
      </w:r>
      <w:r>
        <w:rPr>
          <w:color w:val="58595B"/>
        </w:rPr>
        <w:t>The</w:t>
      </w:r>
      <w:r>
        <w:rPr>
          <w:color w:val="58595B"/>
          <w:spacing w:val="-10"/>
        </w:rPr>
        <w:t xml:space="preserve"> </w:t>
      </w:r>
      <w:r>
        <w:rPr>
          <w:color w:val="58595B"/>
          <w:spacing w:val="-3"/>
        </w:rPr>
        <w:t>existing</w:t>
      </w:r>
      <w:r>
        <w:rPr>
          <w:color w:val="58595B"/>
          <w:spacing w:val="-10"/>
        </w:rPr>
        <w:t xml:space="preserve"> </w:t>
      </w:r>
      <w:r>
        <w:rPr>
          <w:color w:val="58595B"/>
        </w:rPr>
        <w:t>delegation</w:t>
      </w:r>
      <w:r>
        <w:rPr>
          <w:color w:val="58595B"/>
          <w:spacing w:val="-10"/>
        </w:rPr>
        <w:t xml:space="preserve"> </w:t>
      </w:r>
      <w:r>
        <w:rPr>
          <w:color w:val="58595B"/>
        </w:rPr>
        <w:t>provisions</w:t>
      </w:r>
      <w:r>
        <w:rPr>
          <w:color w:val="58595B"/>
          <w:spacing w:val="-10"/>
        </w:rPr>
        <w:t xml:space="preserve"> </w:t>
      </w:r>
      <w:r>
        <w:rPr>
          <w:color w:val="58595B"/>
        </w:rPr>
        <w:t>under</w:t>
      </w:r>
      <w:r>
        <w:rPr>
          <w:color w:val="58595B"/>
          <w:spacing w:val="-10"/>
        </w:rPr>
        <w:t xml:space="preserve"> </w:t>
      </w:r>
      <w:r>
        <w:rPr>
          <w:color w:val="58595B"/>
        </w:rPr>
        <w:t>the</w:t>
      </w:r>
      <w:r>
        <w:rPr>
          <w:color w:val="58595B"/>
          <w:spacing w:val="-10"/>
        </w:rPr>
        <w:t xml:space="preserve"> </w:t>
      </w:r>
      <w:r>
        <w:rPr>
          <w:color w:val="58595B"/>
        </w:rPr>
        <w:t>EP</w:t>
      </w:r>
      <w:r>
        <w:rPr>
          <w:color w:val="58595B"/>
          <w:spacing w:val="-10"/>
        </w:rPr>
        <w:t xml:space="preserve"> </w:t>
      </w:r>
      <w:r>
        <w:rPr>
          <w:color w:val="58595B"/>
        </w:rPr>
        <w:t>Act</w:t>
      </w:r>
      <w:r>
        <w:rPr>
          <w:color w:val="58595B"/>
          <w:spacing w:val="-10"/>
        </w:rPr>
        <w:t xml:space="preserve"> </w:t>
      </w:r>
      <w:r>
        <w:rPr>
          <w:color w:val="58595B"/>
        </w:rPr>
        <w:t>will</w:t>
      </w:r>
      <w:r>
        <w:rPr>
          <w:color w:val="58595B"/>
          <w:spacing w:val="-10"/>
        </w:rPr>
        <w:t xml:space="preserve"> </w:t>
      </w:r>
      <w:r>
        <w:rPr>
          <w:color w:val="58595B"/>
        </w:rPr>
        <w:t>not</w:t>
      </w:r>
      <w:r>
        <w:rPr>
          <w:color w:val="58595B"/>
          <w:spacing w:val="-10"/>
        </w:rPr>
        <w:t xml:space="preserve"> </w:t>
      </w:r>
      <w:r>
        <w:rPr>
          <w:color w:val="58595B"/>
        </w:rPr>
        <w:t>be</w:t>
      </w:r>
      <w:r>
        <w:rPr>
          <w:color w:val="58595B"/>
          <w:spacing w:val="-10"/>
        </w:rPr>
        <w:t xml:space="preserve"> </w:t>
      </w:r>
      <w:r>
        <w:rPr>
          <w:color w:val="58595B"/>
        </w:rPr>
        <w:t>sufficient.</w:t>
      </w:r>
    </w:p>
    <w:p w14:paraId="7C8420BA" w14:textId="77777777" w:rsidR="00160E7F" w:rsidRDefault="002B0299">
      <w:pPr>
        <w:pStyle w:val="BodyText"/>
        <w:spacing w:before="171"/>
        <w:ind w:left="134" w:right="789"/>
      </w:pPr>
      <w:r>
        <w:rPr>
          <w:color w:val="58595B"/>
        </w:rPr>
        <w:t>Key elements to be considered include:</w:t>
      </w:r>
    </w:p>
    <w:p w14:paraId="73E879C7" w14:textId="4E58C697" w:rsidR="00160E7F" w:rsidRDefault="002B0299">
      <w:pPr>
        <w:pStyle w:val="ListParagraph"/>
        <w:numPr>
          <w:ilvl w:val="0"/>
          <w:numId w:val="25"/>
        </w:numPr>
        <w:tabs>
          <w:tab w:val="left" w:pos="305"/>
        </w:tabs>
        <w:spacing w:before="148" w:line="276" w:lineRule="auto"/>
        <w:ind w:right="1510" w:hanging="170"/>
        <w:rPr>
          <w:sz w:val="20"/>
        </w:rPr>
      </w:pPr>
      <w:r>
        <w:rPr>
          <w:color w:val="58595B"/>
          <w:sz w:val="20"/>
        </w:rPr>
        <w:t>the scope of the local government responsibility role – defining what is or what is not regulated through local government environment protection officers. For</w:t>
      </w:r>
      <w:r w:rsidR="00C83FFE">
        <w:rPr>
          <w:color w:val="58595B"/>
          <w:sz w:val="20"/>
        </w:rPr>
        <w:t xml:space="preserve"> example, the EP Act will need</w:t>
      </w:r>
      <w:r w:rsidR="00C83FFE">
        <w:rPr>
          <w:color w:val="58595B"/>
          <w:sz w:val="20"/>
        </w:rPr>
        <w:br/>
      </w:r>
      <w:r>
        <w:rPr>
          <w:color w:val="58595B"/>
          <w:sz w:val="20"/>
        </w:rPr>
        <w:t xml:space="preserve">to define the level of risk or harm for which the local government environment protection officer will be responsible, and the threshold above which the </w:t>
      </w:r>
      <w:r>
        <w:rPr>
          <w:color w:val="58595B"/>
          <w:spacing w:val="-4"/>
          <w:sz w:val="20"/>
        </w:rPr>
        <w:t xml:space="preserve">EPA </w:t>
      </w:r>
      <w:r>
        <w:rPr>
          <w:color w:val="58595B"/>
          <w:sz w:val="20"/>
        </w:rPr>
        <w:t xml:space="preserve">is responsible. The </w:t>
      </w:r>
      <w:r>
        <w:rPr>
          <w:color w:val="58595B"/>
          <w:spacing w:val="-4"/>
          <w:sz w:val="20"/>
        </w:rPr>
        <w:t xml:space="preserve">EPA </w:t>
      </w:r>
      <w:r>
        <w:rPr>
          <w:color w:val="58595B"/>
          <w:sz w:val="20"/>
        </w:rPr>
        <w:t>systems and protocols must support this</w:t>
      </w:r>
      <w:r>
        <w:rPr>
          <w:color w:val="58595B"/>
          <w:spacing w:val="15"/>
          <w:sz w:val="20"/>
        </w:rPr>
        <w:t xml:space="preserve"> </w:t>
      </w:r>
      <w:r>
        <w:rPr>
          <w:color w:val="58595B"/>
          <w:sz w:val="20"/>
        </w:rPr>
        <w:t>definition</w:t>
      </w:r>
    </w:p>
    <w:p w14:paraId="3894AB06" w14:textId="77777777" w:rsidR="00160E7F" w:rsidRDefault="002B0299">
      <w:pPr>
        <w:pStyle w:val="ListParagraph"/>
        <w:numPr>
          <w:ilvl w:val="0"/>
          <w:numId w:val="25"/>
        </w:numPr>
        <w:tabs>
          <w:tab w:val="left" w:pos="305"/>
        </w:tabs>
        <w:spacing w:before="115" w:line="276" w:lineRule="auto"/>
        <w:ind w:right="2002" w:hanging="170"/>
        <w:rPr>
          <w:sz w:val="20"/>
        </w:rPr>
      </w:pPr>
      <w:r>
        <w:rPr>
          <w:color w:val="58595B"/>
          <w:sz w:val="20"/>
        </w:rPr>
        <w:t xml:space="preserve">the accountabilities of the role – the officers will need to be accountable to the </w:t>
      </w:r>
      <w:r>
        <w:rPr>
          <w:color w:val="58595B"/>
          <w:spacing w:val="-4"/>
          <w:sz w:val="20"/>
        </w:rPr>
        <w:t xml:space="preserve">EPA </w:t>
      </w:r>
      <w:r>
        <w:rPr>
          <w:color w:val="58595B"/>
          <w:sz w:val="20"/>
        </w:rPr>
        <w:t>for all regulatory matters undertaken in their role and to the local government as their</w:t>
      </w:r>
      <w:r>
        <w:rPr>
          <w:color w:val="58595B"/>
          <w:spacing w:val="10"/>
          <w:sz w:val="20"/>
        </w:rPr>
        <w:t xml:space="preserve"> </w:t>
      </w:r>
      <w:r>
        <w:rPr>
          <w:color w:val="58595B"/>
          <w:sz w:val="20"/>
        </w:rPr>
        <w:t>employer</w:t>
      </w:r>
    </w:p>
    <w:p w14:paraId="3A71D607" w14:textId="77777777" w:rsidR="00160E7F" w:rsidRDefault="002B0299">
      <w:pPr>
        <w:pStyle w:val="ListParagraph"/>
        <w:numPr>
          <w:ilvl w:val="0"/>
          <w:numId w:val="25"/>
        </w:numPr>
        <w:tabs>
          <w:tab w:val="left" w:pos="305"/>
        </w:tabs>
        <w:spacing w:before="115" w:line="276" w:lineRule="auto"/>
        <w:ind w:right="1684" w:hanging="170"/>
        <w:rPr>
          <w:sz w:val="20"/>
        </w:rPr>
      </w:pPr>
      <w:r>
        <w:rPr>
          <w:color w:val="58595B"/>
          <w:sz w:val="20"/>
        </w:rPr>
        <w:t>the powers to be afforded to the local government environment protection officers in terms of notices, infringements and</w:t>
      </w:r>
      <w:r>
        <w:rPr>
          <w:color w:val="58595B"/>
          <w:spacing w:val="8"/>
          <w:sz w:val="20"/>
        </w:rPr>
        <w:t xml:space="preserve"> </w:t>
      </w:r>
      <w:r>
        <w:rPr>
          <w:color w:val="58595B"/>
          <w:sz w:val="20"/>
        </w:rPr>
        <w:t>inspections</w:t>
      </w:r>
    </w:p>
    <w:p w14:paraId="3C2CA402" w14:textId="77777777" w:rsidR="00160E7F" w:rsidRDefault="002B0299">
      <w:pPr>
        <w:pStyle w:val="ListParagraph"/>
        <w:numPr>
          <w:ilvl w:val="0"/>
          <w:numId w:val="25"/>
        </w:numPr>
        <w:tabs>
          <w:tab w:val="left" w:pos="305"/>
        </w:tabs>
        <w:spacing w:before="115"/>
        <w:ind w:hanging="170"/>
        <w:rPr>
          <w:sz w:val="20"/>
        </w:rPr>
      </w:pPr>
      <w:r>
        <w:rPr>
          <w:color w:val="58595B"/>
          <w:sz w:val="20"/>
        </w:rPr>
        <w:t>compliance standards to apply to local infringements or</w:t>
      </w:r>
      <w:r>
        <w:rPr>
          <w:color w:val="58595B"/>
          <w:spacing w:val="17"/>
          <w:sz w:val="20"/>
        </w:rPr>
        <w:t xml:space="preserve"> </w:t>
      </w:r>
      <w:r>
        <w:rPr>
          <w:color w:val="58595B"/>
          <w:sz w:val="20"/>
        </w:rPr>
        <w:t>offences.</w:t>
      </w:r>
    </w:p>
    <w:p w14:paraId="179CB5EC" w14:textId="77777777" w:rsidR="00160E7F" w:rsidRDefault="00160E7F">
      <w:pPr>
        <w:pStyle w:val="BodyText"/>
        <w:spacing w:before="9"/>
        <w:rPr>
          <w:sz w:val="17"/>
        </w:rPr>
      </w:pPr>
    </w:p>
    <w:p w14:paraId="71FBE65D" w14:textId="77777777" w:rsidR="00160E7F" w:rsidRDefault="002B0299">
      <w:pPr>
        <w:pStyle w:val="BodyText"/>
        <w:spacing w:line="276" w:lineRule="auto"/>
        <w:ind w:left="134" w:right="1433"/>
      </w:pPr>
      <w:r>
        <w:rPr>
          <w:color w:val="58595B"/>
        </w:rPr>
        <w:t>In determining an appropriate statutory mechanism, the government must also consider how to deal with the nuisance provisions that are currently available under the PHWB Act.</w:t>
      </w:r>
    </w:p>
    <w:p w14:paraId="67C17080" w14:textId="77777777" w:rsidR="00160E7F" w:rsidRDefault="002B0299">
      <w:pPr>
        <w:pStyle w:val="BodyText"/>
        <w:spacing w:before="171" w:line="276" w:lineRule="auto"/>
        <w:ind w:left="134" w:right="1515"/>
        <w:jc w:val="both"/>
      </w:pPr>
      <w:r>
        <w:rPr>
          <w:color w:val="58595B"/>
        </w:rPr>
        <w:t>Accountability measures should include legislated obligations for local governments to discharge functions (as is the case with Environmental Health Officers under the PHWB Act) and a defined relationship between local government environment protection officers and the EPA.</w:t>
      </w:r>
    </w:p>
    <w:p w14:paraId="0305BBF1" w14:textId="77777777" w:rsidR="00160E7F" w:rsidRDefault="002B0299">
      <w:pPr>
        <w:pStyle w:val="BodyText"/>
        <w:spacing w:before="171" w:line="276" w:lineRule="auto"/>
        <w:ind w:left="134" w:right="1433"/>
      </w:pPr>
      <w:r>
        <w:rPr>
          <w:color w:val="58595B"/>
          <w:spacing w:val="-3"/>
        </w:rPr>
        <w:t xml:space="preserve">We examined </w:t>
      </w:r>
      <w:r>
        <w:rPr>
          <w:color w:val="58595B"/>
        </w:rPr>
        <w:t xml:space="preserve">a </w:t>
      </w:r>
      <w:r>
        <w:rPr>
          <w:color w:val="58595B"/>
          <w:spacing w:val="-2"/>
        </w:rPr>
        <w:t xml:space="preserve">number </w:t>
      </w:r>
      <w:r>
        <w:rPr>
          <w:color w:val="58595B"/>
        </w:rPr>
        <w:t xml:space="preserve">of </w:t>
      </w:r>
      <w:r>
        <w:rPr>
          <w:color w:val="58595B"/>
          <w:spacing w:val="-3"/>
        </w:rPr>
        <w:t xml:space="preserve">existing </w:t>
      </w:r>
      <w:r>
        <w:rPr>
          <w:color w:val="58595B"/>
        </w:rPr>
        <w:t xml:space="preserve">models that demonstrated successful delivery partnerships between </w:t>
      </w:r>
      <w:r>
        <w:rPr>
          <w:color w:val="58595B"/>
          <w:spacing w:val="-3"/>
        </w:rPr>
        <w:t xml:space="preserve">state </w:t>
      </w:r>
      <w:r>
        <w:rPr>
          <w:color w:val="58595B"/>
        </w:rPr>
        <w:t xml:space="preserve">and local </w:t>
      </w:r>
      <w:r>
        <w:rPr>
          <w:color w:val="58595B"/>
          <w:spacing w:val="-4"/>
        </w:rPr>
        <w:t xml:space="preserve">government </w:t>
      </w:r>
      <w:r>
        <w:rPr>
          <w:color w:val="58595B"/>
        </w:rPr>
        <w:t xml:space="preserve">and </w:t>
      </w:r>
      <w:r>
        <w:rPr>
          <w:color w:val="58595B"/>
          <w:spacing w:val="-3"/>
        </w:rPr>
        <w:t xml:space="preserve">also provide details </w:t>
      </w:r>
      <w:r>
        <w:rPr>
          <w:color w:val="58595B"/>
        </w:rPr>
        <w:t xml:space="preserve">of </w:t>
      </w:r>
      <w:r>
        <w:rPr>
          <w:color w:val="58595B"/>
          <w:spacing w:val="-3"/>
        </w:rPr>
        <w:t xml:space="preserve">how </w:t>
      </w:r>
      <w:r>
        <w:rPr>
          <w:color w:val="58595B"/>
        </w:rPr>
        <w:t xml:space="preserve">the </w:t>
      </w:r>
      <w:r>
        <w:rPr>
          <w:color w:val="58595B"/>
          <w:spacing w:val="-2"/>
        </w:rPr>
        <w:t xml:space="preserve">statutory </w:t>
      </w:r>
      <w:r>
        <w:rPr>
          <w:color w:val="58595B"/>
          <w:spacing w:val="-3"/>
        </w:rPr>
        <w:t xml:space="preserve">arrangements might </w:t>
      </w:r>
      <w:r>
        <w:rPr>
          <w:color w:val="58595B"/>
        </w:rPr>
        <w:t xml:space="preserve">be </w:t>
      </w:r>
      <w:r>
        <w:rPr>
          <w:color w:val="58595B"/>
          <w:spacing w:val="-3"/>
        </w:rPr>
        <w:t xml:space="preserve">defined </w:t>
      </w:r>
      <w:r>
        <w:rPr>
          <w:color w:val="58595B"/>
        </w:rPr>
        <w:t xml:space="preserve">to support and empower the local </w:t>
      </w:r>
      <w:r>
        <w:rPr>
          <w:color w:val="58595B"/>
          <w:spacing w:val="-3"/>
        </w:rPr>
        <w:t xml:space="preserve">government environment </w:t>
      </w:r>
      <w:r>
        <w:rPr>
          <w:color w:val="58595B"/>
        </w:rPr>
        <w:t xml:space="preserve">protection officers. These are detailed </w:t>
      </w:r>
      <w:r>
        <w:rPr>
          <w:color w:val="58595B"/>
          <w:spacing w:val="-4"/>
        </w:rPr>
        <w:t>below.</w:t>
      </w:r>
    </w:p>
    <w:p w14:paraId="0E07AD13" w14:textId="77777777" w:rsidR="00160E7F" w:rsidRDefault="00160E7F">
      <w:pPr>
        <w:pStyle w:val="BodyText"/>
        <w:spacing w:before="9"/>
        <w:rPr>
          <w:sz w:val="19"/>
        </w:rPr>
      </w:pPr>
    </w:p>
    <w:p w14:paraId="57875EEF" w14:textId="77777777" w:rsidR="00160E7F" w:rsidRDefault="002B0299">
      <w:pPr>
        <w:ind w:left="134" w:right="789"/>
        <w:rPr>
          <w:i/>
          <w:sz w:val="20"/>
        </w:rPr>
      </w:pPr>
      <w:r>
        <w:rPr>
          <w:i/>
          <w:color w:val="6D6E71"/>
          <w:sz w:val="20"/>
        </w:rPr>
        <w:t>Environmental Health Officer model</w:t>
      </w:r>
    </w:p>
    <w:p w14:paraId="7F51EE08" w14:textId="77777777" w:rsidR="00160E7F" w:rsidRDefault="002B0299">
      <w:pPr>
        <w:pStyle w:val="BodyText"/>
        <w:spacing w:before="120" w:line="276" w:lineRule="auto"/>
        <w:ind w:left="134" w:right="1449"/>
        <w:rPr>
          <w:sz w:val="11"/>
        </w:rPr>
      </w:pPr>
      <w:r>
        <w:rPr>
          <w:color w:val="58595B"/>
          <w:spacing w:val="-3"/>
        </w:rPr>
        <w:t>We</w:t>
      </w:r>
      <w:r>
        <w:rPr>
          <w:color w:val="58595B"/>
          <w:spacing w:val="-5"/>
        </w:rPr>
        <w:t xml:space="preserve"> </w:t>
      </w:r>
      <w:r>
        <w:rPr>
          <w:color w:val="58595B"/>
        </w:rPr>
        <w:t>considered</w:t>
      </w:r>
      <w:r>
        <w:rPr>
          <w:color w:val="58595B"/>
          <w:spacing w:val="-5"/>
        </w:rPr>
        <w:t xml:space="preserve"> </w:t>
      </w:r>
      <w:r>
        <w:rPr>
          <w:color w:val="58595B"/>
        </w:rPr>
        <w:t>a</w:t>
      </w:r>
      <w:r>
        <w:rPr>
          <w:color w:val="58595B"/>
          <w:spacing w:val="-5"/>
        </w:rPr>
        <w:t xml:space="preserve"> </w:t>
      </w:r>
      <w:r>
        <w:rPr>
          <w:color w:val="58595B"/>
        </w:rPr>
        <w:t>model</w:t>
      </w:r>
      <w:r>
        <w:rPr>
          <w:color w:val="58595B"/>
          <w:spacing w:val="-5"/>
        </w:rPr>
        <w:t xml:space="preserve"> </w:t>
      </w:r>
      <w:r>
        <w:rPr>
          <w:color w:val="58595B"/>
        </w:rPr>
        <w:t>similar</w:t>
      </w:r>
      <w:r>
        <w:rPr>
          <w:color w:val="58595B"/>
          <w:spacing w:val="-5"/>
        </w:rPr>
        <w:t xml:space="preserve"> </w:t>
      </w:r>
      <w:r>
        <w:rPr>
          <w:color w:val="58595B"/>
        </w:rPr>
        <w:t>to</w:t>
      </w:r>
      <w:r>
        <w:rPr>
          <w:color w:val="58595B"/>
          <w:spacing w:val="-5"/>
        </w:rPr>
        <w:t xml:space="preserve"> </w:t>
      </w:r>
      <w:r>
        <w:rPr>
          <w:color w:val="58595B"/>
        </w:rPr>
        <w:t>environmental</w:t>
      </w:r>
      <w:r>
        <w:rPr>
          <w:color w:val="58595B"/>
          <w:spacing w:val="-5"/>
        </w:rPr>
        <w:t xml:space="preserve"> </w:t>
      </w:r>
      <w:r>
        <w:rPr>
          <w:color w:val="58595B"/>
        </w:rPr>
        <w:t>health</w:t>
      </w:r>
      <w:r>
        <w:rPr>
          <w:color w:val="58595B"/>
          <w:spacing w:val="-5"/>
        </w:rPr>
        <w:t xml:space="preserve"> </w:t>
      </w:r>
      <w:r>
        <w:rPr>
          <w:color w:val="58595B"/>
        </w:rPr>
        <w:t>officers</w:t>
      </w:r>
      <w:r>
        <w:rPr>
          <w:color w:val="58595B"/>
          <w:spacing w:val="-5"/>
        </w:rPr>
        <w:t xml:space="preserve"> </w:t>
      </w:r>
      <w:r>
        <w:rPr>
          <w:color w:val="58595B"/>
          <w:spacing w:val="-3"/>
        </w:rPr>
        <w:t>(EHOs),</w:t>
      </w:r>
      <w:r>
        <w:rPr>
          <w:color w:val="58595B"/>
          <w:spacing w:val="-5"/>
        </w:rPr>
        <w:t xml:space="preserve"> </w:t>
      </w:r>
      <w:r>
        <w:rPr>
          <w:color w:val="58595B"/>
        </w:rPr>
        <w:t>who</w:t>
      </w:r>
      <w:r>
        <w:rPr>
          <w:color w:val="58595B"/>
          <w:spacing w:val="-5"/>
        </w:rPr>
        <w:t xml:space="preserve"> </w:t>
      </w:r>
      <w:r>
        <w:rPr>
          <w:color w:val="58595B"/>
        </w:rPr>
        <w:t>are</w:t>
      </w:r>
      <w:r>
        <w:rPr>
          <w:color w:val="58595B"/>
          <w:spacing w:val="-5"/>
        </w:rPr>
        <w:t xml:space="preserve"> </w:t>
      </w:r>
      <w:r>
        <w:rPr>
          <w:color w:val="58595B"/>
        </w:rPr>
        <w:t>local</w:t>
      </w:r>
      <w:r>
        <w:rPr>
          <w:color w:val="58595B"/>
          <w:spacing w:val="-5"/>
        </w:rPr>
        <w:t xml:space="preserve"> </w:t>
      </w:r>
      <w:r>
        <w:rPr>
          <w:color w:val="58595B"/>
        </w:rPr>
        <w:t xml:space="preserve">government employees supported </w:t>
      </w:r>
      <w:r>
        <w:rPr>
          <w:color w:val="58595B"/>
          <w:spacing w:val="-3"/>
        </w:rPr>
        <w:t xml:space="preserve">by </w:t>
      </w:r>
      <w:r>
        <w:rPr>
          <w:color w:val="58595B"/>
        </w:rPr>
        <w:t xml:space="preserve">DHHS with a primary focus on food </w:t>
      </w:r>
      <w:r>
        <w:rPr>
          <w:color w:val="58595B"/>
          <w:spacing w:val="-3"/>
        </w:rPr>
        <w:t xml:space="preserve">safety. </w:t>
      </w:r>
      <w:r>
        <w:rPr>
          <w:color w:val="58595B"/>
        </w:rPr>
        <w:t xml:space="preserve">Local governments </w:t>
      </w:r>
      <w:r>
        <w:rPr>
          <w:color w:val="58595B"/>
          <w:spacing w:val="-3"/>
        </w:rPr>
        <w:t xml:space="preserve">have </w:t>
      </w:r>
      <w:r>
        <w:rPr>
          <w:color w:val="58595B"/>
        </w:rPr>
        <w:t>roles</w:t>
      </w:r>
      <w:r>
        <w:rPr>
          <w:color w:val="58595B"/>
          <w:spacing w:val="-6"/>
        </w:rPr>
        <w:t xml:space="preserve"> </w:t>
      </w:r>
      <w:r>
        <w:rPr>
          <w:color w:val="58595B"/>
        </w:rPr>
        <w:t>and</w:t>
      </w:r>
      <w:r>
        <w:rPr>
          <w:color w:val="58595B"/>
          <w:spacing w:val="-6"/>
        </w:rPr>
        <w:t xml:space="preserve"> </w:t>
      </w:r>
      <w:r>
        <w:rPr>
          <w:color w:val="58595B"/>
        </w:rPr>
        <w:t>responsibilities</w:t>
      </w:r>
      <w:r>
        <w:rPr>
          <w:color w:val="58595B"/>
          <w:spacing w:val="-6"/>
        </w:rPr>
        <w:t xml:space="preserve"> </w:t>
      </w:r>
      <w:r>
        <w:rPr>
          <w:color w:val="58595B"/>
        </w:rPr>
        <w:t>in</w:t>
      </w:r>
      <w:r>
        <w:rPr>
          <w:color w:val="58595B"/>
          <w:spacing w:val="-6"/>
        </w:rPr>
        <w:t xml:space="preserve"> </w:t>
      </w:r>
      <w:r>
        <w:rPr>
          <w:color w:val="58595B"/>
        </w:rPr>
        <w:t>protecting</w:t>
      </w:r>
      <w:r>
        <w:rPr>
          <w:color w:val="58595B"/>
          <w:spacing w:val="-6"/>
        </w:rPr>
        <w:t xml:space="preserve"> </w:t>
      </w:r>
      <w:r>
        <w:rPr>
          <w:color w:val="58595B"/>
        </w:rPr>
        <w:t>public</w:t>
      </w:r>
      <w:r>
        <w:rPr>
          <w:color w:val="58595B"/>
          <w:spacing w:val="-6"/>
        </w:rPr>
        <w:t xml:space="preserve"> </w:t>
      </w:r>
      <w:r>
        <w:rPr>
          <w:color w:val="58595B"/>
        </w:rPr>
        <w:t>health</w:t>
      </w:r>
      <w:r>
        <w:rPr>
          <w:color w:val="58595B"/>
          <w:spacing w:val="-6"/>
        </w:rPr>
        <w:t xml:space="preserve"> </w:t>
      </w:r>
      <w:r>
        <w:rPr>
          <w:color w:val="58595B"/>
        </w:rPr>
        <w:t>detailed</w:t>
      </w:r>
      <w:r>
        <w:rPr>
          <w:color w:val="58595B"/>
          <w:spacing w:val="-6"/>
        </w:rPr>
        <w:t xml:space="preserve"> </w:t>
      </w:r>
      <w:r>
        <w:rPr>
          <w:color w:val="58595B"/>
        </w:rPr>
        <w:t>under</w:t>
      </w:r>
      <w:r>
        <w:rPr>
          <w:color w:val="58595B"/>
          <w:spacing w:val="-6"/>
        </w:rPr>
        <w:t xml:space="preserve"> </w:t>
      </w:r>
      <w:r>
        <w:rPr>
          <w:color w:val="58595B"/>
        </w:rPr>
        <w:t>the</w:t>
      </w:r>
      <w:r>
        <w:rPr>
          <w:color w:val="58595B"/>
          <w:spacing w:val="-6"/>
        </w:rPr>
        <w:t xml:space="preserve"> </w:t>
      </w:r>
      <w:r>
        <w:rPr>
          <w:color w:val="58595B"/>
        </w:rPr>
        <w:t>PHWB</w:t>
      </w:r>
      <w:r>
        <w:rPr>
          <w:color w:val="58595B"/>
          <w:spacing w:val="-6"/>
        </w:rPr>
        <w:t xml:space="preserve"> </w:t>
      </w:r>
      <w:r>
        <w:rPr>
          <w:color w:val="58595B"/>
        </w:rPr>
        <w:t>Act,</w:t>
      </w:r>
      <w:r>
        <w:rPr>
          <w:color w:val="58595B"/>
          <w:spacing w:val="-6"/>
        </w:rPr>
        <w:t xml:space="preserve"> </w:t>
      </w:r>
      <w:r>
        <w:rPr>
          <w:color w:val="58595B"/>
        </w:rPr>
        <w:t>with</w:t>
      </w:r>
      <w:r>
        <w:rPr>
          <w:color w:val="58595B"/>
          <w:spacing w:val="-6"/>
        </w:rPr>
        <w:t xml:space="preserve"> </w:t>
      </w:r>
      <w:r>
        <w:rPr>
          <w:color w:val="58595B"/>
        </w:rPr>
        <w:t>the</w:t>
      </w:r>
      <w:r>
        <w:rPr>
          <w:color w:val="58595B"/>
          <w:spacing w:val="-6"/>
        </w:rPr>
        <w:t xml:space="preserve"> </w:t>
      </w:r>
      <w:r>
        <w:rPr>
          <w:color w:val="58595B"/>
        </w:rPr>
        <w:t xml:space="preserve">primary objective of seeking to protect, improve and promote public health and wellbeing within the municipal </w:t>
      </w:r>
      <w:r>
        <w:rPr>
          <w:color w:val="58595B"/>
          <w:spacing w:val="-3"/>
        </w:rPr>
        <w:t>district.</w:t>
      </w:r>
      <w:r>
        <w:rPr>
          <w:color w:val="58595B"/>
          <w:spacing w:val="-3"/>
          <w:position w:val="7"/>
          <w:sz w:val="11"/>
        </w:rPr>
        <w:t xml:space="preserve">15 </w:t>
      </w:r>
      <w:r>
        <w:rPr>
          <w:color w:val="58595B"/>
        </w:rPr>
        <w:t>The PHWB Act requires local governments to appoint one or more</w:t>
      </w:r>
      <w:r>
        <w:rPr>
          <w:color w:val="58595B"/>
          <w:spacing w:val="-14"/>
        </w:rPr>
        <w:t xml:space="preserve"> </w:t>
      </w:r>
      <w:r>
        <w:rPr>
          <w:color w:val="58595B"/>
          <w:spacing w:val="-5"/>
        </w:rPr>
        <w:t>EHOs.</w:t>
      </w:r>
      <w:r>
        <w:rPr>
          <w:color w:val="58595B"/>
          <w:spacing w:val="-5"/>
          <w:position w:val="7"/>
          <w:sz w:val="11"/>
        </w:rPr>
        <w:t>16</w:t>
      </w:r>
    </w:p>
    <w:p w14:paraId="0525A8BD" w14:textId="77777777" w:rsidR="00160E7F" w:rsidRDefault="002B0299">
      <w:pPr>
        <w:pStyle w:val="BodyText"/>
        <w:spacing w:before="171" w:line="276" w:lineRule="auto"/>
        <w:ind w:left="134" w:right="1716"/>
      </w:pPr>
      <w:r>
        <w:rPr>
          <w:color w:val="58595B"/>
        </w:rPr>
        <w:t>EHOs are authorised officers for the purposes of the PHWB Act. They must have specified qualifications and experience. DHHS works closely with local government EHOs, provides training and also supports them in their role to work directly with communities.</w:t>
      </w:r>
    </w:p>
    <w:p w14:paraId="10C709A5" w14:textId="77777777" w:rsidR="00160E7F" w:rsidRDefault="002B0299">
      <w:pPr>
        <w:pStyle w:val="BodyText"/>
        <w:spacing w:before="171" w:line="276" w:lineRule="auto"/>
        <w:ind w:left="134" w:right="1433"/>
      </w:pPr>
      <w:r>
        <w:rPr>
          <w:color w:val="58595B"/>
        </w:rPr>
        <w:t>We note Victoria’s 79 councils operationalise their public health responsibilities differently. We propose a more consistent approach is needed to ensure that the local government environment protection officers can provide comprehensive coverage and operate with an appropriate</w:t>
      </w:r>
    </w:p>
    <w:p w14:paraId="3EC9AE26" w14:textId="77777777" w:rsidR="00160E7F" w:rsidRDefault="002B0299">
      <w:pPr>
        <w:pStyle w:val="BodyText"/>
        <w:spacing w:before="1"/>
        <w:ind w:left="134" w:right="789"/>
      </w:pPr>
      <w:r>
        <w:rPr>
          <w:color w:val="58595B"/>
        </w:rPr>
        <w:t>risk-based focus.</w:t>
      </w:r>
    </w:p>
    <w:p w14:paraId="5A2AABEA" w14:textId="77777777" w:rsidR="00160E7F" w:rsidRDefault="00160E7F">
      <w:pPr>
        <w:sectPr w:rsidR="00160E7F">
          <w:pgSz w:w="11910" w:h="16840"/>
          <w:pgMar w:top="980" w:right="0" w:bottom="280" w:left="1680" w:header="788" w:footer="0" w:gutter="0"/>
          <w:cols w:space="720"/>
        </w:sectPr>
      </w:pPr>
    </w:p>
    <w:p w14:paraId="32120E1E" w14:textId="77777777" w:rsidR="00160E7F" w:rsidRDefault="00160E7F">
      <w:pPr>
        <w:pStyle w:val="BodyText"/>
      </w:pPr>
    </w:p>
    <w:p w14:paraId="79B47421" w14:textId="77777777" w:rsidR="00160E7F" w:rsidRDefault="00160E7F">
      <w:pPr>
        <w:pStyle w:val="BodyText"/>
      </w:pPr>
    </w:p>
    <w:p w14:paraId="1AD81106" w14:textId="77777777" w:rsidR="00160E7F" w:rsidRDefault="00160E7F">
      <w:pPr>
        <w:pStyle w:val="BodyText"/>
      </w:pPr>
    </w:p>
    <w:p w14:paraId="6E11D08B" w14:textId="77777777" w:rsidR="00160E7F" w:rsidRDefault="00160E7F">
      <w:pPr>
        <w:pStyle w:val="BodyText"/>
      </w:pPr>
    </w:p>
    <w:p w14:paraId="3C7A5BA2" w14:textId="77777777" w:rsidR="00160E7F" w:rsidRDefault="00160E7F">
      <w:pPr>
        <w:pStyle w:val="BodyText"/>
        <w:spacing w:before="8"/>
        <w:rPr>
          <w:sz w:val="17"/>
        </w:rPr>
      </w:pPr>
    </w:p>
    <w:p w14:paraId="3D1A287F" w14:textId="77777777" w:rsidR="00160E7F" w:rsidRDefault="002B0299">
      <w:pPr>
        <w:spacing w:before="1"/>
        <w:ind w:left="1417" w:right="789"/>
        <w:rPr>
          <w:i/>
          <w:sz w:val="20"/>
        </w:rPr>
      </w:pPr>
      <w:r>
        <w:rPr>
          <w:i/>
          <w:color w:val="6D6E71"/>
          <w:sz w:val="20"/>
        </w:rPr>
        <w:t>New South Wales model</w:t>
      </w:r>
    </w:p>
    <w:p w14:paraId="2F907764" w14:textId="77777777" w:rsidR="00160E7F" w:rsidRDefault="002B0299">
      <w:pPr>
        <w:pStyle w:val="BodyText"/>
        <w:spacing w:before="125" w:line="280" w:lineRule="auto"/>
        <w:ind w:left="1417" w:right="405"/>
      </w:pPr>
      <w:r>
        <w:rPr>
          <w:color w:val="58595B"/>
        </w:rPr>
        <w:t xml:space="preserve">The New South Wales </w:t>
      </w:r>
      <w:r>
        <w:rPr>
          <w:i/>
          <w:color w:val="58595B"/>
        </w:rPr>
        <w:t xml:space="preserve">Protection of the Environment Operations Act 1997 </w:t>
      </w:r>
      <w:r>
        <w:rPr>
          <w:color w:val="58595B"/>
        </w:rPr>
        <w:t xml:space="preserve">creates a </w:t>
      </w:r>
      <w:r>
        <w:rPr>
          <w:color w:val="58595B"/>
          <w:spacing w:val="2"/>
        </w:rPr>
        <w:t xml:space="preserve">structure </w:t>
      </w:r>
      <w:r>
        <w:rPr>
          <w:color w:val="58595B"/>
        </w:rPr>
        <w:t xml:space="preserve">of ‘appropriate </w:t>
      </w:r>
      <w:r>
        <w:rPr>
          <w:color w:val="58595B"/>
          <w:spacing w:val="2"/>
        </w:rPr>
        <w:t xml:space="preserve">regulatory </w:t>
      </w:r>
      <w:r>
        <w:rPr>
          <w:color w:val="58595B"/>
        </w:rPr>
        <w:t xml:space="preserve">authorities,’ with appropriate enforcement and other </w:t>
      </w:r>
      <w:r>
        <w:rPr>
          <w:color w:val="58595B"/>
          <w:spacing w:val="2"/>
        </w:rPr>
        <w:t xml:space="preserve">regulatory </w:t>
      </w:r>
      <w:r>
        <w:rPr>
          <w:color w:val="58595B"/>
        </w:rPr>
        <w:t xml:space="preserve">powers. The ‘appropriate regulatory authority’ delineates the respective roles of the </w:t>
      </w:r>
      <w:r>
        <w:rPr>
          <w:color w:val="58595B"/>
          <w:spacing w:val="-4"/>
        </w:rPr>
        <w:t xml:space="preserve">EPA </w:t>
      </w:r>
      <w:r>
        <w:rPr>
          <w:color w:val="58595B"/>
        </w:rPr>
        <w:t>and local governments in environment</w:t>
      </w:r>
      <w:r>
        <w:rPr>
          <w:color w:val="58595B"/>
          <w:spacing w:val="-3"/>
        </w:rPr>
        <w:t xml:space="preserve"> </w:t>
      </w:r>
      <w:r>
        <w:rPr>
          <w:color w:val="58595B"/>
        </w:rPr>
        <w:t>protection.</w:t>
      </w:r>
    </w:p>
    <w:p w14:paraId="5440F658" w14:textId="77777777" w:rsidR="00160E7F" w:rsidRDefault="002B0299">
      <w:pPr>
        <w:pStyle w:val="BodyText"/>
        <w:spacing w:before="172" w:line="280" w:lineRule="auto"/>
        <w:ind w:left="1417" w:right="185"/>
      </w:pPr>
      <w:r>
        <w:rPr>
          <w:color w:val="58595B"/>
        </w:rPr>
        <w:t>The intention is to clearly allocate responsibilities – with higher risk sites remaining the responsibility of the NSW EPA: ‘There is a broad allocation of responsibilities under the Act between the EPA, local councils and other public authorities’.</w:t>
      </w:r>
      <w:r>
        <w:rPr>
          <w:color w:val="58595B"/>
          <w:position w:val="7"/>
          <w:sz w:val="11"/>
        </w:rPr>
        <w:t xml:space="preserve">17 </w:t>
      </w:r>
      <w:r>
        <w:rPr>
          <w:color w:val="58595B"/>
        </w:rPr>
        <w:t>The NSW EPA licences and regulates scheduled activities – that is activities listed in Schedule 1 to the Act and the premises where they are carried out.</w:t>
      </w:r>
    </w:p>
    <w:p w14:paraId="5B375E97" w14:textId="77777777" w:rsidR="00160E7F" w:rsidRDefault="002B0299">
      <w:pPr>
        <w:pStyle w:val="BodyText"/>
        <w:spacing w:before="172" w:line="280" w:lineRule="auto"/>
        <w:ind w:left="1417" w:right="185"/>
      </w:pPr>
      <w:r>
        <w:rPr>
          <w:color w:val="58595B"/>
        </w:rPr>
        <w:t>Under this regime, New South Wales local councils regulate non-scheduled activities through notice and enforcement powers in their local areas. Other public authorities can also be declared an appropriate regulatory authority in particular circumstances.</w:t>
      </w:r>
    </w:p>
    <w:p w14:paraId="7634B1C6" w14:textId="77777777" w:rsidR="00160E7F" w:rsidRDefault="00160E7F">
      <w:pPr>
        <w:pStyle w:val="BodyText"/>
        <w:spacing w:before="4"/>
        <w:rPr>
          <w:sz w:val="17"/>
        </w:rPr>
      </w:pPr>
    </w:p>
    <w:p w14:paraId="5E9500D9" w14:textId="77777777" w:rsidR="00160E7F" w:rsidRDefault="000638CB">
      <w:pPr>
        <w:pStyle w:val="BodyText"/>
        <w:spacing w:before="75" w:line="280" w:lineRule="auto"/>
        <w:ind w:left="1587" w:right="1433"/>
      </w:pPr>
      <w:r>
        <w:pict w14:anchorId="53DFA29C">
          <v:rect id="_x0000_s1031" style="position:absolute;left:0;text-align:left;margin-left:70.85pt;margin-top:-2.65pt;width:433.7pt;height:358.8pt;z-index:-89296;mso-position-horizontal-relative:page" fillcolor="#eaf2f3" stroked="f">
            <w10:wrap anchorx="page"/>
          </v:rect>
        </w:pict>
      </w:r>
      <w:r w:rsidR="002B0299">
        <w:rPr>
          <w:b/>
          <w:color w:val="0095A7"/>
        </w:rPr>
        <w:t xml:space="preserve">BOX 18.2 </w:t>
      </w:r>
      <w:r w:rsidR="002B0299">
        <w:rPr>
          <w:color w:val="0095A7"/>
        </w:rPr>
        <w:t>SOUTH AUSTRALIA – DELINEATING ROLES AND EMPOWERING LOCAL GOVERNMENT</w:t>
      </w:r>
    </w:p>
    <w:p w14:paraId="154E71DB" w14:textId="77777777" w:rsidR="00160E7F" w:rsidRDefault="002B0299">
      <w:pPr>
        <w:pStyle w:val="BodyText"/>
        <w:spacing w:before="115" w:line="280" w:lineRule="auto"/>
        <w:ind w:left="1587" w:right="343"/>
      </w:pPr>
      <w:r>
        <w:rPr>
          <w:color w:val="58595B"/>
        </w:rPr>
        <w:t>The South Australian legislative framework for nuisance is currently being reformed, following the introduction of the Local Nuisance and Litter Control Bill into the South Australian Parliament in late 2015. The legislation proposes:</w:t>
      </w:r>
    </w:p>
    <w:p w14:paraId="7D729D0C" w14:textId="77777777" w:rsidR="00160E7F" w:rsidRDefault="002B0299">
      <w:pPr>
        <w:pStyle w:val="ListParagraph"/>
        <w:numPr>
          <w:ilvl w:val="1"/>
          <w:numId w:val="25"/>
        </w:numPr>
        <w:tabs>
          <w:tab w:val="left" w:pos="1758"/>
        </w:tabs>
        <w:spacing w:before="115" w:line="280" w:lineRule="auto"/>
        <w:ind w:left="1757" w:right="816" w:hanging="170"/>
        <w:rPr>
          <w:sz w:val="20"/>
        </w:rPr>
      </w:pPr>
      <w:r>
        <w:rPr>
          <w:color w:val="58595B"/>
          <w:sz w:val="20"/>
        </w:rPr>
        <w:t>to formalise the role of local government in managing local minor nuisances to provide consistency of service across</w:t>
      </w:r>
      <w:r>
        <w:rPr>
          <w:color w:val="58595B"/>
          <w:spacing w:val="17"/>
          <w:sz w:val="20"/>
        </w:rPr>
        <w:t xml:space="preserve"> </w:t>
      </w:r>
      <w:r>
        <w:rPr>
          <w:color w:val="58595B"/>
          <w:sz w:val="20"/>
        </w:rPr>
        <w:t>councils</w:t>
      </w:r>
    </w:p>
    <w:p w14:paraId="30FFC1EF" w14:textId="77777777" w:rsidR="00160E7F" w:rsidRDefault="002B0299">
      <w:pPr>
        <w:pStyle w:val="ListParagraph"/>
        <w:numPr>
          <w:ilvl w:val="1"/>
          <w:numId w:val="25"/>
        </w:numPr>
        <w:tabs>
          <w:tab w:val="left" w:pos="1758"/>
        </w:tabs>
        <w:spacing w:before="115"/>
        <w:ind w:left="1757" w:hanging="170"/>
        <w:rPr>
          <w:sz w:val="20"/>
        </w:rPr>
      </w:pPr>
      <w:r>
        <w:rPr>
          <w:color w:val="58595B"/>
          <w:sz w:val="20"/>
        </w:rPr>
        <w:t>better tools for enforcement and to deal more effectively with vexatious</w:t>
      </w:r>
      <w:r>
        <w:rPr>
          <w:color w:val="58595B"/>
          <w:spacing w:val="3"/>
          <w:sz w:val="20"/>
        </w:rPr>
        <w:t xml:space="preserve"> </w:t>
      </w:r>
      <w:r>
        <w:rPr>
          <w:color w:val="58595B"/>
          <w:sz w:val="20"/>
        </w:rPr>
        <w:t>complaints</w:t>
      </w:r>
    </w:p>
    <w:p w14:paraId="5EBFA8F1" w14:textId="77777777" w:rsidR="00160E7F" w:rsidRDefault="002B0299">
      <w:pPr>
        <w:pStyle w:val="ListParagraph"/>
        <w:numPr>
          <w:ilvl w:val="1"/>
          <w:numId w:val="25"/>
        </w:numPr>
        <w:tabs>
          <w:tab w:val="left" w:pos="1758"/>
        </w:tabs>
        <w:spacing w:before="153" w:line="280" w:lineRule="auto"/>
        <w:ind w:left="1757" w:right="632" w:hanging="170"/>
        <w:rPr>
          <w:sz w:val="20"/>
        </w:rPr>
      </w:pPr>
      <w:r>
        <w:rPr>
          <w:color w:val="58595B"/>
          <w:sz w:val="20"/>
        </w:rPr>
        <w:t>a modern legislative scheme for litter control, including tiered offences depending on the type of litter (small versus large quantities, dangerous and hazardous</w:t>
      </w:r>
      <w:r>
        <w:rPr>
          <w:color w:val="58595B"/>
          <w:spacing w:val="-6"/>
          <w:sz w:val="20"/>
        </w:rPr>
        <w:t xml:space="preserve"> </w:t>
      </w:r>
      <w:r>
        <w:rPr>
          <w:color w:val="58595B"/>
          <w:sz w:val="20"/>
        </w:rPr>
        <w:t>litter)</w:t>
      </w:r>
    </w:p>
    <w:p w14:paraId="79C10B73" w14:textId="77777777" w:rsidR="00160E7F" w:rsidRDefault="002B0299">
      <w:pPr>
        <w:pStyle w:val="ListParagraph"/>
        <w:numPr>
          <w:ilvl w:val="1"/>
          <w:numId w:val="25"/>
        </w:numPr>
        <w:tabs>
          <w:tab w:val="left" w:pos="1758"/>
        </w:tabs>
        <w:spacing w:before="115" w:line="280" w:lineRule="auto"/>
        <w:ind w:left="1757" w:right="954" w:hanging="170"/>
        <w:rPr>
          <w:sz w:val="20"/>
        </w:rPr>
      </w:pPr>
      <w:r>
        <w:rPr>
          <w:color w:val="58595B"/>
          <w:sz w:val="20"/>
        </w:rPr>
        <w:t>improved surveillance to gather evidence of illegal dumping (linking an offence to the registered owner of a</w:t>
      </w:r>
      <w:r>
        <w:rPr>
          <w:color w:val="58595B"/>
          <w:spacing w:val="-15"/>
          <w:sz w:val="20"/>
        </w:rPr>
        <w:t xml:space="preserve"> </w:t>
      </w:r>
      <w:r>
        <w:rPr>
          <w:color w:val="58595B"/>
          <w:sz w:val="20"/>
        </w:rPr>
        <w:t>vehicle)</w:t>
      </w:r>
    </w:p>
    <w:p w14:paraId="7DE13C2D" w14:textId="77777777" w:rsidR="00160E7F" w:rsidRDefault="002B0299">
      <w:pPr>
        <w:pStyle w:val="ListParagraph"/>
        <w:numPr>
          <w:ilvl w:val="1"/>
          <w:numId w:val="25"/>
        </w:numPr>
        <w:tabs>
          <w:tab w:val="left" w:pos="1758"/>
        </w:tabs>
        <w:spacing w:before="115" w:line="280" w:lineRule="auto"/>
        <w:ind w:left="1757" w:right="1128" w:hanging="170"/>
        <w:rPr>
          <w:sz w:val="20"/>
        </w:rPr>
      </w:pPr>
      <w:r>
        <w:rPr>
          <w:color w:val="58595B"/>
          <w:sz w:val="20"/>
        </w:rPr>
        <w:t>allowing non-government organisations to undertake compliance activities (subject to</w:t>
      </w:r>
      <w:r>
        <w:rPr>
          <w:color w:val="58595B"/>
          <w:spacing w:val="-13"/>
          <w:sz w:val="20"/>
        </w:rPr>
        <w:t xml:space="preserve"> </w:t>
      </w:r>
      <w:r>
        <w:rPr>
          <w:color w:val="58595B"/>
          <w:sz w:val="20"/>
        </w:rPr>
        <w:t>approval).</w:t>
      </w:r>
    </w:p>
    <w:p w14:paraId="44CE7EDC" w14:textId="77777777" w:rsidR="00160E7F" w:rsidRDefault="002B0299">
      <w:pPr>
        <w:pStyle w:val="BodyText"/>
        <w:spacing w:before="172" w:line="280" w:lineRule="auto"/>
        <w:ind w:left="1587" w:right="912"/>
      </w:pPr>
      <w:r>
        <w:rPr>
          <w:color w:val="58595B"/>
        </w:rPr>
        <w:t>As part of the public consultation process for the Bill, the South Australian EPA noted the important role local governments should play in providing a clear and effective regulatory response:</w:t>
      </w:r>
    </w:p>
    <w:p w14:paraId="40E5A925" w14:textId="77777777" w:rsidR="00160E7F" w:rsidRDefault="002B0299">
      <w:pPr>
        <w:spacing w:before="172" w:line="280" w:lineRule="auto"/>
        <w:ind w:left="2154" w:right="789"/>
        <w:rPr>
          <w:sz w:val="11"/>
        </w:rPr>
      </w:pPr>
      <w:r>
        <w:rPr>
          <w:i/>
          <w:color w:val="231F20"/>
          <w:sz w:val="20"/>
        </w:rPr>
        <w:t>There is considerable confusion within the community about state and local government roles and responsibilities related to local nuisance issues. Local government is better placed to respond quickly and effectively to local nuisance issues as they have a local presence and community expectation of local government with regard to policing environment protection matters is very high.</w:t>
      </w:r>
      <w:r>
        <w:rPr>
          <w:color w:val="231F20"/>
          <w:position w:val="7"/>
          <w:sz w:val="11"/>
        </w:rPr>
        <w:t>18</w:t>
      </w:r>
    </w:p>
    <w:p w14:paraId="4596C782" w14:textId="77777777" w:rsidR="00160E7F" w:rsidRDefault="00160E7F">
      <w:pPr>
        <w:spacing w:line="280" w:lineRule="auto"/>
        <w:rPr>
          <w:sz w:val="11"/>
        </w:rPr>
        <w:sectPr w:rsidR="00160E7F">
          <w:pgSz w:w="11910" w:h="16840"/>
          <w:pgMar w:top="980" w:right="1680" w:bottom="280" w:left="0" w:header="788" w:footer="0" w:gutter="0"/>
          <w:cols w:space="720"/>
        </w:sectPr>
      </w:pPr>
    </w:p>
    <w:p w14:paraId="4470A29D" w14:textId="77777777" w:rsidR="00160E7F" w:rsidRDefault="00160E7F">
      <w:pPr>
        <w:pStyle w:val="BodyText"/>
      </w:pPr>
    </w:p>
    <w:p w14:paraId="301B3974" w14:textId="77777777" w:rsidR="00160E7F" w:rsidRDefault="00160E7F">
      <w:pPr>
        <w:pStyle w:val="BodyText"/>
      </w:pPr>
    </w:p>
    <w:p w14:paraId="1F77D782" w14:textId="77777777" w:rsidR="00160E7F" w:rsidRDefault="00160E7F">
      <w:pPr>
        <w:pStyle w:val="BodyText"/>
      </w:pPr>
    </w:p>
    <w:p w14:paraId="53934AD3" w14:textId="77777777" w:rsidR="00160E7F" w:rsidRDefault="00160E7F">
      <w:pPr>
        <w:pStyle w:val="BodyText"/>
      </w:pPr>
    </w:p>
    <w:p w14:paraId="54AA6E1F" w14:textId="77777777" w:rsidR="00160E7F" w:rsidRDefault="00160E7F">
      <w:pPr>
        <w:pStyle w:val="BodyText"/>
        <w:spacing w:before="8"/>
        <w:rPr>
          <w:sz w:val="17"/>
        </w:rPr>
      </w:pPr>
    </w:p>
    <w:p w14:paraId="294F8390" w14:textId="77777777" w:rsidR="00160E7F" w:rsidRDefault="002B0299">
      <w:pPr>
        <w:spacing w:before="1"/>
        <w:ind w:left="134" w:right="789"/>
        <w:rPr>
          <w:i/>
          <w:sz w:val="20"/>
        </w:rPr>
      </w:pPr>
      <w:r>
        <w:rPr>
          <w:i/>
          <w:color w:val="6D6E71"/>
          <w:sz w:val="20"/>
        </w:rPr>
        <w:t>Local government litter prevention officers</w:t>
      </w:r>
    </w:p>
    <w:p w14:paraId="6A76FF28" w14:textId="77777777" w:rsidR="00160E7F" w:rsidRDefault="002B0299">
      <w:pPr>
        <w:pStyle w:val="BodyText"/>
        <w:spacing w:before="125" w:line="280" w:lineRule="auto"/>
        <w:ind w:left="134" w:right="1433"/>
      </w:pPr>
      <w:r>
        <w:rPr>
          <w:color w:val="58595B"/>
        </w:rPr>
        <w:t>Under the EP Act, litter prevention officers are authorised to issue infringements and notices, and councils can retain the fines that arise from this activity. However, there has been limited take up by councils. In 2011, the government funded a number of local government litter prevention officers, recruited and based in councils with government grant funding and supported with EPA training and guidance. The intention of the program was to:</w:t>
      </w:r>
    </w:p>
    <w:p w14:paraId="7227852F" w14:textId="77777777" w:rsidR="00160E7F" w:rsidRDefault="002B0299">
      <w:pPr>
        <w:pStyle w:val="ListParagraph"/>
        <w:numPr>
          <w:ilvl w:val="0"/>
          <w:numId w:val="25"/>
        </w:numPr>
        <w:tabs>
          <w:tab w:val="left" w:pos="305"/>
        </w:tabs>
        <w:spacing w:before="115" w:line="280" w:lineRule="auto"/>
        <w:ind w:right="2193" w:hanging="170"/>
        <w:rPr>
          <w:sz w:val="20"/>
        </w:rPr>
      </w:pPr>
      <w:r>
        <w:rPr>
          <w:color w:val="58595B"/>
          <w:sz w:val="20"/>
        </w:rPr>
        <w:t>increase litter enforcement activities by local councils by increasing the number of local government litter prevention officers across</w:t>
      </w:r>
      <w:r>
        <w:rPr>
          <w:color w:val="58595B"/>
          <w:spacing w:val="17"/>
          <w:sz w:val="20"/>
        </w:rPr>
        <w:t xml:space="preserve"> </w:t>
      </w:r>
      <w:r>
        <w:rPr>
          <w:color w:val="58595B"/>
          <w:sz w:val="20"/>
        </w:rPr>
        <w:t>Victoria</w:t>
      </w:r>
    </w:p>
    <w:p w14:paraId="712D4C3D" w14:textId="77777777" w:rsidR="00160E7F" w:rsidRDefault="002B0299">
      <w:pPr>
        <w:pStyle w:val="ListParagraph"/>
        <w:numPr>
          <w:ilvl w:val="0"/>
          <w:numId w:val="25"/>
        </w:numPr>
        <w:tabs>
          <w:tab w:val="left" w:pos="305"/>
        </w:tabs>
        <w:spacing w:before="115" w:line="280" w:lineRule="auto"/>
        <w:ind w:right="2133" w:hanging="170"/>
        <w:rPr>
          <w:sz w:val="20"/>
        </w:rPr>
      </w:pPr>
      <w:r>
        <w:rPr>
          <w:color w:val="58595B"/>
          <w:sz w:val="20"/>
        </w:rPr>
        <w:t>build the capacity of councils to educate business and the community to understand the problem and impact of litter and their</w:t>
      </w:r>
      <w:r>
        <w:rPr>
          <w:color w:val="58595B"/>
          <w:spacing w:val="8"/>
          <w:sz w:val="20"/>
        </w:rPr>
        <w:t xml:space="preserve"> </w:t>
      </w:r>
      <w:r>
        <w:rPr>
          <w:color w:val="58595B"/>
          <w:sz w:val="20"/>
        </w:rPr>
        <w:t>responsibility</w:t>
      </w:r>
    </w:p>
    <w:p w14:paraId="71D2BD36" w14:textId="77777777" w:rsidR="00160E7F" w:rsidRDefault="002B0299">
      <w:pPr>
        <w:pStyle w:val="ListParagraph"/>
        <w:numPr>
          <w:ilvl w:val="0"/>
          <w:numId w:val="25"/>
        </w:numPr>
        <w:tabs>
          <w:tab w:val="left" w:pos="305"/>
        </w:tabs>
        <w:spacing w:before="115"/>
        <w:ind w:hanging="170"/>
        <w:rPr>
          <w:sz w:val="11"/>
        </w:rPr>
      </w:pPr>
      <w:r>
        <w:rPr>
          <w:color w:val="58595B"/>
          <w:sz w:val="20"/>
        </w:rPr>
        <w:t>provide</w:t>
      </w:r>
      <w:r>
        <w:rPr>
          <w:color w:val="58595B"/>
          <w:spacing w:val="-5"/>
          <w:sz w:val="20"/>
        </w:rPr>
        <w:t xml:space="preserve"> </w:t>
      </w:r>
      <w:r>
        <w:rPr>
          <w:color w:val="58595B"/>
          <w:sz w:val="20"/>
        </w:rPr>
        <w:t>additional</w:t>
      </w:r>
      <w:r>
        <w:rPr>
          <w:color w:val="58595B"/>
          <w:spacing w:val="-5"/>
          <w:sz w:val="20"/>
        </w:rPr>
        <w:t xml:space="preserve"> </w:t>
      </w:r>
      <w:r>
        <w:rPr>
          <w:color w:val="58595B"/>
          <w:sz w:val="20"/>
        </w:rPr>
        <w:t>support</w:t>
      </w:r>
      <w:r>
        <w:rPr>
          <w:color w:val="58595B"/>
          <w:spacing w:val="-5"/>
          <w:sz w:val="20"/>
        </w:rPr>
        <w:t xml:space="preserve"> </w:t>
      </w:r>
      <w:r>
        <w:rPr>
          <w:color w:val="58595B"/>
          <w:sz w:val="20"/>
        </w:rPr>
        <w:t>for</w:t>
      </w:r>
      <w:r>
        <w:rPr>
          <w:color w:val="58595B"/>
          <w:spacing w:val="-5"/>
          <w:sz w:val="20"/>
        </w:rPr>
        <w:t xml:space="preserve"> </w:t>
      </w:r>
      <w:r>
        <w:rPr>
          <w:color w:val="58595B"/>
          <w:sz w:val="20"/>
        </w:rPr>
        <w:t>litter</w:t>
      </w:r>
      <w:r>
        <w:rPr>
          <w:color w:val="58595B"/>
          <w:spacing w:val="-5"/>
          <w:sz w:val="20"/>
        </w:rPr>
        <w:t xml:space="preserve"> </w:t>
      </w:r>
      <w:r>
        <w:rPr>
          <w:color w:val="58595B"/>
          <w:sz w:val="20"/>
        </w:rPr>
        <w:t>enforcement</w:t>
      </w:r>
      <w:r>
        <w:rPr>
          <w:color w:val="58595B"/>
          <w:spacing w:val="-5"/>
          <w:sz w:val="20"/>
        </w:rPr>
        <w:t xml:space="preserve"> </w:t>
      </w:r>
      <w:r>
        <w:rPr>
          <w:color w:val="58595B"/>
          <w:sz w:val="20"/>
        </w:rPr>
        <w:t>within</w:t>
      </w:r>
      <w:r>
        <w:rPr>
          <w:color w:val="58595B"/>
          <w:spacing w:val="-5"/>
          <w:sz w:val="20"/>
        </w:rPr>
        <w:t xml:space="preserve"> </w:t>
      </w:r>
      <w:r>
        <w:rPr>
          <w:color w:val="58595B"/>
          <w:sz w:val="20"/>
        </w:rPr>
        <w:t>councils</w:t>
      </w:r>
      <w:r>
        <w:rPr>
          <w:color w:val="58595B"/>
          <w:spacing w:val="-5"/>
          <w:sz w:val="20"/>
        </w:rPr>
        <w:t xml:space="preserve"> </w:t>
      </w:r>
      <w:r>
        <w:rPr>
          <w:color w:val="58595B"/>
          <w:spacing w:val="-3"/>
          <w:sz w:val="20"/>
        </w:rPr>
        <w:t>(not</w:t>
      </w:r>
      <w:r>
        <w:rPr>
          <w:color w:val="58595B"/>
          <w:spacing w:val="-5"/>
          <w:sz w:val="20"/>
        </w:rPr>
        <w:t xml:space="preserve"> </w:t>
      </w:r>
      <w:r>
        <w:rPr>
          <w:color w:val="58595B"/>
          <w:sz w:val="20"/>
        </w:rPr>
        <w:t>replace</w:t>
      </w:r>
      <w:r>
        <w:rPr>
          <w:color w:val="58595B"/>
          <w:spacing w:val="-5"/>
          <w:sz w:val="20"/>
        </w:rPr>
        <w:t xml:space="preserve"> </w:t>
      </w:r>
      <w:r>
        <w:rPr>
          <w:color w:val="58595B"/>
          <w:sz w:val="20"/>
        </w:rPr>
        <w:t>existing</w:t>
      </w:r>
      <w:r>
        <w:rPr>
          <w:color w:val="58595B"/>
          <w:spacing w:val="-5"/>
          <w:sz w:val="20"/>
        </w:rPr>
        <w:t xml:space="preserve"> </w:t>
      </w:r>
      <w:r>
        <w:rPr>
          <w:color w:val="58595B"/>
          <w:spacing w:val="-4"/>
          <w:sz w:val="20"/>
        </w:rPr>
        <w:t>resources).</w:t>
      </w:r>
      <w:r>
        <w:rPr>
          <w:color w:val="58595B"/>
          <w:spacing w:val="-4"/>
          <w:position w:val="7"/>
          <w:sz w:val="11"/>
        </w:rPr>
        <w:t>19</w:t>
      </w:r>
    </w:p>
    <w:p w14:paraId="3CB1C6F7" w14:textId="77777777" w:rsidR="00160E7F" w:rsidRDefault="00160E7F">
      <w:pPr>
        <w:pStyle w:val="BodyText"/>
        <w:spacing w:before="4"/>
        <w:rPr>
          <w:sz w:val="22"/>
        </w:rPr>
      </w:pPr>
    </w:p>
    <w:p w14:paraId="0B2ABF6F" w14:textId="77777777" w:rsidR="00160E7F" w:rsidRDefault="002B0299">
      <w:pPr>
        <w:pStyle w:val="Heading3"/>
        <w:spacing w:before="0"/>
        <w:ind w:left="134" w:right="789"/>
      </w:pPr>
      <w:r>
        <w:rPr>
          <w:color w:val="0095A7"/>
        </w:rPr>
        <w:t>18.5  Delivering more effective environment protection</w:t>
      </w:r>
    </w:p>
    <w:p w14:paraId="01FEC6AA" w14:textId="77777777" w:rsidR="00160E7F" w:rsidRDefault="002B0299">
      <w:pPr>
        <w:spacing w:before="145" w:line="280" w:lineRule="auto"/>
        <w:ind w:left="701" w:right="1971"/>
        <w:rPr>
          <w:sz w:val="20"/>
        </w:rPr>
      </w:pPr>
      <w:r>
        <w:rPr>
          <w:i/>
          <w:color w:val="231F20"/>
          <w:sz w:val="20"/>
        </w:rPr>
        <w:t xml:space="preserve">[T]here is a fragmentation of responsibility for environmental issues across government. This is further compounded by an apparent lack of clarity regarding the jurisdiction of the EPA, and a lack of overall coordination of an issue between the EPA, local government and other agencies. </w:t>
      </w:r>
      <w:r>
        <w:rPr>
          <w:color w:val="231F20"/>
          <w:sz w:val="20"/>
        </w:rPr>
        <w:t>(City of Port Phillip submission, p. 2)</w:t>
      </w:r>
    </w:p>
    <w:p w14:paraId="26182A39" w14:textId="77777777" w:rsidR="00160E7F" w:rsidRDefault="002B0299">
      <w:pPr>
        <w:pStyle w:val="BodyText"/>
        <w:spacing w:before="172" w:line="280" w:lineRule="auto"/>
        <w:ind w:left="134" w:right="1716"/>
      </w:pPr>
      <w:r>
        <w:rPr>
          <w:color w:val="58595B"/>
        </w:rPr>
        <w:t>Currently, effective responses to local pollution issues and effective partnerships between the EPA and local government are hampered by poorly defined statutory powers, capabilities and role clarity. Our proposal – to establish local government environment protection officers – provides an opportunity to clearly define and delineate the respective roles and responsibilities of state and local government, with each tier addressing aspects of the problem based on its relative strengths.</w:t>
      </w:r>
    </w:p>
    <w:p w14:paraId="0818849C" w14:textId="77777777" w:rsidR="00160E7F" w:rsidRDefault="002B0299">
      <w:pPr>
        <w:pStyle w:val="BodyText"/>
        <w:spacing w:before="172" w:line="280" w:lineRule="auto"/>
        <w:ind w:left="134" w:right="1433"/>
      </w:pPr>
      <w:r>
        <w:rPr>
          <w:color w:val="58595B"/>
        </w:rPr>
        <w:t>We consider specific attention must be given to some key problem areas for local environment protection as part of this reform process. In particular, we received many requests for action on septic tanks, litter and noise. Without targeted interventions as part of the review of the EP Act, these issues will continue to frustrate local government authorities.</w:t>
      </w:r>
    </w:p>
    <w:p w14:paraId="2FA40C1F" w14:textId="77777777" w:rsidR="00160E7F" w:rsidRDefault="002B0299">
      <w:pPr>
        <w:pStyle w:val="BodyText"/>
        <w:spacing w:before="172"/>
        <w:ind w:left="134" w:right="789"/>
      </w:pPr>
      <w:r>
        <w:rPr>
          <w:color w:val="58595B"/>
        </w:rPr>
        <w:t>The benefits of the proposed partnership model between local governments and the EPA include:</w:t>
      </w:r>
    </w:p>
    <w:p w14:paraId="4371C49F" w14:textId="77777777" w:rsidR="00160E7F" w:rsidRDefault="002B0299">
      <w:pPr>
        <w:pStyle w:val="ListParagraph"/>
        <w:numPr>
          <w:ilvl w:val="0"/>
          <w:numId w:val="25"/>
        </w:numPr>
        <w:tabs>
          <w:tab w:val="left" w:pos="305"/>
        </w:tabs>
        <w:spacing w:before="153"/>
        <w:ind w:hanging="170"/>
        <w:rPr>
          <w:sz w:val="20"/>
        </w:rPr>
      </w:pPr>
      <w:r>
        <w:rPr>
          <w:color w:val="58595B"/>
          <w:sz w:val="20"/>
        </w:rPr>
        <w:t>more effective local</w:t>
      </w:r>
      <w:r>
        <w:rPr>
          <w:color w:val="58595B"/>
          <w:spacing w:val="12"/>
          <w:sz w:val="20"/>
        </w:rPr>
        <w:t xml:space="preserve"> </w:t>
      </w:r>
      <w:r>
        <w:rPr>
          <w:color w:val="58595B"/>
          <w:sz w:val="20"/>
        </w:rPr>
        <w:t>response</w:t>
      </w:r>
    </w:p>
    <w:p w14:paraId="7E90ECE9" w14:textId="77777777" w:rsidR="00160E7F" w:rsidRDefault="002B0299">
      <w:pPr>
        <w:pStyle w:val="ListParagraph"/>
        <w:numPr>
          <w:ilvl w:val="0"/>
          <w:numId w:val="25"/>
        </w:numPr>
        <w:tabs>
          <w:tab w:val="left" w:pos="305"/>
        </w:tabs>
        <w:spacing w:before="153" w:line="280" w:lineRule="auto"/>
        <w:ind w:right="2020" w:hanging="170"/>
        <w:rPr>
          <w:sz w:val="20"/>
        </w:rPr>
      </w:pPr>
      <w:r>
        <w:rPr>
          <w:color w:val="58595B"/>
          <w:sz w:val="20"/>
        </w:rPr>
        <w:t>providing more timely responses both to address problems (management) and to witness breaches</w:t>
      </w:r>
      <w:r>
        <w:rPr>
          <w:color w:val="58595B"/>
          <w:spacing w:val="-13"/>
          <w:sz w:val="20"/>
        </w:rPr>
        <w:t xml:space="preserve"> </w:t>
      </w:r>
      <w:r>
        <w:rPr>
          <w:color w:val="58595B"/>
          <w:sz w:val="20"/>
        </w:rPr>
        <w:t>(enforcement)</w:t>
      </w:r>
    </w:p>
    <w:p w14:paraId="18DDAF17" w14:textId="77777777" w:rsidR="00160E7F" w:rsidRDefault="002B0299">
      <w:pPr>
        <w:pStyle w:val="ListParagraph"/>
        <w:numPr>
          <w:ilvl w:val="0"/>
          <w:numId w:val="25"/>
        </w:numPr>
        <w:tabs>
          <w:tab w:val="left" w:pos="305"/>
        </w:tabs>
        <w:spacing w:before="115"/>
        <w:ind w:hanging="170"/>
        <w:rPr>
          <w:sz w:val="20"/>
        </w:rPr>
      </w:pPr>
      <w:r>
        <w:rPr>
          <w:color w:val="58595B"/>
          <w:sz w:val="20"/>
        </w:rPr>
        <w:t xml:space="preserve">allowing the </w:t>
      </w:r>
      <w:r>
        <w:rPr>
          <w:color w:val="58595B"/>
          <w:spacing w:val="-4"/>
          <w:sz w:val="20"/>
        </w:rPr>
        <w:t xml:space="preserve">EPA </w:t>
      </w:r>
      <w:r>
        <w:rPr>
          <w:color w:val="58595B"/>
          <w:sz w:val="20"/>
        </w:rPr>
        <w:t>to focus on statewide and strategic</w:t>
      </w:r>
      <w:r>
        <w:rPr>
          <w:color w:val="58595B"/>
          <w:spacing w:val="9"/>
          <w:sz w:val="20"/>
        </w:rPr>
        <w:t xml:space="preserve"> </w:t>
      </w:r>
      <w:r>
        <w:rPr>
          <w:color w:val="58595B"/>
          <w:sz w:val="20"/>
        </w:rPr>
        <w:t>issues</w:t>
      </w:r>
    </w:p>
    <w:p w14:paraId="0B92D65B" w14:textId="77777777" w:rsidR="00160E7F" w:rsidRDefault="002B0299">
      <w:pPr>
        <w:pStyle w:val="ListParagraph"/>
        <w:numPr>
          <w:ilvl w:val="0"/>
          <w:numId w:val="25"/>
        </w:numPr>
        <w:tabs>
          <w:tab w:val="left" w:pos="305"/>
        </w:tabs>
        <w:spacing w:before="153"/>
        <w:ind w:hanging="170"/>
        <w:rPr>
          <w:sz w:val="20"/>
        </w:rPr>
      </w:pPr>
      <w:r>
        <w:rPr>
          <w:color w:val="58595B"/>
          <w:sz w:val="20"/>
        </w:rPr>
        <w:t>providing local communities with a consistent and local point of</w:t>
      </w:r>
      <w:r>
        <w:rPr>
          <w:color w:val="58595B"/>
          <w:spacing w:val="15"/>
          <w:sz w:val="20"/>
        </w:rPr>
        <w:t xml:space="preserve"> </w:t>
      </w:r>
      <w:r>
        <w:rPr>
          <w:color w:val="58595B"/>
          <w:sz w:val="20"/>
        </w:rPr>
        <w:t>contact.</w:t>
      </w:r>
    </w:p>
    <w:p w14:paraId="1B362219" w14:textId="77777777" w:rsidR="00160E7F" w:rsidRDefault="00160E7F">
      <w:pPr>
        <w:pStyle w:val="BodyText"/>
        <w:spacing w:before="3"/>
        <w:rPr>
          <w:sz w:val="18"/>
        </w:rPr>
      </w:pPr>
    </w:p>
    <w:p w14:paraId="06C6E60A" w14:textId="77777777" w:rsidR="00160E7F" w:rsidRDefault="002B0299">
      <w:pPr>
        <w:pStyle w:val="BodyText"/>
        <w:spacing w:line="280" w:lineRule="auto"/>
        <w:ind w:left="134" w:right="1330"/>
      </w:pPr>
      <w:r>
        <w:rPr>
          <w:color w:val="58595B"/>
        </w:rPr>
        <w:t xml:space="preserve">The local </w:t>
      </w:r>
      <w:r>
        <w:rPr>
          <w:color w:val="58595B"/>
          <w:spacing w:val="-3"/>
        </w:rPr>
        <w:t xml:space="preserve">government environment </w:t>
      </w:r>
      <w:r>
        <w:rPr>
          <w:color w:val="58595B"/>
        </w:rPr>
        <w:t xml:space="preserve">protection officers will provide an expanded and enhanced capacity for protecting all Victorians. This approach will not replace current </w:t>
      </w:r>
      <w:r>
        <w:rPr>
          <w:color w:val="58595B"/>
          <w:spacing w:val="-5"/>
        </w:rPr>
        <w:t xml:space="preserve">EPA </w:t>
      </w:r>
      <w:r>
        <w:rPr>
          <w:color w:val="58595B"/>
        </w:rPr>
        <w:t xml:space="preserve">operational staff roles or workforce required to undertake </w:t>
      </w:r>
      <w:r>
        <w:rPr>
          <w:color w:val="58595B"/>
          <w:spacing w:val="-3"/>
        </w:rPr>
        <w:t xml:space="preserve">EPA-related </w:t>
      </w:r>
      <w:r>
        <w:rPr>
          <w:color w:val="58595B"/>
        </w:rPr>
        <w:t xml:space="preserve">regulatory activities. </w:t>
      </w:r>
      <w:r>
        <w:rPr>
          <w:color w:val="58595B"/>
          <w:spacing w:val="-9"/>
        </w:rPr>
        <w:t xml:space="preserve">To </w:t>
      </w:r>
      <w:r>
        <w:rPr>
          <w:color w:val="58595B"/>
        </w:rPr>
        <w:t xml:space="preserve">realise this </w:t>
      </w:r>
      <w:r>
        <w:rPr>
          <w:color w:val="58595B"/>
          <w:spacing w:val="-2"/>
        </w:rPr>
        <w:t xml:space="preserve">new </w:t>
      </w:r>
      <w:r>
        <w:rPr>
          <w:color w:val="58595B"/>
          <w:spacing w:val="-3"/>
        </w:rPr>
        <w:t xml:space="preserve">level </w:t>
      </w:r>
      <w:r>
        <w:rPr>
          <w:color w:val="58595B"/>
        </w:rPr>
        <w:t xml:space="preserve">of </w:t>
      </w:r>
      <w:r>
        <w:rPr>
          <w:color w:val="58595B"/>
          <w:spacing w:val="-3"/>
        </w:rPr>
        <w:t xml:space="preserve">environment </w:t>
      </w:r>
      <w:r>
        <w:rPr>
          <w:color w:val="58595B"/>
        </w:rPr>
        <w:t xml:space="preserve">protection, the </w:t>
      </w:r>
      <w:r>
        <w:rPr>
          <w:color w:val="58595B"/>
          <w:spacing w:val="-5"/>
        </w:rPr>
        <w:t xml:space="preserve">EPA </w:t>
      </w:r>
      <w:r>
        <w:rPr>
          <w:color w:val="58595B"/>
        </w:rPr>
        <w:t xml:space="preserve">must </w:t>
      </w:r>
      <w:r>
        <w:rPr>
          <w:color w:val="58595B"/>
          <w:spacing w:val="-3"/>
        </w:rPr>
        <w:t xml:space="preserve">keep </w:t>
      </w:r>
      <w:r>
        <w:rPr>
          <w:color w:val="58595B"/>
        </w:rPr>
        <w:t xml:space="preserve">engaging with local </w:t>
      </w:r>
      <w:r>
        <w:rPr>
          <w:color w:val="58595B"/>
          <w:spacing w:val="-3"/>
        </w:rPr>
        <w:t xml:space="preserve">government </w:t>
      </w:r>
      <w:r>
        <w:rPr>
          <w:color w:val="58595B"/>
        </w:rPr>
        <w:t xml:space="preserve">authorities to resolve local issues. Partnerships with local </w:t>
      </w:r>
      <w:r>
        <w:rPr>
          <w:color w:val="58595B"/>
          <w:spacing w:val="-3"/>
        </w:rPr>
        <w:t xml:space="preserve">government </w:t>
      </w:r>
      <w:r>
        <w:rPr>
          <w:color w:val="58595B"/>
        </w:rPr>
        <w:t xml:space="preserve">will better equip the </w:t>
      </w:r>
      <w:r>
        <w:rPr>
          <w:color w:val="58595B"/>
          <w:spacing w:val="-5"/>
        </w:rPr>
        <w:t xml:space="preserve">EPA </w:t>
      </w:r>
      <w:r>
        <w:rPr>
          <w:color w:val="58595B"/>
        </w:rPr>
        <w:t xml:space="preserve">to meet community expectations and to deal effectively with localised pollution and </w:t>
      </w:r>
      <w:r>
        <w:rPr>
          <w:color w:val="58595B"/>
          <w:spacing w:val="-3"/>
        </w:rPr>
        <w:t xml:space="preserve">waste </w:t>
      </w:r>
      <w:r>
        <w:rPr>
          <w:color w:val="58595B"/>
        </w:rPr>
        <w:t>issues and complaints.</w:t>
      </w:r>
    </w:p>
    <w:p w14:paraId="1773AFA7" w14:textId="77777777" w:rsidR="00160E7F" w:rsidRDefault="00160E7F">
      <w:pPr>
        <w:spacing w:line="280" w:lineRule="auto"/>
        <w:sectPr w:rsidR="00160E7F">
          <w:pgSz w:w="11910" w:h="16840"/>
          <w:pgMar w:top="980" w:right="0" w:bottom="280" w:left="1680" w:header="788" w:footer="0" w:gutter="0"/>
          <w:cols w:space="720"/>
        </w:sectPr>
      </w:pPr>
    </w:p>
    <w:p w14:paraId="4C265EFA" w14:textId="77777777" w:rsidR="00160E7F" w:rsidRDefault="00160E7F">
      <w:pPr>
        <w:pStyle w:val="BodyText"/>
      </w:pPr>
    </w:p>
    <w:p w14:paraId="77167755" w14:textId="77777777" w:rsidR="00160E7F" w:rsidRDefault="00160E7F">
      <w:pPr>
        <w:pStyle w:val="BodyText"/>
      </w:pPr>
    </w:p>
    <w:p w14:paraId="33ECE1E7" w14:textId="77777777" w:rsidR="00160E7F" w:rsidRDefault="00160E7F">
      <w:pPr>
        <w:pStyle w:val="BodyText"/>
      </w:pPr>
    </w:p>
    <w:p w14:paraId="21A335A9" w14:textId="77777777" w:rsidR="00160E7F" w:rsidRDefault="00160E7F">
      <w:pPr>
        <w:pStyle w:val="BodyText"/>
      </w:pPr>
    </w:p>
    <w:p w14:paraId="0D4E469A" w14:textId="77777777" w:rsidR="00160E7F" w:rsidRDefault="002B0299">
      <w:pPr>
        <w:pStyle w:val="Heading3"/>
        <w:ind w:right="789"/>
      </w:pPr>
      <w:r>
        <w:rPr>
          <w:color w:val="0095A7"/>
        </w:rPr>
        <w:t>Recommendations</w:t>
      </w:r>
    </w:p>
    <w:p w14:paraId="0EF729E3" w14:textId="77777777" w:rsidR="00160E7F" w:rsidRDefault="000638CB">
      <w:pPr>
        <w:pStyle w:val="BodyText"/>
        <w:rPr>
          <w:sz w:val="23"/>
        </w:rPr>
      </w:pPr>
      <w:r>
        <w:pict w14:anchorId="456E25BF">
          <v:shape id="_x0000_s1030" type="#_x0000_t202" style="position:absolute;margin-left:70.85pt;margin-top:14.45pt;width:432.7pt;height:84pt;z-index:2824;mso-wrap-distance-left:0;mso-wrap-distance-right:0;mso-position-horizontal-relative:page" fillcolor="#eff6f0" stroked="f">
            <v:textbox inset="0,0,0,0">
              <w:txbxContent>
                <w:p w14:paraId="6D371B7F" w14:textId="77777777" w:rsidR="00804E46" w:rsidRDefault="00804E46">
                  <w:pPr>
                    <w:spacing w:before="128"/>
                    <w:ind w:left="170" w:right="567"/>
                    <w:rPr>
                      <w:b/>
                      <w:sz w:val="20"/>
                    </w:rPr>
                  </w:pPr>
                  <w:r>
                    <w:rPr>
                      <w:b/>
                      <w:color w:val="808285"/>
                      <w:sz w:val="20"/>
                    </w:rPr>
                    <w:t>RECOMMENDATION 18.1</w:t>
                  </w:r>
                </w:p>
                <w:p w14:paraId="7626C67A" w14:textId="77777777" w:rsidR="00804E46" w:rsidRDefault="00804E46">
                  <w:pPr>
                    <w:pStyle w:val="BodyText"/>
                    <w:spacing w:before="153" w:line="280" w:lineRule="auto"/>
                    <w:ind w:left="170" w:right="659"/>
                  </w:pPr>
                  <w:r>
                    <w:rPr>
                      <w:color w:val="58595B"/>
                    </w:rPr>
                    <w:t xml:space="preserve">Establish a new statewide network of local government environment protection officers to address localised pollution and waste complaints, appropriately authorised under the </w:t>
                  </w:r>
                  <w:r>
                    <w:rPr>
                      <w:i/>
                      <w:color w:val="58595B"/>
                    </w:rPr>
                    <w:t xml:space="preserve">Environment Protection Act </w:t>
                  </w:r>
                  <w:r>
                    <w:rPr>
                      <w:i/>
                      <w:color w:val="58595B"/>
                      <w:spacing w:val="-4"/>
                    </w:rPr>
                    <w:t xml:space="preserve">1970 </w:t>
                  </w:r>
                  <w:r>
                    <w:rPr>
                      <w:color w:val="58595B"/>
                    </w:rPr>
                    <w:t>with clearly defined statutory roles and governance arrangements, including to streamline provisions relating to litter, noise and septic</w:t>
                  </w:r>
                  <w:r>
                    <w:rPr>
                      <w:color w:val="58595B"/>
                      <w:spacing w:val="-17"/>
                    </w:rPr>
                    <w:t xml:space="preserve"> </w:t>
                  </w:r>
                  <w:r>
                    <w:rPr>
                      <w:color w:val="58595B"/>
                    </w:rPr>
                    <w:t>tanks.</w:t>
                  </w:r>
                </w:p>
              </w:txbxContent>
            </v:textbox>
            <w10:wrap type="topAndBottom" anchorx="page"/>
          </v:shape>
        </w:pict>
      </w:r>
      <w:r>
        <w:pict w14:anchorId="2DAAD985">
          <v:shape id="_x0000_s1029" type="#_x0000_t202" style="position:absolute;margin-left:70.85pt;margin-top:109.75pt;width:432.7pt;height:70.5pt;z-index:2848;mso-wrap-distance-left:0;mso-wrap-distance-right:0;mso-position-horizontal-relative:page" fillcolor="#eff6f0" stroked="f">
            <v:textbox inset="0,0,0,0">
              <w:txbxContent>
                <w:p w14:paraId="385A899A" w14:textId="77777777" w:rsidR="00804E46" w:rsidRDefault="00804E46">
                  <w:pPr>
                    <w:spacing w:before="128"/>
                    <w:ind w:left="170" w:right="567"/>
                    <w:rPr>
                      <w:b/>
                      <w:sz w:val="20"/>
                    </w:rPr>
                  </w:pPr>
                  <w:r>
                    <w:rPr>
                      <w:b/>
                      <w:color w:val="808285"/>
                      <w:sz w:val="20"/>
                    </w:rPr>
                    <w:t>RECOMMENDATION 18.2</w:t>
                  </w:r>
                </w:p>
                <w:p w14:paraId="045D9E55" w14:textId="77777777" w:rsidR="00804E46" w:rsidRDefault="00804E46">
                  <w:pPr>
                    <w:pStyle w:val="BodyText"/>
                    <w:spacing w:before="153" w:line="280" w:lineRule="auto"/>
                    <w:ind w:left="170" w:right="779"/>
                  </w:pPr>
                  <w:r>
                    <w:rPr>
                      <w:color w:val="58595B"/>
                    </w:rPr>
                    <w:t xml:space="preserve">Through the Department of </w:t>
                  </w:r>
                  <w:r>
                    <w:rPr>
                      <w:color w:val="58595B"/>
                      <w:spacing w:val="-3"/>
                    </w:rPr>
                    <w:t xml:space="preserve">Environment, </w:t>
                  </w:r>
                  <w:r>
                    <w:rPr>
                      <w:color w:val="58595B"/>
                    </w:rPr>
                    <w:t xml:space="preserve">Land, </w:t>
                  </w:r>
                  <w:r>
                    <w:rPr>
                      <w:color w:val="58595B"/>
                      <w:spacing w:val="-3"/>
                    </w:rPr>
                    <w:t xml:space="preserve">Water </w:t>
                  </w:r>
                  <w:r>
                    <w:rPr>
                      <w:color w:val="58595B"/>
                    </w:rPr>
                    <w:t xml:space="preserve">and </w:t>
                  </w:r>
                  <w:r>
                    <w:rPr>
                      <w:color w:val="58595B"/>
                      <w:spacing w:val="-3"/>
                    </w:rPr>
                    <w:t xml:space="preserve">Planning, </w:t>
                  </w:r>
                  <w:r>
                    <w:rPr>
                      <w:color w:val="58595B"/>
                    </w:rPr>
                    <w:t xml:space="preserve">bring a proposal to </w:t>
                  </w:r>
                  <w:r>
                    <w:rPr>
                      <w:color w:val="58595B"/>
                      <w:spacing w:val="-3"/>
                    </w:rPr>
                    <w:t xml:space="preserve">government </w:t>
                  </w:r>
                  <w:r>
                    <w:rPr>
                      <w:color w:val="58595B"/>
                    </w:rPr>
                    <w:t xml:space="preserve">to provide funding to local </w:t>
                  </w:r>
                  <w:r>
                    <w:rPr>
                      <w:color w:val="58595B"/>
                      <w:spacing w:val="-3"/>
                    </w:rPr>
                    <w:t xml:space="preserve">government </w:t>
                  </w:r>
                  <w:r>
                    <w:rPr>
                      <w:color w:val="58595B"/>
                    </w:rPr>
                    <w:t xml:space="preserve">to meet the additional costs of local </w:t>
                  </w:r>
                  <w:r>
                    <w:rPr>
                      <w:color w:val="58595B"/>
                      <w:spacing w:val="-3"/>
                    </w:rPr>
                    <w:t xml:space="preserve">government environment </w:t>
                  </w:r>
                  <w:r>
                    <w:rPr>
                      <w:color w:val="58595B"/>
                    </w:rPr>
                    <w:t>protection officers.</w:t>
                  </w:r>
                </w:p>
              </w:txbxContent>
            </v:textbox>
            <w10:wrap type="topAndBottom" anchorx="page"/>
          </v:shape>
        </w:pict>
      </w:r>
      <w:r>
        <w:pict w14:anchorId="0E678196">
          <v:shape id="_x0000_s1028" type="#_x0000_t202" style="position:absolute;margin-left:70.85pt;margin-top:191.55pt;width:432.7pt;height:70.5pt;z-index:2872;mso-wrap-distance-left:0;mso-wrap-distance-right:0;mso-position-horizontal-relative:page" fillcolor="#eff6f0" stroked="f">
            <v:textbox inset="0,0,0,0">
              <w:txbxContent>
                <w:p w14:paraId="2844658A" w14:textId="77777777" w:rsidR="00804E46" w:rsidRDefault="00804E46">
                  <w:pPr>
                    <w:spacing w:before="128"/>
                    <w:ind w:left="170" w:right="567"/>
                    <w:rPr>
                      <w:b/>
                      <w:sz w:val="20"/>
                    </w:rPr>
                  </w:pPr>
                  <w:r>
                    <w:rPr>
                      <w:b/>
                      <w:color w:val="808285"/>
                      <w:sz w:val="20"/>
                    </w:rPr>
                    <w:t>RECOMMENDATION 18.3</w:t>
                  </w:r>
                </w:p>
                <w:p w14:paraId="62F83A2B" w14:textId="77777777" w:rsidR="00804E46" w:rsidRDefault="00804E46">
                  <w:pPr>
                    <w:pStyle w:val="BodyText"/>
                    <w:spacing w:before="153" w:line="280" w:lineRule="auto"/>
                    <w:ind w:left="170" w:right="567"/>
                  </w:pPr>
                  <w:r>
                    <w:rPr>
                      <w:color w:val="58595B"/>
                    </w:rPr>
                    <w:t>Provide, through the EPA, oversight, strategic coordination, standard setting, technical support, training and capacity building to local government to support its expanded local protection role.</w:t>
                  </w:r>
                </w:p>
              </w:txbxContent>
            </v:textbox>
            <w10:wrap type="topAndBottom" anchorx="page"/>
          </v:shape>
        </w:pict>
      </w:r>
    </w:p>
    <w:p w14:paraId="3B0E95D3" w14:textId="77777777" w:rsidR="00160E7F" w:rsidRDefault="00160E7F">
      <w:pPr>
        <w:pStyle w:val="BodyText"/>
        <w:spacing w:before="3"/>
        <w:rPr>
          <w:sz w:val="16"/>
        </w:rPr>
      </w:pPr>
    </w:p>
    <w:p w14:paraId="39968782" w14:textId="77777777" w:rsidR="00160E7F" w:rsidRDefault="00160E7F">
      <w:pPr>
        <w:pStyle w:val="BodyText"/>
        <w:spacing w:before="3"/>
        <w:rPr>
          <w:sz w:val="16"/>
        </w:rPr>
      </w:pPr>
    </w:p>
    <w:p w14:paraId="5ED9677B" w14:textId="77777777" w:rsidR="00160E7F" w:rsidRDefault="00160E7F">
      <w:pPr>
        <w:rPr>
          <w:sz w:val="16"/>
        </w:rPr>
        <w:sectPr w:rsidR="00160E7F">
          <w:pgSz w:w="11910" w:h="16840"/>
          <w:pgMar w:top="980" w:right="1680" w:bottom="280" w:left="0" w:header="788" w:footer="0" w:gutter="0"/>
          <w:cols w:space="720"/>
        </w:sectPr>
      </w:pPr>
    </w:p>
    <w:p w14:paraId="5563D10B" w14:textId="77777777" w:rsidR="00160E7F" w:rsidRDefault="00160E7F">
      <w:pPr>
        <w:pStyle w:val="BodyText"/>
      </w:pPr>
    </w:p>
    <w:p w14:paraId="71577A65" w14:textId="77777777" w:rsidR="00160E7F" w:rsidRDefault="00160E7F">
      <w:pPr>
        <w:pStyle w:val="BodyText"/>
      </w:pPr>
    </w:p>
    <w:p w14:paraId="43FF6802" w14:textId="77777777" w:rsidR="00160E7F" w:rsidRDefault="00160E7F">
      <w:pPr>
        <w:pStyle w:val="BodyText"/>
      </w:pPr>
    </w:p>
    <w:p w14:paraId="3845DD2F" w14:textId="77777777" w:rsidR="00160E7F" w:rsidRDefault="00160E7F">
      <w:pPr>
        <w:pStyle w:val="BodyText"/>
      </w:pPr>
    </w:p>
    <w:p w14:paraId="6B432059" w14:textId="77777777" w:rsidR="00160E7F" w:rsidRDefault="00160E7F">
      <w:pPr>
        <w:pStyle w:val="BodyText"/>
        <w:spacing w:before="4"/>
        <w:rPr>
          <w:sz w:val="13"/>
        </w:rPr>
      </w:pPr>
    </w:p>
    <w:p w14:paraId="093CF317" w14:textId="77777777" w:rsidR="00160E7F" w:rsidRDefault="000638CB">
      <w:pPr>
        <w:pStyle w:val="BodyText"/>
        <w:spacing w:line="20" w:lineRule="exact"/>
        <w:ind w:left="129"/>
        <w:rPr>
          <w:sz w:val="2"/>
        </w:rPr>
      </w:pPr>
      <w:r>
        <w:rPr>
          <w:sz w:val="2"/>
        </w:rPr>
      </w:r>
      <w:r>
        <w:rPr>
          <w:sz w:val="2"/>
        </w:rPr>
        <w:pict w14:anchorId="27D54185">
          <v:group id="_x0000_s1026" style="width:211.35pt;height:.5pt;mso-position-horizontal-relative:char;mso-position-vertical-relative:line" coordsize="4227,10">
            <v:line id="_x0000_s1027" style="position:absolute" from="5,5" to="4222,5" strokecolor="#58595b" strokeweight=".5pt"/>
            <w10:wrap type="none"/>
            <w10:anchorlock/>
          </v:group>
        </w:pict>
      </w:r>
    </w:p>
    <w:p w14:paraId="02467D78" w14:textId="5F376602" w:rsidR="00160E7F" w:rsidRDefault="002B0299">
      <w:pPr>
        <w:pStyle w:val="ListParagraph"/>
        <w:numPr>
          <w:ilvl w:val="0"/>
          <w:numId w:val="2"/>
        </w:numPr>
        <w:tabs>
          <w:tab w:val="left" w:pos="418"/>
        </w:tabs>
        <w:spacing w:before="47" w:line="242" w:lineRule="auto"/>
        <w:ind w:right="5900" w:hanging="283"/>
        <w:rPr>
          <w:sz w:val="12"/>
        </w:rPr>
      </w:pPr>
      <w:r>
        <w:rPr>
          <w:color w:val="58595B"/>
          <w:sz w:val="12"/>
        </w:rPr>
        <w:t xml:space="preserve">Municipal </w:t>
      </w:r>
      <w:r>
        <w:rPr>
          <w:color w:val="58595B"/>
          <w:spacing w:val="2"/>
          <w:sz w:val="12"/>
        </w:rPr>
        <w:t xml:space="preserve">Association </w:t>
      </w:r>
      <w:r>
        <w:rPr>
          <w:color w:val="58595B"/>
          <w:sz w:val="12"/>
        </w:rPr>
        <w:t xml:space="preserve">of </w:t>
      </w:r>
      <w:r>
        <w:rPr>
          <w:color w:val="58595B"/>
          <w:spacing w:val="2"/>
          <w:sz w:val="12"/>
        </w:rPr>
        <w:t xml:space="preserve">Victoria, </w:t>
      </w:r>
      <w:r>
        <w:rPr>
          <w:i/>
          <w:color w:val="58595B"/>
          <w:sz w:val="12"/>
        </w:rPr>
        <w:t>‘About local government’</w:t>
      </w:r>
      <w:hyperlink r:id="rId122">
        <w:r>
          <w:rPr>
            <w:color w:val="58595B"/>
            <w:sz w:val="12"/>
          </w:rPr>
          <w:t>, http://www.</w:t>
        </w:r>
      </w:hyperlink>
      <w:r>
        <w:rPr>
          <w:color w:val="58595B"/>
          <w:sz w:val="12"/>
        </w:rPr>
        <w:t xml:space="preserve"> mav.asn.au/about-local</w:t>
      </w:r>
      <w:r w:rsidR="00C03226">
        <w:rPr>
          <w:color w:val="58595B"/>
          <w:sz w:val="12"/>
        </w:rPr>
        <w:t xml:space="preserve">-government/Pages/default.aspx </w:t>
      </w:r>
      <w:r>
        <w:rPr>
          <w:color w:val="58595B"/>
          <w:sz w:val="12"/>
        </w:rPr>
        <w:t>(accessed</w:t>
      </w:r>
    </w:p>
    <w:p w14:paraId="65481C57" w14:textId="77777777" w:rsidR="00160E7F" w:rsidRDefault="002B0299">
      <w:pPr>
        <w:ind w:left="417" w:right="789"/>
        <w:rPr>
          <w:sz w:val="12"/>
        </w:rPr>
      </w:pPr>
      <w:r>
        <w:rPr>
          <w:color w:val="58595B"/>
          <w:sz w:val="12"/>
        </w:rPr>
        <w:t>25 March 2016).</w:t>
      </w:r>
    </w:p>
    <w:p w14:paraId="1A7414D8" w14:textId="77777777" w:rsidR="00160E7F" w:rsidRDefault="002B0299">
      <w:pPr>
        <w:pStyle w:val="ListParagraph"/>
        <w:numPr>
          <w:ilvl w:val="0"/>
          <w:numId w:val="2"/>
        </w:numPr>
        <w:tabs>
          <w:tab w:val="left" w:pos="418"/>
        </w:tabs>
        <w:spacing w:before="30" w:line="242" w:lineRule="auto"/>
        <w:ind w:right="6014" w:hanging="283"/>
        <w:rPr>
          <w:sz w:val="12"/>
        </w:rPr>
      </w:pPr>
      <w:r>
        <w:rPr>
          <w:color w:val="58595B"/>
          <w:sz w:val="12"/>
        </w:rPr>
        <w:t xml:space="preserve">The Fair Work Ombudsman </w:t>
      </w:r>
      <w:r>
        <w:rPr>
          <w:color w:val="58595B"/>
          <w:spacing w:val="2"/>
          <w:sz w:val="12"/>
        </w:rPr>
        <w:t xml:space="preserve">successfully </w:t>
      </w:r>
      <w:r>
        <w:rPr>
          <w:color w:val="58595B"/>
          <w:sz w:val="12"/>
        </w:rPr>
        <w:t xml:space="preserve">pursued this model. </w:t>
      </w:r>
      <w:r>
        <w:rPr>
          <w:color w:val="58595B"/>
          <w:spacing w:val="2"/>
          <w:sz w:val="12"/>
        </w:rPr>
        <w:t xml:space="preserve">Discussions </w:t>
      </w:r>
      <w:r>
        <w:rPr>
          <w:color w:val="58595B"/>
          <w:sz w:val="12"/>
        </w:rPr>
        <w:t xml:space="preserve">with Natalie James, Fair Work Ombudsman, 8 March 2016; Campbell M (Acting Fair Work Ombudsman) 2013, </w:t>
      </w:r>
      <w:r>
        <w:rPr>
          <w:i/>
          <w:color w:val="58595B"/>
          <w:sz w:val="12"/>
        </w:rPr>
        <w:t xml:space="preserve">The FWO’s </w:t>
      </w:r>
      <w:r>
        <w:rPr>
          <w:i/>
          <w:color w:val="58595B"/>
          <w:spacing w:val="2"/>
          <w:sz w:val="12"/>
        </w:rPr>
        <w:t xml:space="preserve">approach </w:t>
      </w:r>
      <w:r>
        <w:rPr>
          <w:i/>
          <w:color w:val="58595B"/>
          <w:sz w:val="12"/>
        </w:rPr>
        <w:t>to compliance and enforcement</w:t>
      </w:r>
      <w:r>
        <w:rPr>
          <w:color w:val="58595B"/>
          <w:sz w:val="12"/>
        </w:rPr>
        <w:t xml:space="preserve">, Speech delivered to the Ai Group National PIR Group Conference, 6 May, p. </w:t>
      </w:r>
      <w:r>
        <w:rPr>
          <w:color w:val="58595B"/>
          <w:spacing w:val="21"/>
          <w:sz w:val="12"/>
        </w:rPr>
        <w:t xml:space="preserve"> </w:t>
      </w:r>
      <w:r>
        <w:rPr>
          <w:color w:val="58595B"/>
          <w:sz w:val="12"/>
        </w:rPr>
        <w:t>9.</w:t>
      </w:r>
    </w:p>
    <w:p w14:paraId="725067C6" w14:textId="77777777" w:rsidR="00160E7F" w:rsidRDefault="002B0299">
      <w:pPr>
        <w:pStyle w:val="ListParagraph"/>
        <w:numPr>
          <w:ilvl w:val="0"/>
          <w:numId w:val="2"/>
        </w:numPr>
        <w:tabs>
          <w:tab w:val="left" w:pos="418"/>
        </w:tabs>
        <w:spacing w:line="242" w:lineRule="auto"/>
        <w:ind w:right="5892" w:hanging="283"/>
        <w:rPr>
          <w:sz w:val="12"/>
        </w:rPr>
      </w:pPr>
      <w:r>
        <w:rPr>
          <w:color w:val="58595B"/>
          <w:sz w:val="12"/>
        </w:rPr>
        <w:t xml:space="preserve">EPA </w:t>
      </w:r>
      <w:r>
        <w:rPr>
          <w:color w:val="58595B"/>
          <w:spacing w:val="2"/>
          <w:sz w:val="12"/>
        </w:rPr>
        <w:t xml:space="preserve">Victoria, ‘Report </w:t>
      </w:r>
      <w:r>
        <w:rPr>
          <w:color w:val="58595B"/>
          <w:sz w:val="12"/>
        </w:rPr>
        <w:t>pollution’</w:t>
      </w:r>
      <w:hyperlink r:id="rId123">
        <w:r>
          <w:rPr>
            <w:color w:val="58595B"/>
            <w:sz w:val="12"/>
          </w:rPr>
          <w:t>, http://www.epa.vic.gov.au/get-involved/</w:t>
        </w:r>
      </w:hyperlink>
      <w:r>
        <w:rPr>
          <w:color w:val="58595B"/>
          <w:sz w:val="12"/>
        </w:rPr>
        <w:t xml:space="preserve"> </w:t>
      </w:r>
      <w:r>
        <w:rPr>
          <w:color w:val="58595B"/>
          <w:spacing w:val="2"/>
          <w:sz w:val="12"/>
        </w:rPr>
        <w:t xml:space="preserve">report-pollution </w:t>
      </w:r>
      <w:r>
        <w:rPr>
          <w:color w:val="58595B"/>
          <w:sz w:val="12"/>
        </w:rPr>
        <w:t>(accessed 26 March</w:t>
      </w:r>
      <w:r>
        <w:rPr>
          <w:color w:val="58595B"/>
          <w:spacing w:val="26"/>
          <w:sz w:val="12"/>
        </w:rPr>
        <w:t xml:space="preserve"> </w:t>
      </w:r>
      <w:r>
        <w:rPr>
          <w:color w:val="58595B"/>
          <w:sz w:val="12"/>
        </w:rPr>
        <w:t>2016).</w:t>
      </w:r>
    </w:p>
    <w:p w14:paraId="11AA17CF" w14:textId="77777777" w:rsidR="00160E7F" w:rsidRDefault="002B0299">
      <w:pPr>
        <w:pStyle w:val="ListParagraph"/>
        <w:numPr>
          <w:ilvl w:val="0"/>
          <w:numId w:val="2"/>
        </w:numPr>
        <w:tabs>
          <w:tab w:val="left" w:pos="418"/>
        </w:tabs>
        <w:spacing w:line="242" w:lineRule="auto"/>
        <w:ind w:right="6060" w:hanging="283"/>
        <w:rPr>
          <w:sz w:val="12"/>
        </w:rPr>
      </w:pPr>
      <w:r>
        <w:rPr>
          <w:color w:val="58595B"/>
          <w:sz w:val="12"/>
        </w:rPr>
        <w:t xml:space="preserve">EPA </w:t>
      </w:r>
      <w:r>
        <w:rPr>
          <w:color w:val="58595B"/>
          <w:spacing w:val="2"/>
          <w:sz w:val="12"/>
        </w:rPr>
        <w:t xml:space="preserve">Victoria </w:t>
      </w:r>
      <w:r>
        <w:rPr>
          <w:color w:val="58595B"/>
          <w:sz w:val="12"/>
        </w:rPr>
        <w:t xml:space="preserve">2014, </w:t>
      </w:r>
      <w:r>
        <w:rPr>
          <w:i/>
          <w:color w:val="58595B"/>
          <w:sz w:val="12"/>
        </w:rPr>
        <w:t>Compliance and Enforcement Policy</w:t>
      </w:r>
      <w:r>
        <w:rPr>
          <w:color w:val="58595B"/>
          <w:sz w:val="12"/>
        </w:rPr>
        <w:t>, Melbourne, August, p.</w:t>
      </w:r>
      <w:r>
        <w:rPr>
          <w:color w:val="58595B"/>
          <w:spacing w:val="12"/>
          <w:sz w:val="12"/>
        </w:rPr>
        <w:t xml:space="preserve"> </w:t>
      </w:r>
      <w:r>
        <w:rPr>
          <w:color w:val="58595B"/>
          <w:sz w:val="12"/>
        </w:rPr>
        <w:t>6.</w:t>
      </w:r>
    </w:p>
    <w:p w14:paraId="456023DC" w14:textId="77777777" w:rsidR="00160E7F" w:rsidRDefault="002B0299">
      <w:pPr>
        <w:pStyle w:val="ListParagraph"/>
        <w:numPr>
          <w:ilvl w:val="0"/>
          <w:numId w:val="2"/>
        </w:numPr>
        <w:tabs>
          <w:tab w:val="left" w:pos="418"/>
        </w:tabs>
        <w:spacing w:line="242" w:lineRule="auto"/>
        <w:ind w:right="6054" w:hanging="283"/>
        <w:rPr>
          <w:sz w:val="12"/>
        </w:rPr>
      </w:pPr>
      <w:r>
        <w:rPr>
          <w:color w:val="58595B"/>
          <w:sz w:val="12"/>
        </w:rPr>
        <w:t xml:space="preserve">Source: EPA </w:t>
      </w:r>
      <w:r>
        <w:rPr>
          <w:color w:val="58595B"/>
          <w:spacing w:val="2"/>
          <w:sz w:val="12"/>
        </w:rPr>
        <w:t>Victoria</w:t>
      </w:r>
      <w:hyperlink r:id="rId124">
        <w:r>
          <w:rPr>
            <w:color w:val="58595B"/>
            <w:spacing w:val="2"/>
            <w:sz w:val="12"/>
          </w:rPr>
          <w:t xml:space="preserve">, </w:t>
        </w:r>
        <w:r>
          <w:rPr>
            <w:color w:val="58595B"/>
            <w:sz w:val="12"/>
          </w:rPr>
          <w:t>http://www.epa.vic.gov.au/get-involved/report-</w:t>
        </w:r>
      </w:hyperlink>
      <w:r>
        <w:rPr>
          <w:color w:val="58595B"/>
          <w:sz w:val="12"/>
        </w:rPr>
        <w:t xml:space="preserve"> pollution (accessed</w:t>
      </w:r>
      <w:r>
        <w:rPr>
          <w:color w:val="58595B"/>
          <w:spacing w:val="23"/>
          <w:sz w:val="12"/>
        </w:rPr>
        <w:t xml:space="preserve"> </w:t>
      </w:r>
      <w:r>
        <w:rPr>
          <w:color w:val="58595B"/>
          <w:sz w:val="12"/>
        </w:rPr>
        <w:t>17.03.2016)</w:t>
      </w:r>
    </w:p>
    <w:p w14:paraId="144C8997" w14:textId="77777777" w:rsidR="00160E7F" w:rsidRDefault="002B0299">
      <w:pPr>
        <w:pStyle w:val="ListParagraph"/>
        <w:numPr>
          <w:ilvl w:val="0"/>
          <w:numId w:val="2"/>
        </w:numPr>
        <w:tabs>
          <w:tab w:val="left" w:pos="418"/>
        </w:tabs>
        <w:spacing w:line="242" w:lineRule="auto"/>
        <w:ind w:right="5967" w:hanging="283"/>
        <w:rPr>
          <w:sz w:val="12"/>
        </w:rPr>
      </w:pPr>
      <w:r>
        <w:rPr>
          <w:color w:val="58595B"/>
          <w:sz w:val="12"/>
        </w:rPr>
        <w:t xml:space="preserve">Sections </w:t>
      </w:r>
      <w:r>
        <w:rPr>
          <w:color w:val="58595B"/>
          <w:spacing w:val="2"/>
          <w:sz w:val="12"/>
        </w:rPr>
        <w:t xml:space="preserve">58–78 </w:t>
      </w:r>
      <w:r>
        <w:rPr>
          <w:color w:val="58595B"/>
          <w:sz w:val="12"/>
        </w:rPr>
        <w:t xml:space="preserve">of the </w:t>
      </w:r>
      <w:r>
        <w:rPr>
          <w:i/>
          <w:color w:val="58595B"/>
          <w:sz w:val="12"/>
        </w:rPr>
        <w:t xml:space="preserve">Public Health and Wellbeing Act </w:t>
      </w:r>
      <w:r>
        <w:rPr>
          <w:i/>
          <w:color w:val="58595B"/>
          <w:spacing w:val="3"/>
          <w:sz w:val="12"/>
        </w:rPr>
        <w:t>2008</w:t>
      </w:r>
      <w:r>
        <w:rPr>
          <w:color w:val="58595B"/>
          <w:spacing w:val="3"/>
          <w:sz w:val="12"/>
        </w:rPr>
        <w:t xml:space="preserve">; </w:t>
      </w:r>
      <w:r>
        <w:rPr>
          <w:color w:val="58595B"/>
          <w:sz w:val="12"/>
        </w:rPr>
        <w:t xml:space="preserve">sections </w:t>
      </w:r>
      <w:r>
        <w:rPr>
          <w:color w:val="58595B"/>
          <w:spacing w:val="3"/>
          <w:sz w:val="12"/>
        </w:rPr>
        <w:t xml:space="preserve">53J–53O, </w:t>
      </w:r>
      <w:r>
        <w:rPr>
          <w:i/>
          <w:color w:val="58595B"/>
          <w:sz w:val="12"/>
        </w:rPr>
        <w:t xml:space="preserve">Environment Protection Act 1970 </w:t>
      </w:r>
      <w:r>
        <w:rPr>
          <w:color w:val="58595B"/>
          <w:sz w:val="12"/>
        </w:rPr>
        <w:t xml:space="preserve">(septics); section 48A </w:t>
      </w:r>
      <w:r>
        <w:rPr>
          <w:i/>
          <w:color w:val="58595B"/>
          <w:sz w:val="12"/>
        </w:rPr>
        <w:t xml:space="preserve">Environment Protection Act 1970 </w:t>
      </w:r>
      <w:r>
        <w:rPr>
          <w:color w:val="58595B"/>
          <w:sz w:val="12"/>
        </w:rPr>
        <w:t xml:space="preserve">(noise); sections </w:t>
      </w:r>
      <w:r>
        <w:rPr>
          <w:color w:val="58595B"/>
          <w:spacing w:val="3"/>
          <w:sz w:val="12"/>
        </w:rPr>
        <w:t xml:space="preserve">45A–45ZL </w:t>
      </w:r>
      <w:r>
        <w:rPr>
          <w:i/>
          <w:color w:val="58595B"/>
          <w:sz w:val="12"/>
        </w:rPr>
        <w:t xml:space="preserve">Environment Protection Act 1970 </w:t>
      </w:r>
      <w:r>
        <w:rPr>
          <w:i/>
          <w:color w:val="58595B"/>
          <w:spacing w:val="17"/>
          <w:sz w:val="12"/>
        </w:rPr>
        <w:t xml:space="preserve"> </w:t>
      </w:r>
      <w:r>
        <w:rPr>
          <w:color w:val="58595B"/>
          <w:sz w:val="12"/>
        </w:rPr>
        <w:t>(litter).</w:t>
      </w:r>
    </w:p>
    <w:p w14:paraId="57471117" w14:textId="6B51353D" w:rsidR="00160E7F" w:rsidRDefault="002B0299">
      <w:pPr>
        <w:pStyle w:val="ListParagraph"/>
        <w:numPr>
          <w:ilvl w:val="0"/>
          <w:numId w:val="2"/>
        </w:numPr>
        <w:tabs>
          <w:tab w:val="left" w:pos="418"/>
        </w:tabs>
        <w:ind w:hanging="283"/>
        <w:rPr>
          <w:sz w:val="12"/>
        </w:rPr>
      </w:pPr>
      <w:r>
        <w:rPr>
          <w:color w:val="58595B"/>
          <w:sz w:val="12"/>
        </w:rPr>
        <w:t xml:space="preserve">Sections 58 and 61, </w:t>
      </w:r>
      <w:r>
        <w:rPr>
          <w:i/>
          <w:color w:val="58595B"/>
          <w:sz w:val="12"/>
        </w:rPr>
        <w:t xml:space="preserve">Public Health and Wellbeing Act </w:t>
      </w:r>
      <w:r>
        <w:rPr>
          <w:i/>
          <w:color w:val="58595B"/>
          <w:spacing w:val="2"/>
          <w:sz w:val="12"/>
        </w:rPr>
        <w:t>2008</w:t>
      </w:r>
      <w:r>
        <w:rPr>
          <w:color w:val="58595B"/>
          <w:spacing w:val="2"/>
          <w:sz w:val="12"/>
        </w:rPr>
        <w:t>.</w:t>
      </w:r>
    </w:p>
    <w:p w14:paraId="5C6771C6" w14:textId="77777777" w:rsidR="00160E7F" w:rsidRDefault="002B0299">
      <w:pPr>
        <w:pStyle w:val="ListParagraph"/>
        <w:numPr>
          <w:ilvl w:val="0"/>
          <w:numId w:val="2"/>
        </w:numPr>
        <w:tabs>
          <w:tab w:val="left" w:pos="418"/>
        </w:tabs>
        <w:spacing w:before="30" w:line="242" w:lineRule="auto"/>
        <w:ind w:right="6149" w:hanging="283"/>
        <w:rPr>
          <w:sz w:val="12"/>
        </w:rPr>
      </w:pPr>
      <w:r>
        <w:rPr>
          <w:color w:val="58595B"/>
          <w:sz w:val="12"/>
        </w:rPr>
        <w:t xml:space="preserve">EPA </w:t>
      </w:r>
      <w:r>
        <w:rPr>
          <w:color w:val="58595B"/>
          <w:spacing w:val="2"/>
          <w:sz w:val="12"/>
        </w:rPr>
        <w:t xml:space="preserve">Victoria, </w:t>
      </w:r>
      <w:r>
        <w:rPr>
          <w:color w:val="58595B"/>
          <w:sz w:val="12"/>
        </w:rPr>
        <w:t>‘Noise’</w:t>
      </w:r>
      <w:hyperlink r:id="rId125">
        <w:r>
          <w:rPr>
            <w:color w:val="58595B"/>
            <w:sz w:val="12"/>
          </w:rPr>
          <w:t>, http://www.epa.vic.gov.au/your-environment/</w:t>
        </w:r>
      </w:hyperlink>
      <w:r>
        <w:rPr>
          <w:color w:val="58595B"/>
          <w:sz w:val="12"/>
        </w:rPr>
        <w:t xml:space="preserve"> noise (accessed 8 March</w:t>
      </w:r>
      <w:r>
        <w:rPr>
          <w:color w:val="58595B"/>
          <w:spacing w:val="30"/>
          <w:sz w:val="12"/>
        </w:rPr>
        <w:t xml:space="preserve"> </w:t>
      </w:r>
      <w:r>
        <w:rPr>
          <w:color w:val="58595B"/>
          <w:sz w:val="12"/>
        </w:rPr>
        <w:t>2016).</w:t>
      </w:r>
    </w:p>
    <w:p w14:paraId="089FABF6" w14:textId="2ADE33FF" w:rsidR="00160E7F" w:rsidRPr="00C03226" w:rsidRDefault="002B0299" w:rsidP="00C03226">
      <w:pPr>
        <w:pStyle w:val="ListParagraph"/>
        <w:numPr>
          <w:ilvl w:val="0"/>
          <w:numId w:val="2"/>
        </w:numPr>
        <w:tabs>
          <w:tab w:val="left" w:pos="418"/>
        </w:tabs>
        <w:spacing w:line="242" w:lineRule="auto"/>
        <w:ind w:right="6425" w:hanging="283"/>
        <w:rPr>
          <w:i/>
          <w:sz w:val="12"/>
        </w:rPr>
      </w:pPr>
      <w:r>
        <w:rPr>
          <w:color w:val="58595B"/>
          <w:sz w:val="12"/>
        </w:rPr>
        <w:t xml:space="preserve">Australian Panel of </w:t>
      </w:r>
      <w:r>
        <w:rPr>
          <w:color w:val="58595B"/>
          <w:spacing w:val="2"/>
          <w:sz w:val="12"/>
        </w:rPr>
        <w:t xml:space="preserve">Experts </w:t>
      </w:r>
      <w:r>
        <w:rPr>
          <w:color w:val="58595B"/>
          <w:sz w:val="12"/>
        </w:rPr>
        <w:t xml:space="preserve">on Environmental Law 2015, </w:t>
      </w:r>
      <w:r>
        <w:rPr>
          <w:i/>
          <w:color w:val="58595B"/>
          <w:sz w:val="12"/>
        </w:rPr>
        <w:t>Next Generation</w:t>
      </w:r>
      <w:r w:rsidR="00C03226">
        <w:rPr>
          <w:i/>
          <w:color w:val="58595B"/>
          <w:sz w:val="12"/>
        </w:rPr>
        <w:t xml:space="preserve"> </w:t>
      </w:r>
      <w:r w:rsidRPr="00C03226">
        <w:rPr>
          <w:i/>
          <w:color w:val="58595B"/>
          <w:sz w:val="12"/>
        </w:rPr>
        <w:t xml:space="preserve">of Australia Environmental Laws, </w:t>
      </w:r>
      <w:r w:rsidRPr="00C03226">
        <w:rPr>
          <w:color w:val="58595B"/>
          <w:sz w:val="12"/>
        </w:rPr>
        <w:t>Introductory Paper, p.  11.</w:t>
      </w:r>
    </w:p>
    <w:p w14:paraId="7094A580" w14:textId="77777777" w:rsidR="00160E7F" w:rsidRDefault="002B0299">
      <w:pPr>
        <w:pStyle w:val="ListParagraph"/>
        <w:numPr>
          <w:ilvl w:val="0"/>
          <w:numId w:val="2"/>
        </w:numPr>
        <w:tabs>
          <w:tab w:val="left" w:pos="418"/>
        </w:tabs>
        <w:spacing w:before="30" w:line="242" w:lineRule="auto"/>
        <w:ind w:right="6010" w:hanging="283"/>
        <w:rPr>
          <w:sz w:val="12"/>
        </w:rPr>
      </w:pPr>
      <w:r>
        <w:rPr>
          <w:color w:val="58595B"/>
          <w:sz w:val="12"/>
        </w:rPr>
        <w:t xml:space="preserve">Ipsos Australia 2016, </w:t>
      </w:r>
      <w:r>
        <w:rPr>
          <w:i/>
          <w:color w:val="58595B"/>
          <w:sz w:val="12"/>
        </w:rPr>
        <w:t xml:space="preserve">EPA </w:t>
      </w:r>
      <w:r>
        <w:rPr>
          <w:i/>
          <w:color w:val="58595B"/>
          <w:spacing w:val="2"/>
          <w:sz w:val="12"/>
        </w:rPr>
        <w:t xml:space="preserve">Inquiry </w:t>
      </w:r>
      <w:r>
        <w:rPr>
          <w:i/>
          <w:color w:val="58595B"/>
          <w:sz w:val="12"/>
        </w:rPr>
        <w:t>Social Research</w:t>
      </w:r>
      <w:r>
        <w:rPr>
          <w:color w:val="58595B"/>
          <w:sz w:val="12"/>
        </w:rPr>
        <w:t>, prepared for EPA Inquiry, January, p.</w:t>
      </w:r>
      <w:r>
        <w:rPr>
          <w:color w:val="58595B"/>
          <w:spacing w:val="25"/>
          <w:sz w:val="12"/>
        </w:rPr>
        <w:t xml:space="preserve"> </w:t>
      </w:r>
      <w:r>
        <w:rPr>
          <w:color w:val="58595B"/>
          <w:sz w:val="12"/>
        </w:rPr>
        <w:t>30.</w:t>
      </w:r>
    </w:p>
    <w:p w14:paraId="119E14FE" w14:textId="77777777" w:rsidR="00160E7F" w:rsidRDefault="002B0299">
      <w:pPr>
        <w:pStyle w:val="ListParagraph"/>
        <w:numPr>
          <w:ilvl w:val="0"/>
          <w:numId w:val="2"/>
        </w:numPr>
        <w:tabs>
          <w:tab w:val="left" w:pos="418"/>
        </w:tabs>
        <w:ind w:hanging="283"/>
        <w:rPr>
          <w:sz w:val="12"/>
        </w:rPr>
      </w:pPr>
      <w:r>
        <w:rPr>
          <w:color w:val="58595B"/>
          <w:sz w:val="12"/>
        </w:rPr>
        <w:t xml:space="preserve">Cambridge </w:t>
      </w:r>
      <w:r>
        <w:rPr>
          <w:color w:val="58595B"/>
          <w:spacing w:val="2"/>
          <w:sz w:val="12"/>
        </w:rPr>
        <w:t>Dictionaries</w:t>
      </w:r>
      <w:r>
        <w:rPr>
          <w:color w:val="58595B"/>
          <w:spacing w:val="30"/>
          <w:sz w:val="12"/>
        </w:rPr>
        <w:t xml:space="preserve"> </w:t>
      </w:r>
      <w:r>
        <w:rPr>
          <w:color w:val="58595B"/>
          <w:sz w:val="12"/>
        </w:rPr>
        <w:t>Online.</w:t>
      </w:r>
    </w:p>
    <w:p w14:paraId="7898008E" w14:textId="50D2E462" w:rsidR="00160E7F" w:rsidRDefault="002B0299">
      <w:pPr>
        <w:pStyle w:val="ListParagraph"/>
        <w:numPr>
          <w:ilvl w:val="0"/>
          <w:numId w:val="2"/>
        </w:numPr>
        <w:tabs>
          <w:tab w:val="left" w:pos="418"/>
        </w:tabs>
        <w:spacing w:before="30" w:line="242" w:lineRule="auto"/>
        <w:ind w:right="6055" w:hanging="283"/>
        <w:rPr>
          <w:sz w:val="12"/>
        </w:rPr>
      </w:pPr>
      <w:r>
        <w:rPr>
          <w:color w:val="58595B"/>
          <w:sz w:val="12"/>
        </w:rPr>
        <w:t xml:space="preserve">Australian Regional NRM Chairs 2010, </w:t>
      </w:r>
      <w:r>
        <w:rPr>
          <w:i/>
          <w:color w:val="58595B"/>
          <w:sz w:val="12"/>
        </w:rPr>
        <w:t xml:space="preserve">Australia’s </w:t>
      </w:r>
      <w:r>
        <w:rPr>
          <w:i/>
          <w:color w:val="58595B"/>
          <w:spacing w:val="2"/>
          <w:sz w:val="12"/>
        </w:rPr>
        <w:t xml:space="preserve">NRM </w:t>
      </w:r>
      <w:r>
        <w:rPr>
          <w:i/>
          <w:color w:val="58595B"/>
          <w:sz w:val="12"/>
        </w:rPr>
        <w:t>Governance System: Foundations and principles for Meeting Future Challenges</w:t>
      </w:r>
      <w:r>
        <w:rPr>
          <w:color w:val="58595B"/>
          <w:sz w:val="12"/>
        </w:rPr>
        <w:t>,</w:t>
      </w:r>
    </w:p>
    <w:p w14:paraId="7A5A2ED5" w14:textId="77777777" w:rsidR="00160E7F" w:rsidRDefault="002B0299">
      <w:pPr>
        <w:ind w:left="417" w:right="789"/>
        <w:rPr>
          <w:sz w:val="12"/>
        </w:rPr>
      </w:pPr>
      <w:r>
        <w:rPr>
          <w:color w:val="58595B"/>
          <w:sz w:val="12"/>
        </w:rPr>
        <w:t>p. iv.</w:t>
      </w:r>
    </w:p>
    <w:p w14:paraId="70C3AD44" w14:textId="459054AD" w:rsidR="00160E7F" w:rsidRDefault="002B0299">
      <w:pPr>
        <w:pStyle w:val="ListParagraph"/>
        <w:numPr>
          <w:ilvl w:val="0"/>
          <w:numId w:val="2"/>
        </w:numPr>
        <w:tabs>
          <w:tab w:val="left" w:pos="418"/>
        </w:tabs>
        <w:spacing w:before="30"/>
        <w:ind w:hanging="283"/>
        <w:rPr>
          <w:sz w:val="12"/>
        </w:rPr>
      </w:pPr>
      <w:r>
        <w:rPr>
          <w:color w:val="58595B"/>
          <w:spacing w:val="2"/>
          <w:sz w:val="12"/>
        </w:rPr>
        <w:t xml:space="preserve">Victorian State-Local </w:t>
      </w:r>
      <w:r>
        <w:rPr>
          <w:color w:val="58595B"/>
          <w:sz w:val="12"/>
        </w:rPr>
        <w:t>Government Agreement 2014, September.</w:t>
      </w:r>
    </w:p>
    <w:p w14:paraId="1DDB0EB4" w14:textId="77777777" w:rsidR="00160E7F" w:rsidRDefault="002B0299">
      <w:pPr>
        <w:pStyle w:val="ListParagraph"/>
        <w:numPr>
          <w:ilvl w:val="0"/>
          <w:numId w:val="2"/>
        </w:numPr>
        <w:tabs>
          <w:tab w:val="left" w:pos="418"/>
        </w:tabs>
        <w:spacing w:before="30"/>
        <w:ind w:hanging="283"/>
        <w:rPr>
          <w:sz w:val="12"/>
        </w:rPr>
      </w:pPr>
      <w:r>
        <w:rPr>
          <w:color w:val="58595B"/>
          <w:spacing w:val="2"/>
          <w:sz w:val="12"/>
        </w:rPr>
        <w:t xml:space="preserve">Victorian State-Local </w:t>
      </w:r>
      <w:r>
        <w:rPr>
          <w:color w:val="58595B"/>
          <w:sz w:val="12"/>
        </w:rPr>
        <w:t xml:space="preserve">Government Agreement 2014, September, p. </w:t>
      </w:r>
      <w:r>
        <w:rPr>
          <w:color w:val="58595B"/>
          <w:spacing w:val="8"/>
          <w:sz w:val="12"/>
        </w:rPr>
        <w:t xml:space="preserve"> </w:t>
      </w:r>
      <w:r>
        <w:rPr>
          <w:color w:val="58595B"/>
          <w:sz w:val="12"/>
        </w:rPr>
        <w:t>10.</w:t>
      </w:r>
    </w:p>
    <w:p w14:paraId="77CFD2C0" w14:textId="4D0D38DA" w:rsidR="00160E7F" w:rsidRDefault="002B0299">
      <w:pPr>
        <w:pStyle w:val="ListParagraph"/>
        <w:numPr>
          <w:ilvl w:val="0"/>
          <w:numId w:val="2"/>
        </w:numPr>
        <w:tabs>
          <w:tab w:val="left" w:pos="418"/>
        </w:tabs>
        <w:spacing w:before="30"/>
        <w:ind w:hanging="283"/>
        <w:rPr>
          <w:sz w:val="12"/>
        </w:rPr>
      </w:pPr>
      <w:r>
        <w:rPr>
          <w:color w:val="58595B"/>
          <w:sz w:val="12"/>
        </w:rPr>
        <w:t xml:space="preserve">Section 24, </w:t>
      </w:r>
      <w:r>
        <w:rPr>
          <w:i/>
          <w:color w:val="58595B"/>
          <w:sz w:val="12"/>
        </w:rPr>
        <w:t xml:space="preserve">Public Health and Wellbeing Act </w:t>
      </w:r>
      <w:r>
        <w:rPr>
          <w:i/>
          <w:color w:val="58595B"/>
          <w:spacing w:val="2"/>
          <w:sz w:val="12"/>
        </w:rPr>
        <w:t>2008</w:t>
      </w:r>
      <w:r>
        <w:rPr>
          <w:color w:val="58595B"/>
          <w:spacing w:val="2"/>
          <w:sz w:val="12"/>
        </w:rPr>
        <w:t>.</w:t>
      </w:r>
    </w:p>
    <w:p w14:paraId="7AD4F4E6" w14:textId="0F4AF264" w:rsidR="00160E7F" w:rsidRDefault="002B0299">
      <w:pPr>
        <w:pStyle w:val="ListParagraph"/>
        <w:numPr>
          <w:ilvl w:val="0"/>
          <w:numId w:val="2"/>
        </w:numPr>
        <w:tabs>
          <w:tab w:val="left" w:pos="418"/>
        </w:tabs>
        <w:spacing w:before="30"/>
        <w:ind w:hanging="283"/>
        <w:rPr>
          <w:sz w:val="12"/>
        </w:rPr>
      </w:pPr>
      <w:r>
        <w:rPr>
          <w:color w:val="58595B"/>
          <w:sz w:val="12"/>
        </w:rPr>
        <w:t xml:space="preserve">Section 29, </w:t>
      </w:r>
      <w:r>
        <w:rPr>
          <w:i/>
          <w:color w:val="58595B"/>
          <w:sz w:val="12"/>
        </w:rPr>
        <w:t xml:space="preserve">Public Health and Wellbeing Act </w:t>
      </w:r>
      <w:r>
        <w:rPr>
          <w:i/>
          <w:color w:val="58595B"/>
          <w:spacing w:val="2"/>
          <w:sz w:val="12"/>
        </w:rPr>
        <w:t>2008</w:t>
      </w:r>
      <w:r>
        <w:rPr>
          <w:color w:val="58595B"/>
          <w:spacing w:val="2"/>
          <w:sz w:val="12"/>
        </w:rPr>
        <w:t>.</w:t>
      </w:r>
    </w:p>
    <w:p w14:paraId="56C42426" w14:textId="77777777" w:rsidR="00160E7F" w:rsidRDefault="002B0299">
      <w:pPr>
        <w:pStyle w:val="ListParagraph"/>
        <w:numPr>
          <w:ilvl w:val="0"/>
          <w:numId w:val="2"/>
        </w:numPr>
        <w:tabs>
          <w:tab w:val="left" w:pos="418"/>
        </w:tabs>
        <w:spacing w:before="30" w:line="242" w:lineRule="auto"/>
        <w:ind w:right="6245" w:hanging="283"/>
        <w:rPr>
          <w:sz w:val="12"/>
        </w:rPr>
      </w:pPr>
      <w:r>
        <w:rPr>
          <w:color w:val="58595B"/>
          <w:sz w:val="12"/>
        </w:rPr>
        <w:t>EPA NSW</w:t>
      </w:r>
      <w:hyperlink r:id="rId126">
        <w:r>
          <w:rPr>
            <w:color w:val="58595B"/>
            <w:sz w:val="12"/>
          </w:rPr>
          <w:t>, http://www.epa.nsw.gov.au/legislation/Actsummaries.</w:t>
        </w:r>
      </w:hyperlink>
      <w:r>
        <w:rPr>
          <w:color w:val="58595B"/>
          <w:sz w:val="12"/>
        </w:rPr>
        <w:t xml:space="preserve"> </w:t>
      </w:r>
      <w:r>
        <w:rPr>
          <w:color w:val="58595B"/>
          <w:spacing w:val="2"/>
          <w:sz w:val="12"/>
        </w:rPr>
        <w:t xml:space="preserve">htm#poeo </w:t>
      </w:r>
      <w:r>
        <w:rPr>
          <w:color w:val="58595B"/>
          <w:sz w:val="12"/>
        </w:rPr>
        <w:t>(accessed 8 March</w:t>
      </w:r>
      <w:r>
        <w:rPr>
          <w:color w:val="58595B"/>
          <w:spacing w:val="21"/>
          <w:sz w:val="12"/>
        </w:rPr>
        <w:t xml:space="preserve"> </w:t>
      </w:r>
      <w:r>
        <w:rPr>
          <w:color w:val="58595B"/>
          <w:sz w:val="12"/>
        </w:rPr>
        <w:t>2016).</w:t>
      </w:r>
    </w:p>
    <w:p w14:paraId="3DABA4BD" w14:textId="77777777" w:rsidR="00160E7F" w:rsidRDefault="002B0299">
      <w:pPr>
        <w:pStyle w:val="ListParagraph"/>
        <w:numPr>
          <w:ilvl w:val="0"/>
          <w:numId w:val="2"/>
        </w:numPr>
        <w:tabs>
          <w:tab w:val="left" w:pos="418"/>
        </w:tabs>
        <w:spacing w:line="242" w:lineRule="auto"/>
        <w:ind w:right="5874" w:hanging="283"/>
        <w:rPr>
          <w:sz w:val="12"/>
        </w:rPr>
      </w:pPr>
      <w:r>
        <w:rPr>
          <w:color w:val="58595B"/>
          <w:sz w:val="12"/>
        </w:rPr>
        <w:t xml:space="preserve">EPA South Australia 2015, </w:t>
      </w:r>
      <w:r>
        <w:rPr>
          <w:i/>
          <w:color w:val="58595B"/>
          <w:sz w:val="12"/>
        </w:rPr>
        <w:t xml:space="preserve">Local Nuisance and Litter </w:t>
      </w:r>
      <w:r>
        <w:rPr>
          <w:i/>
          <w:color w:val="58595B"/>
          <w:spacing w:val="2"/>
          <w:sz w:val="12"/>
        </w:rPr>
        <w:t xml:space="preserve">Control </w:t>
      </w:r>
      <w:r>
        <w:rPr>
          <w:i/>
          <w:color w:val="58595B"/>
          <w:sz w:val="12"/>
        </w:rPr>
        <w:t>Bill</w:t>
      </w:r>
      <w:r>
        <w:rPr>
          <w:color w:val="58595B"/>
          <w:sz w:val="12"/>
        </w:rPr>
        <w:t xml:space="preserve">, Public </w:t>
      </w:r>
      <w:r>
        <w:rPr>
          <w:color w:val="58595B"/>
          <w:spacing w:val="2"/>
          <w:sz w:val="12"/>
        </w:rPr>
        <w:t xml:space="preserve">consultation report, </w:t>
      </w:r>
      <w:r>
        <w:rPr>
          <w:color w:val="58595B"/>
          <w:sz w:val="12"/>
        </w:rPr>
        <w:t>Adelaide, pp.</w:t>
      </w:r>
      <w:r>
        <w:rPr>
          <w:color w:val="58595B"/>
          <w:spacing w:val="16"/>
          <w:sz w:val="12"/>
        </w:rPr>
        <w:t xml:space="preserve"> </w:t>
      </w:r>
      <w:r>
        <w:rPr>
          <w:color w:val="58595B"/>
          <w:spacing w:val="3"/>
          <w:sz w:val="12"/>
        </w:rPr>
        <w:t>4-5.</w:t>
      </w:r>
    </w:p>
    <w:p w14:paraId="7CDBC5D1" w14:textId="77E6A0C7" w:rsidR="00160E7F" w:rsidRDefault="000638CB">
      <w:pPr>
        <w:pStyle w:val="ListParagraph"/>
        <w:numPr>
          <w:ilvl w:val="0"/>
          <w:numId w:val="2"/>
        </w:numPr>
        <w:tabs>
          <w:tab w:val="left" w:pos="418"/>
        </w:tabs>
        <w:spacing w:line="242" w:lineRule="auto"/>
        <w:ind w:right="6087" w:hanging="283"/>
        <w:rPr>
          <w:sz w:val="12"/>
        </w:rPr>
      </w:pPr>
      <w:hyperlink r:id="rId127">
        <w:r w:rsidR="002B0299">
          <w:rPr>
            <w:color w:val="58595B"/>
            <w:sz w:val="12"/>
          </w:rPr>
          <w:t>http://www.epa.vic.gov.au/get-involved/report-litter/litter-prevention-</w:t>
        </w:r>
      </w:hyperlink>
      <w:r w:rsidR="002B0299">
        <w:rPr>
          <w:color w:val="58595B"/>
          <w:sz w:val="12"/>
        </w:rPr>
        <w:t xml:space="preserve"> </w:t>
      </w:r>
      <w:r w:rsidR="002B0299">
        <w:rPr>
          <w:color w:val="58595B"/>
          <w:spacing w:val="2"/>
          <w:sz w:val="12"/>
        </w:rPr>
        <w:t xml:space="preserve">officers-program </w:t>
      </w:r>
      <w:r w:rsidR="00C03226">
        <w:rPr>
          <w:color w:val="58595B"/>
          <w:sz w:val="12"/>
        </w:rPr>
        <w:t xml:space="preserve">(accessed 26 March </w:t>
      </w:r>
      <w:r w:rsidR="002B0299">
        <w:rPr>
          <w:color w:val="58595B"/>
          <w:sz w:val="12"/>
        </w:rPr>
        <w:t>2016)</w:t>
      </w:r>
      <w:bookmarkStart w:id="0" w:name="_GoBack"/>
      <w:bookmarkEnd w:id="0"/>
    </w:p>
    <w:sectPr w:rsidR="00160E7F">
      <w:pgSz w:w="11910" w:h="16840"/>
      <w:pgMar w:top="980" w:right="0" w:bottom="280" w:left="1680" w:header="788"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1766D5FD" w14:textId="77777777" w:rsidR="00804E46" w:rsidRDefault="00804E46">
      <w:r>
        <w:separator/>
      </w:r>
    </w:p>
  </w:endnote>
  <w:endnote w:type="continuationSeparator" w:id="0">
    <w:p w14:paraId="36C7E242" w14:textId="77777777" w:rsidR="00804E46" w:rsidRDefault="00804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3B3F42C4" w14:textId="77777777" w:rsidR="00804E46" w:rsidRDefault="00804E46">
      <w:r>
        <w:separator/>
      </w:r>
    </w:p>
  </w:footnote>
  <w:footnote w:type="continuationSeparator" w:id="0">
    <w:p w14:paraId="30E1A578" w14:textId="77777777" w:rsidR="00804E46" w:rsidRDefault="00804E4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29B1D62" w14:textId="77777777" w:rsidR="00804E46" w:rsidRDefault="000638CB">
    <w:pPr>
      <w:pStyle w:val="BodyText"/>
      <w:spacing w:line="14" w:lineRule="auto"/>
    </w:pPr>
    <w:r>
      <w:pict w14:anchorId="433A62A2">
        <v:line id="_x0000_s2180" style="position:absolute;z-index:-91072;mso-position-horizontal-relative:page;mso-position-vertical-relative:page" from="0,45.8pt" to="60.25pt,45.8pt" strokecolor="#0095a7" strokeweight="7pt">
          <w10:wrap anchorx="page" anchory="page"/>
        </v:line>
      </w:pict>
    </w:r>
    <w:r>
      <w:pict w14:anchorId="31E6C2EF">
        <v:shapetype id="_x0000_t202" coordsize="21600,21600" o:spt="202" path="m0,0l0,21600,21600,21600,21600,0xe">
          <v:stroke joinstyle="miter"/>
          <v:path gradientshapeok="t" o:connecttype="rect"/>
        </v:shapetype>
        <v:shape id="_x0000_s2179" type="#_x0000_t202" style="position:absolute;margin-left:68.85pt;margin-top:40.9pt;width:16.95pt;height:9.5pt;z-index:-91048;mso-position-horizontal-relative:page;mso-position-vertical-relative:page" filled="f" stroked="f">
          <v:textbox inset="0,0,0,0">
            <w:txbxContent>
              <w:p w14:paraId="0788E3B6"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208</w:t>
                </w:r>
                <w:r>
                  <w:fldChar w:fldCharType="end"/>
                </w:r>
              </w:p>
            </w:txbxContent>
          </v:textbox>
          <w10:wrap anchorx="page" anchory="page"/>
        </v:shape>
      </w:pict>
    </w:r>
    <w:r>
      <w:pict w14:anchorId="7CD11BBE">
        <v:shape id="_x0000_s2178" type="#_x0000_t202" style="position:absolute;margin-left:95.35pt;margin-top:40.9pt;width:147.8pt;height:9.5pt;z-index:-91024;mso-position-horizontal-relative:page;mso-position-vertical-relative:page" filled="f" stroked="f">
          <v:textbox inset="0,0,0,0">
            <w:txbxContent>
              <w:p w14:paraId="3FA1BE07"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D23E1DA" w14:textId="77777777" w:rsidR="00804E46" w:rsidRDefault="000638CB">
    <w:pPr>
      <w:pStyle w:val="BodyText"/>
      <w:spacing w:line="14" w:lineRule="auto"/>
    </w:pPr>
    <w:r>
      <w:pict w14:anchorId="679F0AA0">
        <v:line id="_x0000_s2159" style="position:absolute;z-index:-90568;mso-position-horizontal-relative:page;mso-position-vertical-relative:page" from="534.95pt,45.8pt" to="595.25pt,45.8pt" strokecolor="#0095a7" strokeweight="7pt">
          <w10:wrap anchorx="page" anchory="page"/>
        </v:line>
      </w:pict>
    </w:r>
    <w:r>
      <w:pict w14:anchorId="5B6785FF">
        <v:shapetype id="_x0000_t202" coordsize="21600,21600" o:spt="202" path="m0,0l0,21600,21600,21600,21600,0xe">
          <v:stroke joinstyle="miter"/>
          <v:path gradientshapeok="t" o:connecttype="rect"/>
        </v:shapetype>
        <v:shape id="_x0000_s2158" type="#_x0000_t202" style="position:absolute;margin-left:324.4pt;margin-top:40.9pt;width:175.5pt;height:9.5pt;z-index:-90544;mso-position-horizontal-relative:page;mso-position-vertical-relative:page" filled="f" stroked="f">
          <v:textbox inset="0,0,0,0">
            <w:txbxContent>
              <w:p w14:paraId="078284D0" w14:textId="77777777" w:rsidR="00804E46" w:rsidRDefault="00804E46">
                <w:pPr>
                  <w:spacing w:before="1"/>
                  <w:ind w:left="20"/>
                  <w:rPr>
                    <w:sz w:val="15"/>
                  </w:rPr>
                </w:pPr>
                <w:r>
                  <w:rPr>
                    <w:color w:val="58595B"/>
                    <w:sz w:val="15"/>
                  </w:rPr>
                  <w:t>CHAPTER 12    STRENGTHENING PREVENTION</w:t>
                </w:r>
              </w:p>
            </w:txbxContent>
          </v:textbox>
          <w10:wrap anchorx="page" anchory="page"/>
        </v:shape>
      </w:pict>
    </w:r>
    <w:r>
      <w:pict w14:anchorId="2D8C7ABA">
        <v:shape id="_x0000_s2157" type="#_x0000_t202" style="position:absolute;margin-left:511.1pt;margin-top:40.9pt;width:14.15pt;height:9.5pt;z-index:-90520;mso-position-horizontal-relative:page;mso-position-vertical-relative:page" filled="f" stroked="f">
          <v:textbox inset="0,0,0,0">
            <w:txbxContent>
              <w:p w14:paraId="3BDD6319" w14:textId="77777777" w:rsidR="00804E46" w:rsidRDefault="00804E46">
                <w:pPr>
                  <w:spacing w:before="1"/>
                  <w:ind w:left="20" w:right="-8"/>
                  <w:rPr>
                    <w:sz w:val="15"/>
                  </w:rPr>
                </w:pPr>
                <w:r>
                  <w:rPr>
                    <w:color w:val="58595B"/>
                    <w:sz w:val="15"/>
                  </w:rPr>
                  <w:t>219</w:t>
                </w:r>
              </w:p>
            </w:txbxContent>
          </v:textbox>
          <w10:wrap anchorx="page" anchory="page"/>
        </v:shape>
      </w:pict>
    </w: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ADD3696" w14:textId="77777777" w:rsidR="00804E46" w:rsidRDefault="000638CB">
    <w:pPr>
      <w:pStyle w:val="BodyText"/>
      <w:spacing w:line="14" w:lineRule="auto"/>
    </w:pPr>
    <w:r>
      <w:pict w14:anchorId="014D0B6A">
        <v:line id="_x0000_s2162" style="position:absolute;z-index:-90640;mso-position-horizontal-relative:page;mso-position-vertical-relative:page" from="0,45.8pt" to="60.25pt,45.8pt" strokecolor="#0095a7" strokeweight="7pt">
          <w10:wrap anchorx="page" anchory="page"/>
        </v:line>
      </w:pict>
    </w:r>
    <w:r>
      <w:pict w14:anchorId="03BB8CD2">
        <v:shapetype id="_x0000_t202" coordsize="21600,21600" o:spt="202" path="m0,0l0,21600,21600,21600,21600,0xe">
          <v:stroke joinstyle="miter"/>
          <v:path gradientshapeok="t" o:connecttype="rect"/>
        </v:shapetype>
        <v:shape id="_x0000_s2161" type="#_x0000_t202" style="position:absolute;margin-left:69.85pt;margin-top:40.9pt;width:14.15pt;height:9.5pt;z-index:-90616;mso-position-horizontal-relative:page;mso-position-vertical-relative:page" filled="f" stroked="f">
          <v:textbox inset="0,0,0,0">
            <w:txbxContent>
              <w:p w14:paraId="087BFA35" w14:textId="77777777" w:rsidR="00804E46" w:rsidRDefault="00804E46">
                <w:pPr>
                  <w:spacing w:before="1"/>
                  <w:ind w:left="20" w:right="-8"/>
                  <w:rPr>
                    <w:sz w:val="15"/>
                  </w:rPr>
                </w:pPr>
                <w:r>
                  <w:rPr>
                    <w:color w:val="58595B"/>
                    <w:sz w:val="15"/>
                  </w:rPr>
                  <w:t>218</w:t>
                </w:r>
              </w:p>
            </w:txbxContent>
          </v:textbox>
          <w10:wrap anchorx="page" anchory="page"/>
        </v:shape>
      </w:pict>
    </w:r>
    <w:r>
      <w:pict w14:anchorId="4D160751">
        <v:shape id="_x0000_s2160" type="#_x0000_t202" style="position:absolute;margin-left:95.35pt;margin-top:40.9pt;width:147.8pt;height:9.5pt;z-index:-90592;mso-position-horizontal-relative:page;mso-position-vertical-relative:page" filled="f" stroked="f">
          <v:textbox inset="0,0,0,0">
            <w:txbxContent>
              <w:p w14:paraId="371DCA4C"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8563427" w14:textId="77777777" w:rsidR="00804E46" w:rsidRDefault="000638CB">
    <w:pPr>
      <w:pStyle w:val="BodyText"/>
      <w:spacing w:line="14" w:lineRule="auto"/>
    </w:pPr>
    <w:r>
      <w:pict w14:anchorId="61238825">
        <v:line id="_x0000_s2153" style="position:absolute;z-index:-90424;mso-position-horizontal-relative:page;mso-position-vertical-relative:page" from="534.95pt,45.8pt" to="595.25pt,45.8pt" strokecolor="#0095a7" strokeweight="7pt">
          <w10:wrap anchorx="page" anchory="page"/>
        </v:line>
      </w:pict>
    </w:r>
    <w:r>
      <w:pict w14:anchorId="2B2AEC9A">
        <v:shapetype id="_x0000_t202" coordsize="21600,21600" o:spt="202" path="m0,0l0,21600,21600,21600,21600,0xe">
          <v:stroke joinstyle="miter"/>
          <v:path gradientshapeok="t" o:connecttype="rect"/>
        </v:shapetype>
        <v:shape id="_x0000_s2152" type="#_x0000_t202" style="position:absolute;margin-left:324.4pt;margin-top:40.9pt;width:175.5pt;height:9.5pt;z-index:-90400;mso-position-horizontal-relative:page;mso-position-vertical-relative:page" filled="f" stroked="f">
          <v:textbox inset="0,0,0,0">
            <w:txbxContent>
              <w:p w14:paraId="0FDD5A9E" w14:textId="77777777" w:rsidR="00804E46" w:rsidRDefault="00804E46">
                <w:pPr>
                  <w:spacing w:before="1"/>
                  <w:ind w:left="20"/>
                  <w:rPr>
                    <w:sz w:val="15"/>
                  </w:rPr>
                </w:pPr>
                <w:r>
                  <w:rPr>
                    <w:color w:val="58595B"/>
                    <w:sz w:val="15"/>
                  </w:rPr>
                  <w:t>CHAPTER 12    STRENGTHENING PREVENTION</w:t>
                </w:r>
              </w:p>
            </w:txbxContent>
          </v:textbox>
          <w10:wrap anchorx="page" anchory="page"/>
        </v:shape>
      </w:pict>
    </w:r>
    <w:r>
      <w:pict w14:anchorId="28C39EC6">
        <v:shape id="_x0000_s2151" type="#_x0000_t202" style="position:absolute;margin-left:510.75pt;margin-top:40.9pt;width:14.55pt;height:9.5pt;z-index:-90376;mso-position-horizontal-relative:page;mso-position-vertical-relative:page" filled="f" stroked="f">
          <v:textbox inset="0,0,0,0">
            <w:txbxContent>
              <w:p w14:paraId="66894E86" w14:textId="77777777" w:rsidR="00804E46" w:rsidRDefault="00804E46">
                <w:pPr>
                  <w:spacing w:before="1"/>
                  <w:ind w:left="20"/>
                  <w:rPr>
                    <w:sz w:val="15"/>
                  </w:rPr>
                </w:pPr>
                <w:r>
                  <w:rPr>
                    <w:color w:val="58595B"/>
                    <w:sz w:val="15"/>
                  </w:rPr>
                  <w:t>221</w:t>
                </w:r>
              </w:p>
            </w:txbxContent>
          </v:textbox>
          <w10:wrap anchorx="page" anchory="page"/>
        </v:shape>
      </w:pict>
    </w: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545063B" w14:textId="77777777" w:rsidR="00804E46" w:rsidRDefault="000638CB">
    <w:pPr>
      <w:pStyle w:val="BodyText"/>
      <w:spacing w:line="14" w:lineRule="auto"/>
    </w:pPr>
    <w:r>
      <w:pict w14:anchorId="73AEC8B3">
        <v:line id="_x0000_s2156" style="position:absolute;z-index:-90496;mso-position-horizontal-relative:page;mso-position-vertical-relative:page" from="0,45.8pt" to="60.25pt,45.8pt" strokecolor="#0095a7" strokeweight="7pt">
          <w10:wrap anchorx="page" anchory="page"/>
        </v:line>
      </w:pict>
    </w:r>
    <w:r>
      <w:pict w14:anchorId="135672C4">
        <v:shapetype id="_x0000_t202" coordsize="21600,21600" o:spt="202" path="m0,0l0,21600,21600,21600,21600,0xe">
          <v:stroke joinstyle="miter"/>
          <v:path gradientshapeok="t" o:connecttype="rect"/>
        </v:shapetype>
        <v:shape id="_x0000_s2155" type="#_x0000_t202" style="position:absolute;margin-left:69.85pt;margin-top:40.9pt;width:14.95pt;height:9.5pt;z-index:-90472;mso-position-horizontal-relative:page;mso-position-vertical-relative:page" filled="f" stroked="f">
          <v:textbox inset="0,0,0,0">
            <w:txbxContent>
              <w:p w14:paraId="33138C0D" w14:textId="77777777" w:rsidR="00804E46" w:rsidRDefault="00804E46">
                <w:pPr>
                  <w:spacing w:before="1"/>
                  <w:ind w:left="20"/>
                  <w:rPr>
                    <w:sz w:val="15"/>
                  </w:rPr>
                </w:pPr>
                <w:r>
                  <w:rPr>
                    <w:color w:val="58595B"/>
                    <w:sz w:val="15"/>
                  </w:rPr>
                  <w:t>220</w:t>
                </w:r>
              </w:p>
            </w:txbxContent>
          </v:textbox>
          <w10:wrap anchorx="page" anchory="page"/>
        </v:shape>
      </w:pict>
    </w:r>
    <w:r>
      <w:pict w14:anchorId="767D86DE">
        <v:shape id="_x0000_s2154" type="#_x0000_t202" style="position:absolute;margin-left:95.35pt;margin-top:40.9pt;width:147.8pt;height:9.5pt;z-index:-90448;mso-position-horizontal-relative:page;mso-position-vertical-relative:page" filled="f" stroked="f">
          <v:textbox inset="0,0,0,0">
            <w:txbxContent>
              <w:p w14:paraId="1C1289EC"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B1B0668" w14:textId="77777777" w:rsidR="00804E46" w:rsidRDefault="000638CB">
    <w:pPr>
      <w:pStyle w:val="BodyText"/>
      <w:spacing w:line="14" w:lineRule="auto"/>
    </w:pPr>
    <w:r>
      <w:pict w14:anchorId="48ABDF4B">
        <v:line id="_x0000_s2150" style="position:absolute;z-index:-90352;mso-position-horizontal-relative:page;mso-position-vertical-relative:page" from="0,45.8pt" to="60.25pt,45.8pt" strokecolor="#0095a7" strokeweight="7pt">
          <w10:wrap anchorx="page" anchory="page"/>
        </v:line>
      </w:pict>
    </w:r>
    <w:r>
      <w:pict w14:anchorId="04A228C6">
        <v:shapetype id="_x0000_t202" coordsize="21600,21600" o:spt="202" path="m0,0l0,21600,21600,21600,21600,0xe">
          <v:stroke joinstyle="miter"/>
          <v:path gradientshapeok="t" o:connecttype="rect"/>
        </v:shapetype>
        <v:shape id="_x0000_s2149" type="#_x0000_t202" style="position:absolute;margin-left:68.85pt;margin-top:40.9pt;width:17.1pt;height:9.5pt;z-index:-90328;mso-position-horizontal-relative:page;mso-position-vertical-relative:page" filled="f" stroked="f">
          <v:textbox inset="0,0,0,0">
            <w:txbxContent>
              <w:p w14:paraId="6F7889D3"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228</w:t>
                </w:r>
                <w:r>
                  <w:fldChar w:fldCharType="end"/>
                </w:r>
              </w:p>
            </w:txbxContent>
          </v:textbox>
          <w10:wrap anchorx="page" anchory="page"/>
        </v:shape>
      </w:pict>
    </w:r>
    <w:r>
      <w:pict w14:anchorId="5C02F651">
        <v:shape id="_x0000_s2148" type="#_x0000_t202" style="position:absolute;margin-left:95.35pt;margin-top:40.9pt;width:147.8pt;height:9.5pt;z-index:-90304;mso-position-horizontal-relative:page;mso-position-vertical-relative:page" filled="f" stroked="f">
          <v:textbox inset="0,0,0,0">
            <w:txbxContent>
              <w:p w14:paraId="53719C60"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1C11823" w14:textId="77777777" w:rsidR="00804E46" w:rsidRDefault="000638CB">
    <w:pPr>
      <w:pStyle w:val="BodyText"/>
      <w:spacing w:line="14" w:lineRule="auto"/>
    </w:pPr>
    <w:r>
      <w:pict w14:anchorId="78B058B7">
        <v:line id="_x0000_s2147" style="position:absolute;z-index:-90280;mso-position-horizontal-relative:page;mso-position-vertical-relative:page" from="534.95pt,45.8pt" to="595.25pt,45.8pt" strokecolor="#0095a7" strokeweight="7pt">
          <w10:wrap anchorx="page" anchory="page"/>
        </v:line>
      </w:pict>
    </w:r>
    <w:r>
      <w:pict w14:anchorId="204855C6">
        <v:shapetype id="_x0000_t202" coordsize="21600,21600" o:spt="202" path="m0,0l0,21600,21600,21600,21600,0xe">
          <v:stroke joinstyle="miter"/>
          <v:path gradientshapeok="t" o:connecttype="rect"/>
        </v:shapetype>
        <v:shape id="_x0000_s2146" type="#_x0000_t202" style="position:absolute;margin-left:324.4pt;margin-top:40.9pt;width:175.5pt;height:9.5pt;z-index:-90256;mso-position-horizontal-relative:page;mso-position-vertical-relative:page" filled="f" stroked="f">
          <v:textbox inset="0,0,0,0">
            <w:txbxContent>
              <w:p w14:paraId="46B38D65" w14:textId="77777777" w:rsidR="00804E46" w:rsidRDefault="00804E46">
                <w:pPr>
                  <w:spacing w:before="1"/>
                  <w:ind w:left="20"/>
                  <w:rPr>
                    <w:sz w:val="15"/>
                  </w:rPr>
                </w:pPr>
                <w:r>
                  <w:rPr>
                    <w:color w:val="58595B"/>
                    <w:sz w:val="15"/>
                  </w:rPr>
                  <w:t>CHAPTER 12    STRENGTHENING PREVENTION</w:t>
                </w:r>
              </w:p>
            </w:txbxContent>
          </v:textbox>
          <w10:wrap anchorx="page" anchory="page"/>
        </v:shape>
      </w:pict>
    </w:r>
    <w:r>
      <w:pict w14:anchorId="120F58FC">
        <v:shape id="_x0000_s2145" type="#_x0000_t202" style="position:absolute;margin-left:509.55pt;margin-top:40.9pt;width:17pt;height:9.5pt;z-index:-90232;mso-position-horizontal-relative:page;mso-position-vertical-relative:page" filled="f" stroked="f">
          <v:textbox inset="0,0,0,0">
            <w:txbxContent>
              <w:p w14:paraId="60CC33D1"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229</w:t>
                </w:r>
                <w:r>
                  <w:fldChar w:fldCharType="end"/>
                </w:r>
              </w:p>
            </w:txbxContent>
          </v:textbox>
          <w10:wrap anchorx="page" anchory="page"/>
        </v:shape>
      </w:pict>
    </w: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21B0880" w14:textId="77777777" w:rsidR="00804E46" w:rsidRDefault="000638CB">
    <w:pPr>
      <w:pStyle w:val="BodyText"/>
      <w:spacing w:line="14" w:lineRule="auto"/>
    </w:pPr>
    <w:r>
      <w:pict w14:anchorId="71D57D08">
        <v:line id="_x0000_s2144" style="position:absolute;z-index:-90208;mso-position-horizontal-relative:page;mso-position-vertical-relative:page" from="0,45.8pt" to="60.25pt,45.8pt" strokecolor="#0095a7" strokeweight="7pt">
          <w10:wrap anchorx="page" anchory="page"/>
        </v:line>
      </w:pict>
    </w:r>
    <w:r>
      <w:pict w14:anchorId="262A92AB">
        <v:shapetype id="_x0000_t202" coordsize="21600,21600" o:spt="202" path="m0,0l0,21600,21600,21600,21600,0xe">
          <v:stroke joinstyle="miter"/>
          <v:path gradientshapeok="t" o:connecttype="rect"/>
        </v:shapetype>
        <v:shape id="_x0000_s2143" type="#_x0000_t202" style="position:absolute;margin-left:68.85pt;margin-top:40.9pt;width:16.95pt;height:9.5pt;z-index:-90184;mso-position-horizontal-relative:page;mso-position-vertical-relative:page" filled="f" stroked="f">
          <v:textbox inset="0,0,0,0">
            <w:txbxContent>
              <w:p w14:paraId="5C0527A9"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232</w:t>
                </w:r>
                <w:r>
                  <w:fldChar w:fldCharType="end"/>
                </w:r>
              </w:p>
            </w:txbxContent>
          </v:textbox>
          <w10:wrap anchorx="page" anchory="page"/>
        </v:shape>
      </w:pict>
    </w:r>
    <w:r>
      <w:pict w14:anchorId="4A498037">
        <v:shape id="_x0000_s2142" type="#_x0000_t202" style="position:absolute;margin-left:95.35pt;margin-top:40.9pt;width:147.8pt;height:9.5pt;z-index:-90160;mso-position-horizontal-relative:page;mso-position-vertical-relative:page" filled="f" stroked="f">
          <v:textbox inset="0,0,0,0">
            <w:txbxContent>
              <w:p w14:paraId="4C0DE9B9"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8480B38" w14:textId="77777777" w:rsidR="00804E46" w:rsidRDefault="000638CB">
    <w:pPr>
      <w:pStyle w:val="BodyText"/>
      <w:spacing w:line="14" w:lineRule="auto"/>
    </w:pPr>
    <w:r>
      <w:pict w14:anchorId="00C88C82">
        <v:line id="_x0000_s2141" style="position:absolute;z-index:-90136;mso-position-horizontal-relative:page;mso-position-vertical-relative:page" from="534.95pt,45.8pt" to="595.25pt,45.8pt" strokecolor="#0095a7" strokeweight="7pt">
          <w10:wrap anchorx="page" anchory="page"/>
        </v:line>
      </w:pict>
    </w:r>
    <w:r>
      <w:pict w14:anchorId="28C3187E">
        <v:shapetype id="_x0000_t202" coordsize="21600,21600" o:spt="202" path="m0,0l0,21600,21600,21600,21600,0xe">
          <v:stroke joinstyle="miter"/>
          <v:path gradientshapeok="t" o:connecttype="rect"/>
        </v:shapetype>
        <v:shape id="_x0000_s2140" type="#_x0000_t202" style="position:absolute;margin-left:324.4pt;margin-top:40.9pt;width:175.5pt;height:9.5pt;z-index:-90112;mso-position-horizontal-relative:page;mso-position-vertical-relative:page" filled="f" stroked="f">
          <v:textbox inset="0,0,0,0">
            <w:txbxContent>
              <w:p w14:paraId="532CE368" w14:textId="77777777" w:rsidR="00804E46" w:rsidRDefault="00804E46">
                <w:pPr>
                  <w:spacing w:before="1"/>
                  <w:ind w:left="20"/>
                  <w:rPr>
                    <w:sz w:val="15"/>
                  </w:rPr>
                </w:pPr>
                <w:r>
                  <w:rPr>
                    <w:color w:val="58595B"/>
                    <w:sz w:val="15"/>
                  </w:rPr>
                  <w:t>CHAPTER 12    STRENGTHENING PREVENTION</w:t>
                </w:r>
              </w:p>
            </w:txbxContent>
          </v:textbox>
          <w10:wrap anchorx="page" anchory="page"/>
        </v:shape>
      </w:pict>
    </w:r>
    <w:r>
      <w:pict w14:anchorId="5F8F5544">
        <v:shape id="_x0000_s2139" type="#_x0000_t202" style="position:absolute;margin-left:510.95pt;margin-top:40.9pt;width:14.3pt;height:9.5pt;z-index:-90088;mso-position-horizontal-relative:page;mso-position-vertical-relative:page" filled="f" stroked="f">
          <v:textbox inset="0,0,0,0">
            <w:txbxContent>
              <w:p w14:paraId="7EC4D108" w14:textId="77777777" w:rsidR="00804E46" w:rsidRDefault="00804E46">
                <w:pPr>
                  <w:spacing w:before="1"/>
                  <w:ind w:left="20" w:right="-5"/>
                  <w:rPr>
                    <w:sz w:val="15"/>
                  </w:rPr>
                </w:pPr>
                <w:r>
                  <w:rPr>
                    <w:color w:val="58595B"/>
                    <w:sz w:val="15"/>
                  </w:rPr>
                  <w:t>231</w:t>
                </w:r>
              </w:p>
            </w:txbxContent>
          </v:textbox>
          <w10:wrap anchorx="page" anchory="page"/>
        </v:shape>
      </w:pict>
    </w: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1AE8337" w14:textId="77777777" w:rsidR="00804E46" w:rsidRDefault="000638CB">
    <w:pPr>
      <w:pStyle w:val="BodyText"/>
      <w:spacing w:line="14" w:lineRule="auto"/>
    </w:pPr>
    <w:r>
      <w:pict w14:anchorId="18C6FF97">
        <v:line id="_x0000_s2135" style="position:absolute;z-index:-89992;mso-position-horizontal-relative:page;mso-position-vertical-relative:page" from="0,45.8pt" to="60.25pt,45.8pt" strokecolor="#0095a7" strokeweight="7pt">
          <w10:wrap anchorx="page" anchory="page"/>
        </v:line>
      </w:pict>
    </w:r>
    <w:r>
      <w:pict w14:anchorId="2547F29D">
        <v:shapetype id="_x0000_t202" coordsize="21600,21600" o:spt="202" path="m0,0l0,21600,21600,21600,21600,0xe">
          <v:stroke joinstyle="miter"/>
          <v:path gradientshapeok="t" o:connecttype="rect"/>
        </v:shapetype>
        <v:shape id="_x0000_s2134" type="#_x0000_t202" style="position:absolute;margin-left:68.85pt;margin-top:40.9pt;width:16.95pt;height:9.5pt;z-index:-89968;mso-position-horizontal-relative:page;mso-position-vertical-relative:page" filled="f" stroked="f">
          <v:textbox inset="0,0,0,0">
            <w:txbxContent>
              <w:p w14:paraId="3EE4C55E"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236</w:t>
                </w:r>
                <w:r>
                  <w:fldChar w:fldCharType="end"/>
                </w:r>
              </w:p>
            </w:txbxContent>
          </v:textbox>
          <w10:wrap anchorx="page" anchory="page"/>
        </v:shape>
      </w:pict>
    </w:r>
    <w:r>
      <w:pict w14:anchorId="543331B3">
        <v:shape id="_x0000_s2133" type="#_x0000_t202" style="position:absolute;margin-left:95.35pt;margin-top:40.9pt;width:147.8pt;height:9.5pt;z-index:-89944;mso-position-horizontal-relative:page;mso-position-vertical-relative:page" filled="f" stroked="f">
          <v:textbox inset="0,0,0,0">
            <w:txbxContent>
              <w:p w14:paraId="34268B5C"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1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ABECBA8" w14:textId="77777777" w:rsidR="00804E46" w:rsidRDefault="000638CB">
    <w:pPr>
      <w:pStyle w:val="BodyText"/>
      <w:spacing w:line="14" w:lineRule="auto"/>
    </w:pPr>
    <w:r>
      <w:pict w14:anchorId="4B067080">
        <v:line id="_x0000_s2138" style="position:absolute;z-index:-90064;mso-position-horizontal-relative:page;mso-position-vertical-relative:page" from="534.95pt,45.8pt" to="595.25pt,45.8pt" strokecolor="#0095a7" strokeweight="7pt">
          <w10:wrap anchorx="page" anchory="page"/>
        </v:line>
      </w:pict>
    </w:r>
    <w:r>
      <w:pict w14:anchorId="5116BB7C">
        <v:shapetype id="_x0000_t202" coordsize="21600,21600" o:spt="202" path="m0,0l0,21600,21600,21600,21600,0xe">
          <v:stroke joinstyle="miter"/>
          <v:path gradientshapeok="t" o:connecttype="rect"/>
        </v:shapetype>
        <v:shape id="_x0000_s2137" type="#_x0000_t202" style="position:absolute;margin-left:324.4pt;margin-top:40.9pt;width:175.5pt;height:9.5pt;z-index:-90040;mso-position-horizontal-relative:page;mso-position-vertical-relative:page" filled="f" stroked="f">
          <v:textbox inset="0,0,0,0">
            <w:txbxContent>
              <w:p w14:paraId="4D424AB7" w14:textId="77777777" w:rsidR="00804E46" w:rsidRDefault="00804E46">
                <w:pPr>
                  <w:spacing w:before="1"/>
                  <w:ind w:left="20"/>
                  <w:rPr>
                    <w:sz w:val="15"/>
                  </w:rPr>
                </w:pPr>
                <w:r>
                  <w:rPr>
                    <w:color w:val="58595B"/>
                    <w:sz w:val="15"/>
                  </w:rPr>
                  <w:t>CHAPTER 12    STRENGTHENING PREVENTION</w:t>
                </w:r>
              </w:p>
            </w:txbxContent>
          </v:textbox>
          <w10:wrap anchorx="page" anchory="page"/>
        </v:shape>
      </w:pict>
    </w:r>
    <w:r>
      <w:pict w14:anchorId="70236DD8">
        <v:shape id="_x0000_s2136" type="#_x0000_t202" style="position:absolute;margin-left:509.6pt;margin-top:40.9pt;width:16.85pt;height:9.5pt;z-index:-90016;mso-position-horizontal-relative:page;mso-position-vertical-relative:page" filled="f" stroked="f">
          <v:textbox inset="0,0,0,0">
            <w:txbxContent>
              <w:p w14:paraId="45142935"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235</w:t>
                </w:r>
                <w:r>
                  <w:fldChar w:fldCharType="end"/>
                </w:r>
              </w:p>
            </w:txbxContent>
          </v:textbox>
          <w10:wrap anchorx="page" anchory="page"/>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582A6D" w14:textId="77777777" w:rsidR="00804E46" w:rsidRDefault="000638CB">
    <w:pPr>
      <w:pStyle w:val="BodyText"/>
      <w:spacing w:line="14" w:lineRule="auto"/>
    </w:pPr>
    <w:r>
      <w:pict w14:anchorId="7D224ED1">
        <v:line id="_x0000_s2177" style="position:absolute;z-index:-91000;mso-position-horizontal-relative:page;mso-position-vertical-relative:page" from="534.95pt,45.8pt" to="595.25pt,45.8pt" strokecolor="#0095a7" strokeweight="7pt">
          <w10:wrap anchorx="page" anchory="page"/>
        </v:line>
      </w:pict>
    </w:r>
    <w:r>
      <w:pict w14:anchorId="28369F70">
        <v:shapetype id="_x0000_t202" coordsize="21600,21600" o:spt="202" path="m0,0l0,21600,21600,21600,21600,0xe">
          <v:stroke joinstyle="miter"/>
          <v:path gradientshapeok="t" o:connecttype="rect"/>
        </v:shapetype>
        <v:shape id="_x0000_s2176" type="#_x0000_t202" style="position:absolute;margin-left:338.65pt;margin-top:40.9pt;width:161.25pt;height:9.5pt;z-index:-90976;mso-position-horizontal-relative:page;mso-position-vertical-relative:page" filled="f" stroked="f">
          <v:textbox inset="0,0,0,0">
            <w:txbxContent>
              <w:p w14:paraId="205C7F9B" w14:textId="77777777" w:rsidR="00804E46" w:rsidRDefault="00804E46">
                <w:pPr>
                  <w:spacing w:before="1"/>
                  <w:ind w:left="20"/>
                  <w:rPr>
                    <w:sz w:val="15"/>
                  </w:rPr>
                </w:pPr>
                <w:r>
                  <w:rPr>
                    <w:color w:val="58595B"/>
                    <w:sz w:val="15"/>
                  </w:rPr>
                  <w:t>CHAPTER 11    THE REGULATORY TOOLKIT</w:t>
                </w:r>
              </w:p>
            </w:txbxContent>
          </v:textbox>
          <w10:wrap anchorx="page" anchory="page"/>
        </v:shape>
      </w:pict>
    </w:r>
    <w:r>
      <w:pict w14:anchorId="528F5ABC">
        <v:shape id="_x0000_s2175" type="#_x0000_t202" style="position:absolute;margin-left:509.55pt;margin-top:40.9pt;width:16.9pt;height:9.5pt;z-index:-90952;mso-position-horizontal-relative:page;mso-position-vertical-relative:page" filled="f" stroked="f">
          <v:textbox inset="0,0,0,0">
            <w:txbxContent>
              <w:p w14:paraId="3F55C5DD"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209</w:t>
                </w:r>
                <w:r>
                  <w:fldChar w:fldCharType="end"/>
                </w:r>
              </w:p>
            </w:txbxContent>
          </v:textbox>
          <w10:wrap anchorx="page" anchory="page"/>
        </v:shape>
      </w:pict>
    </w:r>
  </w:p>
</w:hdr>
</file>

<file path=word/header2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43E58A" w14:textId="77777777" w:rsidR="00804E46" w:rsidRDefault="00804E46">
    <w:pPr>
      <w:pStyle w:val="BodyText"/>
      <w:spacing w:line="14" w:lineRule="auto"/>
      <w:rPr>
        <w:sz w:val="2"/>
      </w:rPr>
    </w:pPr>
  </w:p>
</w:hdr>
</file>

<file path=word/header2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A4F0DBB" w14:textId="77777777" w:rsidR="00804E46" w:rsidRDefault="00804E46">
    <w:pPr>
      <w:pStyle w:val="BodyText"/>
      <w:spacing w:line="14" w:lineRule="auto"/>
      <w:rPr>
        <w:sz w:val="2"/>
      </w:rPr>
    </w:pPr>
  </w:p>
</w:hdr>
</file>

<file path=word/header2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0EA5F8F" w14:textId="77777777" w:rsidR="00804E46" w:rsidRDefault="000638CB">
    <w:pPr>
      <w:pStyle w:val="BodyText"/>
      <w:spacing w:line="14" w:lineRule="auto"/>
    </w:pPr>
    <w:r>
      <w:pict w14:anchorId="1A39E398">
        <v:line id="_x0000_s2132" style="position:absolute;z-index:-89920;mso-position-horizontal-relative:page;mso-position-vertical-relative:page" from="0,45.8pt" to="60.25pt,45.8pt" strokecolor="#0095a7" strokeweight="7pt">
          <w10:wrap anchorx="page" anchory="page"/>
        </v:line>
      </w:pict>
    </w:r>
    <w:r>
      <w:pict w14:anchorId="39DCF5E4">
        <v:shapetype id="_x0000_t202" coordsize="21600,21600" o:spt="202" path="m0,0l0,21600,21600,21600,21600,0xe">
          <v:stroke joinstyle="miter"/>
          <v:path gradientshapeok="t" o:connecttype="rect"/>
        </v:shapetype>
        <v:shape id="_x0000_s2131" type="#_x0000_t202" style="position:absolute;margin-left:68.85pt;margin-top:40.9pt;width:16.85pt;height:9.5pt;z-index:-89896;mso-position-horizontal-relative:page;mso-position-vertical-relative:page" filled="f" stroked="f">
          <v:textbox inset="0,0,0,0">
            <w:txbxContent>
              <w:p w14:paraId="04622FCF"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238</w:t>
                </w:r>
                <w:r>
                  <w:fldChar w:fldCharType="end"/>
                </w:r>
              </w:p>
            </w:txbxContent>
          </v:textbox>
          <w10:wrap anchorx="page" anchory="page"/>
        </v:shape>
      </w:pict>
    </w:r>
    <w:r>
      <w:pict w14:anchorId="6CD20417">
        <v:shape id="_x0000_s2130" type="#_x0000_t202" style="position:absolute;margin-left:95.35pt;margin-top:40.9pt;width:147.8pt;height:9.5pt;z-index:-89872;mso-position-horizontal-relative:page;mso-position-vertical-relative:page" filled="f" stroked="f">
          <v:textbox inset="0,0,0,0">
            <w:txbxContent>
              <w:p w14:paraId="752B48A3"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2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FCEC7DA" w14:textId="77777777" w:rsidR="00804E46" w:rsidRDefault="000638CB">
    <w:pPr>
      <w:pStyle w:val="BodyText"/>
      <w:spacing w:line="14" w:lineRule="auto"/>
    </w:pPr>
    <w:r>
      <w:pict w14:anchorId="4FF3E582">
        <v:line id="_x0000_s2129" style="position:absolute;z-index:-89848;mso-position-horizontal-relative:page;mso-position-vertical-relative:page" from="534.95pt,45.8pt" to="595.25pt,45.8pt" strokecolor="#0095a7" strokeweight="7pt">
          <w10:wrap anchorx="page" anchory="page"/>
        </v:line>
      </w:pict>
    </w:r>
    <w:r>
      <w:pict w14:anchorId="5AB88F81">
        <v:shapetype id="_x0000_t202" coordsize="21600,21600" o:spt="202" path="m0,0l0,21600,21600,21600,21600,0xe">
          <v:stroke joinstyle="miter"/>
          <v:path gradientshapeok="t" o:connecttype="rect"/>
        </v:shapetype>
        <v:shape id="_x0000_s2128" type="#_x0000_t202" style="position:absolute;margin-left:306pt;margin-top:40.9pt;width:193.9pt;height:9.5pt;z-index:-89824;mso-position-horizontal-relative:page;mso-position-vertical-relative:page" filled="f" stroked="f">
          <v:textbox inset="0,0,0,0">
            <w:txbxContent>
              <w:p w14:paraId="32546C9E" w14:textId="77777777" w:rsidR="00804E46" w:rsidRDefault="00804E46">
                <w:pPr>
                  <w:spacing w:before="1"/>
                  <w:ind w:left="20"/>
                  <w:rPr>
                    <w:sz w:val="15"/>
                  </w:rPr>
                </w:pPr>
                <w:r>
                  <w:rPr>
                    <w:color w:val="58595B"/>
                    <w:sz w:val="15"/>
                  </w:rPr>
                  <w:t>CHAPTER 13    HOLDING POLLUTERS TO ACCOUNT</w:t>
                </w:r>
              </w:p>
            </w:txbxContent>
          </v:textbox>
          <w10:wrap anchorx="page" anchory="page"/>
        </v:shape>
      </w:pict>
    </w:r>
    <w:r>
      <w:pict w14:anchorId="75663B8D">
        <v:shape id="_x0000_s2127" type="#_x0000_t202" style="position:absolute;margin-left:509.6pt;margin-top:40.9pt;width:16.85pt;height:9.5pt;z-index:-89800;mso-position-horizontal-relative:page;mso-position-vertical-relative:page" filled="f" stroked="f">
          <v:textbox inset="0,0,0,0">
            <w:txbxContent>
              <w:p w14:paraId="4DBD801A"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239</w:t>
                </w:r>
                <w:r>
                  <w:fldChar w:fldCharType="end"/>
                </w:r>
              </w:p>
            </w:txbxContent>
          </v:textbox>
          <w10:wrap anchorx="page" anchory="page"/>
        </v:shape>
      </w:pict>
    </w:r>
  </w:p>
</w:hdr>
</file>

<file path=word/header2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BA2ACAA" w14:textId="77777777" w:rsidR="00804E46" w:rsidRDefault="000638CB">
    <w:pPr>
      <w:pStyle w:val="BodyText"/>
      <w:spacing w:line="14" w:lineRule="auto"/>
    </w:pPr>
    <w:r>
      <w:pict w14:anchorId="6E077B71">
        <v:line id="_x0000_s2126" style="position:absolute;z-index:-89776;mso-position-horizontal-relative:page;mso-position-vertical-relative:page" from="0,45.8pt" to="60.25pt,45.8pt" strokecolor="#0095a7" strokeweight="7pt">
          <w10:wrap anchorx="page" anchory="page"/>
        </v:line>
      </w:pict>
    </w:r>
    <w:r>
      <w:pict w14:anchorId="30179B8F">
        <v:shapetype id="_x0000_t202" coordsize="21600,21600" o:spt="202" path="m0,0l0,21600,21600,21600,21600,0xe">
          <v:stroke joinstyle="miter"/>
          <v:path gradientshapeok="t" o:connecttype="rect"/>
        </v:shapetype>
        <v:shape id="_x0000_s2125" type="#_x0000_t202" style="position:absolute;margin-left:68.85pt;margin-top:40.9pt;width:16.8pt;height:9.5pt;z-index:-89752;mso-position-horizontal-relative:page;mso-position-vertical-relative:page" filled="f" stroked="f">
          <v:textbox style="mso-next-textbox:#_x0000_s2125" inset="0,0,0,0">
            <w:txbxContent>
              <w:p w14:paraId="5DCAE573"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248</w:t>
                </w:r>
                <w:r>
                  <w:fldChar w:fldCharType="end"/>
                </w:r>
              </w:p>
            </w:txbxContent>
          </v:textbox>
          <w10:wrap anchorx="page" anchory="page"/>
        </v:shape>
      </w:pict>
    </w:r>
    <w:r>
      <w:pict w14:anchorId="14B77A05">
        <v:shape id="_x0000_s2124" type="#_x0000_t202" style="position:absolute;margin-left:95.35pt;margin-top:40.9pt;width:147.8pt;height:9.5pt;z-index:-89728;mso-position-horizontal-relative:page;mso-position-vertical-relative:page" filled="f" stroked="f">
          <v:textbox style="mso-next-textbox:#_x0000_s2124" inset="0,0,0,0">
            <w:txbxContent>
              <w:p w14:paraId="37B9DF9F"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2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6DDA059" w14:textId="77777777" w:rsidR="00804E46" w:rsidRDefault="000638CB">
    <w:pPr>
      <w:pStyle w:val="BodyText"/>
      <w:spacing w:line="14" w:lineRule="auto"/>
    </w:pPr>
    <w:r>
      <w:pict w14:anchorId="5DD0C6B7">
        <v:line id="_x0000_s2123" style="position:absolute;z-index:-89704;mso-position-horizontal-relative:page;mso-position-vertical-relative:page" from="534.95pt,45.8pt" to="595.25pt,45.8pt" strokecolor="#0095a7" strokeweight="7pt">
          <w10:wrap anchorx="page" anchory="page"/>
        </v:line>
      </w:pict>
    </w:r>
    <w:r>
      <w:pict w14:anchorId="2D643D76">
        <v:shapetype id="_x0000_t202" coordsize="21600,21600" o:spt="202" path="m0,0l0,21600,21600,21600,21600,0xe">
          <v:stroke joinstyle="miter"/>
          <v:path gradientshapeok="t" o:connecttype="rect"/>
        </v:shapetype>
        <v:shape id="_x0000_s2122" type="#_x0000_t202" style="position:absolute;margin-left:306pt;margin-top:40.9pt;width:193.9pt;height:9.5pt;z-index:-89680;mso-position-horizontal-relative:page;mso-position-vertical-relative:page" filled="f" stroked="f">
          <v:textbox style="mso-next-textbox:#_x0000_s2122" inset="0,0,0,0">
            <w:txbxContent>
              <w:p w14:paraId="43A9A1C6" w14:textId="77777777" w:rsidR="00804E46" w:rsidRDefault="00804E46">
                <w:pPr>
                  <w:spacing w:before="1"/>
                  <w:ind w:left="20"/>
                  <w:rPr>
                    <w:sz w:val="15"/>
                  </w:rPr>
                </w:pPr>
                <w:r>
                  <w:rPr>
                    <w:color w:val="58595B"/>
                    <w:sz w:val="15"/>
                  </w:rPr>
                  <w:t>CHAPTER 13    HOLDING POLLUTERS TO ACCOUNT</w:t>
                </w:r>
              </w:p>
            </w:txbxContent>
          </v:textbox>
          <w10:wrap anchorx="page" anchory="page"/>
        </v:shape>
      </w:pict>
    </w:r>
    <w:r>
      <w:pict w14:anchorId="7996AFAE">
        <v:shape id="_x0000_s2121" type="#_x0000_t202" style="position:absolute;margin-left:509.7pt;margin-top:40.9pt;width:16.7pt;height:9.5pt;z-index:-89656;mso-position-horizontal-relative:page;mso-position-vertical-relative:page" filled="f" stroked="f">
          <v:textbox style="mso-next-textbox:#_x0000_s2121" inset="0,0,0,0">
            <w:txbxContent>
              <w:p w14:paraId="44E58B8C"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247</w:t>
                </w:r>
                <w:r>
                  <w:fldChar w:fldCharType="end"/>
                </w:r>
              </w:p>
            </w:txbxContent>
          </v:textbox>
          <w10:wrap anchorx="page" anchory="page"/>
        </v:shape>
      </w:pict>
    </w:r>
  </w:p>
</w:hdr>
</file>

<file path=word/header2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DDE8B5C" w14:textId="77777777" w:rsidR="00804E46" w:rsidRDefault="00804E46">
    <w:pPr>
      <w:pStyle w:val="BodyText"/>
      <w:spacing w:line="14" w:lineRule="auto"/>
      <w:rPr>
        <w:sz w:val="2"/>
      </w:rPr>
    </w:pPr>
  </w:p>
</w:hdr>
</file>

<file path=word/header2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A9E550C" w14:textId="77777777" w:rsidR="00804E46" w:rsidRDefault="00804E46">
    <w:pPr>
      <w:pStyle w:val="BodyText"/>
      <w:spacing w:line="14" w:lineRule="auto"/>
      <w:rPr>
        <w:sz w:val="2"/>
      </w:rPr>
    </w:pPr>
  </w:p>
</w:hdr>
</file>

<file path=word/header2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68ECDFD" w14:textId="77777777" w:rsidR="00804E46" w:rsidRDefault="000638CB">
    <w:pPr>
      <w:pStyle w:val="BodyText"/>
      <w:spacing w:line="14" w:lineRule="auto"/>
    </w:pPr>
    <w:r>
      <w:pict w14:anchorId="24DEA1EB">
        <v:line id="_x0000_s2120" style="position:absolute;z-index:-89632;mso-position-horizontal-relative:page;mso-position-vertical-relative:page" from="0,45.8pt" to="60.25pt,45.8pt" strokecolor="#0095a7" strokeweight="7pt">
          <w10:wrap anchorx="page" anchory="page"/>
        </v:line>
      </w:pict>
    </w:r>
    <w:r>
      <w:pict w14:anchorId="0BF68A05">
        <v:shapetype id="_x0000_t202" coordsize="21600,21600" o:spt="202" path="m0,0l0,21600,21600,21600,21600,0xe">
          <v:stroke joinstyle="miter"/>
          <v:path gradientshapeok="t" o:connecttype="rect"/>
        </v:shapetype>
        <v:shape id="_x0000_s2119" type="#_x0000_t202" style="position:absolute;margin-left:68.85pt;margin-top:40.9pt;width:16.9pt;height:9.5pt;z-index:-89608;mso-position-horizontal-relative:page;mso-position-vertical-relative:page" filled="f" stroked="f">
          <v:textbox inset="0,0,0,0">
            <w:txbxContent>
              <w:p w14:paraId="4243FA5F"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258</w:t>
                </w:r>
                <w:r>
                  <w:fldChar w:fldCharType="end"/>
                </w:r>
              </w:p>
            </w:txbxContent>
          </v:textbox>
          <w10:wrap anchorx="page" anchory="page"/>
        </v:shape>
      </w:pict>
    </w:r>
    <w:r>
      <w:pict w14:anchorId="0C198689">
        <v:shape id="_x0000_s2118" type="#_x0000_t202" style="position:absolute;margin-left:95.35pt;margin-top:40.9pt;width:147.8pt;height:9.5pt;z-index:-89584;mso-position-horizontal-relative:page;mso-position-vertical-relative:page" filled="f" stroked="f">
          <v:textbox inset="0,0,0,0">
            <w:txbxContent>
              <w:p w14:paraId="33D0B145"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2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8D9C7E5" w14:textId="77777777" w:rsidR="00804E46" w:rsidRDefault="000638CB">
    <w:pPr>
      <w:pStyle w:val="BodyText"/>
      <w:spacing w:line="14" w:lineRule="auto"/>
    </w:pPr>
    <w:r>
      <w:pict w14:anchorId="4A4AE965">
        <v:line id="_x0000_s2117" style="position:absolute;z-index:-89560;mso-position-horizontal-relative:page;mso-position-vertical-relative:page" from="534.95pt,45.8pt" to="595.25pt,45.8pt" strokecolor="#0095a7" strokeweight="7pt">
          <w10:wrap anchorx="page" anchory="page"/>
        </v:line>
      </w:pict>
    </w:r>
    <w:r>
      <w:pict w14:anchorId="36E8A74D">
        <v:shapetype id="_x0000_t202" coordsize="21600,21600" o:spt="202" path="m0,0l0,21600,21600,21600,21600,0xe">
          <v:stroke joinstyle="miter"/>
          <v:path gradientshapeok="t" o:connecttype="rect"/>
        </v:shapetype>
        <v:shape id="_x0000_s2116" type="#_x0000_t202" style="position:absolute;margin-left:341.7pt;margin-top:40.9pt;width:158.2pt;height:9.5pt;z-index:-89536;mso-position-horizontal-relative:page;mso-position-vertical-relative:page" filled="f" stroked="f">
          <v:textbox inset="0,0,0,0">
            <w:txbxContent>
              <w:p w14:paraId="306CEB2F" w14:textId="77777777" w:rsidR="00804E46" w:rsidRDefault="00804E46">
                <w:pPr>
                  <w:spacing w:before="1"/>
                  <w:ind w:left="20"/>
                  <w:rPr>
                    <w:sz w:val="15"/>
                  </w:rPr>
                </w:pPr>
                <w:r>
                  <w:rPr>
                    <w:color w:val="58595B"/>
                    <w:sz w:val="15"/>
                  </w:rPr>
                  <w:t>CHAPTER 14    MANAGING LEGACY RISKS</w:t>
                </w:r>
              </w:p>
            </w:txbxContent>
          </v:textbox>
          <w10:wrap anchorx="page" anchory="page"/>
        </v:shape>
      </w:pict>
    </w:r>
    <w:r>
      <w:pict w14:anchorId="1667061F">
        <v:shape id="_x0000_s2115" type="#_x0000_t202" style="position:absolute;margin-left:509.6pt;margin-top:40.9pt;width:16.85pt;height:9.5pt;z-index:-89512;mso-position-horizontal-relative:page;mso-position-vertical-relative:page" filled="f" stroked="f">
          <v:textbox inset="0,0,0,0">
            <w:txbxContent>
              <w:p w14:paraId="27B2CBC9"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259</w:t>
                </w:r>
                <w:r>
                  <w:fldChar w:fldCharType="end"/>
                </w:r>
              </w:p>
            </w:txbxContent>
          </v:textbox>
          <w10:wrap anchorx="page" anchory="page"/>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962820F" w14:textId="77777777" w:rsidR="00804E46" w:rsidRDefault="000638CB">
    <w:pPr>
      <w:pStyle w:val="BodyText"/>
      <w:spacing w:line="14" w:lineRule="auto"/>
    </w:pPr>
    <w:r>
      <w:pict w14:anchorId="6098D056">
        <v:line id="_x0000_s2171" style="position:absolute;z-index:-90856;mso-position-horizontal-relative:page;mso-position-vertical-relative:page" from="534.95pt,45.8pt" to="595.25pt,45.8pt" strokecolor="#0095a7" strokeweight="7pt">
          <w10:wrap anchorx="page" anchory="page"/>
        </v:line>
      </w:pict>
    </w:r>
    <w:r>
      <w:pict w14:anchorId="617D5E9D">
        <v:shapetype id="_x0000_t202" coordsize="21600,21600" o:spt="202" path="m0,0l0,21600,21600,21600,21600,0xe">
          <v:stroke joinstyle="miter"/>
          <v:path gradientshapeok="t" o:connecttype="rect"/>
        </v:shapetype>
        <v:shape id="_x0000_s2170" type="#_x0000_t202" style="position:absolute;margin-left:338.65pt;margin-top:40.9pt;width:161.25pt;height:9.5pt;z-index:-90832;mso-position-horizontal-relative:page;mso-position-vertical-relative:page" filled="f" stroked="f">
          <v:textbox inset="0,0,0,0">
            <w:txbxContent>
              <w:p w14:paraId="11A48FFA" w14:textId="77777777" w:rsidR="00804E46" w:rsidRDefault="00804E46">
                <w:pPr>
                  <w:spacing w:before="1"/>
                  <w:ind w:left="20"/>
                  <w:rPr>
                    <w:sz w:val="15"/>
                  </w:rPr>
                </w:pPr>
                <w:r>
                  <w:rPr>
                    <w:color w:val="58595B"/>
                    <w:sz w:val="15"/>
                  </w:rPr>
                  <w:t>CHAPTER 11    THE REGULATORY TOOLKIT</w:t>
                </w:r>
              </w:p>
            </w:txbxContent>
          </v:textbox>
          <w10:wrap anchorx="page" anchory="page"/>
        </v:shape>
      </w:pict>
    </w:r>
    <w:r>
      <w:pict w14:anchorId="21A3920A">
        <v:shape id="_x0000_s2169" type="#_x0000_t202" style="position:absolute;margin-left:510.2pt;margin-top:40.9pt;width:16pt;height:9.5pt;z-index:-90808;mso-position-horizontal-relative:page;mso-position-vertical-relative:page" filled="f" stroked="f">
          <v:textbox inset="0,0,0,0">
            <w:txbxContent>
              <w:p w14:paraId="76D36419" w14:textId="77777777" w:rsidR="00804E46" w:rsidRDefault="00804E46">
                <w:pPr>
                  <w:spacing w:before="1"/>
                  <w:ind w:left="40"/>
                  <w:rPr>
                    <w:sz w:val="15"/>
                  </w:rPr>
                </w:pPr>
                <w:r>
                  <w:rPr>
                    <w:color w:val="58595B"/>
                    <w:sz w:val="15"/>
                  </w:rPr>
                  <w:t>213</w:t>
                </w:r>
              </w:p>
            </w:txbxContent>
          </v:textbox>
          <w10:wrap anchorx="page" anchory="page"/>
        </v:shape>
      </w:pict>
    </w:r>
  </w:p>
</w:hdr>
</file>

<file path=word/header3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B59122C" w14:textId="77777777" w:rsidR="00804E46" w:rsidRDefault="000638CB">
    <w:pPr>
      <w:pStyle w:val="BodyText"/>
      <w:spacing w:line="14" w:lineRule="auto"/>
    </w:pPr>
    <w:r>
      <w:pict w14:anchorId="0962A23D">
        <v:line id="_x0000_s2114" style="position:absolute;z-index:-89488;mso-position-horizontal-relative:page;mso-position-vertical-relative:page" from="0,45.8pt" to="60.25pt,45.8pt" strokecolor="#0095a7" strokeweight="7pt">
          <w10:wrap anchorx="page" anchory="page"/>
        </v:line>
      </w:pict>
    </w:r>
    <w:r>
      <w:pict w14:anchorId="27F6C2DF">
        <v:shapetype id="_x0000_t202" coordsize="21600,21600" o:spt="202" path="m0,0l0,21600,21600,21600,21600,0xe">
          <v:stroke joinstyle="miter"/>
          <v:path gradientshapeok="t" o:connecttype="rect"/>
        </v:shapetype>
        <v:shape id="_x0000_s2113" type="#_x0000_t202" style="position:absolute;margin-left:68.85pt;margin-top:40.9pt;width:16.9pt;height:9.5pt;z-index:-89464;mso-position-horizontal-relative:page;mso-position-vertical-relative:page" filled="f" stroked="f">
          <v:textbox inset="0,0,0,0">
            <w:txbxContent>
              <w:p w14:paraId="7B0282C8"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262</w:t>
                </w:r>
                <w:r>
                  <w:fldChar w:fldCharType="end"/>
                </w:r>
              </w:p>
            </w:txbxContent>
          </v:textbox>
          <w10:wrap anchorx="page" anchory="page"/>
        </v:shape>
      </w:pict>
    </w:r>
    <w:r>
      <w:pict w14:anchorId="409EAE24">
        <v:shape id="_x0000_s2112" type="#_x0000_t202" style="position:absolute;margin-left:95.35pt;margin-top:40.9pt;width:147.8pt;height:9.5pt;z-index:-89440;mso-position-horizontal-relative:page;mso-position-vertical-relative:page" filled="f" stroked="f">
          <v:textbox inset="0,0,0,0">
            <w:txbxContent>
              <w:p w14:paraId="449515D0"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3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7E3EE2" w14:textId="77777777" w:rsidR="00804E46" w:rsidRDefault="000638CB">
    <w:pPr>
      <w:pStyle w:val="BodyText"/>
      <w:spacing w:line="14" w:lineRule="auto"/>
    </w:pPr>
    <w:r>
      <w:pict w14:anchorId="228B7FB5">
        <v:line id="_x0000_s2111" style="position:absolute;z-index:-89416;mso-position-horizontal-relative:page;mso-position-vertical-relative:page" from="534.95pt,45.8pt" to="595.25pt,45.8pt" strokecolor="#0095a7" strokeweight="7pt">
          <w10:wrap anchorx="page" anchory="page"/>
        </v:line>
      </w:pict>
    </w:r>
    <w:r>
      <w:pict w14:anchorId="5CAF1A6B">
        <v:shapetype id="_x0000_t202" coordsize="21600,21600" o:spt="202" path="m0,0l0,21600,21600,21600,21600,0xe">
          <v:stroke joinstyle="miter"/>
          <v:path gradientshapeok="t" o:connecttype="rect"/>
        </v:shapetype>
        <v:shape id="_x0000_s2110" type="#_x0000_t202" style="position:absolute;margin-left:341.7pt;margin-top:40.9pt;width:158.2pt;height:9.5pt;z-index:-89392;mso-position-horizontal-relative:page;mso-position-vertical-relative:page" filled="f" stroked="f">
          <v:textbox inset="0,0,0,0">
            <w:txbxContent>
              <w:p w14:paraId="14B1CE43" w14:textId="77777777" w:rsidR="00804E46" w:rsidRDefault="00804E46">
                <w:pPr>
                  <w:spacing w:before="1"/>
                  <w:ind w:left="20"/>
                  <w:rPr>
                    <w:sz w:val="15"/>
                  </w:rPr>
                </w:pPr>
                <w:r>
                  <w:rPr>
                    <w:color w:val="58595B"/>
                    <w:sz w:val="15"/>
                  </w:rPr>
                  <w:t>CHAPTER 14    MANAGING LEGACY RISKS</w:t>
                </w:r>
              </w:p>
            </w:txbxContent>
          </v:textbox>
          <w10:wrap anchorx="page" anchory="page"/>
        </v:shape>
      </w:pict>
    </w:r>
    <w:r>
      <w:pict w14:anchorId="449568A4">
        <v:shape id="_x0000_s2109" type="#_x0000_t202" style="position:absolute;margin-left:509.85pt;margin-top:40.9pt;width:16.45pt;height:9.5pt;z-index:-89368;mso-position-horizontal-relative:page;mso-position-vertical-relative:page" filled="f" stroked="f">
          <v:textbox inset="0,0,0,0">
            <w:txbxContent>
              <w:p w14:paraId="087872C0"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263</w:t>
                </w:r>
                <w:r>
                  <w:fldChar w:fldCharType="end"/>
                </w:r>
              </w:p>
            </w:txbxContent>
          </v:textbox>
          <w10:wrap anchorx="page" anchory="page"/>
        </v:shape>
      </w:pict>
    </w:r>
  </w:p>
</w:hdr>
</file>

<file path=word/header3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89D8D3F" w14:textId="77777777" w:rsidR="00804E46" w:rsidRDefault="00804E46">
    <w:pPr>
      <w:pStyle w:val="BodyText"/>
      <w:spacing w:line="14" w:lineRule="auto"/>
      <w:rPr>
        <w:sz w:val="2"/>
      </w:rPr>
    </w:pPr>
  </w:p>
</w:hdr>
</file>

<file path=word/header3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938462D" w14:textId="77777777" w:rsidR="00804E46" w:rsidRDefault="00804E46">
    <w:pPr>
      <w:pStyle w:val="BodyText"/>
      <w:spacing w:line="14" w:lineRule="auto"/>
      <w:rPr>
        <w:sz w:val="2"/>
      </w:rPr>
    </w:pPr>
  </w:p>
</w:hdr>
</file>

<file path=word/header3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86C2179" w14:textId="77777777" w:rsidR="00804E46" w:rsidRDefault="00804E46">
    <w:pPr>
      <w:pStyle w:val="BodyText"/>
      <w:spacing w:line="14" w:lineRule="auto"/>
      <w:rPr>
        <w:sz w:val="2"/>
      </w:rPr>
    </w:pPr>
  </w:p>
</w:hdr>
</file>

<file path=word/header3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5A2AEC8" w14:textId="77777777" w:rsidR="00804E46" w:rsidRDefault="000638CB">
    <w:pPr>
      <w:pStyle w:val="BodyText"/>
      <w:spacing w:line="14" w:lineRule="auto"/>
    </w:pPr>
    <w:r>
      <w:pict w14:anchorId="32DC3964">
        <v:line id="_x0000_s2108" style="position:absolute;z-index:-89344;mso-position-horizontal-relative:page;mso-position-vertical-relative:page" from="0,45.8pt" to="60.25pt,45.8pt" strokecolor="#0095a7" strokeweight="7pt">
          <w10:wrap anchorx="page" anchory="page"/>
        </v:line>
      </w:pict>
    </w:r>
    <w:r>
      <w:pict w14:anchorId="459274B0">
        <v:shapetype id="_x0000_t202" coordsize="21600,21600" o:spt="202" path="m0,0l0,21600,21600,21600,21600,0xe">
          <v:stroke joinstyle="miter"/>
          <v:path gradientshapeok="t" o:connecttype="rect"/>
        </v:shapetype>
        <v:shape id="_x0000_s2107" type="#_x0000_t202" style="position:absolute;margin-left:68.85pt;margin-top:40.9pt;width:16.9pt;height:9.5pt;z-index:-89320;mso-position-horizontal-relative:page;mso-position-vertical-relative:page" filled="f" stroked="f">
          <v:textbox inset="0,0,0,0">
            <w:txbxContent>
              <w:p w14:paraId="4070A9E8"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268</w:t>
                </w:r>
                <w:r>
                  <w:fldChar w:fldCharType="end"/>
                </w:r>
              </w:p>
            </w:txbxContent>
          </v:textbox>
          <w10:wrap anchorx="page" anchory="page"/>
        </v:shape>
      </w:pict>
    </w:r>
    <w:r>
      <w:pict w14:anchorId="1E936918">
        <v:shape id="_x0000_s2106" type="#_x0000_t202" style="position:absolute;margin-left:95.35pt;margin-top:40.9pt;width:147.8pt;height:9.5pt;z-index:-89296;mso-position-horizontal-relative:page;mso-position-vertical-relative:page" filled="f" stroked="f">
          <v:textbox inset="0,0,0,0">
            <w:txbxContent>
              <w:p w14:paraId="6B6FD263"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3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9229A53" w14:textId="77777777" w:rsidR="00804E46" w:rsidRDefault="000638CB">
    <w:pPr>
      <w:pStyle w:val="BodyText"/>
      <w:spacing w:line="14" w:lineRule="auto"/>
    </w:pPr>
    <w:r>
      <w:pict w14:anchorId="18337970">
        <v:line id="_x0000_s2105" style="position:absolute;z-index:-89272;mso-position-horizontal-relative:page;mso-position-vertical-relative:page" from="534.95pt,45.8pt" to="595.25pt,45.8pt" strokecolor="#0095a7" strokeweight="7pt">
          <w10:wrap anchorx="page" anchory="page"/>
        </v:line>
      </w:pict>
    </w:r>
    <w:r>
      <w:pict w14:anchorId="09C68E9D">
        <v:shapetype id="_x0000_t202" coordsize="21600,21600" o:spt="202" path="m0,0l0,21600,21600,21600,21600,0xe">
          <v:stroke joinstyle="miter"/>
          <v:path gradientshapeok="t" o:connecttype="rect"/>
        </v:shapetype>
        <v:shape id="_x0000_s2104" type="#_x0000_t202" style="position:absolute;margin-left:278.85pt;margin-top:40.9pt;width:221.05pt;height:9.5pt;z-index:-89248;mso-position-horizontal-relative:page;mso-position-vertical-relative:page" filled="f" stroked="f">
          <v:textbox inset="0,0,0,0">
            <w:txbxContent>
              <w:p w14:paraId="27A83E8C" w14:textId="77777777" w:rsidR="00804E46" w:rsidRDefault="00804E46">
                <w:pPr>
                  <w:spacing w:before="1"/>
                  <w:ind w:left="20"/>
                  <w:rPr>
                    <w:sz w:val="15"/>
                  </w:rPr>
                </w:pPr>
                <w:r>
                  <w:rPr>
                    <w:color w:val="58595B"/>
                    <w:sz w:val="15"/>
                  </w:rPr>
                  <w:t>CHAPTER 15    A NEW APPROACH TO STANDARD SETTING</w:t>
                </w:r>
              </w:p>
            </w:txbxContent>
          </v:textbox>
          <w10:wrap anchorx="page" anchory="page"/>
        </v:shape>
      </w:pict>
    </w:r>
    <w:r>
      <w:pict w14:anchorId="2159D71B">
        <v:shape id="_x0000_s2103" type="#_x0000_t202" style="position:absolute;margin-left:509.55pt;margin-top:40.9pt;width:16.9pt;height:9.5pt;z-index:-89224;mso-position-horizontal-relative:page;mso-position-vertical-relative:page" filled="f" stroked="f">
          <v:textbox inset="0,0,0,0">
            <w:txbxContent>
              <w:p w14:paraId="13951B8F"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269</w:t>
                </w:r>
                <w:r>
                  <w:fldChar w:fldCharType="end"/>
                </w:r>
              </w:p>
            </w:txbxContent>
          </v:textbox>
          <w10:wrap anchorx="page" anchory="page"/>
        </v:shape>
      </w:pict>
    </w:r>
  </w:p>
</w:hdr>
</file>

<file path=word/header3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1B0B57A" w14:textId="77777777" w:rsidR="00804E46" w:rsidRDefault="000638CB">
    <w:pPr>
      <w:pStyle w:val="BodyText"/>
      <w:spacing w:line="14" w:lineRule="auto"/>
    </w:pPr>
    <w:r>
      <w:pict w14:anchorId="0E9DF7E2">
        <v:line id="_x0000_s2099" style="position:absolute;z-index:-89128;mso-position-horizontal-relative:page;mso-position-vertical-relative:page" from="534.95pt,45.8pt" to="595.25pt,45.8pt" strokecolor="#0095a7" strokeweight="7pt">
          <w10:wrap anchorx="page" anchory="page"/>
        </v:line>
      </w:pict>
    </w:r>
    <w:r>
      <w:pict w14:anchorId="5D3B611B">
        <v:shapetype id="_x0000_t202" coordsize="21600,21600" o:spt="202" path="m0,0l0,21600,21600,21600,21600,0xe">
          <v:stroke joinstyle="miter"/>
          <v:path gradientshapeok="t" o:connecttype="rect"/>
        </v:shapetype>
        <v:shape id="_x0000_s2098" type="#_x0000_t202" style="position:absolute;margin-left:278.85pt;margin-top:40.9pt;width:221.05pt;height:9.5pt;z-index:-89104;mso-position-horizontal-relative:page;mso-position-vertical-relative:page" filled="f" stroked="f">
          <v:textbox inset="0,0,0,0">
            <w:txbxContent>
              <w:p w14:paraId="33EB9AEA" w14:textId="77777777" w:rsidR="00804E46" w:rsidRDefault="00804E46">
                <w:pPr>
                  <w:spacing w:before="1"/>
                  <w:ind w:left="20"/>
                  <w:rPr>
                    <w:sz w:val="15"/>
                  </w:rPr>
                </w:pPr>
                <w:r>
                  <w:rPr>
                    <w:color w:val="58595B"/>
                    <w:sz w:val="15"/>
                  </w:rPr>
                  <w:t>CHAPTER 15    A NEW APPROACH TO STANDARD SETTING</w:t>
                </w:r>
              </w:p>
            </w:txbxContent>
          </v:textbox>
          <w10:wrap anchorx="page" anchory="page"/>
        </v:shape>
      </w:pict>
    </w:r>
    <w:r>
      <w:pict w14:anchorId="4A093800">
        <v:shape id="_x0000_s2097" type="#_x0000_t202" style="position:absolute;margin-left:510.1pt;margin-top:40.9pt;width:16.05pt;height:9.5pt;z-index:-89080;mso-position-horizontal-relative:page;mso-position-vertical-relative:page" filled="f" stroked="f">
          <v:textbox inset="0,0,0,0">
            <w:txbxContent>
              <w:p w14:paraId="2F16EF83" w14:textId="77777777" w:rsidR="00804E46" w:rsidRDefault="00804E46">
                <w:pPr>
                  <w:spacing w:before="1"/>
                  <w:ind w:left="40"/>
                  <w:rPr>
                    <w:sz w:val="15"/>
                  </w:rPr>
                </w:pPr>
                <w:r>
                  <w:rPr>
                    <w:color w:val="58595B"/>
                    <w:sz w:val="15"/>
                  </w:rPr>
                  <w:t>271</w:t>
                </w:r>
              </w:p>
            </w:txbxContent>
          </v:textbox>
          <w10:wrap anchorx="page" anchory="page"/>
        </v:shape>
      </w:pict>
    </w:r>
  </w:p>
</w:hdr>
</file>

<file path=word/header3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19DC056" w14:textId="77777777" w:rsidR="00804E46" w:rsidRDefault="000638CB">
    <w:pPr>
      <w:pStyle w:val="BodyText"/>
      <w:spacing w:line="14" w:lineRule="auto"/>
    </w:pPr>
    <w:r>
      <w:pict w14:anchorId="5EB6471E">
        <v:line id="_x0000_s2102" style="position:absolute;z-index:-89200;mso-position-horizontal-relative:page;mso-position-vertical-relative:page" from="0,45.8pt" to="60.25pt,45.8pt" strokecolor="#0095a7" strokeweight="7pt">
          <w10:wrap anchorx="page" anchory="page"/>
        </v:line>
      </w:pict>
    </w:r>
    <w:r>
      <w:pict w14:anchorId="11D3320D">
        <v:shapetype id="_x0000_t202" coordsize="21600,21600" o:spt="202" path="m0,0l0,21600,21600,21600,21600,0xe">
          <v:stroke joinstyle="miter"/>
          <v:path gradientshapeok="t" o:connecttype="rect"/>
        </v:shapetype>
        <v:shape id="_x0000_s2101" type="#_x0000_t202" style="position:absolute;margin-left:69.85pt;margin-top:40.9pt;width:14.55pt;height:9.5pt;z-index:-89176;mso-position-horizontal-relative:page;mso-position-vertical-relative:page" filled="f" stroked="f">
          <v:textbox inset="0,0,0,0">
            <w:txbxContent>
              <w:p w14:paraId="24E56F2E" w14:textId="77777777" w:rsidR="00804E46" w:rsidRDefault="00804E46">
                <w:pPr>
                  <w:spacing w:before="1"/>
                  <w:ind w:left="20"/>
                  <w:rPr>
                    <w:sz w:val="15"/>
                  </w:rPr>
                </w:pPr>
                <w:r>
                  <w:rPr>
                    <w:color w:val="58595B"/>
                    <w:sz w:val="15"/>
                  </w:rPr>
                  <w:t>270</w:t>
                </w:r>
              </w:p>
            </w:txbxContent>
          </v:textbox>
          <w10:wrap anchorx="page" anchory="page"/>
        </v:shape>
      </w:pict>
    </w:r>
    <w:r>
      <w:pict w14:anchorId="6E33E2A1">
        <v:shape id="_x0000_s2100" type="#_x0000_t202" style="position:absolute;margin-left:95.35pt;margin-top:40.9pt;width:147.8pt;height:9.5pt;z-index:-89152;mso-position-horizontal-relative:page;mso-position-vertical-relative:page" filled="f" stroked="f">
          <v:textbox inset="0,0,0,0">
            <w:txbxContent>
              <w:p w14:paraId="09CD3497"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3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30789CD" w14:textId="77777777" w:rsidR="00804E46" w:rsidRDefault="000638CB">
    <w:pPr>
      <w:pStyle w:val="BodyText"/>
      <w:spacing w:line="14" w:lineRule="auto"/>
    </w:pPr>
    <w:r>
      <w:pict w14:anchorId="578A2662">
        <v:line id="_x0000_s2096" style="position:absolute;z-index:-89056;mso-position-horizontal-relative:page;mso-position-vertical-relative:page" from="0,45.8pt" to="60.25pt,45.8pt" strokecolor="#0095a7" strokeweight="7pt">
          <w10:wrap anchorx="page" anchory="page"/>
        </v:line>
      </w:pict>
    </w:r>
    <w:r>
      <w:pict w14:anchorId="69EF6D05">
        <v:shapetype id="_x0000_t202" coordsize="21600,21600" o:spt="202" path="m0,0l0,21600,21600,21600,21600,0xe">
          <v:stroke joinstyle="miter"/>
          <v:path gradientshapeok="t" o:connecttype="rect"/>
        </v:shapetype>
        <v:shape id="_x0000_s2095" type="#_x0000_t202" style="position:absolute;margin-left:69.85pt;margin-top:40.9pt;width:14.7pt;height:9.5pt;z-index:-89032;mso-position-horizontal-relative:page;mso-position-vertical-relative:page" filled="f" stroked="f">
          <v:textbox inset="0,0,0,0">
            <w:txbxContent>
              <w:p w14:paraId="7D08CD03" w14:textId="77777777" w:rsidR="00804E46" w:rsidRDefault="00804E46">
                <w:pPr>
                  <w:spacing w:before="1"/>
                  <w:ind w:left="20"/>
                  <w:rPr>
                    <w:sz w:val="15"/>
                  </w:rPr>
                </w:pPr>
                <w:r>
                  <w:rPr>
                    <w:color w:val="58595B"/>
                    <w:sz w:val="15"/>
                  </w:rPr>
                  <w:t>272</w:t>
                </w:r>
              </w:p>
            </w:txbxContent>
          </v:textbox>
          <w10:wrap anchorx="page" anchory="page"/>
        </v:shape>
      </w:pict>
    </w:r>
    <w:r>
      <w:pict w14:anchorId="2136367B">
        <v:shape id="_x0000_s2094" type="#_x0000_t202" style="position:absolute;margin-left:95.35pt;margin-top:40.9pt;width:147.8pt;height:9.5pt;z-index:-89008;mso-position-horizontal-relative:page;mso-position-vertical-relative:page" filled="f" stroked="f">
          <v:textbox inset="0,0,0,0">
            <w:txbxContent>
              <w:p w14:paraId="0E6572F1"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137CB1A" w14:textId="77777777" w:rsidR="00804E46" w:rsidRDefault="000638CB">
    <w:pPr>
      <w:pStyle w:val="BodyText"/>
      <w:spacing w:line="14" w:lineRule="auto"/>
    </w:pPr>
    <w:r>
      <w:pict w14:anchorId="1B265DC8">
        <v:line id="_x0000_s2174" style="position:absolute;z-index:-90928;mso-position-horizontal-relative:page;mso-position-vertical-relative:page" from="0,45.8pt" to="60.25pt,45.8pt" strokecolor="#0095a7" strokeweight="7pt">
          <w10:wrap anchorx="page" anchory="page"/>
        </v:line>
      </w:pict>
    </w:r>
    <w:r>
      <w:pict w14:anchorId="29E87476">
        <v:shapetype id="_x0000_t202" coordsize="21600,21600" o:spt="202" path="m0,0l0,21600,21600,21600,21600,0xe">
          <v:stroke joinstyle="miter"/>
          <v:path gradientshapeok="t" o:connecttype="rect"/>
        </v:shapetype>
        <v:shape id="_x0000_s2173" type="#_x0000_t202" style="position:absolute;margin-left:69.85pt;margin-top:40.9pt;width:14.25pt;height:9.5pt;z-index:-90904;mso-position-horizontal-relative:page;mso-position-vertical-relative:page" filled="f" stroked="f">
          <v:textbox inset="0,0,0,0">
            <w:txbxContent>
              <w:p w14:paraId="57010F6A" w14:textId="77777777" w:rsidR="00804E46" w:rsidRDefault="00804E46">
                <w:pPr>
                  <w:spacing w:before="1"/>
                  <w:ind w:left="20" w:right="-6"/>
                  <w:rPr>
                    <w:sz w:val="15"/>
                  </w:rPr>
                </w:pPr>
                <w:r>
                  <w:rPr>
                    <w:color w:val="58595B"/>
                    <w:sz w:val="15"/>
                  </w:rPr>
                  <w:t>210</w:t>
                </w:r>
              </w:p>
            </w:txbxContent>
          </v:textbox>
          <w10:wrap anchorx="page" anchory="page"/>
        </v:shape>
      </w:pict>
    </w:r>
    <w:r>
      <w:pict w14:anchorId="55C88C30">
        <v:shape id="_x0000_s2172" type="#_x0000_t202" style="position:absolute;margin-left:95.35pt;margin-top:40.9pt;width:147.8pt;height:9.5pt;z-index:-90880;mso-position-horizontal-relative:page;mso-position-vertical-relative:page" filled="f" stroked="f">
          <v:textbox inset="0,0,0,0">
            <w:txbxContent>
              <w:p w14:paraId="031AA6D5"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4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9D984B" w14:textId="77777777" w:rsidR="00804E46" w:rsidRDefault="00804E46">
    <w:pPr>
      <w:pStyle w:val="BodyText"/>
      <w:spacing w:line="14" w:lineRule="auto"/>
      <w:rPr>
        <w:sz w:val="2"/>
      </w:rPr>
    </w:pPr>
  </w:p>
</w:hdr>
</file>

<file path=word/header4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E4066E8" w14:textId="77777777" w:rsidR="00804E46" w:rsidRDefault="00804E46">
    <w:pPr>
      <w:pStyle w:val="BodyText"/>
      <w:spacing w:line="14" w:lineRule="auto"/>
      <w:rPr>
        <w:sz w:val="2"/>
      </w:rPr>
    </w:pPr>
  </w:p>
</w:hdr>
</file>

<file path=word/header4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61D3E5" w14:textId="77777777" w:rsidR="00804E46" w:rsidRDefault="00804E46">
    <w:pPr>
      <w:pStyle w:val="BodyText"/>
      <w:spacing w:line="14" w:lineRule="auto"/>
      <w:rPr>
        <w:sz w:val="2"/>
      </w:rPr>
    </w:pPr>
  </w:p>
</w:hdr>
</file>

<file path=word/header4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C5900DF" w14:textId="77777777" w:rsidR="00804E46" w:rsidRDefault="000638CB">
    <w:pPr>
      <w:pStyle w:val="BodyText"/>
      <w:spacing w:line="14" w:lineRule="auto"/>
    </w:pPr>
    <w:r>
      <w:pict w14:anchorId="37D4C21C">
        <v:line id="_x0000_s2093" style="position:absolute;z-index:-88984;mso-position-horizontal-relative:page;mso-position-vertical-relative:page" from="0,45.8pt" to="60.25pt,45.8pt" strokecolor="#0095a7" strokeweight="7pt">
          <w10:wrap anchorx="page" anchory="page"/>
        </v:line>
      </w:pict>
    </w:r>
    <w:r>
      <w:pict w14:anchorId="78277333">
        <v:shapetype id="_x0000_t202" coordsize="21600,21600" o:spt="202" path="m0,0l0,21600,21600,21600,21600,0xe">
          <v:stroke joinstyle="miter"/>
          <v:path gradientshapeok="t" o:connecttype="rect"/>
        </v:shapetype>
        <v:shape id="_x0000_s2092" type="#_x0000_t202" style="position:absolute;margin-left:68.85pt;margin-top:40.9pt;width:16.6pt;height:9.5pt;z-index:-88960;mso-position-horizontal-relative:page;mso-position-vertical-relative:page" filled="f" stroked="f">
          <v:textbox inset="0,0,0,0">
            <w:txbxContent>
              <w:p w14:paraId="7CB720AB"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278</w:t>
                </w:r>
                <w:r>
                  <w:fldChar w:fldCharType="end"/>
                </w:r>
              </w:p>
            </w:txbxContent>
          </v:textbox>
          <w10:wrap anchorx="page" anchory="page"/>
        </v:shape>
      </w:pict>
    </w:r>
    <w:r>
      <w:pict w14:anchorId="1C7B733A">
        <v:shape id="_x0000_s2091" type="#_x0000_t202" style="position:absolute;margin-left:95.35pt;margin-top:40.9pt;width:147.8pt;height:9.5pt;z-index:-88936;mso-position-horizontal-relative:page;mso-position-vertical-relative:page" filled="f" stroked="f">
          <v:textbox inset="0,0,0,0">
            <w:txbxContent>
              <w:p w14:paraId="2FCE3E8E"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4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DAACB40" w14:textId="77777777" w:rsidR="00804E46" w:rsidRDefault="000638CB">
    <w:pPr>
      <w:pStyle w:val="BodyText"/>
      <w:spacing w:line="14" w:lineRule="auto"/>
    </w:pPr>
    <w:r>
      <w:pict w14:anchorId="470029BF">
        <v:line id="_x0000_s2090" style="position:absolute;z-index:-88912;mso-position-horizontal-relative:page;mso-position-vertical-relative:page" from="534.95pt,45.8pt" to="595.25pt,45.8pt" strokecolor="#0095a7" strokeweight="7pt">
          <w10:wrap anchorx="page" anchory="page"/>
        </v:line>
      </w:pict>
    </w:r>
    <w:r>
      <w:pict w14:anchorId="6C4E6EA2">
        <v:shapetype id="_x0000_t202" coordsize="21600,21600" o:spt="202" path="m0,0l0,21600,21600,21600,21600,0xe">
          <v:stroke joinstyle="miter"/>
          <v:path gradientshapeok="t" o:connecttype="rect"/>
        </v:shapetype>
        <v:shape id="_x0000_s2089" type="#_x0000_t202" style="position:absolute;margin-left:261.15pt;margin-top:40.9pt;width:238.75pt;height:9.5pt;z-index:-88888;mso-position-horizontal-relative:page;mso-position-vertical-relative:page" filled="f" stroked="f">
          <v:textbox inset="0,0,0,0">
            <w:txbxContent>
              <w:p w14:paraId="16A4EC32" w14:textId="77777777" w:rsidR="00804E46" w:rsidRDefault="00804E46">
                <w:pPr>
                  <w:spacing w:before="1"/>
                  <w:ind w:left="20"/>
                  <w:rPr>
                    <w:sz w:val="15"/>
                  </w:rPr>
                </w:pPr>
                <w:r>
                  <w:rPr>
                    <w:color w:val="58595B"/>
                    <w:sz w:val="15"/>
                  </w:rPr>
                  <w:t>CHAPTER 16    DEPLOYING A WIDER RANGE OF INSTRUMENTS</w:t>
                </w:r>
              </w:p>
            </w:txbxContent>
          </v:textbox>
          <w10:wrap anchorx="page" anchory="page"/>
        </v:shape>
      </w:pict>
    </w:r>
    <w:r>
      <w:pict w14:anchorId="17F72C6C">
        <v:shape id="_x0000_s2088" type="#_x0000_t202" style="position:absolute;margin-left:509.65pt;margin-top:40.9pt;width:16.8pt;height:9.5pt;z-index:-88864;mso-position-horizontal-relative:page;mso-position-vertical-relative:page" filled="f" stroked="f">
          <v:textbox inset="0,0,0,0">
            <w:txbxContent>
              <w:p w14:paraId="0E216243"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279</w:t>
                </w:r>
                <w:r>
                  <w:fldChar w:fldCharType="end"/>
                </w:r>
              </w:p>
            </w:txbxContent>
          </v:textbox>
          <w10:wrap anchorx="page" anchory="page"/>
        </v:shape>
      </w:pict>
    </w:r>
  </w:p>
</w:hdr>
</file>

<file path=word/header4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E65FA7E" w14:textId="77777777" w:rsidR="00804E46" w:rsidRDefault="000638CB">
    <w:pPr>
      <w:pStyle w:val="BodyText"/>
      <w:spacing w:line="14" w:lineRule="auto"/>
    </w:pPr>
    <w:r>
      <w:pict w14:anchorId="006FF08C">
        <v:line id="_x0000_s2087" style="position:absolute;z-index:-88840;mso-position-horizontal-relative:page;mso-position-vertical-relative:page" from="0,45.8pt" to="60.25pt,45.8pt" strokecolor="#0095a7" strokeweight="7pt">
          <w10:wrap anchorx="page" anchory="page"/>
        </v:line>
      </w:pict>
    </w:r>
    <w:r>
      <w:pict w14:anchorId="616BDF02">
        <v:shapetype id="_x0000_t202" coordsize="21600,21600" o:spt="202" path="m0,0l0,21600,21600,21600,21600,0xe">
          <v:stroke joinstyle="miter"/>
          <v:path gradientshapeok="t" o:connecttype="rect"/>
        </v:shapetype>
        <v:shape id="_x0000_s2086" type="#_x0000_t202" style="position:absolute;margin-left:68.85pt;margin-top:40.9pt;width:16.9pt;height:9.5pt;z-index:-88816;mso-position-horizontal-relative:page;mso-position-vertical-relative:page" filled="f" stroked="f">
          <v:textbox inset="0,0,0,0">
            <w:txbxContent>
              <w:p w14:paraId="2FE14985"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282</w:t>
                </w:r>
                <w:r>
                  <w:fldChar w:fldCharType="end"/>
                </w:r>
              </w:p>
            </w:txbxContent>
          </v:textbox>
          <w10:wrap anchorx="page" anchory="page"/>
        </v:shape>
      </w:pict>
    </w:r>
    <w:r>
      <w:pict w14:anchorId="025739C1">
        <v:shape id="_x0000_s2085" type="#_x0000_t202" style="position:absolute;margin-left:95.35pt;margin-top:40.9pt;width:147.8pt;height:9.5pt;z-index:-88792;mso-position-horizontal-relative:page;mso-position-vertical-relative:page" filled="f" stroked="f">
          <v:textbox inset="0,0,0,0">
            <w:txbxContent>
              <w:p w14:paraId="32734BBC"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4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B2179E8" w14:textId="77777777" w:rsidR="00804E46" w:rsidRDefault="000638CB">
    <w:pPr>
      <w:pStyle w:val="BodyText"/>
      <w:spacing w:line="14" w:lineRule="auto"/>
    </w:pPr>
    <w:r>
      <w:pict w14:anchorId="674F60E0">
        <v:line id="_x0000_s2084" style="position:absolute;z-index:-88768;mso-position-horizontal-relative:page;mso-position-vertical-relative:page" from="534.95pt,45.8pt" to="595.25pt,45.8pt" strokecolor="#0095a7" strokeweight="7pt">
          <w10:wrap anchorx="page" anchory="page"/>
        </v:line>
      </w:pict>
    </w:r>
    <w:r>
      <w:pict w14:anchorId="6B446151">
        <v:shapetype id="_x0000_t202" coordsize="21600,21600" o:spt="202" path="m0,0l0,21600,21600,21600,21600,0xe">
          <v:stroke joinstyle="miter"/>
          <v:path gradientshapeok="t" o:connecttype="rect"/>
        </v:shapetype>
        <v:shape id="_x0000_s2083" type="#_x0000_t202" style="position:absolute;margin-left:261.15pt;margin-top:40.9pt;width:238.75pt;height:9.5pt;z-index:-88744;mso-position-horizontal-relative:page;mso-position-vertical-relative:page" filled="f" stroked="f">
          <v:textbox inset="0,0,0,0">
            <w:txbxContent>
              <w:p w14:paraId="3DDF371D" w14:textId="77777777" w:rsidR="00804E46" w:rsidRDefault="00804E46">
                <w:pPr>
                  <w:spacing w:before="1"/>
                  <w:ind w:left="20"/>
                  <w:rPr>
                    <w:sz w:val="15"/>
                  </w:rPr>
                </w:pPr>
                <w:r>
                  <w:rPr>
                    <w:color w:val="58595B"/>
                    <w:sz w:val="15"/>
                  </w:rPr>
                  <w:t>CHAPTER 16    DEPLOYING A WIDER RANGE OF INSTRUMENTS</w:t>
                </w:r>
              </w:p>
            </w:txbxContent>
          </v:textbox>
          <w10:wrap anchorx="page" anchory="page"/>
        </v:shape>
      </w:pict>
    </w:r>
    <w:r>
      <w:pict w14:anchorId="39565F81">
        <v:shape id="_x0000_s2082" type="#_x0000_t202" style="position:absolute;margin-left:510.95pt;margin-top:40.9pt;width:14.3pt;height:9.5pt;z-index:-88720;mso-position-horizontal-relative:page;mso-position-vertical-relative:page" filled="f" stroked="f">
          <v:textbox inset="0,0,0,0">
            <w:txbxContent>
              <w:p w14:paraId="66D74B38" w14:textId="77777777" w:rsidR="00804E46" w:rsidRDefault="00804E46">
                <w:pPr>
                  <w:spacing w:before="1"/>
                  <w:ind w:left="20" w:right="-5"/>
                  <w:rPr>
                    <w:sz w:val="15"/>
                  </w:rPr>
                </w:pPr>
                <w:r>
                  <w:rPr>
                    <w:color w:val="58595B"/>
                    <w:sz w:val="15"/>
                  </w:rPr>
                  <w:t>281</w:t>
                </w:r>
              </w:p>
            </w:txbxContent>
          </v:textbox>
          <w10:wrap anchorx="page" anchory="page"/>
        </v:shape>
      </w:pict>
    </w:r>
  </w:p>
</w:hdr>
</file>

<file path=word/header4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E764D0D" w14:textId="77777777" w:rsidR="00804E46" w:rsidRDefault="000638CB">
    <w:pPr>
      <w:pStyle w:val="BodyText"/>
      <w:spacing w:line="14" w:lineRule="auto"/>
    </w:pPr>
    <w:r>
      <w:pict w14:anchorId="419AB41A">
        <v:line id="_x0000_s2078" style="position:absolute;z-index:-88624;mso-position-horizontal-relative:page;mso-position-vertical-relative:page" from="0,45.8pt" to="60.25pt,45.8pt" strokecolor="#0095a7" strokeweight="7pt">
          <w10:wrap anchorx="page" anchory="page"/>
        </v:line>
      </w:pict>
    </w:r>
    <w:r>
      <w:pict w14:anchorId="66FC13EC">
        <v:shapetype id="_x0000_t202" coordsize="21600,21600" o:spt="202" path="m0,0l0,21600,21600,21600,21600,0xe">
          <v:stroke joinstyle="miter"/>
          <v:path gradientshapeok="t" o:connecttype="rect"/>
        </v:shapetype>
        <v:shape id="_x0000_s2077" type="#_x0000_t202" style="position:absolute;margin-left:68.85pt;margin-top:40.9pt;width:16.9pt;height:9.5pt;z-index:-88600;mso-position-horizontal-relative:page;mso-position-vertical-relative:page" filled="f" stroked="f">
          <v:textbox inset="0,0,0,0">
            <w:txbxContent>
              <w:p w14:paraId="1D614F4E"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290</w:t>
                </w:r>
                <w:r>
                  <w:fldChar w:fldCharType="end"/>
                </w:r>
              </w:p>
            </w:txbxContent>
          </v:textbox>
          <w10:wrap anchorx="page" anchory="page"/>
        </v:shape>
      </w:pict>
    </w:r>
    <w:r>
      <w:pict w14:anchorId="6F9533B3">
        <v:shape id="_x0000_s2076" type="#_x0000_t202" style="position:absolute;margin-left:95.35pt;margin-top:40.9pt;width:147.8pt;height:9.5pt;z-index:-88576;mso-position-horizontal-relative:page;mso-position-vertical-relative:page" filled="f" stroked="f">
          <v:textbox inset="0,0,0,0">
            <w:txbxContent>
              <w:p w14:paraId="6D9062EB"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4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615DC06" w14:textId="77777777" w:rsidR="00804E46" w:rsidRDefault="000638CB">
    <w:pPr>
      <w:pStyle w:val="BodyText"/>
      <w:spacing w:line="14" w:lineRule="auto"/>
    </w:pPr>
    <w:r>
      <w:pict w14:anchorId="49ED5A9B">
        <v:line id="_x0000_s2081" style="position:absolute;z-index:-88696;mso-position-horizontal-relative:page;mso-position-vertical-relative:page" from="534.95pt,45.8pt" to="595.25pt,45.8pt" strokecolor="#0095a7" strokeweight="7pt">
          <w10:wrap anchorx="page" anchory="page"/>
        </v:line>
      </w:pict>
    </w:r>
    <w:r>
      <w:pict w14:anchorId="31B9BA76">
        <v:shapetype id="_x0000_t202" coordsize="21600,21600" o:spt="202" path="m0,0l0,21600,21600,21600,21600,0xe">
          <v:stroke joinstyle="miter"/>
          <v:path gradientshapeok="t" o:connecttype="rect"/>
        </v:shapetype>
        <v:shape id="_x0000_s2080" type="#_x0000_t202" style="position:absolute;margin-left:261.15pt;margin-top:40.9pt;width:238.75pt;height:9.5pt;z-index:-88672;mso-position-horizontal-relative:page;mso-position-vertical-relative:page" filled="f" stroked="f">
          <v:textbox inset="0,0,0,0">
            <w:txbxContent>
              <w:p w14:paraId="3FB8C220" w14:textId="77777777" w:rsidR="00804E46" w:rsidRDefault="00804E46">
                <w:pPr>
                  <w:spacing w:before="1"/>
                  <w:ind w:left="20"/>
                  <w:rPr>
                    <w:sz w:val="15"/>
                  </w:rPr>
                </w:pPr>
                <w:r>
                  <w:rPr>
                    <w:color w:val="58595B"/>
                    <w:sz w:val="15"/>
                  </w:rPr>
                  <w:t>CHAPTER 16    DEPLOYING A WIDER RANGE OF INSTRUMENTS</w:t>
                </w:r>
              </w:p>
            </w:txbxContent>
          </v:textbox>
          <w10:wrap anchorx="page" anchory="page"/>
        </v:shape>
      </w:pict>
    </w:r>
    <w:r>
      <w:pict w14:anchorId="3D3305A7">
        <v:shape id="_x0000_s2079" type="#_x0000_t202" style="position:absolute;margin-left:509.6pt;margin-top:40.9pt;width:16.8pt;height:9.5pt;z-index:-88648;mso-position-horizontal-relative:page;mso-position-vertical-relative:page" filled="f" stroked="f">
          <v:textbox inset="0,0,0,0">
            <w:txbxContent>
              <w:p w14:paraId="3C38EAF0"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289</w:t>
                </w:r>
                <w:r>
                  <w:fldChar w:fldCharType="end"/>
                </w:r>
              </w:p>
            </w:txbxContent>
          </v:textbox>
          <w10:wrap anchorx="page" anchory="page"/>
        </v:shape>
      </w:pict>
    </w:r>
  </w:p>
</w:hdr>
</file>

<file path=word/header4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EE75FA7" w14:textId="77777777" w:rsidR="00804E46" w:rsidRDefault="00804E46">
    <w:pPr>
      <w:pStyle w:val="BodyText"/>
      <w:spacing w:line="14" w:lineRule="auto"/>
      <w:rPr>
        <w:sz w:val="2"/>
      </w:rP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676D0BA" w14:textId="77777777" w:rsidR="00804E46" w:rsidRDefault="000638CB">
    <w:pPr>
      <w:pStyle w:val="BodyText"/>
      <w:spacing w:line="14" w:lineRule="auto"/>
    </w:pPr>
    <w:r>
      <w:pict w14:anchorId="09B6E58F">
        <v:line id="_x0000_s2168" style="position:absolute;z-index:-90784;mso-position-horizontal-relative:page;mso-position-vertical-relative:page" from="0,45.8pt" to="60.25pt,45.8pt" strokecolor="#0095a7" strokeweight="7pt">
          <w10:wrap anchorx="page" anchory="page"/>
        </v:line>
      </w:pict>
    </w:r>
    <w:r>
      <w:pict w14:anchorId="48914370">
        <v:shapetype id="_x0000_t202" coordsize="21600,21600" o:spt="202" path="m0,0l0,21600,21600,21600,21600,0xe">
          <v:stroke joinstyle="miter"/>
          <v:path gradientshapeok="t" o:connecttype="rect"/>
        </v:shapetype>
        <v:shape id="_x0000_s2167" type="#_x0000_t202" style="position:absolute;margin-left:68.85pt;margin-top:40.9pt;width:16.05pt;height:9.5pt;z-index:-90760;mso-position-horizontal-relative:page;mso-position-vertical-relative:page" filled="f" stroked="f">
          <v:textbox inset="0,0,0,0">
            <w:txbxContent>
              <w:p w14:paraId="6451F4E7"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214</w:t>
                </w:r>
                <w:r>
                  <w:fldChar w:fldCharType="end"/>
                </w:r>
              </w:p>
            </w:txbxContent>
          </v:textbox>
          <w10:wrap anchorx="page" anchory="page"/>
        </v:shape>
      </w:pict>
    </w:r>
    <w:r>
      <w:pict w14:anchorId="07D50B23">
        <v:shape id="_x0000_s2166" type="#_x0000_t202" style="position:absolute;margin-left:95.35pt;margin-top:40.9pt;width:147.8pt;height:9.5pt;z-index:-90736;mso-position-horizontal-relative:page;mso-position-vertical-relative:page" filled="f" stroked="f">
          <v:textbox inset="0,0,0,0">
            <w:txbxContent>
              <w:p w14:paraId="5D5FDBAB"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5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03F3DE5" w14:textId="77777777" w:rsidR="00804E46" w:rsidRDefault="00804E46">
    <w:pPr>
      <w:pStyle w:val="BodyText"/>
      <w:spacing w:line="14" w:lineRule="auto"/>
      <w:rPr>
        <w:sz w:val="2"/>
      </w:rPr>
    </w:pPr>
  </w:p>
</w:hdr>
</file>

<file path=word/header5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410FCE3" w14:textId="77777777" w:rsidR="00804E46" w:rsidRDefault="000638CB">
    <w:pPr>
      <w:pStyle w:val="BodyText"/>
      <w:spacing w:line="14" w:lineRule="auto"/>
    </w:pPr>
    <w:r>
      <w:pict w14:anchorId="696CA7C4">
        <v:line id="_x0000_s2075" style="position:absolute;z-index:-88552;mso-position-horizontal-relative:page;mso-position-vertical-relative:page" from="0,45.8pt" to="60.25pt,45.8pt" strokecolor="#0095a7" strokeweight="7pt">
          <w10:wrap anchorx="page" anchory="page"/>
        </v:line>
      </w:pict>
    </w:r>
    <w:r>
      <w:pict w14:anchorId="086CEAB7">
        <v:shapetype id="_x0000_t202" coordsize="21600,21600" o:spt="202" path="m0,0l0,21600,21600,21600,21600,0xe">
          <v:stroke joinstyle="miter"/>
          <v:path gradientshapeok="t" o:connecttype="rect"/>
        </v:shapetype>
        <v:shape id="_x0000_s2074" type="#_x0000_t202" style="position:absolute;margin-left:68.85pt;margin-top:40.9pt;width:16.95pt;height:9.5pt;z-index:-88528;mso-position-horizontal-relative:page;mso-position-vertical-relative:page" filled="f" stroked="f">
          <v:textbox inset="0,0,0,0">
            <w:txbxContent>
              <w:p w14:paraId="5F5713DB"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298</w:t>
                </w:r>
                <w:r>
                  <w:fldChar w:fldCharType="end"/>
                </w:r>
              </w:p>
            </w:txbxContent>
          </v:textbox>
          <w10:wrap anchorx="page" anchory="page"/>
        </v:shape>
      </w:pict>
    </w:r>
    <w:r>
      <w:pict w14:anchorId="55752028">
        <v:shape id="_x0000_s2073" type="#_x0000_t202" style="position:absolute;margin-left:95.35pt;margin-top:40.9pt;width:147.8pt;height:9.5pt;z-index:-88504;mso-position-horizontal-relative:page;mso-position-vertical-relative:page" filled="f" stroked="f">
          <v:textbox inset="0,0,0,0">
            <w:txbxContent>
              <w:p w14:paraId="16AD5FDF"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5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F162846" w14:textId="77777777" w:rsidR="00804E46" w:rsidRDefault="000638CB">
    <w:pPr>
      <w:pStyle w:val="BodyText"/>
      <w:spacing w:line="14" w:lineRule="auto"/>
    </w:pPr>
    <w:r>
      <w:pict w14:anchorId="095F88C9">
        <v:line id="_x0000_s2072" style="position:absolute;z-index:-88480;mso-position-horizontal-relative:page;mso-position-vertical-relative:page" from="534.95pt,45.8pt" to="595.25pt,45.8pt" strokecolor="#0095a7" strokeweight="7pt">
          <w10:wrap anchorx="page" anchory="page"/>
        </v:line>
      </w:pict>
    </w:r>
    <w:r>
      <w:pict w14:anchorId="310F29DD">
        <v:shapetype id="_x0000_t202" coordsize="21600,21600" o:spt="202" path="m0,0l0,21600,21600,21600,21600,0xe">
          <v:stroke joinstyle="miter"/>
          <v:path gradientshapeok="t" o:connecttype="rect"/>
        </v:shapetype>
        <v:shape id="_x0000_s2071" type="#_x0000_t202" style="position:absolute;margin-left:292.7pt;margin-top:40.9pt;width:207.2pt;height:9.5pt;z-index:-88456;mso-position-horizontal-relative:page;mso-position-vertical-relative:page" filled="f" stroked="f">
          <v:textbox inset="0,0,0,0">
            <w:txbxContent>
              <w:p w14:paraId="03BC1162" w14:textId="77777777" w:rsidR="00804E46" w:rsidRDefault="00804E46">
                <w:pPr>
                  <w:spacing w:before="1"/>
                  <w:ind w:left="20"/>
                  <w:rPr>
                    <w:sz w:val="15"/>
                  </w:rPr>
                </w:pPr>
                <w:r>
                  <w:rPr>
                    <w:color w:val="58595B"/>
                    <w:sz w:val="15"/>
                  </w:rPr>
                  <w:t>CHAPTER 17    STRENGTHENING MINING REGULATION</w:t>
                </w:r>
              </w:p>
            </w:txbxContent>
          </v:textbox>
          <w10:wrap anchorx="page" anchory="page"/>
        </v:shape>
      </w:pict>
    </w:r>
    <w:r>
      <w:pict w14:anchorId="2DC5C885">
        <v:shape id="_x0000_s2070" type="#_x0000_t202" style="position:absolute;margin-left:509.5pt;margin-top:40.9pt;width:17.05pt;height:9.5pt;z-index:-88432;mso-position-horizontal-relative:page;mso-position-vertical-relative:page" filled="f" stroked="f">
          <v:textbox inset="0,0,0,0">
            <w:txbxContent>
              <w:p w14:paraId="7D9FE1C4" w14:textId="77777777" w:rsidR="00804E46" w:rsidRDefault="00804E46">
                <w:pPr>
                  <w:spacing w:before="1"/>
                  <w:ind w:left="42"/>
                  <w:rPr>
                    <w:sz w:val="15"/>
                  </w:rPr>
                </w:pPr>
                <w:r>
                  <w:fldChar w:fldCharType="begin"/>
                </w:r>
                <w:r>
                  <w:rPr>
                    <w:color w:val="58595B"/>
                    <w:sz w:val="15"/>
                  </w:rPr>
                  <w:instrText xml:space="preserve"> PAGE </w:instrText>
                </w:r>
                <w:r>
                  <w:fldChar w:fldCharType="separate"/>
                </w:r>
                <w:r w:rsidR="000638CB">
                  <w:rPr>
                    <w:noProof/>
                    <w:color w:val="58595B"/>
                    <w:sz w:val="15"/>
                  </w:rPr>
                  <w:t>299</w:t>
                </w:r>
                <w:r>
                  <w:fldChar w:fldCharType="end"/>
                </w:r>
              </w:p>
            </w:txbxContent>
          </v:textbox>
          <w10:wrap anchorx="page" anchory="page"/>
        </v:shape>
      </w:pict>
    </w:r>
  </w:p>
</w:hdr>
</file>

<file path=word/header5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79E86E" w14:textId="77777777" w:rsidR="00804E46" w:rsidRDefault="000638CB">
    <w:pPr>
      <w:pStyle w:val="BodyText"/>
      <w:spacing w:line="14" w:lineRule="auto"/>
    </w:pPr>
    <w:r>
      <w:pict w14:anchorId="17AA69DD">
        <v:line id="_x0000_s2069" style="position:absolute;z-index:-88408;mso-position-horizontal-relative:page;mso-position-vertical-relative:page" from="0,45.8pt" to="60.25pt,45.8pt" strokecolor="#0095a7" strokeweight="7pt">
          <w10:wrap anchorx="page" anchory="page"/>
        </v:line>
      </w:pict>
    </w:r>
    <w:r>
      <w:pict w14:anchorId="7FAC0B10">
        <v:shapetype id="_x0000_t202" coordsize="21600,21600" o:spt="202" path="m0,0l0,21600,21600,21600,21600,0xe">
          <v:stroke joinstyle="miter"/>
          <v:path gradientshapeok="t" o:connecttype="rect"/>
        </v:shapetype>
        <v:shape id="_x0000_s2068" type="#_x0000_t202" style="position:absolute;margin-left:68.85pt;margin-top:40.9pt;width:17pt;height:9.5pt;z-index:-88384;mso-position-horizontal-relative:page;mso-position-vertical-relative:page" filled="f" stroked="f">
          <v:textbox inset="0,0,0,0">
            <w:txbxContent>
              <w:p w14:paraId="4ED22D02"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302</w:t>
                </w:r>
                <w:r>
                  <w:fldChar w:fldCharType="end"/>
                </w:r>
              </w:p>
            </w:txbxContent>
          </v:textbox>
          <w10:wrap anchorx="page" anchory="page"/>
        </v:shape>
      </w:pict>
    </w:r>
    <w:r>
      <w:pict w14:anchorId="06316578">
        <v:shape id="_x0000_s2067" type="#_x0000_t202" style="position:absolute;margin-left:95.35pt;margin-top:40.9pt;width:147.8pt;height:9.5pt;z-index:-88360;mso-position-horizontal-relative:page;mso-position-vertical-relative:page" filled="f" stroked="f">
          <v:textbox inset="0,0,0,0">
            <w:txbxContent>
              <w:p w14:paraId="0313B7A1"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5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3F074D" w14:textId="77777777" w:rsidR="00804E46" w:rsidRDefault="000638CB">
    <w:pPr>
      <w:pStyle w:val="BodyText"/>
      <w:spacing w:line="14" w:lineRule="auto"/>
    </w:pPr>
    <w:r>
      <w:pict w14:anchorId="300E5B6D">
        <v:line id="_x0000_s2066" style="position:absolute;z-index:-88336;mso-position-horizontal-relative:page;mso-position-vertical-relative:page" from="534.95pt,45.8pt" to="595.25pt,45.8pt" strokecolor="#0095a7" strokeweight="7pt">
          <w10:wrap anchorx="page" anchory="page"/>
        </v:line>
      </w:pict>
    </w:r>
    <w:r>
      <w:pict w14:anchorId="31D62C3B">
        <v:shapetype id="_x0000_t202" coordsize="21600,21600" o:spt="202" path="m0,0l0,21600,21600,21600,21600,0xe">
          <v:stroke joinstyle="miter"/>
          <v:path gradientshapeok="t" o:connecttype="rect"/>
        </v:shapetype>
        <v:shape id="_x0000_s2065" type="#_x0000_t202" style="position:absolute;margin-left:292.7pt;margin-top:40.9pt;width:207.2pt;height:9.5pt;z-index:-88312;mso-position-horizontal-relative:page;mso-position-vertical-relative:page" filled="f" stroked="f">
          <v:textbox inset="0,0,0,0">
            <w:txbxContent>
              <w:p w14:paraId="6FB6B432" w14:textId="77777777" w:rsidR="00804E46" w:rsidRDefault="00804E46">
                <w:pPr>
                  <w:spacing w:before="1"/>
                  <w:ind w:left="20"/>
                  <w:rPr>
                    <w:sz w:val="15"/>
                  </w:rPr>
                </w:pPr>
                <w:r>
                  <w:rPr>
                    <w:color w:val="58595B"/>
                    <w:sz w:val="15"/>
                  </w:rPr>
                  <w:t>CHAPTER 17    STRENGTHENING MINING REGULATION</w:t>
                </w:r>
              </w:p>
            </w:txbxContent>
          </v:textbox>
          <w10:wrap anchorx="page" anchory="page"/>
        </v:shape>
      </w:pict>
    </w:r>
    <w:r>
      <w:pict w14:anchorId="006B9FCA">
        <v:shape id="_x0000_s2064" type="#_x0000_t202" style="position:absolute;margin-left:510.75pt;margin-top:40.9pt;width:14.6pt;height:9.5pt;z-index:-88288;mso-position-horizontal-relative:page;mso-position-vertical-relative:page" filled="f" stroked="f">
          <v:textbox inset="0,0,0,0">
            <w:txbxContent>
              <w:p w14:paraId="60F9E8EE" w14:textId="77777777" w:rsidR="00804E46" w:rsidRDefault="00804E46">
                <w:pPr>
                  <w:spacing w:before="1"/>
                  <w:ind w:left="20"/>
                  <w:rPr>
                    <w:sz w:val="15"/>
                  </w:rPr>
                </w:pPr>
                <w:r>
                  <w:rPr>
                    <w:color w:val="58595B"/>
                    <w:sz w:val="15"/>
                  </w:rPr>
                  <w:t>301</w:t>
                </w:r>
              </w:p>
            </w:txbxContent>
          </v:textbox>
          <w10:wrap anchorx="page" anchory="page"/>
        </v:shape>
      </w:pict>
    </w:r>
  </w:p>
</w:hdr>
</file>

<file path=word/header5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2ABAD57" w14:textId="77777777" w:rsidR="00804E46" w:rsidRDefault="000638CB">
    <w:pPr>
      <w:pStyle w:val="BodyText"/>
      <w:spacing w:line="14" w:lineRule="auto"/>
    </w:pPr>
    <w:r>
      <w:pict w14:anchorId="3BDDBF61">
        <v:line id="_x0000_s2063" style="position:absolute;z-index:-88264;mso-position-horizontal-relative:page;mso-position-vertical-relative:page" from="534.95pt,45.8pt" to="595.25pt,45.8pt" strokecolor="#0095a7" strokeweight="7pt">
          <w10:wrap anchorx="page" anchory="page"/>
        </v:line>
      </w:pict>
    </w:r>
    <w:r>
      <w:pict w14:anchorId="4503D284">
        <v:shapetype id="_x0000_t202" coordsize="21600,21600" o:spt="202" path="m0,0l0,21600,21600,21600,21600,0xe">
          <v:stroke joinstyle="miter"/>
          <v:path gradientshapeok="t" o:connecttype="rect"/>
        </v:shapetype>
        <v:shape id="_x0000_s2062" type="#_x0000_t202" style="position:absolute;margin-left:292.7pt;margin-top:40.9pt;width:207.2pt;height:9.5pt;z-index:-88240;mso-position-horizontal-relative:page;mso-position-vertical-relative:page" filled="f" stroked="f">
          <v:textbox inset="0,0,0,0">
            <w:txbxContent>
              <w:p w14:paraId="70F6DC48" w14:textId="77777777" w:rsidR="00804E46" w:rsidRDefault="00804E46">
                <w:pPr>
                  <w:spacing w:before="1"/>
                  <w:ind w:left="20"/>
                  <w:rPr>
                    <w:sz w:val="15"/>
                  </w:rPr>
                </w:pPr>
                <w:r>
                  <w:rPr>
                    <w:color w:val="58595B"/>
                    <w:sz w:val="15"/>
                  </w:rPr>
                  <w:t>CHAPTER 17    STRENGTHENING MINING REGULATION</w:t>
                </w:r>
              </w:p>
            </w:txbxContent>
          </v:textbox>
          <w10:wrap anchorx="page" anchory="page"/>
        </v:shape>
      </w:pict>
    </w:r>
    <w:r>
      <w:pict w14:anchorId="3EAFF4EF">
        <v:shape id="_x0000_s2061" type="#_x0000_t202" style="position:absolute;margin-left:510.55pt;margin-top:40.9pt;width:15pt;height:9.5pt;z-index:-88216;mso-position-horizontal-relative:page;mso-position-vertical-relative:page" filled="f" stroked="f">
          <v:textbox inset="0,0,0,0">
            <w:txbxContent>
              <w:p w14:paraId="0F280E1F" w14:textId="77777777" w:rsidR="00804E46" w:rsidRDefault="00804E46">
                <w:pPr>
                  <w:spacing w:before="1"/>
                  <w:ind w:left="20"/>
                  <w:rPr>
                    <w:sz w:val="15"/>
                  </w:rPr>
                </w:pPr>
                <w:r>
                  <w:rPr>
                    <w:color w:val="58595B"/>
                    <w:sz w:val="15"/>
                  </w:rPr>
                  <w:t>303</w:t>
                </w:r>
              </w:p>
            </w:txbxContent>
          </v:textbox>
          <w10:wrap anchorx="page" anchory="page"/>
        </v:shape>
      </w:pict>
    </w:r>
  </w:p>
</w:hdr>
</file>

<file path=word/header5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8AF3114" w14:textId="77777777" w:rsidR="00804E46" w:rsidRDefault="00804E46">
    <w:pPr>
      <w:pStyle w:val="BodyText"/>
      <w:spacing w:line="14" w:lineRule="auto"/>
      <w:rPr>
        <w:sz w:val="2"/>
      </w:rPr>
    </w:pPr>
  </w:p>
</w:hdr>
</file>

<file path=word/header5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A7F5F27" w14:textId="77777777" w:rsidR="00804E46" w:rsidRDefault="00804E46">
    <w:pPr>
      <w:pStyle w:val="BodyText"/>
      <w:spacing w:line="14" w:lineRule="auto"/>
      <w:rPr>
        <w:sz w:val="2"/>
      </w:rPr>
    </w:pPr>
  </w:p>
</w:hdr>
</file>

<file path=word/header5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239DF16" w14:textId="77777777" w:rsidR="00804E46" w:rsidRDefault="000638CB">
    <w:pPr>
      <w:pStyle w:val="BodyText"/>
      <w:spacing w:line="14" w:lineRule="auto"/>
    </w:pPr>
    <w:r>
      <w:pict w14:anchorId="7F544CA3">
        <v:line id="_x0000_s2060" style="position:absolute;z-index:-88192;mso-position-horizontal-relative:page;mso-position-vertical-relative:page" from="0,45.8pt" to="60.25pt,45.8pt" strokecolor="#0095a7" strokeweight="7pt">
          <w10:wrap anchorx="page" anchory="page"/>
        </v:line>
      </w:pict>
    </w:r>
    <w:r>
      <w:pict w14:anchorId="600D04EB">
        <v:shapetype id="_x0000_t202" coordsize="21600,21600" o:spt="202" path="m0,0l0,21600,21600,21600,21600,0xe">
          <v:stroke joinstyle="miter"/>
          <v:path gradientshapeok="t" o:connecttype="rect"/>
        </v:shapetype>
        <v:shape id="_x0000_s2059" type="#_x0000_t202" style="position:absolute;margin-left:68.85pt;margin-top:40.9pt;width:17.15pt;height:9.5pt;z-index:-88168;mso-position-horizontal-relative:page;mso-position-vertical-relative:page" filled="f" stroked="f">
          <v:textbox inset="0,0,0,0">
            <w:txbxContent>
              <w:p w14:paraId="71995470"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308</w:t>
                </w:r>
                <w:r>
                  <w:fldChar w:fldCharType="end"/>
                </w:r>
              </w:p>
            </w:txbxContent>
          </v:textbox>
          <w10:wrap anchorx="page" anchory="page"/>
        </v:shape>
      </w:pict>
    </w:r>
    <w:r>
      <w:pict w14:anchorId="6E82A760">
        <v:shape id="_x0000_s2058" type="#_x0000_t202" style="position:absolute;margin-left:95.35pt;margin-top:40.9pt;width:147.8pt;height:9.5pt;z-index:-88144;mso-position-horizontal-relative:page;mso-position-vertical-relative:page" filled="f" stroked="f">
          <v:textbox inset="0,0,0,0">
            <w:txbxContent>
              <w:p w14:paraId="6E4BD8D9"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5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1D74B52" w14:textId="77777777" w:rsidR="00804E46" w:rsidRDefault="000638CB">
    <w:pPr>
      <w:pStyle w:val="BodyText"/>
      <w:spacing w:line="14" w:lineRule="auto"/>
    </w:pPr>
    <w:r>
      <w:pict w14:anchorId="255BFF52">
        <v:line id="_x0000_s2057" style="position:absolute;z-index:-88120;mso-position-horizontal-relative:page;mso-position-vertical-relative:page" from="534.95pt,45.8pt" to="595.25pt,45.8pt" strokecolor="#0095a7" strokeweight="7pt">
          <w10:wrap anchorx="page" anchory="page"/>
        </v:line>
      </w:pict>
    </w:r>
    <w:r>
      <w:pict w14:anchorId="555EA090">
        <v:shapetype id="_x0000_t202" coordsize="21600,21600" o:spt="202" path="m0,0l0,21600,21600,21600,21600,0xe">
          <v:stroke joinstyle="miter"/>
          <v:path gradientshapeok="t" o:connecttype="rect"/>
        </v:shapetype>
        <v:shape id="_x0000_s2056" type="#_x0000_t202" style="position:absolute;margin-left:235.8pt;margin-top:40.9pt;width:264.1pt;height:9.5pt;z-index:-88096;mso-position-horizontal-relative:page;mso-position-vertical-relative:page" filled="f" stroked="f">
          <v:textbox inset="0,0,0,0">
            <w:txbxContent>
              <w:p w14:paraId="7CECAD7E" w14:textId="77777777" w:rsidR="00804E46" w:rsidRDefault="00804E46">
                <w:pPr>
                  <w:spacing w:before="1"/>
                  <w:ind w:left="20"/>
                  <w:rPr>
                    <w:sz w:val="15"/>
                  </w:rPr>
                </w:pPr>
                <w:r>
                  <w:rPr>
                    <w:color w:val="58595B"/>
                    <w:sz w:val="15"/>
                  </w:rPr>
                  <w:t>CHAPTER 17    A BROADER AND MORE EFFECTIVE LOCAL RESPONSE</w:t>
                </w:r>
              </w:p>
            </w:txbxContent>
          </v:textbox>
          <w10:wrap anchorx="page" anchory="page"/>
        </v:shape>
      </w:pict>
    </w:r>
    <w:r>
      <w:pict w14:anchorId="2A42A1DC">
        <v:shape id="_x0000_s2055" type="#_x0000_t202" style="position:absolute;margin-left:509.45pt;margin-top:40.9pt;width:16.95pt;height:9.5pt;z-index:-88072;mso-position-horizontal-relative:page;mso-position-vertical-relative:page" filled="f" stroked="f">
          <v:textbox inset="0,0,0,0">
            <w:txbxContent>
              <w:p w14:paraId="1501E2D9"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309</w:t>
                </w:r>
                <w:r>
                  <w:fldChar w:fldCharType="end"/>
                </w:r>
              </w:p>
            </w:txbxContent>
          </v:textbox>
          <w10:wrap anchorx="page" anchory="page"/>
        </v:shape>
      </w:pict>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FAA0DA5" w14:textId="77777777" w:rsidR="00804E46" w:rsidRDefault="000638CB">
    <w:pPr>
      <w:pStyle w:val="BodyText"/>
      <w:spacing w:line="14" w:lineRule="auto"/>
    </w:pPr>
    <w:r>
      <w:pict w14:anchorId="13190354">
        <v:line id="_x0000_s2165" style="position:absolute;z-index:-90712;mso-position-horizontal-relative:page;mso-position-vertical-relative:page" from="534.95pt,45.8pt" to="595.25pt,45.8pt" strokecolor="#0095a7" strokeweight="7pt">
          <w10:wrap anchorx="page" anchory="page"/>
        </v:line>
      </w:pict>
    </w:r>
    <w:r>
      <w:pict w14:anchorId="41A1572D">
        <v:shapetype id="_x0000_t202" coordsize="21600,21600" o:spt="202" path="m0,0l0,21600,21600,21600,21600,0xe">
          <v:stroke joinstyle="miter"/>
          <v:path gradientshapeok="t" o:connecttype="rect"/>
        </v:shapetype>
        <v:shape id="_x0000_s2164" type="#_x0000_t202" style="position:absolute;margin-left:338.65pt;margin-top:40.9pt;width:161.25pt;height:9.5pt;z-index:-90688;mso-position-horizontal-relative:page;mso-position-vertical-relative:page" filled="f" stroked="f">
          <v:textbox inset="0,0,0,0">
            <w:txbxContent>
              <w:p w14:paraId="2786BD61" w14:textId="77777777" w:rsidR="00804E46" w:rsidRDefault="00804E46">
                <w:pPr>
                  <w:spacing w:before="1"/>
                  <w:ind w:left="20"/>
                  <w:rPr>
                    <w:sz w:val="15"/>
                  </w:rPr>
                </w:pPr>
                <w:r>
                  <w:rPr>
                    <w:color w:val="58595B"/>
                    <w:sz w:val="15"/>
                  </w:rPr>
                  <w:t>CHAPTER 11    THE REGULATORY TOOLKIT</w:t>
                </w:r>
              </w:p>
            </w:txbxContent>
          </v:textbox>
          <w10:wrap anchorx="page" anchory="page"/>
        </v:shape>
      </w:pict>
    </w:r>
    <w:r>
      <w:pict w14:anchorId="659A32E3">
        <v:shape id="_x0000_s2163" type="#_x0000_t202" style="position:absolute;margin-left:510.2pt;margin-top:40.9pt;width:16pt;height:9.5pt;z-index:-90664;mso-position-horizontal-relative:page;mso-position-vertical-relative:page" filled="f" stroked="f">
          <v:textbox inset="0,0,0,0">
            <w:txbxContent>
              <w:p w14:paraId="05BB3E79"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215</w:t>
                </w:r>
                <w:r>
                  <w:fldChar w:fldCharType="end"/>
                </w:r>
              </w:p>
            </w:txbxContent>
          </v:textbox>
          <w10:wrap anchorx="page" anchory="page"/>
        </v:shape>
      </w:pict>
    </w:r>
  </w:p>
</w:hdr>
</file>

<file path=word/header6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FE5C81C" w14:textId="77777777" w:rsidR="00804E46" w:rsidRDefault="000638CB">
    <w:pPr>
      <w:pStyle w:val="BodyText"/>
      <w:spacing w:line="14" w:lineRule="auto"/>
    </w:pPr>
    <w:r>
      <w:pict w14:anchorId="59483DD3">
        <v:line id="_x0000_s2054" style="position:absolute;z-index:-88048;mso-position-horizontal-relative:page;mso-position-vertical-relative:page" from="0,45.8pt" to="60.25pt,45.8pt" strokecolor="#0095a7" strokeweight="7pt">
          <w10:wrap anchorx="page" anchory="page"/>
        </v:line>
      </w:pict>
    </w:r>
    <w:r>
      <w:pict w14:anchorId="4378BDBD">
        <v:shapetype id="_x0000_t202" coordsize="21600,21600" o:spt="202" path="m0,0l0,21600,21600,21600,21600,0xe">
          <v:stroke joinstyle="miter"/>
          <v:path gradientshapeok="t" o:connecttype="rect"/>
        </v:shapetype>
        <v:shape id="_x0000_s2053" type="#_x0000_t202" style="position:absolute;margin-left:68.85pt;margin-top:40.9pt;width:16.25pt;height:9.5pt;z-index:-88024;mso-position-horizontal-relative:page;mso-position-vertical-relative:page" filled="f" stroked="f">
          <v:textbox inset="0,0,0,0">
            <w:txbxContent>
              <w:p w14:paraId="316C8F66"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318</w:t>
                </w:r>
                <w:r>
                  <w:fldChar w:fldCharType="end"/>
                </w:r>
              </w:p>
            </w:txbxContent>
          </v:textbox>
          <w10:wrap anchorx="page" anchory="page"/>
        </v:shape>
      </w:pict>
    </w:r>
    <w:r>
      <w:pict w14:anchorId="0A13DFB1">
        <v:shape id="_x0000_s2052" type="#_x0000_t202" style="position:absolute;margin-left:95.35pt;margin-top:40.9pt;width:147.8pt;height:9.5pt;z-index:-88000;mso-position-horizontal-relative:page;mso-position-vertical-relative:page" filled="f" stroked="f">
          <v:textbox inset="0,0,0,0">
            <w:txbxContent>
              <w:p w14:paraId="437CC3CF" w14:textId="77777777" w:rsidR="00804E46" w:rsidRDefault="00804E46">
                <w:pPr>
                  <w:spacing w:before="1"/>
                  <w:ind w:left="20"/>
                  <w:rPr>
                    <w:sz w:val="15"/>
                  </w:rPr>
                </w:pPr>
                <w:r>
                  <w:rPr>
                    <w:color w:val="58595B"/>
                    <w:sz w:val="15"/>
                  </w:rPr>
                  <w:t>INDEPENDENT INQUIRY INTO THE EPA</w:t>
                </w:r>
              </w:p>
            </w:txbxContent>
          </v:textbox>
          <w10:wrap anchorx="page" anchory="page"/>
        </v:shape>
      </w:pict>
    </w:r>
  </w:p>
</w:hdr>
</file>

<file path=word/header6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5A4A8F3" w14:textId="77777777" w:rsidR="00804E46" w:rsidRDefault="000638CB">
    <w:pPr>
      <w:pStyle w:val="BodyText"/>
      <w:spacing w:line="14" w:lineRule="auto"/>
    </w:pPr>
    <w:r>
      <w:pict w14:anchorId="37794F96">
        <v:line id="_x0000_s2051" style="position:absolute;z-index:-87976;mso-position-horizontal-relative:page;mso-position-vertical-relative:page" from="534.95pt,45.8pt" to="595.25pt,45.8pt" strokecolor="#0095a7" strokeweight="7pt">
          <w10:wrap anchorx="page" anchory="page"/>
        </v:line>
      </w:pict>
    </w:r>
    <w:r>
      <w:pict w14:anchorId="43EEEF81">
        <v:shapetype id="_x0000_t202" coordsize="21600,21600" o:spt="202" path="m0,0l0,21600,21600,21600,21600,0xe">
          <v:stroke joinstyle="miter"/>
          <v:path gradientshapeok="t" o:connecttype="rect"/>
        </v:shapetype>
        <v:shape id="_x0000_s2050" type="#_x0000_t202" style="position:absolute;margin-left:235.8pt;margin-top:40.9pt;width:264.1pt;height:9.5pt;z-index:-87952;mso-position-horizontal-relative:page;mso-position-vertical-relative:page" filled="f" stroked="f">
          <v:textbox inset="0,0,0,0">
            <w:txbxContent>
              <w:p w14:paraId="10442EFE" w14:textId="77777777" w:rsidR="00804E46" w:rsidRDefault="00804E46">
                <w:pPr>
                  <w:spacing w:before="1"/>
                  <w:ind w:left="20"/>
                  <w:rPr>
                    <w:sz w:val="15"/>
                  </w:rPr>
                </w:pPr>
                <w:r>
                  <w:rPr>
                    <w:color w:val="58595B"/>
                    <w:sz w:val="15"/>
                  </w:rPr>
                  <w:t>CHAPTER 17    A BROADER AND MORE EFFECTIVE LOCAL RESPONSE</w:t>
                </w:r>
              </w:p>
            </w:txbxContent>
          </v:textbox>
          <w10:wrap anchorx="page" anchory="page"/>
        </v:shape>
      </w:pict>
    </w:r>
    <w:r>
      <w:pict w14:anchorId="406702AD">
        <v:shape id="_x0000_s2049" type="#_x0000_t202" style="position:absolute;margin-left:510.2pt;margin-top:40.9pt;width:16.2pt;height:9.5pt;z-index:-87928;mso-position-horizontal-relative:page;mso-position-vertical-relative:page" filled="f" stroked="f">
          <v:textbox inset="0,0,0,0">
            <w:txbxContent>
              <w:p w14:paraId="74CDD81D" w14:textId="77777777" w:rsidR="00804E46" w:rsidRDefault="00804E46">
                <w:pPr>
                  <w:spacing w:before="1"/>
                  <w:ind w:left="40"/>
                  <w:rPr>
                    <w:sz w:val="15"/>
                  </w:rPr>
                </w:pPr>
                <w:r>
                  <w:fldChar w:fldCharType="begin"/>
                </w:r>
                <w:r>
                  <w:rPr>
                    <w:color w:val="58595B"/>
                    <w:sz w:val="15"/>
                  </w:rPr>
                  <w:instrText xml:space="preserve"> PAGE </w:instrText>
                </w:r>
                <w:r>
                  <w:fldChar w:fldCharType="separate"/>
                </w:r>
                <w:r w:rsidR="000638CB">
                  <w:rPr>
                    <w:noProof/>
                    <w:color w:val="58595B"/>
                    <w:sz w:val="15"/>
                  </w:rPr>
                  <w:t>319</w:t>
                </w:r>
                <w:r>
                  <w:fldChar w:fldCharType="end"/>
                </w:r>
              </w:p>
            </w:txbxContent>
          </v:textbox>
          <w10:wrap anchorx="page" anchory="page"/>
        </v:shape>
      </w:pic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4FA3AC3" w14:textId="77777777" w:rsidR="00804E46" w:rsidRDefault="00804E46">
    <w:pPr>
      <w:pStyle w:val="BodyText"/>
      <w:spacing w:line="14" w:lineRule="auto"/>
      <w:rPr>
        <w:sz w:val="2"/>
      </w:rP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2B7B77" w14:textId="77777777" w:rsidR="00804E46" w:rsidRDefault="00804E46">
    <w:pPr>
      <w:pStyle w:val="BodyText"/>
      <w:spacing w:line="14" w:lineRule="auto"/>
      <w:rPr>
        <w:sz w:val="2"/>
      </w:rP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5AA9F04" w14:textId="77777777" w:rsidR="00804E46" w:rsidRDefault="00804E46">
    <w:pPr>
      <w:pStyle w:val="BodyText"/>
      <w:spacing w:line="14" w:lineRule="auto"/>
      <w:rPr>
        <w:sz w:val="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AA2476"/>
    <w:multiLevelType w:val="hybridMultilevel"/>
    <w:tmpl w:val="F9782648"/>
    <w:lvl w:ilvl="0" w:tplc="F7586F78">
      <w:start w:val="1"/>
      <w:numFmt w:val="bullet"/>
      <w:lvlText w:val="•"/>
      <w:lvlJc w:val="left"/>
      <w:pPr>
        <w:ind w:left="340" w:hanging="171"/>
      </w:pPr>
      <w:rPr>
        <w:rFonts w:ascii="Arial" w:eastAsia="Arial" w:hAnsi="Arial" w:cs="Arial" w:hint="default"/>
        <w:color w:val="0095A7"/>
        <w:spacing w:val="-12"/>
        <w:w w:val="100"/>
        <w:sz w:val="20"/>
        <w:szCs w:val="20"/>
      </w:rPr>
    </w:lvl>
    <w:lvl w:ilvl="1" w:tplc="D84C7128">
      <w:start w:val="1"/>
      <w:numFmt w:val="bullet"/>
      <w:lvlText w:val="•"/>
      <w:lvlJc w:val="left"/>
      <w:pPr>
        <w:ind w:left="1171" w:hanging="171"/>
      </w:pPr>
      <w:rPr>
        <w:rFonts w:hint="default"/>
      </w:rPr>
    </w:lvl>
    <w:lvl w:ilvl="2" w:tplc="6EE242A4">
      <w:start w:val="1"/>
      <w:numFmt w:val="bullet"/>
      <w:lvlText w:val="•"/>
      <w:lvlJc w:val="left"/>
      <w:pPr>
        <w:ind w:left="2002" w:hanging="171"/>
      </w:pPr>
      <w:rPr>
        <w:rFonts w:hint="default"/>
      </w:rPr>
    </w:lvl>
    <w:lvl w:ilvl="3" w:tplc="07105762">
      <w:start w:val="1"/>
      <w:numFmt w:val="bullet"/>
      <w:lvlText w:val="•"/>
      <w:lvlJc w:val="left"/>
      <w:pPr>
        <w:ind w:left="2834" w:hanging="171"/>
      </w:pPr>
      <w:rPr>
        <w:rFonts w:hint="default"/>
      </w:rPr>
    </w:lvl>
    <w:lvl w:ilvl="4" w:tplc="D23CF702">
      <w:start w:val="1"/>
      <w:numFmt w:val="bullet"/>
      <w:lvlText w:val="•"/>
      <w:lvlJc w:val="left"/>
      <w:pPr>
        <w:ind w:left="3665" w:hanging="171"/>
      </w:pPr>
      <w:rPr>
        <w:rFonts w:hint="default"/>
      </w:rPr>
    </w:lvl>
    <w:lvl w:ilvl="5" w:tplc="A9525362">
      <w:start w:val="1"/>
      <w:numFmt w:val="bullet"/>
      <w:lvlText w:val="•"/>
      <w:lvlJc w:val="left"/>
      <w:pPr>
        <w:ind w:left="4497" w:hanging="171"/>
      </w:pPr>
      <w:rPr>
        <w:rFonts w:hint="default"/>
      </w:rPr>
    </w:lvl>
    <w:lvl w:ilvl="6" w:tplc="525CF342">
      <w:start w:val="1"/>
      <w:numFmt w:val="bullet"/>
      <w:lvlText w:val="•"/>
      <w:lvlJc w:val="left"/>
      <w:pPr>
        <w:ind w:left="5328" w:hanging="171"/>
      </w:pPr>
      <w:rPr>
        <w:rFonts w:hint="default"/>
      </w:rPr>
    </w:lvl>
    <w:lvl w:ilvl="7" w:tplc="D9E01966">
      <w:start w:val="1"/>
      <w:numFmt w:val="bullet"/>
      <w:lvlText w:val="•"/>
      <w:lvlJc w:val="left"/>
      <w:pPr>
        <w:ind w:left="6159" w:hanging="171"/>
      </w:pPr>
      <w:rPr>
        <w:rFonts w:hint="default"/>
      </w:rPr>
    </w:lvl>
    <w:lvl w:ilvl="8" w:tplc="E7AA1342">
      <w:start w:val="1"/>
      <w:numFmt w:val="bullet"/>
      <w:lvlText w:val="•"/>
      <w:lvlJc w:val="left"/>
      <w:pPr>
        <w:ind w:left="6991" w:hanging="171"/>
      </w:pPr>
      <w:rPr>
        <w:rFonts w:hint="default"/>
      </w:rPr>
    </w:lvl>
  </w:abstractNum>
  <w:abstractNum w:abstractNumId="1">
    <w:nsid w:val="07DE0414"/>
    <w:multiLevelType w:val="hybridMultilevel"/>
    <w:tmpl w:val="3EFEF66E"/>
    <w:lvl w:ilvl="0" w:tplc="9F147418">
      <w:start w:val="15"/>
      <w:numFmt w:val="decimal"/>
      <w:lvlText w:val="%1"/>
      <w:lvlJc w:val="left"/>
      <w:pPr>
        <w:ind w:left="1978" w:hanging="561"/>
        <w:jc w:val="left"/>
      </w:pPr>
      <w:rPr>
        <w:rFonts w:hint="default"/>
      </w:rPr>
    </w:lvl>
    <w:lvl w:ilvl="1" w:tplc="237A7CCC">
      <w:start w:val="1"/>
      <w:numFmt w:val="decimal"/>
      <w:lvlText w:val="%1.%2"/>
      <w:lvlJc w:val="left"/>
      <w:pPr>
        <w:ind w:left="1978" w:hanging="561"/>
        <w:jc w:val="right"/>
      </w:pPr>
      <w:rPr>
        <w:rFonts w:ascii="Arial" w:eastAsia="Arial" w:hAnsi="Arial" w:cs="Arial" w:hint="default"/>
        <w:color w:val="0095A7"/>
        <w:spacing w:val="-23"/>
        <w:w w:val="100"/>
        <w:sz w:val="24"/>
        <w:szCs w:val="24"/>
      </w:rPr>
    </w:lvl>
    <w:lvl w:ilvl="2" w:tplc="2B280A64">
      <w:start w:val="1"/>
      <w:numFmt w:val="bullet"/>
      <w:lvlText w:val="•"/>
      <w:lvlJc w:val="left"/>
      <w:pPr>
        <w:ind w:left="3629" w:hanging="561"/>
      </w:pPr>
      <w:rPr>
        <w:rFonts w:hint="default"/>
      </w:rPr>
    </w:lvl>
    <w:lvl w:ilvl="3" w:tplc="E0409496">
      <w:start w:val="1"/>
      <w:numFmt w:val="bullet"/>
      <w:lvlText w:val="•"/>
      <w:lvlJc w:val="left"/>
      <w:pPr>
        <w:ind w:left="4453" w:hanging="561"/>
      </w:pPr>
      <w:rPr>
        <w:rFonts w:hint="default"/>
      </w:rPr>
    </w:lvl>
    <w:lvl w:ilvl="4" w:tplc="C02003D8">
      <w:start w:val="1"/>
      <w:numFmt w:val="bullet"/>
      <w:lvlText w:val="•"/>
      <w:lvlJc w:val="left"/>
      <w:pPr>
        <w:ind w:left="5278" w:hanging="561"/>
      </w:pPr>
      <w:rPr>
        <w:rFonts w:hint="default"/>
      </w:rPr>
    </w:lvl>
    <w:lvl w:ilvl="5" w:tplc="F4A866AA">
      <w:start w:val="1"/>
      <w:numFmt w:val="bullet"/>
      <w:lvlText w:val="•"/>
      <w:lvlJc w:val="left"/>
      <w:pPr>
        <w:ind w:left="6102" w:hanging="561"/>
      </w:pPr>
      <w:rPr>
        <w:rFonts w:hint="default"/>
      </w:rPr>
    </w:lvl>
    <w:lvl w:ilvl="6" w:tplc="1FE0162A">
      <w:start w:val="1"/>
      <w:numFmt w:val="bullet"/>
      <w:lvlText w:val="•"/>
      <w:lvlJc w:val="left"/>
      <w:pPr>
        <w:ind w:left="6927" w:hanging="561"/>
      </w:pPr>
      <w:rPr>
        <w:rFonts w:hint="default"/>
      </w:rPr>
    </w:lvl>
    <w:lvl w:ilvl="7" w:tplc="B9DCDC72">
      <w:start w:val="1"/>
      <w:numFmt w:val="bullet"/>
      <w:lvlText w:val="•"/>
      <w:lvlJc w:val="left"/>
      <w:pPr>
        <w:ind w:left="7751" w:hanging="561"/>
      </w:pPr>
      <w:rPr>
        <w:rFonts w:hint="default"/>
      </w:rPr>
    </w:lvl>
    <w:lvl w:ilvl="8" w:tplc="8E143492">
      <w:start w:val="1"/>
      <w:numFmt w:val="bullet"/>
      <w:lvlText w:val="•"/>
      <w:lvlJc w:val="left"/>
      <w:pPr>
        <w:ind w:left="8576" w:hanging="561"/>
      </w:pPr>
      <w:rPr>
        <w:rFonts w:hint="default"/>
      </w:rPr>
    </w:lvl>
  </w:abstractNum>
  <w:abstractNum w:abstractNumId="2">
    <w:nsid w:val="0B5A2E34"/>
    <w:multiLevelType w:val="hybridMultilevel"/>
    <w:tmpl w:val="8F843738"/>
    <w:lvl w:ilvl="0" w:tplc="BF40874E">
      <w:start w:val="17"/>
      <w:numFmt w:val="decimal"/>
      <w:lvlText w:val="%1"/>
      <w:lvlJc w:val="left"/>
      <w:pPr>
        <w:ind w:left="689" w:hanging="555"/>
        <w:jc w:val="left"/>
      </w:pPr>
      <w:rPr>
        <w:rFonts w:hint="default"/>
      </w:rPr>
    </w:lvl>
    <w:lvl w:ilvl="1" w:tplc="1FEAB93E">
      <w:start w:val="3"/>
      <w:numFmt w:val="decimal"/>
      <w:lvlText w:val="%1.%2"/>
      <w:lvlJc w:val="left"/>
      <w:pPr>
        <w:ind w:left="689" w:hanging="555"/>
        <w:jc w:val="left"/>
      </w:pPr>
      <w:rPr>
        <w:rFonts w:ascii="Arial" w:eastAsia="Arial" w:hAnsi="Arial" w:cs="Arial" w:hint="default"/>
        <w:color w:val="0095A7"/>
        <w:spacing w:val="-26"/>
        <w:w w:val="100"/>
        <w:sz w:val="24"/>
        <w:szCs w:val="24"/>
      </w:rPr>
    </w:lvl>
    <w:lvl w:ilvl="2" w:tplc="0A804B8C">
      <w:start w:val="1"/>
      <w:numFmt w:val="bullet"/>
      <w:lvlText w:val="•"/>
      <w:lvlJc w:val="left"/>
      <w:pPr>
        <w:ind w:left="1587" w:hanging="171"/>
      </w:pPr>
      <w:rPr>
        <w:rFonts w:ascii="Arial" w:eastAsia="Arial" w:hAnsi="Arial" w:cs="Arial" w:hint="default"/>
        <w:color w:val="0095A7"/>
        <w:spacing w:val="-12"/>
        <w:w w:val="100"/>
        <w:sz w:val="20"/>
        <w:szCs w:val="20"/>
      </w:rPr>
    </w:lvl>
    <w:lvl w:ilvl="3" w:tplc="C43E35C0">
      <w:start w:val="1"/>
      <w:numFmt w:val="bullet"/>
      <w:lvlText w:val="•"/>
      <w:lvlJc w:val="left"/>
      <w:pPr>
        <w:ind w:left="3127" w:hanging="171"/>
      </w:pPr>
      <w:rPr>
        <w:rFonts w:hint="default"/>
      </w:rPr>
    </w:lvl>
    <w:lvl w:ilvl="4" w:tplc="704C8960">
      <w:start w:val="1"/>
      <w:numFmt w:val="bullet"/>
      <w:lvlText w:val="•"/>
      <w:lvlJc w:val="left"/>
      <w:pPr>
        <w:ind w:left="3901" w:hanging="171"/>
      </w:pPr>
      <w:rPr>
        <w:rFonts w:hint="default"/>
      </w:rPr>
    </w:lvl>
    <w:lvl w:ilvl="5" w:tplc="BDFAD7C0">
      <w:start w:val="1"/>
      <w:numFmt w:val="bullet"/>
      <w:lvlText w:val="•"/>
      <w:lvlJc w:val="left"/>
      <w:pPr>
        <w:ind w:left="4675" w:hanging="171"/>
      </w:pPr>
      <w:rPr>
        <w:rFonts w:hint="default"/>
      </w:rPr>
    </w:lvl>
    <w:lvl w:ilvl="6" w:tplc="6FFA5796">
      <w:start w:val="1"/>
      <w:numFmt w:val="bullet"/>
      <w:lvlText w:val="•"/>
      <w:lvlJc w:val="left"/>
      <w:pPr>
        <w:ind w:left="5449" w:hanging="171"/>
      </w:pPr>
      <w:rPr>
        <w:rFonts w:hint="default"/>
      </w:rPr>
    </w:lvl>
    <w:lvl w:ilvl="7" w:tplc="8418F864">
      <w:start w:val="1"/>
      <w:numFmt w:val="bullet"/>
      <w:lvlText w:val="•"/>
      <w:lvlJc w:val="left"/>
      <w:pPr>
        <w:ind w:left="6223" w:hanging="171"/>
      </w:pPr>
      <w:rPr>
        <w:rFonts w:hint="default"/>
      </w:rPr>
    </w:lvl>
    <w:lvl w:ilvl="8" w:tplc="B4A4A666">
      <w:start w:val="1"/>
      <w:numFmt w:val="bullet"/>
      <w:lvlText w:val="•"/>
      <w:lvlJc w:val="left"/>
      <w:pPr>
        <w:ind w:left="6997" w:hanging="171"/>
      </w:pPr>
      <w:rPr>
        <w:rFonts w:hint="default"/>
      </w:rPr>
    </w:lvl>
  </w:abstractNum>
  <w:abstractNum w:abstractNumId="3">
    <w:nsid w:val="0BB97B75"/>
    <w:multiLevelType w:val="hybridMultilevel"/>
    <w:tmpl w:val="19BCA8FE"/>
    <w:lvl w:ilvl="0" w:tplc="8EC47B8C">
      <w:start w:val="1"/>
      <w:numFmt w:val="bullet"/>
      <w:lvlText w:val="•"/>
      <w:lvlJc w:val="left"/>
      <w:pPr>
        <w:ind w:left="340" w:hanging="171"/>
      </w:pPr>
      <w:rPr>
        <w:rFonts w:ascii="Arial" w:eastAsia="Arial" w:hAnsi="Arial" w:cs="Arial" w:hint="default"/>
        <w:color w:val="0095A7"/>
        <w:spacing w:val="-12"/>
        <w:w w:val="100"/>
        <w:sz w:val="20"/>
        <w:szCs w:val="20"/>
      </w:rPr>
    </w:lvl>
    <w:lvl w:ilvl="1" w:tplc="421A5EFA">
      <w:start w:val="1"/>
      <w:numFmt w:val="bullet"/>
      <w:lvlText w:val="•"/>
      <w:lvlJc w:val="left"/>
      <w:pPr>
        <w:ind w:left="1171" w:hanging="171"/>
      </w:pPr>
      <w:rPr>
        <w:rFonts w:hint="default"/>
      </w:rPr>
    </w:lvl>
    <w:lvl w:ilvl="2" w:tplc="16A637A4">
      <w:start w:val="1"/>
      <w:numFmt w:val="bullet"/>
      <w:lvlText w:val="•"/>
      <w:lvlJc w:val="left"/>
      <w:pPr>
        <w:ind w:left="2002" w:hanging="171"/>
      </w:pPr>
      <w:rPr>
        <w:rFonts w:hint="default"/>
      </w:rPr>
    </w:lvl>
    <w:lvl w:ilvl="3" w:tplc="016CFC72">
      <w:start w:val="1"/>
      <w:numFmt w:val="bullet"/>
      <w:lvlText w:val="•"/>
      <w:lvlJc w:val="left"/>
      <w:pPr>
        <w:ind w:left="2834" w:hanging="171"/>
      </w:pPr>
      <w:rPr>
        <w:rFonts w:hint="default"/>
      </w:rPr>
    </w:lvl>
    <w:lvl w:ilvl="4" w:tplc="29609662">
      <w:start w:val="1"/>
      <w:numFmt w:val="bullet"/>
      <w:lvlText w:val="•"/>
      <w:lvlJc w:val="left"/>
      <w:pPr>
        <w:ind w:left="3665" w:hanging="171"/>
      </w:pPr>
      <w:rPr>
        <w:rFonts w:hint="default"/>
      </w:rPr>
    </w:lvl>
    <w:lvl w:ilvl="5" w:tplc="C3F8A580">
      <w:start w:val="1"/>
      <w:numFmt w:val="bullet"/>
      <w:lvlText w:val="•"/>
      <w:lvlJc w:val="left"/>
      <w:pPr>
        <w:ind w:left="4497" w:hanging="171"/>
      </w:pPr>
      <w:rPr>
        <w:rFonts w:hint="default"/>
      </w:rPr>
    </w:lvl>
    <w:lvl w:ilvl="6" w:tplc="A58C80D2">
      <w:start w:val="1"/>
      <w:numFmt w:val="bullet"/>
      <w:lvlText w:val="•"/>
      <w:lvlJc w:val="left"/>
      <w:pPr>
        <w:ind w:left="5328" w:hanging="171"/>
      </w:pPr>
      <w:rPr>
        <w:rFonts w:hint="default"/>
      </w:rPr>
    </w:lvl>
    <w:lvl w:ilvl="7" w:tplc="67744028">
      <w:start w:val="1"/>
      <w:numFmt w:val="bullet"/>
      <w:lvlText w:val="•"/>
      <w:lvlJc w:val="left"/>
      <w:pPr>
        <w:ind w:left="6159" w:hanging="171"/>
      </w:pPr>
      <w:rPr>
        <w:rFonts w:hint="default"/>
      </w:rPr>
    </w:lvl>
    <w:lvl w:ilvl="8" w:tplc="AA2848F8">
      <w:start w:val="1"/>
      <w:numFmt w:val="bullet"/>
      <w:lvlText w:val="•"/>
      <w:lvlJc w:val="left"/>
      <w:pPr>
        <w:ind w:left="6991" w:hanging="171"/>
      </w:pPr>
      <w:rPr>
        <w:rFonts w:hint="default"/>
      </w:rPr>
    </w:lvl>
  </w:abstractNum>
  <w:abstractNum w:abstractNumId="4">
    <w:nsid w:val="0D080B48"/>
    <w:multiLevelType w:val="hybridMultilevel"/>
    <w:tmpl w:val="F5AEA3E4"/>
    <w:lvl w:ilvl="0" w:tplc="E8EC511E">
      <w:start w:val="12"/>
      <w:numFmt w:val="decimal"/>
      <w:lvlText w:val="%1"/>
      <w:lvlJc w:val="left"/>
      <w:pPr>
        <w:ind w:left="1977" w:hanging="560"/>
        <w:jc w:val="left"/>
      </w:pPr>
      <w:rPr>
        <w:rFonts w:hint="default"/>
      </w:rPr>
    </w:lvl>
    <w:lvl w:ilvl="1" w:tplc="74EE6302">
      <w:start w:val="1"/>
      <w:numFmt w:val="decimal"/>
      <w:lvlText w:val="%1.%2"/>
      <w:lvlJc w:val="left"/>
      <w:pPr>
        <w:ind w:left="1977" w:hanging="560"/>
        <w:jc w:val="right"/>
      </w:pPr>
      <w:rPr>
        <w:rFonts w:ascii="Arial" w:eastAsia="Arial" w:hAnsi="Arial" w:cs="Arial" w:hint="default"/>
        <w:color w:val="0095A7"/>
        <w:spacing w:val="-23"/>
        <w:w w:val="100"/>
        <w:sz w:val="24"/>
        <w:szCs w:val="24"/>
      </w:rPr>
    </w:lvl>
    <w:lvl w:ilvl="2" w:tplc="CA383F58">
      <w:start w:val="1"/>
      <w:numFmt w:val="bullet"/>
      <w:lvlText w:val="•"/>
      <w:lvlJc w:val="left"/>
      <w:pPr>
        <w:ind w:left="3629" w:hanging="560"/>
      </w:pPr>
      <w:rPr>
        <w:rFonts w:hint="default"/>
      </w:rPr>
    </w:lvl>
    <w:lvl w:ilvl="3" w:tplc="6528181E">
      <w:start w:val="1"/>
      <w:numFmt w:val="bullet"/>
      <w:lvlText w:val="•"/>
      <w:lvlJc w:val="left"/>
      <w:pPr>
        <w:ind w:left="4453" w:hanging="560"/>
      </w:pPr>
      <w:rPr>
        <w:rFonts w:hint="default"/>
      </w:rPr>
    </w:lvl>
    <w:lvl w:ilvl="4" w:tplc="BB8C99DE">
      <w:start w:val="1"/>
      <w:numFmt w:val="bullet"/>
      <w:lvlText w:val="•"/>
      <w:lvlJc w:val="left"/>
      <w:pPr>
        <w:ind w:left="5278" w:hanging="560"/>
      </w:pPr>
      <w:rPr>
        <w:rFonts w:hint="default"/>
      </w:rPr>
    </w:lvl>
    <w:lvl w:ilvl="5" w:tplc="59AC6FD0">
      <w:start w:val="1"/>
      <w:numFmt w:val="bullet"/>
      <w:lvlText w:val="•"/>
      <w:lvlJc w:val="left"/>
      <w:pPr>
        <w:ind w:left="6102" w:hanging="560"/>
      </w:pPr>
      <w:rPr>
        <w:rFonts w:hint="default"/>
      </w:rPr>
    </w:lvl>
    <w:lvl w:ilvl="6" w:tplc="E00499EE">
      <w:start w:val="1"/>
      <w:numFmt w:val="bullet"/>
      <w:lvlText w:val="•"/>
      <w:lvlJc w:val="left"/>
      <w:pPr>
        <w:ind w:left="6927" w:hanging="560"/>
      </w:pPr>
      <w:rPr>
        <w:rFonts w:hint="default"/>
      </w:rPr>
    </w:lvl>
    <w:lvl w:ilvl="7" w:tplc="E2A200FA">
      <w:start w:val="1"/>
      <w:numFmt w:val="bullet"/>
      <w:lvlText w:val="•"/>
      <w:lvlJc w:val="left"/>
      <w:pPr>
        <w:ind w:left="7751" w:hanging="560"/>
      </w:pPr>
      <w:rPr>
        <w:rFonts w:hint="default"/>
      </w:rPr>
    </w:lvl>
    <w:lvl w:ilvl="8" w:tplc="B524AE58">
      <w:start w:val="1"/>
      <w:numFmt w:val="bullet"/>
      <w:lvlText w:val="•"/>
      <w:lvlJc w:val="left"/>
      <w:pPr>
        <w:ind w:left="8576" w:hanging="560"/>
      </w:pPr>
      <w:rPr>
        <w:rFonts w:hint="default"/>
      </w:rPr>
    </w:lvl>
  </w:abstractNum>
  <w:abstractNum w:abstractNumId="5">
    <w:nsid w:val="0D506D05"/>
    <w:multiLevelType w:val="hybridMultilevel"/>
    <w:tmpl w:val="3D2C34DE"/>
    <w:lvl w:ilvl="0" w:tplc="843A1C4A">
      <w:start w:val="1"/>
      <w:numFmt w:val="decimal"/>
      <w:lvlText w:val="%1"/>
      <w:lvlJc w:val="left"/>
      <w:pPr>
        <w:ind w:left="1700" w:hanging="284"/>
        <w:jc w:val="right"/>
      </w:pPr>
      <w:rPr>
        <w:rFonts w:ascii="Arial" w:eastAsia="Arial" w:hAnsi="Arial" w:cs="Arial" w:hint="default"/>
        <w:color w:val="58595B"/>
        <w:spacing w:val="-1"/>
        <w:w w:val="100"/>
        <w:sz w:val="12"/>
        <w:szCs w:val="12"/>
      </w:rPr>
    </w:lvl>
    <w:lvl w:ilvl="1" w:tplc="9978FD3E">
      <w:start w:val="1"/>
      <w:numFmt w:val="bullet"/>
      <w:lvlText w:val="•"/>
      <w:lvlJc w:val="left"/>
      <w:pPr>
        <w:ind w:left="2093" w:hanging="284"/>
      </w:pPr>
      <w:rPr>
        <w:rFonts w:hint="default"/>
      </w:rPr>
    </w:lvl>
    <w:lvl w:ilvl="2" w:tplc="CF0EDCD8">
      <w:start w:val="1"/>
      <w:numFmt w:val="bullet"/>
      <w:lvlText w:val="•"/>
      <w:lvlJc w:val="left"/>
      <w:pPr>
        <w:ind w:left="2486" w:hanging="284"/>
      </w:pPr>
      <w:rPr>
        <w:rFonts w:hint="default"/>
      </w:rPr>
    </w:lvl>
    <w:lvl w:ilvl="3" w:tplc="E83A954E">
      <w:start w:val="1"/>
      <w:numFmt w:val="bullet"/>
      <w:lvlText w:val="•"/>
      <w:lvlJc w:val="left"/>
      <w:pPr>
        <w:ind w:left="2879" w:hanging="284"/>
      </w:pPr>
      <w:rPr>
        <w:rFonts w:hint="default"/>
      </w:rPr>
    </w:lvl>
    <w:lvl w:ilvl="4" w:tplc="4F2A85E4">
      <w:start w:val="1"/>
      <w:numFmt w:val="bullet"/>
      <w:lvlText w:val="•"/>
      <w:lvlJc w:val="left"/>
      <w:pPr>
        <w:ind w:left="3272" w:hanging="284"/>
      </w:pPr>
      <w:rPr>
        <w:rFonts w:hint="default"/>
      </w:rPr>
    </w:lvl>
    <w:lvl w:ilvl="5" w:tplc="F82C663E">
      <w:start w:val="1"/>
      <w:numFmt w:val="bullet"/>
      <w:lvlText w:val="•"/>
      <w:lvlJc w:val="left"/>
      <w:pPr>
        <w:ind w:left="3666" w:hanging="284"/>
      </w:pPr>
      <w:rPr>
        <w:rFonts w:hint="default"/>
      </w:rPr>
    </w:lvl>
    <w:lvl w:ilvl="6" w:tplc="B9464C5A">
      <w:start w:val="1"/>
      <w:numFmt w:val="bullet"/>
      <w:lvlText w:val="•"/>
      <w:lvlJc w:val="left"/>
      <w:pPr>
        <w:ind w:left="4059" w:hanging="284"/>
      </w:pPr>
      <w:rPr>
        <w:rFonts w:hint="default"/>
      </w:rPr>
    </w:lvl>
    <w:lvl w:ilvl="7" w:tplc="A7B2E980">
      <w:start w:val="1"/>
      <w:numFmt w:val="bullet"/>
      <w:lvlText w:val="•"/>
      <w:lvlJc w:val="left"/>
      <w:pPr>
        <w:ind w:left="4452" w:hanging="284"/>
      </w:pPr>
      <w:rPr>
        <w:rFonts w:hint="default"/>
      </w:rPr>
    </w:lvl>
    <w:lvl w:ilvl="8" w:tplc="658AF7A0">
      <w:start w:val="1"/>
      <w:numFmt w:val="bullet"/>
      <w:lvlText w:val="•"/>
      <w:lvlJc w:val="left"/>
      <w:pPr>
        <w:ind w:left="4845" w:hanging="284"/>
      </w:pPr>
      <w:rPr>
        <w:rFonts w:hint="default"/>
      </w:rPr>
    </w:lvl>
  </w:abstractNum>
  <w:abstractNum w:abstractNumId="6">
    <w:nsid w:val="0DB04E1B"/>
    <w:multiLevelType w:val="hybridMultilevel"/>
    <w:tmpl w:val="6BDA2350"/>
    <w:lvl w:ilvl="0" w:tplc="F91C2AE8">
      <w:start w:val="17"/>
      <w:numFmt w:val="decimal"/>
      <w:lvlText w:val="%1"/>
      <w:lvlJc w:val="left"/>
      <w:pPr>
        <w:ind w:left="1947" w:hanging="531"/>
        <w:jc w:val="left"/>
      </w:pPr>
      <w:rPr>
        <w:rFonts w:hint="default"/>
      </w:rPr>
    </w:lvl>
    <w:lvl w:ilvl="1" w:tplc="6F325454">
      <w:start w:val="1"/>
      <w:numFmt w:val="decimal"/>
      <w:lvlText w:val="%1.%2"/>
      <w:lvlJc w:val="left"/>
      <w:pPr>
        <w:ind w:left="1947" w:hanging="531"/>
        <w:jc w:val="right"/>
      </w:pPr>
      <w:rPr>
        <w:rFonts w:ascii="Arial" w:eastAsia="Arial" w:hAnsi="Arial" w:cs="Arial" w:hint="default"/>
        <w:color w:val="0095A7"/>
        <w:spacing w:val="-26"/>
        <w:w w:val="100"/>
        <w:sz w:val="24"/>
        <w:szCs w:val="24"/>
      </w:rPr>
    </w:lvl>
    <w:lvl w:ilvl="2" w:tplc="B0F2BEA2">
      <w:start w:val="1"/>
      <w:numFmt w:val="decimal"/>
      <w:lvlText w:val="%1.%2.%3"/>
      <w:lvlJc w:val="left"/>
      <w:pPr>
        <w:ind w:left="745" w:hanging="612"/>
        <w:jc w:val="right"/>
      </w:pPr>
      <w:rPr>
        <w:rFonts w:ascii="Arial" w:eastAsia="Arial" w:hAnsi="Arial" w:cs="Arial" w:hint="default"/>
        <w:color w:val="0095A7"/>
        <w:spacing w:val="-21"/>
        <w:w w:val="100"/>
        <w:sz w:val="20"/>
        <w:szCs w:val="20"/>
      </w:rPr>
    </w:lvl>
    <w:lvl w:ilvl="3" w:tplc="DE04BD34">
      <w:start w:val="1"/>
      <w:numFmt w:val="bullet"/>
      <w:lvlText w:val="•"/>
      <w:lvlJc w:val="left"/>
      <w:pPr>
        <w:ind w:left="3407" w:hanging="612"/>
      </w:pPr>
      <w:rPr>
        <w:rFonts w:hint="default"/>
      </w:rPr>
    </w:lvl>
    <w:lvl w:ilvl="4" w:tplc="20E0779E">
      <w:start w:val="1"/>
      <w:numFmt w:val="bullet"/>
      <w:lvlText w:val="•"/>
      <w:lvlJc w:val="left"/>
      <w:pPr>
        <w:ind w:left="4141" w:hanging="612"/>
      </w:pPr>
      <w:rPr>
        <w:rFonts w:hint="default"/>
      </w:rPr>
    </w:lvl>
    <w:lvl w:ilvl="5" w:tplc="809E9364">
      <w:start w:val="1"/>
      <w:numFmt w:val="bullet"/>
      <w:lvlText w:val="•"/>
      <w:lvlJc w:val="left"/>
      <w:pPr>
        <w:ind w:left="4875" w:hanging="612"/>
      </w:pPr>
      <w:rPr>
        <w:rFonts w:hint="default"/>
      </w:rPr>
    </w:lvl>
    <w:lvl w:ilvl="6" w:tplc="E6EED96E">
      <w:start w:val="1"/>
      <w:numFmt w:val="bullet"/>
      <w:lvlText w:val="•"/>
      <w:lvlJc w:val="left"/>
      <w:pPr>
        <w:ind w:left="5609" w:hanging="612"/>
      </w:pPr>
      <w:rPr>
        <w:rFonts w:hint="default"/>
      </w:rPr>
    </w:lvl>
    <w:lvl w:ilvl="7" w:tplc="ED7E80FC">
      <w:start w:val="1"/>
      <w:numFmt w:val="bullet"/>
      <w:lvlText w:val="•"/>
      <w:lvlJc w:val="left"/>
      <w:pPr>
        <w:ind w:left="6343" w:hanging="612"/>
      </w:pPr>
      <w:rPr>
        <w:rFonts w:hint="default"/>
      </w:rPr>
    </w:lvl>
    <w:lvl w:ilvl="8" w:tplc="B5FAB2F6">
      <w:start w:val="1"/>
      <w:numFmt w:val="bullet"/>
      <w:lvlText w:val="•"/>
      <w:lvlJc w:val="left"/>
      <w:pPr>
        <w:ind w:left="7077" w:hanging="612"/>
      </w:pPr>
      <w:rPr>
        <w:rFonts w:hint="default"/>
      </w:rPr>
    </w:lvl>
  </w:abstractNum>
  <w:abstractNum w:abstractNumId="7">
    <w:nsid w:val="0F8A47BF"/>
    <w:multiLevelType w:val="hybridMultilevel"/>
    <w:tmpl w:val="4F166598"/>
    <w:lvl w:ilvl="0" w:tplc="F9A00082">
      <w:start w:val="7"/>
      <w:numFmt w:val="decimal"/>
      <w:lvlText w:val="%1"/>
      <w:lvlJc w:val="left"/>
      <w:pPr>
        <w:ind w:left="1700" w:hanging="284"/>
        <w:jc w:val="right"/>
      </w:pPr>
      <w:rPr>
        <w:rFonts w:ascii="Arial" w:eastAsia="Arial" w:hAnsi="Arial" w:cs="Arial" w:hint="default"/>
        <w:color w:val="58595B"/>
        <w:spacing w:val="-4"/>
        <w:w w:val="100"/>
        <w:sz w:val="12"/>
        <w:szCs w:val="12"/>
      </w:rPr>
    </w:lvl>
    <w:lvl w:ilvl="1" w:tplc="DCB6BD36">
      <w:start w:val="1"/>
      <w:numFmt w:val="bullet"/>
      <w:lvlText w:val="•"/>
      <w:lvlJc w:val="left"/>
      <w:pPr>
        <w:ind w:left="1700" w:hanging="284"/>
      </w:pPr>
      <w:rPr>
        <w:rFonts w:hint="default"/>
      </w:rPr>
    </w:lvl>
    <w:lvl w:ilvl="2" w:tplc="302C5CA8">
      <w:start w:val="1"/>
      <w:numFmt w:val="bullet"/>
      <w:lvlText w:val="•"/>
      <w:lvlJc w:val="left"/>
      <w:pPr>
        <w:ind w:left="1840" w:hanging="284"/>
      </w:pPr>
      <w:rPr>
        <w:rFonts w:hint="default"/>
      </w:rPr>
    </w:lvl>
    <w:lvl w:ilvl="3" w:tplc="2B9EAF94">
      <w:start w:val="1"/>
      <w:numFmt w:val="bullet"/>
      <w:lvlText w:val="•"/>
      <w:lvlJc w:val="left"/>
      <w:pPr>
        <w:ind w:left="1605" w:hanging="284"/>
      </w:pPr>
      <w:rPr>
        <w:rFonts w:hint="default"/>
      </w:rPr>
    </w:lvl>
    <w:lvl w:ilvl="4" w:tplc="58007F66">
      <w:start w:val="1"/>
      <w:numFmt w:val="bullet"/>
      <w:lvlText w:val="•"/>
      <w:lvlJc w:val="left"/>
      <w:pPr>
        <w:ind w:left="1370" w:hanging="284"/>
      </w:pPr>
      <w:rPr>
        <w:rFonts w:hint="default"/>
      </w:rPr>
    </w:lvl>
    <w:lvl w:ilvl="5" w:tplc="00D8A01E">
      <w:start w:val="1"/>
      <w:numFmt w:val="bullet"/>
      <w:lvlText w:val="•"/>
      <w:lvlJc w:val="left"/>
      <w:pPr>
        <w:ind w:left="1135" w:hanging="284"/>
      </w:pPr>
      <w:rPr>
        <w:rFonts w:hint="default"/>
      </w:rPr>
    </w:lvl>
    <w:lvl w:ilvl="6" w:tplc="11984574">
      <w:start w:val="1"/>
      <w:numFmt w:val="bullet"/>
      <w:lvlText w:val="•"/>
      <w:lvlJc w:val="left"/>
      <w:pPr>
        <w:ind w:left="900" w:hanging="284"/>
      </w:pPr>
      <w:rPr>
        <w:rFonts w:hint="default"/>
      </w:rPr>
    </w:lvl>
    <w:lvl w:ilvl="7" w:tplc="CDE0993C">
      <w:start w:val="1"/>
      <w:numFmt w:val="bullet"/>
      <w:lvlText w:val="•"/>
      <w:lvlJc w:val="left"/>
      <w:pPr>
        <w:ind w:left="665" w:hanging="284"/>
      </w:pPr>
      <w:rPr>
        <w:rFonts w:hint="default"/>
      </w:rPr>
    </w:lvl>
    <w:lvl w:ilvl="8" w:tplc="063464C4">
      <w:start w:val="1"/>
      <w:numFmt w:val="bullet"/>
      <w:lvlText w:val="•"/>
      <w:lvlJc w:val="left"/>
      <w:pPr>
        <w:ind w:left="430" w:hanging="284"/>
      </w:pPr>
      <w:rPr>
        <w:rFonts w:hint="default"/>
      </w:rPr>
    </w:lvl>
  </w:abstractNum>
  <w:abstractNum w:abstractNumId="8">
    <w:nsid w:val="10BC207C"/>
    <w:multiLevelType w:val="hybridMultilevel"/>
    <w:tmpl w:val="D2D014DA"/>
    <w:lvl w:ilvl="0" w:tplc="30A69DEA">
      <w:start w:val="1"/>
      <w:numFmt w:val="bullet"/>
      <w:lvlText w:val="•"/>
      <w:lvlJc w:val="left"/>
      <w:pPr>
        <w:ind w:left="1587" w:hanging="171"/>
      </w:pPr>
      <w:rPr>
        <w:rFonts w:ascii="Arial" w:eastAsia="Arial" w:hAnsi="Arial" w:cs="Arial" w:hint="default"/>
        <w:color w:val="0095A7"/>
        <w:spacing w:val="-12"/>
        <w:w w:val="100"/>
        <w:sz w:val="20"/>
        <w:szCs w:val="20"/>
      </w:rPr>
    </w:lvl>
    <w:lvl w:ilvl="1" w:tplc="C9EA8D88">
      <w:start w:val="1"/>
      <w:numFmt w:val="bullet"/>
      <w:lvlText w:val="•"/>
      <w:lvlJc w:val="left"/>
      <w:pPr>
        <w:ind w:left="2444" w:hanging="171"/>
      </w:pPr>
      <w:rPr>
        <w:rFonts w:hint="default"/>
      </w:rPr>
    </w:lvl>
    <w:lvl w:ilvl="2" w:tplc="322C52B0">
      <w:start w:val="1"/>
      <w:numFmt w:val="bullet"/>
      <w:lvlText w:val="•"/>
      <w:lvlJc w:val="left"/>
      <w:pPr>
        <w:ind w:left="3309" w:hanging="171"/>
      </w:pPr>
      <w:rPr>
        <w:rFonts w:hint="default"/>
      </w:rPr>
    </w:lvl>
    <w:lvl w:ilvl="3" w:tplc="9C0CF322">
      <w:start w:val="1"/>
      <w:numFmt w:val="bullet"/>
      <w:lvlText w:val="•"/>
      <w:lvlJc w:val="left"/>
      <w:pPr>
        <w:ind w:left="4173" w:hanging="171"/>
      </w:pPr>
      <w:rPr>
        <w:rFonts w:hint="default"/>
      </w:rPr>
    </w:lvl>
    <w:lvl w:ilvl="4" w:tplc="FAF07894">
      <w:start w:val="1"/>
      <w:numFmt w:val="bullet"/>
      <w:lvlText w:val="•"/>
      <w:lvlJc w:val="left"/>
      <w:pPr>
        <w:ind w:left="5038" w:hanging="171"/>
      </w:pPr>
      <w:rPr>
        <w:rFonts w:hint="default"/>
      </w:rPr>
    </w:lvl>
    <w:lvl w:ilvl="5" w:tplc="28607058">
      <w:start w:val="1"/>
      <w:numFmt w:val="bullet"/>
      <w:lvlText w:val="•"/>
      <w:lvlJc w:val="left"/>
      <w:pPr>
        <w:ind w:left="5902" w:hanging="171"/>
      </w:pPr>
      <w:rPr>
        <w:rFonts w:hint="default"/>
      </w:rPr>
    </w:lvl>
    <w:lvl w:ilvl="6" w:tplc="55E8FB3E">
      <w:start w:val="1"/>
      <w:numFmt w:val="bullet"/>
      <w:lvlText w:val="•"/>
      <w:lvlJc w:val="left"/>
      <w:pPr>
        <w:ind w:left="6767" w:hanging="171"/>
      </w:pPr>
      <w:rPr>
        <w:rFonts w:hint="default"/>
      </w:rPr>
    </w:lvl>
    <w:lvl w:ilvl="7" w:tplc="25A4723A">
      <w:start w:val="1"/>
      <w:numFmt w:val="bullet"/>
      <w:lvlText w:val="•"/>
      <w:lvlJc w:val="left"/>
      <w:pPr>
        <w:ind w:left="7631" w:hanging="171"/>
      </w:pPr>
      <w:rPr>
        <w:rFonts w:hint="default"/>
      </w:rPr>
    </w:lvl>
    <w:lvl w:ilvl="8" w:tplc="9C389AAA">
      <w:start w:val="1"/>
      <w:numFmt w:val="bullet"/>
      <w:lvlText w:val="•"/>
      <w:lvlJc w:val="left"/>
      <w:pPr>
        <w:ind w:left="8496" w:hanging="171"/>
      </w:pPr>
      <w:rPr>
        <w:rFonts w:hint="default"/>
      </w:rPr>
    </w:lvl>
  </w:abstractNum>
  <w:abstractNum w:abstractNumId="9">
    <w:nsid w:val="11674EBB"/>
    <w:multiLevelType w:val="hybridMultilevel"/>
    <w:tmpl w:val="42B48210"/>
    <w:lvl w:ilvl="0" w:tplc="1722F8FC">
      <w:start w:val="1"/>
      <w:numFmt w:val="decimal"/>
      <w:lvlText w:val="%1."/>
      <w:lvlJc w:val="left"/>
      <w:pPr>
        <w:ind w:left="474" w:hanging="341"/>
        <w:jc w:val="left"/>
      </w:pPr>
      <w:rPr>
        <w:rFonts w:ascii="Arial" w:eastAsia="Arial" w:hAnsi="Arial" w:cs="Arial" w:hint="default"/>
        <w:color w:val="58595B"/>
        <w:spacing w:val="-13"/>
        <w:w w:val="100"/>
        <w:sz w:val="20"/>
        <w:szCs w:val="20"/>
      </w:rPr>
    </w:lvl>
    <w:lvl w:ilvl="1" w:tplc="786E9084">
      <w:start w:val="1"/>
      <w:numFmt w:val="bullet"/>
      <w:lvlText w:val="•"/>
      <w:lvlJc w:val="left"/>
      <w:pPr>
        <w:ind w:left="1454" w:hanging="341"/>
      </w:pPr>
      <w:rPr>
        <w:rFonts w:hint="default"/>
      </w:rPr>
    </w:lvl>
    <w:lvl w:ilvl="2" w:tplc="8468288C">
      <w:start w:val="1"/>
      <w:numFmt w:val="bullet"/>
      <w:lvlText w:val="•"/>
      <w:lvlJc w:val="left"/>
      <w:pPr>
        <w:ind w:left="2429" w:hanging="341"/>
      </w:pPr>
      <w:rPr>
        <w:rFonts w:hint="default"/>
      </w:rPr>
    </w:lvl>
    <w:lvl w:ilvl="3" w:tplc="0FF44CAA">
      <w:start w:val="1"/>
      <w:numFmt w:val="bullet"/>
      <w:lvlText w:val="•"/>
      <w:lvlJc w:val="left"/>
      <w:pPr>
        <w:ind w:left="3403" w:hanging="341"/>
      </w:pPr>
      <w:rPr>
        <w:rFonts w:hint="default"/>
      </w:rPr>
    </w:lvl>
    <w:lvl w:ilvl="4" w:tplc="7A3822DC">
      <w:start w:val="1"/>
      <w:numFmt w:val="bullet"/>
      <w:lvlText w:val="•"/>
      <w:lvlJc w:val="left"/>
      <w:pPr>
        <w:ind w:left="4378" w:hanging="341"/>
      </w:pPr>
      <w:rPr>
        <w:rFonts w:hint="default"/>
      </w:rPr>
    </w:lvl>
    <w:lvl w:ilvl="5" w:tplc="AB1E484C">
      <w:start w:val="1"/>
      <w:numFmt w:val="bullet"/>
      <w:lvlText w:val="•"/>
      <w:lvlJc w:val="left"/>
      <w:pPr>
        <w:ind w:left="5352" w:hanging="341"/>
      </w:pPr>
      <w:rPr>
        <w:rFonts w:hint="default"/>
      </w:rPr>
    </w:lvl>
    <w:lvl w:ilvl="6" w:tplc="F776FEE4">
      <w:start w:val="1"/>
      <w:numFmt w:val="bullet"/>
      <w:lvlText w:val="•"/>
      <w:lvlJc w:val="left"/>
      <w:pPr>
        <w:ind w:left="6327" w:hanging="341"/>
      </w:pPr>
      <w:rPr>
        <w:rFonts w:hint="default"/>
      </w:rPr>
    </w:lvl>
    <w:lvl w:ilvl="7" w:tplc="07300DC0">
      <w:start w:val="1"/>
      <w:numFmt w:val="bullet"/>
      <w:lvlText w:val="•"/>
      <w:lvlJc w:val="left"/>
      <w:pPr>
        <w:ind w:left="7301" w:hanging="341"/>
      </w:pPr>
      <w:rPr>
        <w:rFonts w:hint="default"/>
      </w:rPr>
    </w:lvl>
    <w:lvl w:ilvl="8" w:tplc="C9009C5C">
      <w:start w:val="1"/>
      <w:numFmt w:val="bullet"/>
      <w:lvlText w:val="•"/>
      <w:lvlJc w:val="left"/>
      <w:pPr>
        <w:ind w:left="8276" w:hanging="341"/>
      </w:pPr>
      <w:rPr>
        <w:rFonts w:hint="default"/>
      </w:rPr>
    </w:lvl>
  </w:abstractNum>
  <w:abstractNum w:abstractNumId="10">
    <w:nsid w:val="143D1579"/>
    <w:multiLevelType w:val="hybridMultilevel"/>
    <w:tmpl w:val="D2A48C8E"/>
    <w:lvl w:ilvl="0" w:tplc="CF884632">
      <w:start w:val="11"/>
      <w:numFmt w:val="decimal"/>
      <w:lvlText w:val="%1"/>
      <w:lvlJc w:val="left"/>
      <w:pPr>
        <w:ind w:left="1954" w:hanging="538"/>
        <w:jc w:val="left"/>
      </w:pPr>
      <w:rPr>
        <w:rFonts w:hint="default"/>
      </w:rPr>
    </w:lvl>
    <w:lvl w:ilvl="1" w:tplc="5F06021A">
      <w:start w:val="1"/>
      <w:numFmt w:val="decimal"/>
      <w:lvlText w:val="%1.%2"/>
      <w:lvlJc w:val="left"/>
      <w:pPr>
        <w:ind w:left="1954" w:hanging="538"/>
        <w:jc w:val="right"/>
      </w:pPr>
      <w:rPr>
        <w:rFonts w:ascii="Arial" w:eastAsia="Arial" w:hAnsi="Arial" w:cs="Arial" w:hint="default"/>
        <w:color w:val="0095A7"/>
        <w:spacing w:val="-23"/>
        <w:w w:val="100"/>
        <w:sz w:val="24"/>
        <w:szCs w:val="24"/>
      </w:rPr>
    </w:lvl>
    <w:lvl w:ilvl="2" w:tplc="1E5E610A">
      <w:start w:val="1"/>
      <w:numFmt w:val="bullet"/>
      <w:lvlText w:val="•"/>
      <w:lvlJc w:val="left"/>
      <w:pPr>
        <w:ind w:left="2691" w:hanging="538"/>
      </w:pPr>
      <w:rPr>
        <w:rFonts w:hint="default"/>
      </w:rPr>
    </w:lvl>
    <w:lvl w:ilvl="3" w:tplc="3A4E238A">
      <w:start w:val="1"/>
      <w:numFmt w:val="bullet"/>
      <w:lvlText w:val="•"/>
      <w:lvlJc w:val="left"/>
      <w:pPr>
        <w:ind w:left="3423" w:hanging="538"/>
      </w:pPr>
      <w:rPr>
        <w:rFonts w:hint="default"/>
      </w:rPr>
    </w:lvl>
    <w:lvl w:ilvl="4" w:tplc="AD7619F6">
      <w:start w:val="1"/>
      <w:numFmt w:val="bullet"/>
      <w:lvlText w:val="•"/>
      <w:lvlJc w:val="left"/>
      <w:pPr>
        <w:ind w:left="4155" w:hanging="538"/>
      </w:pPr>
      <w:rPr>
        <w:rFonts w:hint="default"/>
      </w:rPr>
    </w:lvl>
    <w:lvl w:ilvl="5" w:tplc="4D96E2CA">
      <w:start w:val="1"/>
      <w:numFmt w:val="bullet"/>
      <w:lvlText w:val="•"/>
      <w:lvlJc w:val="left"/>
      <w:pPr>
        <w:ind w:left="4886" w:hanging="538"/>
      </w:pPr>
      <w:rPr>
        <w:rFonts w:hint="default"/>
      </w:rPr>
    </w:lvl>
    <w:lvl w:ilvl="6" w:tplc="085C0F2E">
      <w:start w:val="1"/>
      <w:numFmt w:val="bullet"/>
      <w:lvlText w:val="•"/>
      <w:lvlJc w:val="left"/>
      <w:pPr>
        <w:ind w:left="5618" w:hanging="538"/>
      </w:pPr>
      <w:rPr>
        <w:rFonts w:hint="default"/>
      </w:rPr>
    </w:lvl>
    <w:lvl w:ilvl="7" w:tplc="CC0A231C">
      <w:start w:val="1"/>
      <w:numFmt w:val="bullet"/>
      <w:lvlText w:val="•"/>
      <w:lvlJc w:val="left"/>
      <w:pPr>
        <w:ind w:left="6350" w:hanging="538"/>
      </w:pPr>
      <w:rPr>
        <w:rFonts w:hint="default"/>
      </w:rPr>
    </w:lvl>
    <w:lvl w:ilvl="8" w:tplc="60D421C4">
      <w:start w:val="1"/>
      <w:numFmt w:val="bullet"/>
      <w:lvlText w:val="•"/>
      <w:lvlJc w:val="left"/>
      <w:pPr>
        <w:ind w:left="7082" w:hanging="538"/>
      </w:pPr>
      <w:rPr>
        <w:rFonts w:hint="default"/>
      </w:rPr>
    </w:lvl>
  </w:abstractNum>
  <w:abstractNum w:abstractNumId="11">
    <w:nsid w:val="155A520F"/>
    <w:multiLevelType w:val="hybridMultilevel"/>
    <w:tmpl w:val="8AC87B98"/>
    <w:lvl w:ilvl="0" w:tplc="E7484D62">
      <w:start w:val="1"/>
      <w:numFmt w:val="decimal"/>
      <w:lvlText w:val="%1"/>
      <w:lvlJc w:val="left"/>
      <w:pPr>
        <w:ind w:left="417" w:hanging="284"/>
        <w:jc w:val="left"/>
      </w:pPr>
      <w:rPr>
        <w:rFonts w:ascii="Arial" w:eastAsia="Arial" w:hAnsi="Arial" w:cs="Arial" w:hint="default"/>
        <w:color w:val="58595B"/>
        <w:spacing w:val="-5"/>
        <w:w w:val="100"/>
        <w:sz w:val="12"/>
        <w:szCs w:val="12"/>
      </w:rPr>
    </w:lvl>
    <w:lvl w:ilvl="1" w:tplc="30B28408">
      <w:start w:val="1"/>
      <w:numFmt w:val="bullet"/>
      <w:lvlText w:val="•"/>
      <w:lvlJc w:val="left"/>
      <w:pPr>
        <w:ind w:left="1400" w:hanging="284"/>
      </w:pPr>
      <w:rPr>
        <w:rFonts w:hint="default"/>
      </w:rPr>
    </w:lvl>
    <w:lvl w:ilvl="2" w:tplc="9174B310">
      <w:start w:val="1"/>
      <w:numFmt w:val="bullet"/>
      <w:lvlText w:val="•"/>
      <w:lvlJc w:val="left"/>
      <w:pPr>
        <w:ind w:left="2381" w:hanging="284"/>
      </w:pPr>
      <w:rPr>
        <w:rFonts w:hint="default"/>
      </w:rPr>
    </w:lvl>
    <w:lvl w:ilvl="3" w:tplc="DF30F5D4">
      <w:start w:val="1"/>
      <w:numFmt w:val="bullet"/>
      <w:lvlText w:val="•"/>
      <w:lvlJc w:val="left"/>
      <w:pPr>
        <w:ind w:left="3361" w:hanging="284"/>
      </w:pPr>
      <w:rPr>
        <w:rFonts w:hint="default"/>
      </w:rPr>
    </w:lvl>
    <w:lvl w:ilvl="4" w:tplc="697AF0BA">
      <w:start w:val="1"/>
      <w:numFmt w:val="bullet"/>
      <w:lvlText w:val="•"/>
      <w:lvlJc w:val="left"/>
      <w:pPr>
        <w:ind w:left="4342" w:hanging="284"/>
      </w:pPr>
      <w:rPr>
        <w:rFonts w:hint="default"/>
      </w:rPr>
    </w:lvl>
    <w:lvl w:ilvl="5" w:tplc="D6C86968">
      <w:start w:val="1"/>
      <w:numFmt w:val="bullet"/>
      <w:lvlText w:val="•"/>
      <w:lvlJc w:val="left"/>
      <w:pPr>
        <w:ind w:left="5322" w:hanging="284"/>
      </w:pPr>
      <w:rPr>
        <w:rFonts w:hint="default"/>
      </w:rPr>
    </w:lvl>
    <w:lvl w:ilvl="6" w:tplc="2E0E2A26">
      <w:start w:val="1"/>
      <w:numFmt w:val="bullet"/>
      <w:lvlText w:val="•"/>
      <w:lvlJc w:val="left"/>
      <w:pPr>
        <w:ind w:left="6303" w:hanging="284"/>
      </w:pPr>
      <w:rPr>
        <w:rFonts w:hint="default"/>
      </w:rPr>
    </w:lvl>
    <w:lvl w:ilvl="7" w:tplc="3C2AA510">
      <w:start w:val="1"/>
      <w:numFmt w:val="bullet"/>
      <w:lvlText w:val="•"/>
      <w:lvlJc w:val="left"/>
      <w:pPr>
        <w:ind w:left="7283" w:hanging="284"/>
      </w:pPr>
      <w:rPr>
        <w:rFonts w:hint="default"/>
      </w:rPr>
    </w:lvl>
    <w:lvl w:ilvl="8" w:tplc="C596C334">
      <w:start w:val="1"/>
      <w:numFmt w:val="bullet"/>
      <w:lvlText w:val="•"/>
      <w:lvlJc w:val="left"/>
      <w:pPr>
        <w:ind w:left="8264" w:hanging="284"/>
      </w:pPr>
      <w:rPr>
        <w:rFonts w:hint="default"/>
      </w:rPr>
    </w:lvl>
  </w:abstractNum>
  <w:abstractNum w:abstractNumId="12">
    <w:nsid w:val="16C94FE5"/>
    <w:multiLevelType w:val="hybridMultilevel"/>
    <w:tmpl w:val="A3047A14"/>
    <w:lvl w:ilvl="0" w:tplc="B0204A32">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BB18133C">
      <w:start w:val="1"/>
      <w:numFmt w:val="bullet"/>
      <w:lvlText w:val="•"/>
      <w:lvlJc w:val="left"/>
      <w:pPr>
        <w:ind w:left="1333" w:hanging="341"/>
      </w:pPr>
      <w:rPr>
        <w:rFonts w:hint="default"/>
      </w:rPr>
    </w:lvl>
    <w:lvl w:ilvl="2" w:tplc="3F4CB544">
      <w:start w:val="1"/>
      <w:numFmt w:val="bullet"/>
      <w:lvlText w:val="•"/>
      <w:lvlJc w:val="left"/>
      <w:pPr>
        <w:ind w:left="2146" w:hanging="341"/>
      </w:pPr>
      <w:rPr>
        <w:rFonts w:hint="default"/>
      </w:rPr>
    </w:lvl>
    <w:lvl w:ilvl="3" w:tplc="6570E908">
      <w:start w:val="1"/>
      <w:numFmt w:val="bullet"/>
      <w:lvlText w:val="•"/>
      <w:lvlJc w:val="left"/>
      <w:pPr>
        <w:ind w:left="2960" w:hanging="341"/>
      </w:pPr>
      <w:rPr>
        <w:rFonts w:hint="default"/>
      </w:rPr>
    </w:lvl>
    <w:lvl w:ilvl="4" w:tplc="86AE598C">
      <w:start w:val="1"/>
      <w:numFmt w:val="bullet"/>
      <w:lvlText w:val="•"/>
      <w:lvlJc w:val="left"/>
      <w:pPr>
        <w:ind w:left="3773" w:hanging="341"/>
      </w:pPr>
      <w:rPr>
        <w:rFonts w:hint="default"/>
      </w:rPr>
    </w:lvl>
    <w:lvl w:ilvl="5" w:tplc="D6D682C2">
      <w:start w:val="1"/>
      <w:numFmt w:val="bullet"/>
      <w:lvlText w:val="•"/>
      <w:lvlJc w:val="left"/>
      <w:pPr>
        <w:ind w:left="4587" w:hanging="341"/>
      </w:pPr>
      <w:rPr>
        <w:rFonts w:hint="default"/>
      </w:rPr>
    </w:lvl>
    <w:lvl w:ilvl="6" w:tplc="EFD68B52">
      <w:start w:val="1"/>
      <w:numFmt w:val="bullet"/>
      <w:lvlText w:val="•"/>
      <w:lvlJc w:val="left"/>
      <w:pPr>
        <w:ind w:left="5400" w:hanging="341"/>
      </w:pPr>
      <w:rPr>
        <w:rFonts w:hint="default"/>
      </w:rPr>
    </w:lvl>
    <w:lvl w:ilvl="7" w:tplc="3B5A4618">
      <w:start w:val="1"/>
      <w:numFmt w:val="bullet"/>
      <w:lvlText w:val="•"/>
      <w:lvlJc w:val="left"/>
      <w:pPr>
        <w:ind w:left="6213" w:hanging="341"/>
      </w:pPr>
      <w:rPr>
        <w:rFonts w:hint="default"/>
      </w:rPr>
    </w:lvl>
    <w:lvl w:ilvl="8" w:tplc="7B9CAD6C">
      <w:start w:val="1"/>
      <w:numFmt w:val="bullet"/>
      <w:lvlText w:val="•"/>
      <w:lvlJc w:val="left"/>
      <w:pPr>
        <w:ind w:left="7027" w:hanging="341"/>
      </w:pPr>
      <w:rPr>
        <w:rFonts w:hint="default"/>
      </w:rPr>
    </w:lvl>
  </w:abstractNum>
  <w:abstractNum w:abstractNumId="13">
    <w:nsid w:val="16E215BF"/>
    <w:multiLevelType w:val="hybridMultilevel"/>
    <w:tmpl w:val="E90C2CDA"/>
    <w:lvl w:ilvl="0" w:tplc="35267512">
      <w:start w:val="1"/>
      <w:numFmt w:val="lowerLetter"/>
      <w:lvlText w:val="(%1)"/>
      <w:lvlJc w:val="left"/>
      <w:pPr>
        <w:ind w:left="510" w:hanging="341"/>
        <w:jc w:val="left"/>
      </w:pPr>
      <w:rPr>
        <w:rFonts w:ascii="Arial" w:eastAsia="Arial" w:hAnsi="Arial" w:cs="Arial" w:hint="default"/>
        <w:i/>
        <w:color w:val="58595B"/>
        <w:spacing w:val="-7"/>
        <w:w w:val="100"/>
        <w:sz w:val="20"/>
        <w:szCs w:val="20"/>
      </w:rPr>
    </w:lvl>
    <w:lvl w:ilvl="1" w:tplc="964C64CC">
      <w:start w:val="1"/>
      <w:numFmt w:val="bullet"/>
      <w:lvlText w:val="•"/>
      <w:lvlJc w:val="left"/>
      <w:pPr>
        <w:ind w:left="1333" w:hanging="341"/>
      </w:pPr>
      <w:rPr>
        <w:rFonts w:hint="default"/>
      </w:rPr>
    </w:lvl>
    <w:lvl w:ilvl="2" w:tplc="82F8D610">
      <w:start w:val="1"/>
      <w:numFmt w:val="bullet"/>
      <w:lvlText w:val="•"/>
      <w:lvlJc w:val="left"/>
      <w:pPr>
        <w:ind w:left="2146" w:hanging="341"/>
      </w:pPr>
      <w:rPr>
        <w:rFonts w:hint="default"/>
      </w:rPr>
    </w:lvl>
    <w:lvl w:ilvl="3" w:tplc="B9C89F86">
      <w:start w:val="1"/>
      <w:numFmt w:val="bullet"/>
      <w:lvlText w:val="•"/>
      <w:lvlJc w:val="left"/>
      <w:pPr>
        <w:ind w:left="2960" w:hanging="341"/>
      </w:pPr>
      <w:rPr>
        <w:rFonts w:hint="default"/>
      </w:rPr>
    </w:lvl>
    <w:lvl w:ilvl="4" w:tplc="73D2AB56">
      <w:start w:val="1"/>
      <w:numFmt w:val="bullet"/>
      <w:lvlText w:val="•"/>
      <w:lvlJc w:val="left"/>
      <w:pPr>
        <w:ind w:left="3773" w:hanging="341"/>
      </w:pPr>
      <w:rPr>
        <w:rFonts w:hint="default"/>
      </w:rPr>
    </w:lvl>
    <w:lvl w:ilvl="5" w:tplc="88DA86FA">
      <w:start w:val="1"/>
      <w:numFmt w:val="bullet"/>
      <w:lvlText w:val="•"/>
      <w:lvlJc w:val="left"/>
      <w:pPr>
        <w:ind w:left="4587" w:hanging="341"/>
      </w:pPr>
      <w:rPr>
        <w:rFonts w:hint="default"/>
      </w:rPr>
    </w:lvl>
    <w:lvl w:ilvl="6" w:tplc="CB9476E8">
      <w:start w:val="1"/>
      <w:numFmt w:val="bullet"/>
      <w:lvlText w:val="•"/>
      <w:lvlJc w:val="left"/>
      <w:pPr>
        <w:ind w:left="5400" w:hanging="341"/>
      </w:pPr>
      <w:rPr>
        <w:rFonts w:hint="default"/>
      </w:rPr>
    </w:lvl>
    <w:lvl w:ilvl="7" w:tplc="37E2306A">
      <w:start w:val="1"/>
      <w:numFmt w:val="bullet"/>
      <w:lvlText w:val="•"/>
      <w:lvlJc w:val="left"/>
      <w:pPr>
        <w:ind w:left="6213" w:hanging="341"/>
      </w:pPr>
      <w:rPr>
        <w:rFonts w:hint="default"/>
      </w:rPr>
    </w:lvl>
    <w:lvl w:ilvl="8" w:tplc="A922FA6A">
      <w:start w:val="1"/>
      <w:numFmt w:val="bullet"/>
      <w:lvlText w:val="•"/>
      <w:lvlJc w:val="left"/>
      <w:pPr>
        <w:ind w:left="7027" w:hanging="341"/>
      </w:pPr>
      <w:rPr>
        <w:rFonts w:hint="default"/>
      </w:rPr>
    </w:lvl>
  </w:abstractNum>
  <w:abstractNum w:abstractNumId="14">
    <w:nsid w:val="17110B03"/>
    <w:multiLevelType w:val="hybridMultilevel"/>
    <w:tmpl w:val="2FAA057A"/>
    <w:lvl w:ilvl="0" w:tplc="5E00A6BA">
      <w:start w:val="13"/>
      <w:numFmt w:val="decimal"/>
      <w:lvlText w:val="%1"/>
      <w:lvlJc w:val="left"/>
      <w:pPr>
        <w:ind w:left="2001" w:hanging="585"/>
        <w:jc w:val="left"/>
      </w:pPr>
      <w:rPr>
        <w:rFonts w:hint="default"/>
      </w:rPr>
    </w:lvl>
    <w:lvl w:ilvl="1" w:tplc="B832E030">
      <w:start w:val="3"/>
      <w:numFmt w:val="decimal"/>
      <w:lvlText w:val="%1.%2"/>
      <w:lvlJc w:val="left"/>
      <w:pPr>
        <w:ind w:left="2001" w:hanging="585"/>
        <w:jc w:val="right"/>
      </w:pPr>
      <w:rPr>
        <w:rFonts w:ascii="Arial" w:eastAsia="Arial" w:hAnsi="Arial" w:cs="Arial" w:hint="default"/>
        <w:color w:val="0095A7"/>
        <w:spacing w:val="-11"/>
        <w:w w:val="100"/>
        <w:sz w:val="24"/>
        <w:szCs w:val="24"/>
      </w:rPr>
    </w:lvl>
    <w:lvl w:ilvl="2" w:tplc="355EAA0E">
      <w:start w:val="1"/>
      <w:numFmt w:val="bullet"/>
      <w:lvlText w:val="•"/>
      <w:lvlJc w:val="left"/>
      <w:pPr>
        <w:ind w:left="3645" w:hanging="585"/>
      </w:pPr>
      <w:rPr>
        <w:rFonts w:hint="default"/>
      </w:rPr>
    </w:lvl>
    <w:lvl w:ilvl="3" w:tplc="57FE1CDA">
      <w:start w:val="1"/>
      <w:numFmt w:val="bullet"/>
      <w:lvlText w:val="•"/>
      <w:lvlJc w:val="left"/>
      <w:pPr>
        <w:ind w:left="4467" w:hanging="585"/>
      </w:pPr>
      <w:rPr>
        <w:rFonts w:hint="default"/>
      </w:rPr>
    </w:lvl>
    <w:lvl w:ilvl="4" w:tplc="4354551A">
      <w:start w:val="1"/>
      <w:numFmt w:val="bullet"/>
      <w:lvlText w:val="•"/>
      <w:lvlJc w:val="left"/>
      <w:pPr>
        <w:ind w:left="5290" w:hanging="585"/>
      </w:pPr>
      <w:rPr>
        <w:rFonts w:hint="default"/>
      </w:rPr>
    </w:lvl>
    <w:lvl w:ilvl="5" w:tplc="1A8CC80E">
      <w:start w:val="1"/>
      <w:numFmt w:val="bullet"/>
      <w:lvlText w:val="•"/>
      <w:lvlJc w:val="left"/>
      <w:pPr>
        <w:ind w:left="6112" w:hanging="585"/>
      </w:pPr>
      <w:rPr>
        <w:rFonts w:hint="default"/>
      </w:rPr>
    </w:lvl>
    <w:lvl w:ilvl="6" w:tplc="70804340">
      <w:start w:val="1"/>
      <w:numFmt w:val="bullet"/>
      <w:lvlText w:val="•"/>
      <w:lvlJc w:val="left"/>
      <w:pPr>
        <w:ind w:left="6935" w:hanging="585"/>
      </w:pPr>
      <w:rPr>
        <w:rFonts w:hint="default"/>
      </w:rPr>
    </w:lvl>
    <w:lvl w:ilvl="7" w:tplc="58C28E82">
      <w:start w:val="1"/>
      <w:numFmt w:val="bullet"/>
      <w:lvlText w:val="•"/>
      <w:lvlJc w:val="left"/>
      <w:pPr>
        <w:ind w:left="7757" w:hanging="585"/>
      </w:pPr>
      <w:rPr>
        <w:rFonts w:hint="default"/>
      </w:rPr>
    </w:lvl>
    <w:lvl w:ilvl="8" w:tplc="94AAD91A">
      <w:start w:val="1"/>
      <w:numFmt w:val="bullet"/>
      <w:lvlText w:val="•"/>
      <w:lvlJc w:val="left"/>
      <w:pPr>
        <w:ind w:left="8580" w:hanging="585"/>
      </w:pPr>
      <w:rPr>
        <w:rFonts w:hint="default"/>
      </w:rPr>
    </w:lvl>
  </w:abstractNum>
  <w:abstractNum w:abstractNumId="15">
    <w:nsid w:val="1CF17D68"/>
    <w:multiLevelType w:val="hybridMultilevel"/>
    <w:tmpl w:val="963AD46E"/>
    <w:lvl w:ilvl="0" w:tplc="12628D5E">
      <w:start w:val="16"/>
      <w:numFmt w:val="decimal"/>
      <w:lvlText w:val="%1"/>
      <w:lvlJc w:val="left"/>
      <w:pPr>
        <w:ind w:left="1980" w:hanging="564"/>
        <w:jc w:val="left"/>
      </w:pPr>
      <w:rPr>
        <w:rFonts w:hint="default"/>
      </w:rPr>
    </w:lvl>
    <w:lvl w:ilvl="1" w:tplc="E3E68E7A">
      <w:start w:val="1"/>
      <w:numFmt w:val="decimal"/>
      <w:lvlText w:val="%1.%2"/>
      <w:lvlJc w:val="left"/>
      <w:pPr>
        <w:ind w:left="1980" w:hanging="564"/>
        <w:jc w:val="right"/>
      </w:pPr>
      <w:rPr>
        <w:rFonts w:ascii="Arial" w:eastAsia="Arial" w:hAnsi="Arial" w:cs="Arial" w:hint="default"/>
        <w:color w:val="0095A7"/>
        <w:spacing w:val="-23"/>
        <w:w w:val="100"/>
        <w:sz w:val="24"/>
        <w:szCs w:val="24"/>
      </w:rPr>
    </w:lvl>
    <w:lvl w:ilvl="2" w:tplc="5B5074F0">
      <w:start w:val="1"/>
      <w:numFmt w:val="decimal"/>
      <w:lvlText w:val="%1.%2.%3"/>
      <w:lvlJc w:val="left"/>
      <w:pPr>
        <w:ind w:left="772" w:hanging="638"/>
        <w:jc w:val="right"/>
      </w:pPr>
      <w:rPr>
        <w:rFonts w:ascii="Arial" w:eastAsia="Arial" w:hAnsi="Arial" w:cs="Arial" w:hint="default"/>
        <w:color w:val="0095A7"/>
        <w:spacing w:val="-19"/>
        <w:w w:val="100"/>
        <w:sz w:val="20"/>
        <w:szCs w:val="20"/>
      </w:rPr>
    </w:lvl>
    <w:lvl w:ilvl="3" w:tplc="7AA6A6D6">
      <w:start w:val="1"/>
      <w:numFmt w:val="bullet"/>
      <w:lvlText w:val="•"/>
      <w:lvlJc w:val="left"/>
      <w:pPr>
        <w:ind w:left="1587" w:hanging="171"/>
      </w:pPr>
      <w:rPr>
        <w:rFonts w:ascii="Arial" w:eastAsia="Arial" w:hAnsi="Arial" w:cs="Arial" w:hint="default"/>
        <w:color w:val="0095A7"/>
        <w:spacing w:val="-12"/>
        <w:w w:val="100"/>
        <w:sz w:val="20"/>
        <w:szCs w:val="20"/>
      </w:rPr>
    </w:lvl>
    <w:lvl w:ilvl="4" w:tplc="F8BE1A52">
      <w:start w:val="1"/>
      <w:numFmt w:val="bullet"/>
      <w:lvlText w:val="•"/>
      <w:lvlJc w:val="left"/>
      <w:pPr>
        <w:ind w:left="2917" w:hanging="171"/>
      </w:pPr>
      <w:rPr>
        <w:rFonts w:hint="default"/>
      </w:rPr>
    </w:lvl>
    <w:lvl w:ilvl="5" w:tplc="2132C83E">
      <w:start w:val="1"/>
      <w:numFmt w:val="bullet"/>
      <w:lvlText w:val="•"/>
      <w:lvlJc w:val="left"/>
      <w:pPr>
        <w:ind w:left="3855" w:hanging="171"/>
      </w:pPr>
      <w:rPr>
        <w:rFonts w:hint="default"/>
      </w:rPr>
    </w:lvl>
    <w:lvl w:ilvl="6" w:tplc="843EC33A">
      <w:start w:val="1"/>
      <w:numFmt w:val="bullet"/>
      <w:lvlText w:val="•"/>
      <w:lvlJc w:val="left"/>
      <w:pPr>
        <w:ind w:left="4793" w:hanging="171"/>
      </w:pPr>
      <w:rPr>
        <w:rFonts w:hint="default"/>
      </w:rPr>
    </w:lvl>
    <w:lvl w:ilvl="7" w:tplc="FF306D38">
      <w:start w:val="1"/>
      <w:numFmt w:val="bullet"/>
      <w:lvlText w:val="•"/>
      <w:lvlJc w:val="left"/>
      <w:pPr>
        <w:ind w:left="5731" w:hanging="171"/>
      </w:pPr>
      <w:rPr>
        <w:rFonts w:hint="default"/>
      </w:rPr>
    </w:lvl>
    <w:lvl w:ilvl="8" w:tplc="8C6EC2FA">
      <w:start w:val="1"/>
      <w:numFmt w:val="bullet"/>
      <w:lvlText w:val="•"/>
      <w:lvlJc w:val="left"/>
      <w:pPr>
        <w:ind w:left="6669" w:hanging="171"/>
      </w:pPr>
      <w:rPr>
        <w:rFonts w:hint="default"/>
      </w:rPr>
    </w:lvl>
  </w:abstractNum>
  <w:abstractNum w:abstractNumId="16">
    <w:nsid w:val="1DA02943"/>
    <w:multiLevelType w:val="hybridMultilevel"/>
    <w:tmpl w:val="73A64548"/>
    <w:lvl w:ilvl="0" w:tplc="2F2C35F2">
      <w:start w:val="1"/>
      <w:numFmt w:val="decimal"/>
      <w:lvlText w:val="%1"/>
      <w:lvlJc w:val="left"/>
      <w:pPr>
        <w:ind w:left="417" w:hanging="284"/>
        <w:jc w:val="left"/>
      </w:pPr>
      <w:rPr>
        <w:rFonts w:ascii="Arial" w:eastAsia="Arial" w:hAnsi="Arial" w:cs="Arial" w:hint="default"/>
        <w:color w:val="58595B"/>
        <w:spacing w:val="-4"/>
        <w:w w:val="100"/>
        <w:sz w:val="12"/>
        <w:szCs w:val="12"/>
      </w:rPr>
    </w:lvl>
    <w:lvl w:ilvl="1" w:tplc="E0D04806">
      <w:start w:val="1"/>
      <w:numFmt w:val="bullet"/>
      <w:lvlText w:val="•"/>
      <w:lvlJc w:val="left"/>
      <w:pPr>
        <w:ind w:left="560" w:hanging="284"/>
      </w:pPr>
      <w:rPr>
        <w:rFonts w:hint="default"/>
      </w:rPr>
    </w:lvl>
    <w:lvl w:ilvl="2" w:tplc="724EBCA0">
      <w:start w:val="1"/>
      <w:numFmt w:val="bullet"/>
      <w:lvlText w:val="•"/>
      <w:lvlJc w:val="left"/>
      <w:pPr>
        <w:ind w:left="1633" w:hanging="284"/>
      </w:pPr>
      <w:rPr>
        <w:rFonts w:hint="default"/>
      </w:rPr>
    </w:lvl>
    <w:lvl w:ilvl="3" w:tplc="E312C686">
      <w:start w:val="1"/>
      <w:numFmt w:val="bullet"/>
      <w:lvlText w:val="•"/>
      <w:lvlJc w:val="left"/>
      <w:pPr>
        <w:ind w:left="2707" w:hanging="284"/>
      </w:pPr>
      <w:rPr>
        <w:rFonts w:hint="default"/>
      </w:rPr>
    </w:lvl>
    <w:lvl w:ilvl="4" w:tplc="89085838">
      <w:start w:val="1"/>
      <w:numFmt w:val="bullet"/>
      <w:lvlText w:val="•"/>
      <w:lvlJc w:val="left"/>
      <w:pPr>
        <w:ind w:left="3781" w:hanging="284"/>
      </w:pPr>
      <w:rPr>
        <w:rFonts w:hint="default"/>
      </w:rPr>
    </w:lvl>
    <w:lvl w:ilvl="5" w:tplc="CB2A861C">
      <w:start w:val="1"/>
      <w:numFmt w:val="bullet"/>
      <w:lvlText w:val="•"/>
      <w:lvlJc w:val="left"/>
      <w:pPr>
        <w:ind w:left="4855" w:hanging="284"/>
      </w:pPr>
      <w:rPr>
        <w:rFonts w:hint="default"/>
      </w:rPr>
    </w:lvl>
    <w:lvl w:ilvl="6" w:tplc="41D4D728">
      <w:start w:val="1"/>
      <w:numFmt w:val="bullet"/>
      <w:lvlText w:val="•"/>
      <w:lvlJc w:val="left"/>
      <w:pPr>
        <w:ind w:left="5929" w:hanging="284"/>
      </w:pPr>
      <w:rPr>
        <w:rFonts w:hint="default"/>
      </w:rPr>
    </w:lvl>
    <w:lvl w:ilvl="7" w:tplc="D77AEFC6">
      <w:start w:val="1"/>
      <w:numFmt w:val="bullet"/>
      <w:lvlText w:val="•"/>
      <w:lvlJc w:val="left"/>
      <w:pPr>
        <w:ind w:left="7003" w:hanging="284"/>
      </w:pPr>
      <w:rPr>
        <w:rFonts w:hint="default"/>
      </w:rPr>
    </w:lvl>
    <w:lvl w:ilvl="8" w:tplc="40320BC4">
      <w:start w:val="1"/>
      <w:numFmt w:val="bullet"/>
      <w:lvlText w:val="•"/>
      <w:lvlJc w:val="left"/>
      <w:pPr>
        <w:ind w:left="8077" w:hanging="284"/>
      </w:pPr>
      <w:rPr>
        <w:rFonts w:hint="default"/>
      </w:rPr>
    </w:lvl>
  </w:abstractNum>
  <w:abstractNum w:abstractNumId="17">
    <w:nsid w:val="200B0AE7"/>
    <w:multiLevelType w:val="hybridMultilevel"/>
    <w:tmpl w:val="F5241144"/>
    <w:lvl w:ilvl="0" w:tplc="A15E117A">
      <w:start w:val="17"/>
      <w:numFmt w:val="decimal"/>
      <w:lvlText w:val="%1"/>
      <w:lvlJc w:val="left"/>
      <w:pPr>
        <w:ind w:left="739" w:hanging="606"/>
        <w:jc w:val="left"/>
      </w:pPr>
      <w:rPr>
        <w:rFonts w:hint="default"/>
      </w:rPr>
    </w:lvl>
    <w:lvl w:ilvl="1" w:tplc="DE10A37C">
      <w:start w:val="4"/>
      <w:numFmt w:val="decimal"/>
      <w:lvlText w:val="%1.%2"/>
      <w:lvlJc w:val="left"/>
      <w:pPr>
        <w:ind w:left="739" w:hanging="606"/>
        <w:jc w:val="left"/>
      </w:pPr>
      <w:rPr>
        <w:rFonts w:hint="default"/>
      </w:rPr>
    </w:lvl>
    <w:lvl w:ilvl="2" w:tplc="634A84F8">
      <w:start w:val="1"/>
      <w:numFmt w:val="decimal"/>
      <w:lvlText w:val="%1.%2.%3"/>
      <w:lvlJc w:val="left"/>
      <w:pPr>
        <w:ind w:left="739" w:hanging="606"/>
        <w:jc w:val="right"/>
      </w:pPr>
      <w:rPr>
        <w:rFonts w:ascii="Arial" w:eastAsia="Arial" w:hAnsi="Arial" w:cs="Arial" w:hint="default"/>
        <w:color w:val="0095A7"/>
        <w:spacing w:val="-21"/>
        <w:w w:val="100"/>
        <w:sz w:val="20"/>
        <w:szCs w:val="20"/>
      </w:rPr>
    </w:lvl>
    <w:lvl w:ilvl="3" w:tplc="8428684C">
      <w:start w:val="1"/>
      <w:numFmt w:val="bullet"/>
      <w:lvlText w:val="•"/>
      <w:lvlJc w:val="left"/>
      <w:pPr>
        <w:ind w:left="3585" w:hanging="606"/>
      </w:pPr>
      <w:rPr>
        <w:rFonts w:hint="default"/>
      </w:rPr>
    </w:lvl>
    <w:lvl w:ilvl="4" w:tplc="8B8C1C32">
      <w:start w:val="1"/>
      <w:numFmt w:val="bullet"/>
      <w:lvlText w:val="•"/>
      <w:lvlJc w:val="left"/>
      <w:pPr>
        <w:ind w:left="4534" w:hanging="606"/>
      </w:pPr>
      <w:rPr>
        <w:rFonts w:hint="default"/>
      </w:rPr>
    </w:lvl>
    <w:lvl w:ilvl="5" w:tplc="04906368">
      <w:start w:val="1"/>
      <w:numFmt w:val="bullet"/>
      <w:lvlText w:val="•"/>
      <w:lvlJc w:val="left"/>
      <w:pPr>
        <w:ind w:left="5482" w:hanging="606"/>
      </w:pPr>
      <w:rPr>
        <w:rFonts w:hint="default"/>
      </w:rPr>
    </w:lvl>
    <w:lvl w:ilvl="6" w:tplc="ED9051E0">
      <w:start w:val="1"/>
      <w:numFmt w:val="bullet"/>
      <w:lvlText w:val="•"/>
      <w:lvlJc w:val="left"/>
      <w:pPr>
        <w:ind w:left="6431" w:hanging="606"/>
      </w:pPr>
      <w:rPr>
        <w:rFonts w:hint="default"/>
      </w:rPr>
    </w:lvl>
    <w:lvl w:ilvl="7" w:tplc="62EC51EE">
      <w:start w:val="1"/>
      <w:numFmt w:val="bullet"/>
      <w:lvlText w:val="•"/>
      <w:lvlJc w:val="left"/>
      <w:pPr>
        <w:ind w:left="7379" w:hanging="606"/>
      </w:pPr>
      <w:rPr>
        <w:rFonts w:hint="default"/>
      </w:rPr>
    </w:lvl>
    <w:lvl w:ilvl="8" w:tplc="9AF29DC6">
      <w:start w:val="1"/>
      <w:numFmt w:val="bullet"/>
      <w:lvlText w:val="•"/>
      <w:lvlJc w:val="left"/>
      <w:pPr>
        <w:ind w:left="8328" w:hanging="606"/>
      </w:pPr>
      <w:rPr>
        <w:rFonts w:hint="default"/>
      </w:rPr>
    </w:lvl>
  </w:abstractNum>
  <w:abstractNum w:abstractNumId="18">
    <w:nsid w:val="24947053"/>
    <w:multiLevelType w:val="hybridMultilevel"/>
    <w:tmpl w:val="C764C408"/>
    <w:lvl w:ilvl="0" w:tplc="21E4753E">
      <w:start w:val="1"/>
      <w:numFmt w:val="bullet"/>
      <w:lvlText w:val="•"/>
      <w:lvlJc w:val="left"/>
      <w:pPr>
        <w:ind w:left="340" w:hanging="171"/>
      </w:pPr>
      <w:rPr>
        <w:rFonts w:ascii="Arial" w:eastAsia="Arial" w:hAnsi="Arial" w:cs="Arial" w:hint="default"/>
        <w:color w:val="0095A7"/>
        <w:spacing w:val="-12"/>
        <w:w w:val="100"/>
        <w:sz w:val="20"/>
        <w:szCs w:val="20"/>
      </w:rPr>
    </w:lvl>
    <w:lvl w:ilvl="1" w:tplc="3BDAAB0A">
      <w:start w:val="1"/>
      <w:numFmt w:val="bullet"/>
      <w:lvlText w:val="•"/>
      <w:lvlJc w:val="left"/>
      <w:pPr>
        <w:ind w:left="1173" w:hanging="171"/>
      </w:pPr>
      <w:rPr>
        <w:rFonts w:hint="default"/>
      </w:rPr>
    </w:lvl>
    <w:lvl w:ilvl="2" w:tplc="4FBE8196">
      <w:start w:val="1"/>
      <w:numFmt w:val="bullet"/>
      <w:lvlText w:val="•"/>
      <w:lvlJc w:val="left"/>
      <w:pPr>
        <w:ind w:left="2006" w:hanging="171"/>
      </w:pPr>
      <w:rPr>
        <w:rFonts w:hint="default"/>
      </w:rPr>
    </w:lvl>
    <w:lvl w:ilvl="3" w:tplc="C5E2194E">
      <w:start w:val="1"/>
      <w:numFmt w:val="bullet"/>
      <w:lvlText w:val="•"/>
      <w:lvlJc w:val="left"/>
      <w:pPr>
        <w:ind w:left="2840" w:hanging="171"/>
      </w:pPr>
      <w:rPr>
        <w:rFonts w:hint="default"/>
      </w:rPr>
    </w:lvl>
    <w:lvl w:ilvl="4" w:tplc="27EAC62C">
      <w:start w:val="1"/>
      <w:numFmt w:val="bullet"/>
      <w:lvlText w:val="•"/>
      <w:lvlJc w:val="left"/>
      <w:pPr>
        <w:ind w:left="3673" w:hanging="171"/>
      </w:pPr>
      <w:rPr>
        <w:rFonts w:hint="default"/>
      </w:rPr>
    </w:lvl>
    <w:lvl w:ilvl="5" w:tplc="42C04C12">
      <w:start w:val="1"/>
      <w:numFmt w:val="bullet"/>
      <w:lvlText w:val="•"/>
      <w:lvlJc w:val="left"/>
      <w:pPr>
        <w:ind w:left="4507" w:hanging="171"/>
      </w:pPr>
      <w:rPr>
        <w:rFonts w:hint="default"/>
      </w:rPr>
    </w:lvl>
    <w:lvl w:ilvl="6" w:tplc="B022B55E">
      <w:start w:val="1"/>
      <w:numFmt w:val="bullet"/>
      <w:lvlText w:val="•"/>
      <w:lvlJc w:val="left"/>
      <w:pPr>
        <w:ind w:left="5340" w:hanging="171"/>
      </w:pPr>
      <w:rPr>
        <w:rFonts w:hint="default"/>
      </w:rPr>
    </w:lvl>
    <w:lvl w:ilvl="7" w:tplc="55E45D16">
      <w:start w:val="1"/>
      <w:numFmt w:val="bullet"/>
      <w:lvlText w:val="•"/>
      <w:lvlJc w:val="left"/>
      <w:pPr>
        <w:ind w:left="6173" w:hanging="171"/>
      </w:pPr>
      <w:rPr>
        <w:rFonts w:hint="default"/>
      </w:rPr>
    </w:lvl>
    <w:lvl w:ilvl="8" w:tplc="9D5E8B20">
      <w:start w:val="1"/>
      <w:numFmt w:val="bullet"/>
      <w:lvlText w:val="•"/>
      <w:lvlJc w:val="left"/>
      <w:pPr>
        <w:ind w:left="7007" w:hanging="171"/>
      </w:pPr>
      <w:rPr>
        <w:rFonts w:hint="default"/>
      </w:rPr>
    </w:lvl>
  </w:abstractNum>
  <w:abstractNum w:abstractNumId="19">
    <w:nsid w:val="26220F8C"/>
    <w:multiLevelType w:val="hybridMultilevel"/>
    <w:tmpl w:val="1CE845CA"/>
    <w:lvl w:ilvl="0" w:tplc="C3A2C6B8">
      <w:start w:val="1"/>
      <w:numFmt w:val="bullet"/>
      <w:lvlText w:val="•"/>
      <w:lvlJc w:val="left"/>
      <w:pPr>
        <w:ind w:left="304" w:hanging="171"/>
      </w:pPr>
      <w:rPr>
        <w:rFonts w:ascii="Arial" w:eastAsia="Arial" w:hAnsi="Arial" w:cs="Arial" w:hint="default"/>
        <w:i/>
        <w:color w:val="231F20"/>
        <w:spacing w:val="-12"/>
        <w:w w:val="100"/>
        <w:sz w:val="20"/>
        <w:szCs w:val="20"/>
      </w:rPr>
    </w:lvl>
    <w:lvl w:ilvl="1" w:tplc="022475CA">
      <w:start w:val="1"/>
      <w:numFmt w:val="bullet"/>
      <w:lvlText w:val="•"/>
      <w:lvlJc w:val="left"/>
      <w:pPr>
        <w:ind w:left="1292" w:hanging="171"/>
      </w:pPr>
      <w:rPr>
        <w:rFonts w:hint="default"/>
      </w:rPr>
    </w:lvl>
    <w:lvl w:ilvl="2" w:tplc="30381F20">
      <w:start w:val="1"/>
      <w:numFmt w:val="bullet"/>
      <w:lvlText w:val="•"/>
      <w:lvlJc w:val="left"/>
      <w:pPr>
        <w:ind w:left="2285" w:hanging="171"/>
      </w:pPr>
      <w:rPr>
        <w:rFonts w:hint="default"/>
      </w:rPr>
    </w:lvl>
    <w:lvl w:ilvl="3" w:tplc="89E0E0AE">
      <w:start w:val="1"/>
      <w:numFmt w:val="bullet"/>
      <w:lvlText w:val="•"/>
      <w:lvlJc w:val="left"/>
      <w:pPr>
        <w:ind w:left="3277" w:hanging="171"/>
      </w:pPr>
      <w:rPr>
        <w:rFonts w:hint="default"/>
      </w:rPr>
    </w:lvl>
    <w:lvl w:ilvl="4" w:tplc="0DBE6DF6">
      <w:start w:val="1"/>
      <w:numFmt w:val="bullet"/>
      <w:lvlText w:val="•"/>
      <w:lvlJc w:val="left"/>
      <w:pPr>
        <w:ind w:left="4270" w:hanging="171"/>
      </w:pPr>
      <w:rPr>
        <w:rFonts w:hint="default"/>
      </w:rPr>
    </w:lvl>
    <w:lvl w:ilvl="5" w:tplc="F45E70E4">
      <w:start w:val="1"/>
      <w:numFmt w:val="bullet"/>
      <w:lvlText w:val="•"/>
      <w:lvlJc w:val="left"/>
      <w:pPr>
        <w:ind w:left="5262" w:hanging="171"/>
      </w:pPr>
      <w:rPr>
        <w:rFonts w:hint="default"/>
      </w:rPr>
    </w:lvl>
    <w:lvl w:ilvl="6" w:tplc="5E58A96E">
      <w:start w:val="1"/>
      <w:numFmt w:val="bullet"/>
      <w:lvlText w:val="•"/>
      <w:lvlJc w:val="left"/>
      <w:pPr>
        <w:ind w:left="6255" w:hanging="171"/>
      </w:pPr>
      <w:rPr>
        <w:rFonts w:hint="default"/>
      </w:rPr>
    </w:lvl>
    <w:lvl w:ilvl="7" w:tplc="7BEC8A10">
      <w:start w:val="1"/>
      <w:numFmt w:val="bullet"/>
      <w:lvlText w:val="•"/>
      <w:lvlJc w:val="left"/>
      <w:pPr>
        <w:ind w:left="7247" w:hanging="171"/>
      </w:pPr>
      <w:rPr>
        <w:rFonts w:hint="default"/>
      </w:rPr>
    </w:lvl>
    <w:lvl w:ilvl="8" w:tplc="2A28BBF2">
      <w:start w:val="1"/>
      <w:numFmt w:val="bullet"/>
      <w:lvlText w:val="•"/>
      <w:lvlJc w:val="left"/>
      <w:pPr>
        <w:ind w:left="8240" w:hanging="171"/>
      </w:pPr>
      <w:rPr>
        <w:rFonts w:hint="default"/>
      </w:rPr>
    </w:lvl>
  </w:abstractNum>
  <w:abstractNum w:abstractNumId="20">
    <w:nsid w:val="28701D5A"/>
    <w:multiLevelType w:val="hybridMultilevel"/>
    <w:tmpl w:val="9CEC87EA"/>
    <w:lvl w:ilvl="0" w:tplc="7BC80F0E">
      <w:start w:val="1"/>
      <w:numFmt w:val="bullet"/>
      <w:lvlText w:val="•"/>
      <w:lvlJc w:val="left"/>
      <w:pPr>
        <w:ind w:left="304" w:hanging="171"/>
      </w:pPr>
      <w:rPr>
        <w:rFonts w:ascii="Arial" w:eastAsia="Arial" w:hAnsi="Arial" w:cs="Arial" w:hint="default"/>
        <w:color w:val="0095A7"/>
        <w:spacing w:val="-12"/>
        <w:w w:val="100"/>
        <w:sz w:val="20"/>
        <w:szCs w:val="20"/>
      </w:rPr>
    </w:lvl>
    <w:lvl w:ilvl="1" w:tplc="F5927264">
      <w:start w:val="1"/>
      <w:numFmt w:val="bullet"/>
      <w:lvlText w:val="•"/>
      <w:lvlJc w:val="left"/>
      <w:pPr>
        <w:ind w:left="1587" w:hanging="171"/>
      </w:pPr>
      <w:rPr>
        <w:rFonts w:ascii="Arial" w:eastAsia="Arial" w:hAnsi="Arial" w:cs="Arial" w:hint="default"/>
        <w:color w:val="0095A7"/>
        <w:spacing w:val="-12"/>
        <w:w w:val="100"/>
        <w:sz w:val="20"/>
        <w:szCs w:val="20"/>
      </w:rPr>
    </w:lvl>
    <w:lvl w:ilvl="2" w:tplc="EFC4DE7A">
      <w:start w:val="1"/>
      <w:numFmt w:val="bullet"/>
      <w:lvlText w:val="•"/>
      <w:lvlJc w:val="left"/>
      <w:pPr>
        <w:ind w:left="2353" w:hanging="171"/>
      </w:pPr>
      <w:rPr>
        <w:rFonts w:hint="default"/>
      </w:rPr>
    </w:lvl>
    <w:lvl w:ilvl="3" w:tplc="ABA08BF8">
      <w:start w:val="1"/>
      <w:numFmt w:val="bullet"/>
      <w:lvlText w:val="•"/>
      <w:lvlJc w:val="left"/>
      <w:pPr>
        <w:ind w:left="3127" w:hanging="171"/>
      </w:pPr>
      <w:rPr>
        <w:rFonts w:hint="default"/>
      </w:rPr>
    </w:lvl>
    <w:lvl w:ilvl="4" w:tplc="12BAE01C">
      <w:start w:val="1"/>
      <w:numFmt w:val="bullet"/>
      <w:lvlText w:val="•"/>
      <w:lvlJc w:val="left"/>
      <w:pPr>
        <w:ind w:left="3901" w:hanging="171"/>
      </w:pPr>
      <w:rPr>
        <w:rFonts w:hint="default"/>
      </w:rPr>
    </w:lvl>
    <w:lvl w:ilvl="5" w:tplc="1E7004A4">
      <w:start w:val="1"/>
      <w:numFmt w:val="bullet"/>
      <w:lvlText w:val="•"/>
      <w:lvlJc w:val="left"/>
      <w:pPr>
        <w:ind w:left="4675" w:hanging="171"/>
      </w:pPr>
      <w:rPr>
        <w:rFonts w:hint="default"/>
      </w:rPr>
    </w:lvl>
    <w:lvl w:ilvl="6" w:tplc="525037E8">
      <w:start w:val="1"/>
      <w:numFmt w:val="bullet"/>
      <w:lvlText w:val="•"/>
      <w:lvlJc w:val="left"/>
      <w:pPr>
        <w:ind w:left="5449" w:hanging="171"/>
      </w:pPr>
      <w:rPr>
        <w:rFonts w:hint="default"/>
      </w:rPr>
    </w:lvl>
    <w:lvl w:ilvl="7" w:tplc="46EAD0B6">
      <w:start w:val="1"/>
      <w:numFmt w:val="bullet"/>
      <w:lvlText w:val="•"/>
      <w:lvlJc w:val="left"/>
      <w:pPr>
        <w:ind w:left="6223" w:hanging="171"/>
      </w:pPr>
      <w:rPr>
        <w:rFonts w:hint="default"/>
      </w:rPr>
    </w:lvl>
    <w:lvl w:ilvl="8" w:tplc="594C4038">
      <w:start w:val="1"/>
      <w:numFmt w:val="bullet"/>
      <w:lvlText w:val="•"/>
      <w:lvlJc w:val="left"/>
      <w:pPr>
        <w:ind w:left="6997" w:hanging="171"/>
      </w:pPr>
      <w:rPr>
        <w:rFonts w:hint="default"/>
      </w:rPr>
    </w:lvl>
  </w:abstractNum>
  <w:abstractNum w:abstractNumId="21">
    <w:nsid w:val="28C42214"/>
    <w:multiLevelType w:val="hybridMultilevel"/>
    <w:tmpl w:val="462C8E88"/>
    <w:lvl w:ilvl="0" w:tplc="909063C0">
      <w:start w:val="1"/>
      <w:numFmt w:val="bullet"/>
      <w:lvlText w:val="•"/>
      <w:lvlJc w:val="left"/>
      <w:pPr>
        <w:ind w:left="340" w:hanging="171"/>
      </w:pPr>
      <w:rPr>
        <w:rFonts w:ascii="Arial" w:eastAsia="Arial" w:hAnsi="Arial" w:cs="Arial" w:hint="default"/>
        <w:color w:val="0095A7"/>
        <w:spacing w:val="-12"/>
        <w:w w:val="100"/>
        <w:sz w:val="20"/>
        <w:szCs w:val="20"/>
      </w:rPr>
    </w:lvl>
    <w:lvl w:ilvl="1" w:tplc="280EEA34">
      <w:start w:val="1"/>
      <w:numFmt w:val="bullet"/>
      <w:lvlText w:val="•"/>
      <w:lvlJc w:val="left"/>
      <w:pPr>
        <w:ind w:left="1173" w:hanging="171"/>
      </w:pPr>
      <w:rPr>
        <w:rFonts w:hint="default"/>
      </w:rPr>
    </w:lvl>
    <w:lvl w:ilvl="2" w:tplc="7882B478">
      <w:start w:val="1"/>
      <w:numFmt w:val="bullet"/>
      <w:lvlText w:val="•"/>
      <w:lvlJc w:val="left"/>
      <w:pPr>
        <w:ind w:left="2006" w:hanging="171"/>
      </w:pPr>
      <w:rPr>
        <w:rFonts w:hint="default"/>
      </w:rPr>
    </w:lvl>
    <w:lvl w:ilvl="3" w:tplc="DB3E95C2">
      <w:start w:val="1"/>
      <w:numFmt w:val="bullet"/>
      <w:lvlText w:val="•"/>
      <w:lvlJc w:val="left"/>
      <w:pPr>
        <w:ind w:left="2840" w:hanging="171"/>
      </w:pPr>
      <w:rPr>
        <w:rFonts w:hint="default"/>
      </w:rPr>
    </w:lvl>
    <w:lvl w:ilvl="4" w:tplc="D5C0C1D0">
      <w:start w:val="1"/>
      <w:numFmt w:val="bullet"/>
      <w:lvlText w:val="•"/>
      <w:lvlJc w:val="left"/>
      <w:pPr>
        <w:ind w:left="3673" w:hanging="171"/>
      </w:pPr>
      <w:rPr>
        <w:rFonts w:hint="default"/>
      </w:rPr>
    </w:lvl>
    <w:lvl w:ilvl="5" w:tplc="EEB2ECD4">
      <w:start w:val="1"/>
      <w:numFmt w:val="bullet"/>
      <w:lvlText w:val="•"/>
      <w:lvlJc w:val="left"/>
      <w:pPr>
        <w:ind w:left="4507" w:hanging="171"/>
      </w:pPr>
      <w:rPr>
        <w:rFonts w:hint="default"/>
      </w:rPr>
    </w:lvl>
    <w:lvl w:ilvl="6" w:tplc="2AE61B6E">
      <w:start w:val="1"/>
      <w:numFmt w:val="bullet"/>
      <w:lvlText w:val="•"/>
      <w:lvlJc w:val="left"/>
      <w:pPr>
        <w:ind w:left="5340" w:hanging="171"/>
      </w:pPr>
      <w:rPr>
        <w:rFonts w:hint="default"/>
      </w:rPr>
    </w:lvl>
    <w:lvl w:ilvl="7" w:tplc="C4661A70">
      <w:start w:val="1"/>
      <w:numFmt w:val="bullet"/>
      <w:lvlText w:val="•"/>
      <w:lvlJc w:val="left"/>
      <w:pPr>
        <w:ind w:left="6173" w:hanging="171"/>
      </w:pPr>
      <w:rPr>
        <w:rFonts w:hint="default"/>
      </w:rPr>
    </w:lvl>
    <w:lvl w:ilvl="8" w:tplc="9BD0E930">
      <w:start w:val="1"/>
      <w:numFmt w:val="bullet"/>
      <w:lvlText w:val="•"/>
      <w:lvlJc w:val="left"/>
      <w:pPr>
        <w:ind w:left="7007" w:hanging="171"/>
      </w:pPr>
      <w:rPr>
        <w:rFonts w:hint="default"/>
      </w:rPr>
    </w:lvl>
  </w:abstractNum>
  <w:abstractNum w:abstractNumId="22">
    <w:nsid w:val="2A16390C"/>
    <w:multiLevelType w:val="hybridMultilevel"/>
    <w:tmpl w:val="8AB02A9A"/>
    <w:lvl w:ilvl="0" w:tplc="B89847A8">
      <w:start w:val="12"/>
      <w:numFmt w:val="decimal"/>
      <w:lvlText w:val="%1"/>
      <w:lvlJc w:val="left"/>
      <w:pPr>
        <w:ind w:left="719" w:hanging="585"/>
        <w:jc w:val="left"/>
      </w:pPr>
      <w:rPr>
        <w:rFonts w:hint="default"/>
      </w:rPr>
    </w:lvl>
    <w:lvl w:ilvl="1" w:tplc="4E020546">
      <w:start w:val="3"/>
      <w:numFmt w:val="decimal"/>
      <w:lvlText w:val="%1.%2"/>
      <w:lvlJc w:val="left"/>
      <w:pPr>
        <w:ind w:left="719" w:hanging="585"/>
        <w:jc w:val="left"/>
      </w:pPr>
      <w:rPr>
        <w:rFonts w:ascii="Arial" w:eastAsia="Arial" w:hAnsi="Arial" w:cs="Arial" w:hint="default"/>
        <w:color w:val="0095A7"/>
        <w:spacing w:val="-11"/>
        <w:w w:val="100"/>
        <w:sz w:val="24"/>
        <w:szCs w:val="24"/>
      </w:rPr>
    </w:lvl>
    <w:lvl w:ilvl="2" w:tplc="9BB4E09E">
      <w:start w:val="1"/>
      <w:numFmt w:val="decimal"/>
      <w:lvlText w:val="%1.%2.%3"/>
      <w:lvlJc w:val="left"/>
      <w:pPr>
        <w:ind w:left="766" w:hanging="633"/>
        <w:jc w:val="right"/>
      </w:pPr>
      <w:rPr>
        <w:rFonts w:ascii="Arial" w:eastAsia="Arial" w:hAnsi="Arial" w:cs="Arial" w:hint="default"/>
        <w:color w:val="0095A7"/>
        <w:spacing w:val="-19"/>
        <w:w w:val="100"/>
        <w:sz w:val="20"/>
        <w:szCs w:val="20"/>
      </w:rPr>
    </w:lvl>
    <w:lvl w:ilvl="3" w:tplc="BE7E9586">
      <w:start w:val="1"/>
      <w:numFmt w:val="bullet"/>
      <w:lvlText w:val="•"/>
      <w:lvlJc w:val="left"/>
      <w:pPr>
        <w:ind w:left="2863" w:hanging="633"/>
      </w:pPr>
      <w:rPr>
        <w:rFonts w:hint="default"/>
      </w:rPr>
    </w:lvl>
    <w:lvl w:ilvl="4" w:tplc="DB2A8294">
      <w:start w:val="1"/>
      <w:numFmt w:val="bullet"/>
      <w:lvlText w:val="•"/>
      <w:lvlJc w:val="left"/>
      <w:pPr>
        <w:ind w:left="3915" w:hanging="633"/>
      </w:pPr>
      <w:rPr>
        <w:rFonts w:hint="default"/>
      </w:rPr>
    </w:lvl>
    <w:lvl w:ilvl="5" w:tplc="F6549000">
      <w:start w:val="1"/>
      <w:numFmt w:val="bullet"/>
      <w:lvlText w:val="•"/>
      <w:lvlJc w:val="left"/>
      <w:pPr>
        <w:ind w:left="4966" w:hanging="633"/>
      </w:pPr>
      <w:rPr>
        <w:rFonts w:hint="default"/>
      </w:rPr>
    </w:lvl>
    <w:lvl w:ilvl="6" w:tplc="DD56C4DC">
      <w:start w:val="1"/>
      <w:numFmt w:val="bullet"/>
      <w:lvlText w:val="•"/>
      <w:lvlJc w:val="left"/>
      <w:pPr>
        <w:ind w:left="6018" w:hanging="633"/>
      </w:pPr>
      <w:rPr>
        <w:rFonts w:hint="default"/>
      </w:rPr>
    </w:lvl>
    <w:lvl w:ilvl="7" w:tplc="A998A1CC">
      <w:start w:val="1"/>
      <w:numFmt w:val="bullet"/>
      <w:lvlText w:val="•"/>
      <w:lvlJc w:val="left"/>
      <w:pPr>
        <w:ind w:left="7070" w:hanging="633"/>
      </w:pPr>
      <w:rPr>
        <w:rFonts w:hint="default"/>
      </w:rPr>
    </w:lvl>
    <w:lvl w:ilvl="8" w:tplc="85CAF872">
      <w:start w:val="1"/>
      <w:numFmt w:val="bullet"/>
      <w:lvlText w:val="•"/>
      <w:lvlJc w:val="left"/>
      <w:pPr>
        <w:ind w:left="8122" w:hanging="633"/>
      </w:pPr>
      <w:rPr>
        <w:rFonts w:hint="default"/>
      </w:rPr>
    </w:lvl>
  </w:abstractNum>
  <w:abstractNum w:abstractNumId="23">
    <w:nsid w:val="2ACF09EE"/>
    <w:multiLevelType w:val="hybridMultilevel"/>
    <w:tmpl w:val="562671A6"/>
    <w:lvl w:ilvl="0" w:tplc="7AA0EBCC">
      <w:start w:val="1"/>
      <w:numFmt w:val="bullet"/>
      <w:lvlText w:val="•"/>
      <w:lvlJc w:val="left"/>
      <w:pPr>
        <w:ind w:left="304" w:hanging="171"/>
      </w:pPr>
      <w:rPr>
        <w:rFonts w:ascii="Arial" w:eastAsia="Arial" w:hAnsi="Arial" w:cs="Arial" w:hint="default"/>
        <w:color w:val="0095A7"/>
        <w:spacing w:val="-12"/>
        <w:w w:val="100"/>
        <w:sz w:val="20"/>
        <w:szCs w:val="20"/>
      </w:rPr>
    </w:lvl>
    <w:lvl w:ilvl="1" w:tplc="7BB0ABAA">
      <w:start w:val="1"/>
      <w:numFmt w:val="bullet"/>
      <w:lvlText w:val="•"/>
      <w:lvlJc w:val="left"/>
      <w:pPr>
        <w:ind w:left="1587" w:hanging="171"/>
      </w:pPr>
      <w:rPr>
        <w:rFonts w:ascii="Arial" w:eastAsia="Arial" w:hAnsi="Arial" w:cs="Arial" w:hint="default"/>
        <w:color w:val="0095A7"/>
        <w:spacing w:val="-12"/>
        <w:w w:val="100"/>
        <w:sz w:val="20"/>
        <w:szCs w:val="20"/>
      </w:rPr>
    </w:lvl>
    <w:lvl w:ilvl="2" w:tplc="07D2456E">
      <w:start w:val="1"/>
      <w:numFmt w:val="bullet"/>
      <w:lvlText w:val="•"/>
      <w:lvlJc w:val="left"/>
      <w:pPr>
        <w:ind w:left="1760" w:hanging="171"/>
      </w:pPr>
      <w:rPr>
        <w:rFonts w:hint="default"/>
      </w:rPr>
    </w:lvl>
    <w:lvl w:ilvl="3" w:tplc="21D0A946">
      <w:start w:val="1"/>
      <w:numFmt w:val="bullet"/>
      <w:lvlText w:val="•"/>
      <w:lvlJc w:val="left"/>
      <w:pPr>
        <w:ind w:left="2608" w:hanging="171"/>
      </w:pPr>
      <w:rPr>
        <w:rFonts w:hint="default"/>
      </w:rPr>
    </w:lvl>
    <w:lvl w:ilvl="4" w:tplc="6082C9F8">
      <w:start w:val="1"/>
      <w:numFmt w:val="bullet"/>
      <w:lvlText w:val="•"/>
      <w:lvlJc w:val="left"/>
      <w:pPr>
        <w:ind w:left="3456" w:hanging="171"/>
      </w:pPr>
      <w:rPr>
        <w:rFonts w:hint="default"/>
      </w:rPr>
    </w:lvl>
    <w:lvl w:ilvl="5" w:tplc="CE320000">
      <w:start w:val="1"/>
      <w:numFmt w:val="bullet"/>
      <w:lvlText w:val="•"/>
      <w:lvlJc w:val="left"/>
      <w:pPr>
        <w:ind w:left="4304" w:hanging="171"/>
      </w:pPr>
      <w:rPr>
        <w:rFonts w:hint="default"/>
      </w:rPr>
    </w:lvl>
    <w:lvl w:ilvl="6" w:tplc="7FECECBE">
      <w:start w:val="1"/>
      <w:numFmt w:val="bullet"/>
      <w:lvlText w:val="•"/>
      <w:lvlJc w:val="left"/>
      <w:pPr>
        <w:ind w:left="5152" w:hanging="171"/>
      </w:pPr>
      <w:rPr>
        <w:rFonts w:hint="default"/>
      </w:rPr>
    </w:lvl>
    <w:lvl w:ilvl="7" w:tplc="E5826C1A">
      <w:start w:val="1"/>
      <w:numFmt w:val="bullet"/>
      <w:lvlText w:val="•"/>
      <w:lvlJc w:val="left"/>
      <w:pPr>
        <w:ind w:left="6000" w:hanging="171"/>
      </w:pPr>
      <w:rPr>
        <w:rFonts w:hint="default"/>
      </w:rPr>
    </w:lvl>
    <w:lvl w:ilvl="8" w:tplc="8B16762E">
      <w:start w:val="1"/>
      <w:numFmt w:val="bullet"/>
      <w:lvlText w:val="•"/>
      <w:lvlJc w:val="left"/>
      <w:pPr>
        <w:ind w:left="6849" w:hanging="171"/>
      </w:pPr>
      <w:rPr>
        <w:rFonts w:hint="default"/>
      </w:rPr>
    </w:lvl>
  </w:abstractNum>
  <w:abstractNum w:abstractNumId="24">
    <w:nsid w:val="2F6E4778"/>
    <w:multiLevelType w:val="hybridMultilevel"/>
    <w:tmpl w:val="3110A558"/>
    <w:lvl w:ilvl="0" w:tplc="93EC37D6">
      <w:start w:val="17"/>
      <w:numFmt w:val="decimal"/>
      <w:lvlText w:val="%1"/>
      <w:lvlJc w:val="left"/>
      <w:pPr>
        <w:ind w:left="1981" w:hanging="564"/>
        <w:jc w:val="left"/>
      </w:pPr>
      <w:rPr>
        <w:rFonts w:hint="default"/>
      </w:rPr>
    </w:lvl>
    <w:lvl w:ilvl="1" w:tplc="798C5A92">
      <w:start w:val="3"/>
      <w:numFmt w:val="decimal"/>
      <w:lvlText w:val="%1.%2"/>
      <w:lvlJc w:val="left"/>
      <w:pPr>
        <w:ind w:left="1981" w:hanging="564"/>
        <w:jc w:val="left"/>
      </w:pPr>
      <w:rPr>
        <w:rFonts w:hint="default"/>
      </w:rPr>
    </w:lvl>
    <w:lvl w:ilvl="2" w:tplc="16A2AC36">
      <w:start w:val="1"/>
      <w:numFmt w:val="decimal"/>
      <w:lvlText w:val="%1.%2.%3"/>
      <w:lvlJc w:val="left"/>
      <w:pPr>
        <w:ind w:left="1981" w:hanging="564"/>
        <w:jc w:val="right"/>
      </w:pPr>
      <w:rPr>
        <w:rFonts w:ascii="Arial" w:eastAsia="Arial" w:hAnsi="Arial" w:cs="Arial" w:hint="default"/>
        <w:color w:val="0095A7"/>
        <w:spacing w:val="-21"/>
        <w:w w:val="100"/>
        <w:sz w:val="20"/>
        <w:szCs w:val="20"/>
      </w:rPr>
    </w:lvl>
    <w:lvl w:ilvl="3" w:tplc="1EA87D0A">
      <w:start w:val="1"/>
      <w:numFmt w:val="bullet"/>
      <w:lvlText w:val="•"/>
      <w:lvlJc w:val="left"/>
      <w:pPr>
        <w:ind w:left="4453" w:hanging="564"/>
      </w:pPr>
      <w:rPr>
        <w:rFonts w:hint="default"/>
      </w:rPr>
    </w:lvl>
    <w:lvl w:ilvl="4" w:tplc="65A01194">
      <w:start w:val="1"/>
      <w:numFmt w:val="bullet"/>
      <w:lvlText w:val="•"/>
      <w:lvlJc w:val="left"/>
      <w:pPr>
        <w:ind w:left="5278" w:hanging="564"/>
      </w:pPr>
      <w:rPr>
        <w:rFonts w:hint="default"/>
      </w:rPr>
    </w:lvl>
    <w:lvl w:ilvl="5" w:tplc="980C9202">
      <w:start w:val="1"/>
      <w:numFmt w:val="bullet"/>
      <w:lvlText w:val="•"/>
      <w:lvlJc w:val="left"/>
      <w:pPr>
        <w:ind w:left="6102" w:hanging="564"/>
      </w:pPr>
      <w:rPr>
        <w:rFonts w:hint="default"/>
      </w:rPr>
    </w:lvl>
    <w:lvl w:ilvl="6" w:tplc="FC58501A">
      <w:start w:val="1"/>
      <w:numFmt w:val="bullet"/>
      <w:lvlText w:val="•"/>
      <w:lvlJc w:val="left"/>
      <w:pPr>
        <w:ind w:left="6927" w:hanging="564"/>
      </w:pPr>
      <w:rPr>
        <w:rFonts w:hint="default"/>
      </w:rPr>
    </w:lvl>
    <w:lvl w:ilvl="7" w:tplc="497EFB94">
      <w:start w:val="1"/>
      <w:numFmt w:val="bullet"/>
      <w:lvlText w:val="•"/>
      <w:lvlJc w:val="left"/>
      <w:pPr>
        <w:ind w:left="7751" w:hanging="564"/>
      </w:pPr>
      <w:rPr>
        <w:rFonts w:hint="default"/>
      </w:rPr>
    </w:lvl>
    <w:lvl w:ilvl="8" w:tplc="F22C0AD6">
      <w:start w:val="1"/>
      <w:numFmt w:val="bullet"/>
      <w:lvlText w:val="•"/>
      <w:lvlJc w:val="left"/>
      <w:pPr>
        <w:ind w:left="8576" w:hanging="564"/>
      </w:pPr>
      <w:rPr>
        <w:rFonts w:hint="default"/>
      </w:rPr>
    </w:lvl>
  </w:abstractNum>
  <w:abstractNum w:abstractNumId="25">
    <w:nsid w:val="31A415D2"/>
    <w:multiLevelType w:val="hybridMultilevel"/>
    <w:tmpl w:val="827C3D70"/>
    <w:lvl w:ilvl="0" w:tplc="4ED6F8FC">
      <w:start w:val="1"/>
      <w:numFmt w:val="lowerLetter"/>
      <w:lvlText w:val="(%1)"/>
      <w:lvlJc w:val="left"/>
      <w:pPr>
        <w:ind w:left="510" w:hanging="341"/>
        <w:jc w:val="left"/>
      </w:pPr>
      <w:rPr>
        <w:rFonts w:ascii="Arial" w:eastAsia="Arial" w:hAnsi="Arial" w:cs="Arial" w:hint="default"/>
        <w:i/>
        <w:color w:val="58595B"/>
        <w:spacing w:val="-7"/>
        <w:w w:val="100"/>
        <w:sz w:val="20"/>
        <w:szCs w:val="20"/>
      </w:rPr>
    </w:lvl>
    <w:lvl w:ilvl="1" w:tplc="A4665462">
      <w:start w:val="1"/>
      <w:numFmt w:val="bullet"/>
      <w:lvlText w:val="•"/>
      <w:lvlJc w:val="left"/>
      <w:pPr>
        <w:ind w:left="1333" w:hanging="341"/>
      </w:pPr>
      <w:rPr>
        <w:rFonts w:hint="default"/>
      </w:rPr>
    </w:lvl>
    <w:lvl w:ilvl="2" w:tplc="9D7C4FE4">
      <w:start w:val="1"/>
      <w:numFmt w:val="bullet"/>
      <w:lvlText w:val="•"/>
      <w:lvlJc w:val="left"/>
      <w:pPr>
        <w:ind w:left="2146" w:hanging="341"/>
      </w:pPr>
      <w:rPr>
        <w:rFonts w:hint="default"/>
      </w:rPr>
    </w:lvl>
    <w:lvl w:ilvl="3" w:tplc="6508669C">
      <w:start w:val="1"/>
      <w:numFmt w:val="bullet"/>
      <w:lvlText w:val="•"/>
      <w:lvlJc w:val="left"/>
      <w:pPr>
        <w:ind w:left="2960" w:hanging="341"/>
      </w:pPr>
      <w:rPr>
        <w:rFonts w:hint="default"/>
      </w:rPr>
    </w:lvl>
    <w:lvl w:ilvl="4" w:tplc="01649A92">
      <w:start w:val="1"/>
      <w:numFmt w:val="bullet"/>
      <w:lvlText w:val="•"/>
      <w:lvlJc w:val="left"/>
      <w:pPr>
        <w:ind w:left="3773" w:hanging="341"/>
      </w:pPr>
      <w:rPr>
        <w:rFonts w:hint="default"/>
      </w:rPr>
    </w:lvl>
    <w:lvl w:ilvl="5" w:tplc="6DD86D1A">
      <w:start w:val="1"/>
      <w:numFmt w:val="bullet"/>
      <w:lvlText w:val="•"/>
      <w:lvlJc w:val="left"/>
      <w:pPr>
        <w:ind w:left="4587" w:hanging="341"/>
      </w:pPr>
      <w:rPr>
        <w:rFonts w:hint="default"/>
      </w:rPr>
    </w:lvl>
    <w:lvl w:ilvl="6" w:tplc="DCBA64A2">
      <w:start w:val="1"/>
      <w:numFmt w:val="bullet"/>
      <w:lvlText w:val="•"/>
      <w:lvlJc w:val="left"/>
      <w:pPr>
        <w:ind w:left="5400" w:hanging="341"/>
      </w:pPr>
      <w:rPr>
        <w:rFonts w:hint="default"/>
      </w:rPr>
    </w:lvl>
    <w:lvl w:ilvl="7" w:tplc="24C87628">
      <w:start w:val="1"/>
      <w:numFmt w:val="bullet"/>
      <w:lvlText w:val="•"/>
      <w:lvlJc w:val="left"/>
      <w:pPr>
        <w:ind w:left="6213" w:hanging="341"/>
      </w:pPr>
      <w:rPr>
        <w:rFonts w:hint="default"/>
      </w:rPr>
    </w:lvl>
    <w:lvl w:ilvl="8" w:tplc="3B0CBE98">
      <w:start w:val="1"/>
      <w:numFmt w:val="bullet"/>
      <w:lvlText w:val="•"/>
      <w:lvlJc w:val="left"/>
      <w:pPr>
        <w:ind w:left="7027" w:hanging="341"/>
      </w:pPr>
      <w:rPr>
        <w:rFonts w:hint="default"/>
      </w:rPr>
    </w:lvl>
  </w:abstractNum>
  <w:abstractNum w:abstractNumId="26">
    <w:nsid w:val="33C70FE0"/>
    <w:multiLevelType w:val="hybridMultilevel"/>
    <w:tmpl w:val="57388222"/>
    <w:lvl w:ilvl="0" w:tplc="CC36C732">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51F0BE46">
      <w:start w:val="1"/>
      <w:numFmt w:val="bullet"/>
      <w:lvlText w:val="•"/>
      <w:lvlJc w:val="left"/>
      <w:pPr>
        <w:ind w:left="1333" w:hanging="341"/>
      </w:pPr>
      <w:rPr>
        <w:rFonts w:hint="default"/>
      </w:rPr>
    </w:lvl>
    <w:lvl w:ilvl="2" w:tplc="154683AE">
      <w:start w:val="1"/>
      <w:numFmt w:val="bullet"/>
      <w:lvlText w:val="•"/>
      <w:lvlJc w:val="left"/>
      <w:pPr>
        <w:ind w:left="2146" w:hanging="341"/>
      </w:pPr>
      <w:rPr>
        <w:rFonts w:hint="default"/>
      </w:rPr>
    </w:lvl>
    <w:lvl w:ilvl="3" w:tplc="1EC6F436">
      <w:start w:val="1"/>
      <w:numFmt w:val="bullet"/>
      <w:lvlText w:val="•"/>
      <w:lvlJc w:val="left"/>
      <w:pPr>
        <w:ind w:left="2960" w:hanging="341"/>
      </w:pPr>
      <w:rPr>
        <w:rFonts w:hint="default"/>
      </w:rPr>
    </w:lvl>
    <w:lvl w:ilvl="4" w:tplc="712C1406">
      <w:start w:val="1"/>
      <w:numFmt w:val="bullet"/>
      <w:lvlText w:val="•"/>
      <w:lvlJc w:val="left"/>
      <w:pPr>
        <w:ind w:left="3773" w:hanging="341"/>
      </w:pPr>
      <w:rPr>
        <w:rFonts w:hint="default"/>
      </w:rPr>
    </w:lvl>
    <w:lvl w:ilvl="5" w:tplc="8C028AF6">
      <w:start w:val="1"/>
      <w:numFmt w:val="bullet"/>
      <w:lvlText w:val="•"/>
      <w:lvlJc w:val="left"/>
      <w:pPr>
        <w:ind w:left="4587" w:hanging="341"/>
      </w:pPr>
      <w:rPr>
        <w:rFonts w:hint="default"/>
      </w:rPr>
    </w:lvl>
    <w:lvl w:ilvl="6" w:tplc="769EFB02">
      <w:start w:val="1"/>
      <w:numFmt w:val="bullet"/>
      <w:lvlText w:val="•"/>
      <w:lvlJc w:val="left"/>
      <w:pPr>
        <w:ind w:left="5400" w:hanging="341"/>
      </w:pPr>
      <w:rPr>
        <w:rFonts w:hint="default"/>
      </w:rPr>
    </w:lvl>
    <w:lvl w:ilvl="7" w:tplc="2E0CCCF0">
      <w:start w:val="1"/>
      <w:numFmt w:val="bullet"/>
      <w:lvlText w:val="•"/>
      <w:lvlJc w:val="left"/>
      <w:pPr>
        <w:ind w:left="6213" w:hanging="341"/>
      </w:pPr>
      <w:rPr>
        <w:rFonts w:hint="default"/>
      </w:rPr>
    </w:lvl>
    <w:lvl w:ilvl="8" w:tplc="92567A7A">
      <w:start w:val="1"/>
      <w:numFmt w:val="bullet"/>
      <w:lvlText w:val="•"/>
      <w:lvlJc w:val="left"/>
      <w:pPr>
        <w:ind w:left="7027" w:hanging="341"/>
      </w:pPr>
      <w:rPr>
        <w:rFonts w:hint="default"/>
      </w:rPr>
    </w:lvl>
  </w:abstractNum>
  <w:abstractNum w:abstractNumId="27">
    <w:nsid w:val="34FB3766"/>
    <w:multiLevelType w:val="hybridMultilevel"/>
    <w:tmpl w:val="23B64704"/>
    <w:lvl w:ilvl="0" w:tplc="F3A46BB6">
      <w:start w:val="1"/>
      <w:numFmt w:val="bullet"/>
      <w:lvlText w:val="•"/>
      <w:lvlJc w:val="left"/>
      <w:pPr>
        <w:ind w:left="474" w:hanging="171"/>
      </w:pPr>
      <w:rPr>
        <w:rFonts w:ascii="Arial" w:eastAsia="Arial" w:hAnsi="Arial" w:cs="Arial" w:hint="default"/>
        <w:color w:val="0095A7"/>
        <w:spacing w:val="-12"/>
        <w:w w:val="100"/>
        <w:sz w:val="20"/>
        <w:szCs w:val="20"/>
      </w:rPr>
    </w:lvl>
    <w:lvl w:ilvl="1" w:tplc="A17200F8">
      <w:start w:val="1"/>
      <w:numFmt w:val="bullet"/>
      <w:lvlText w:val="•"/>
      <w:lvlJc w:val="left"/>
      <w:pPr>
        <w:ind w:left="1454" w:hanging="171"/>
      </w:pPr>
      <w:rPr>
        <w:rFonts w:hint="default"/>
      </w:rPr>
    </w:lvl>
    <w:lvl w:ilvl="2" w:tplc="A3021554">
      <w:start w:val="1"/>
      <w:numFmt w:val="bullet"/>
      <w:lvlText w:val="•"/>
      <w:lvlJc w:val="left"/>
      <w:pPr>
        <w:ind w:left="2429" w:hanging="171"/>
      </w:pPr>
      <w:rPr>
        <w:rFonts w:hint="default"/>
      </w:rPr>
    </w:lvl>
    <w:lvl w:ilvl="3" w:tplc="74B81482">
      <w:start w:val="1"/>
      <w:numFmt w:val="bullet"/>
      <w:lvlText w:val="•"/>
      <w:lvlJc w:val="left"/>
      <w:pPr>
        <w:ind w:left="3403" w:hanging="171"/>
      </w:pPr>
      <w:rPr>
        <w:rFonts w:hint="default"/>
      </w:rPr>
    </w:lvl>
    <w:lvl w:ilvl="4" w:tplc="28943A16">
      <w:start w:val="1"/>
      <w:numFmt w:val="bullet"/>
      <w:lvlText w:val="•"/>
      <w:lvlJc w:val="left"/>
      <w:pPr>
        <w:ind w:left="4378" w:hanging="171"/>
      </w:pPr>
      <w:rPr>
        <w:rFonts w:hint="default"/>
      </w:rPr>
    </w:lvl>
    <w:lvl w:ilvl="5" w:tplc="DCE49E40">
      <w:start w:val="1"/>
      <w:numFmt w:val="bullet"/>
      <w:lvlText w:val="•"/>
      <w:lvlJc w:val="left"/>
      <w:pPr>
        <w:ind w:left="5352" w:hanging="171"/>
      </w:pPr>
      <w:rPr>
        <w:rFonts w:hint="default"/>
      </w:rPr>
    </w:lvl>
    <w:lvl w:ilvl="6" w:tplc="99B2BEC4">
      <w:start w:val="1"/>
      <w:numFmt w:val="bullet"/>
      <w:lvlText w:val="•"/>
      <w:lvlJc w:val="left"/>
      <w:pPr>
        <w:ind w:left="6327" w:hanging="171"/>
      </w:pPr>
      <w:rPr>
        <w:rFonts w:hint="default"/>
      </w:rPr>
    </w:lvl>
    <w:lvl w:ilvl="7" w:tplc="0C9C337C">
      <w:start w:val="1"/>
      <w:numFmt w:val="bullet"/>
      <w:lvlText w:val="•"/>
      <w:lvlJc w:val="left"/>
      <w:pPr>
        <w:ind w:left="7301" w:hanging="171"/>
      </w:pPr>
      <w:rPr>
        <w:rFonts w:hint="default"/>
      </w:rPr>
    </w:lvl>
    <w:lvl w:ilvl="8" w:tplc="8F4A9B84">
      <w:start w:val="1"/>
      <w:numFmt w:val="bullet"/>
      <w:lvlText w:val="•"/>
      <w:lvlJc w:val="left"/>
      <w:pPr>
        <w:ind w:left="8276" w:hanging="171"/>
      </w:pPr>
      <w:rPr>
        <w:rFonts w:hint="default"/>
      </w:rPr>
    </w:lvl>
  </w:abstractNum>
  <w:abstractNum w:abstractNumId="28">
    <w:nsid w:val="3A4809EE"/>
    <w:multiLevelType w:val="hybridMultilevel"/>
    <w:tmpl w:val="45E493E8"/>
    <w:lvl w:ilvl="0" w:tplc="D44854C4">
      <w:start w:val="1"/>
      <w:numFmt w:val="lowerRoman"/>
      <w:lvlText w:val="%1)"/>
      <w:lvlJc w:val="left"/>
      <w:pPr>
        <w:ind w:left="510" w:hanging="341"/>
        <w:jc w:val="left"/>
      </w:pPr>
      <w:rPr>
        <w:rFonts w:ascii="Arial" w:eastAsia="Arial" w:hAnsi="Arial" w:cs="Arial" w:hint="default"/>
        <w:color w:val="58595B"/>
        <w:spacing w:val="-5"/>
        <w:w w:val="100"/>
        <w:sz w:val="20"/>
        <w:szCs w:val="20"/>
      </w:rPr>
    </w:lvl>
    <w:lvl w:ilvl="1" w:tplc="6CD20F04">
      <w:start w:val="1"/>
      <w:numFmt w:val="bullet"/>
      <w:lvlText w:val="•"/>
      <w:lvlJc w:val="left"/>
      <w:pPr>
        <w:ind w:left="1333" w:hanging="341"/>
      </w:pPr>
      <w:rPr>
        <w:rFonts w:hint="default"/>
      </w:rPr>
    </w:lvl>
    <w:lvl w:ilvl="2" w:tplc="4DFC2D4E">
      <w:start w:val="1"/>
      <w:numFmt w:val="bullet"/>
      <w:lvlText w:val="•"/>
      <w:lvlJc w:val="left"/>
      <w:pPr>
        <w:ind w:left="2146" w:hanging="341"/>
      </w:pPr>
      <w:rPr>
        <w:rFonts w:hint="default"/>
      </w:rPr>
    </w:lvl>
    <w:lvl w:ilvl="3" w:tplc="98965890">
      <w:start w:val="1"/>
      <w:numFmt w:val="bullet"/>
      <w:lvlText w:val="•"/>
      <w:lvlJc w:val="left"/>
      <w:pPr>
        <w:ind w:left="2960" w:hanging="341"/>
      </w:pPr>
      <w:rPr>
        <w:rFonts w:hint="default"/>
      </w:rPr>
    </w:lvl>
    <w:lvl w:ilvl="4" w:tplc="E9A612E4">
      <w:start w:val="1"/>
      <w:numFmt w:val="bullet"/>
      <w:lvlText w:val="•"/>
      <w:lvlJc w:val="left"/>
      <w:pPr>
        <w:ind w:left="3773" w:hanging="341"/>
      </w:pPr>
      <w:rPr>
        <w:rFonts w:hint="default"/>
      </w:rPr>
    </w:lvl>
    <w:lvl w:ilvl="5" w:tplc="F9FCF160">
      <w:start w:val="1"/>
      <w:numFmt w:val="bullet"/>
      <w:lvlText w:val="•"/>
      <w:lvlJc w:val="left"/>
      <w:pPr>
        <w:ind w:left="4587" w:hanging="341"/>
      </w:pPr>
      <w:rPr>
        <w:rFonts w:hint="default"/>
      </w:rPr>
    </w:lvl>
    <w:lvl w:ilvl="6" w:tplc="A6C8DD82">
      <w:start w:val="1"/>
      <w:numFmt w:val="bullet"/>
      <w:lvlText w:val="•"/>
      <w:lvlJc w:val="left"/>
      <w:pPr>
        <w:ind w:left="5400" w:hanging="341"/>
      </w:pPr>
      <w:rPr>
        <w:rFonts w:hint="default"/>
      </w:rPr>
    </w:lvl>
    <w:lvl w:ilvl="7" w:tplc="69B4BE76">
      <w:start w:val="1"/>
      <w:numFmt w:val="bullet"/>
      <w:lvlText w:val="•"/>
      <w:lvlJc w:val="left"/>
      <w:pPr>
        <w:ind w:left="6213" w:hanging="341"/>
      </w:pPr>
      <w:rPr>
        <w:rFonts w:hint="default"/>
      </w:rPr>
    </w:lvl>
    <w:lvl w:ilvl="8" w:tplc="3CB2F1CC">
      <w:start w:val="1"/>
      <w:numFmt w:val="bullet"/>
      <w:lvlText w:val="•"/>
      <w:lvlJc w:val="left"/>
      <w:pPr>
        <w:ind w:left="7027" w:hanging="341"/>
      </w:pPr>
      <w:rPr>
        <w:rFonts w:hint="default"/>
      </w:rPr>
    </w:lvl>
  </w:abstractNum>
  <w:abstractNum w:abstractNumId="29">
    <w:nsid w:val="3BDA694F"/>
    <w:multiLevelType w:val="hybridMultilevel"/>
    <w:tmpl w:val="9670D7D0"/>
    <w:lvl w:ilvl="0" w:tplc="F906DD86">
      <w:start w:val="1"/>
      <w:numFmt w:val="lowerLetter"/>
      <w:lvlText w:val="(%1)"/>
      <w:lvlJc w:val="left"/>
      <w:pPr>
        <w:ind w:left="474" w:hanging="341"/>
        <w:jc w:val="left"/>
      </w:pPr>
      <w:rPr>
        <w:rFonts w:ascii="Arial" w:eastAsia="Arial" w:hAnsi="Arial" w:cs="Arial" w:hint="default"/>
        <w:i/>
        <w:color w:val="231F20"/>
        <w:spacing w:val="-7"/>
        <w:w w:val="100"/>
        <w:sz w:val="20"/>
        <w:szCs w:val="20"/>
      </w:rPr>
    </w:lvl>
    <w:lvl w:ilvl="1" w:tplc="D73A7D7E">
      <w:start w:val="1"/>
      <w:numFmt w:val="bullet"/>
      <w:lvlText w:val="•"/>
      <w:lvlJc w:val="left"/>
      <w:pPr>
        <w:ind w:left="1454" w:hanging="341"/>
      </w:pPr>
      <w:rPr>
        <w:rFonts w:hint="default"/>
      </w:rPr>
    </w:lvl>
    <w:lvl w:ilvl="2" w:tplc="E63E5B16">
      <w:start w:val="1"/>
      <w:numFmt w:val="bullet"/>
      <w:lvlText w:val="•"/>
      <w:lvlJc w:val="left"/>
      <w:pPr>
        <w:ind w:left="2429" w:hanging="341"/>
      </w:pPr>
      <w:rPr>
        <w:rFonts w:hint="default"/>
      </w:rPr>
    </w:lvl>
    <w:lvl w:ilvl="3" w:tplc="E5C07AEE">
      <w:start w:val="1"/>
      <w:numFmt w:val="bullet"/>
      <w:lvlText w:val="•"/>
      <w:lvlJc w:val="left"/>
      <w:pPr>
        <w:ind w:left="3403" w:hanging="341"/>
      </w:pPr>
      <w:rPr>
        <w:rFonts w:hint="default"/>
      </w:rPr>
    </w:lvl>
    <w:lvl w:ilvl="4" w:tplc="A36ACA8C">
      <w:start w:val="1"/>
      <w:numFmt w:val="bullet"/>
      <w:lvlText w:val="•"/>
      <w:lvlJc w:val="left"/>
      <w:pPr>
        <w:ind w:left="4378" w:hanging="341"/>
      </w:pPr>
      <w:rPr>
        <w:rFonts w:hint="default"/>
      </w:rPr>
    </w:lvl>
    <w:lvl w:ilvl="5" w:tplc="D3C6FD70">
      <w:start w:val="1"/>
      <w:numFmt w:val="bullet"/>
      <w:lvlText w:val="•"/>
      <w:lvlJc w:val="left"/>
      <w:pPr>
        <w:ind w:left="5352" w:hanging="341"/>
      </w:pPr>
      <w:rPr>
        <w:rFonts w:hint="default"/>
      </w:rPr>
    </w:lvl>
    <w:lvl w:ilvl="6" w:tplc="788C3474">
      <w:start w:val="1"/>
      <w:numFmt w:val="bullet"/>
      <w:lvlText w:val="•"/>
      <w:lvlJc w:val="left"/>
      <w:pPr>
        <w:ind w:left="6327" w:hanging="341"/>
      </w:pPr>
      <w:rPr>
        <w:rFonts w:hint="default"/>
      </w:rPr>
    </w:lvl>
    <w:lvl w:ilvl="7" w:tplc="B412B712">
      <w:start w:val="1"/>
      <w:numFmt w:val="bullet"/>
      <w:lvlText w:val="•"/>
      <w:lvlJc w:val="left"/>
      <w:pPr>
        <w:ind w:left="7301" w:hanging="341"/>
      </w:pPr>
      <w:rPr>
        <w:rFonts w:hint="default"/>
      </w:rPr>
    </w:lvl>
    <w:lvl w:ilvl="8" w:tplc="A73A0D8C">
      <w:start w:val="1"/>
      <w:numFmt w:val="bullet"/>
      <w:lvlText w:val="•"/>
      <w:lvlJc w:val="left"/>
      <w:pPr>
        <w:ind w:left="8276" w:hanging="341"/>
      </w:pPr>
      <w:rPr>
        <w:rFonts w:hint="default"/>
      </w:rPr>
    </w:lvl>
  </w:abstractNum>
  <w:abstractNum w:abstractNumId="30">
    <w:nsid w:val="458B166D"/>
    <w:multiLevelType w:val="hybridMultilevel"/>
    <w:tmpl w:val="29FC1558"/>
    <w:lvl w:ilvl="0" w:tplc="1B34EA34">
      <w:start w:val="11"/>
      <w:numFmt w:val="decimal"/>
      <w:lvlText w:val="%1"/>
      <w:lvlJc w:val="left"/>
      <w:pPr>
        <w:ind w:left="1979" w:hanging="563"/>
        <w:jc w:val="left"/>
      </w:pPr>
      <w:rPr>
        <w:rFonts w:hint="default"/>
      </w:rPr>
    </w:lvl>
    <w:lvl w:ilvl="1" w:tplc="59EE6120">
      <w:start w:val="3"/>
      <w:numFmt w:val="decimal"/>
      <w:lvlText w:val="%1.%2"/>
      <w:lvlJc w:val="left"/>
      <w:pPr>
        <w:ind w:left="1979" w:hanging="563"/>
        <w:jc w:val="right"/>
      </w:pPr>
      <w:rPr>
        <w:rFonts w:ascii="Arial" w:eastAsia="Arial" w:hAnsi="Arial" w:cs="Arial" w:hint="default"/>
        <w:color w:val="0095A7"/>
        <w:spacing w:val="-22"/>
        <w:w w:val="100"/>
        <w:sz w:val="24"/>
        <w:szCs w:val="24"/>
      </w:rPr>
    </w:lvl>
    <w:lvl w:ilvl="2" w:tplc="65A4BAEE">
      <w:start w:val="1"/>
      <w:numFmt w:val="bullet"/>
      <w:lvlText w:val="•"/>
      <w:lvlJc w:val="left"/>
      <w:pPr>
        <w:ind w:left="3629" w:hanging="563"/>
      </w:pPr>
      <w:rPr>
        <w:rFonts w:hint="default"/>
      </w:rPr>
    </w:lvl>
    <w:lvl w:ilvl="3" w:tplc="B484D878">
      <w:start w:val="1"/>
      <w:numFmt w:val="bullet"/>
      <w:lvlText w:val="•"/>
      <w:lvlJc w:val="left"/>
      <w:pPr>
        <w:ind w:left="4453" w:hanging="563"/>
      </w:pPr>
      <w:rPr>
        <w:rFonts w:hint="default"/>
      </w:rPr>
    </w:lvl>
    <w:lvl w:ilvl="4" w:tplc="2DC41332">
      <w:start w:val="1"/>
      <w:numFmt w:val="bullet"/>
      <w:lvlText w:val="•"/>
      <w:lvlJc w:val="left"/>
      <w:pPr>
        <w:ind w:left="5278" w:hanging="563"/>
      </w:pPr>
      <w:rPr>
        <w:rFonts w:hint="default"/>
      </w:rPr>
    </w:lvl>
    <w:lvl w:ilvl="5" w:tplc="AB268214">
      <w:start w:val="1"/>
      <w:numFmt w:val="bullet"/>
      <w:lvlText w:val="•"/>
      <w:lvlJc w:val="left"/>
      <w:pPr>
        <w:ind w:left="6102" w:hanging="563"/>
      </w:pPr>
      <w:rPr>
        <w:rFonts w:hint="default"/>
      </w:rPr>
    </w:lvl>
    <w:lvl w:ilvl="6" w:tplc="BD805F26">
      <w:start w:val="1"/>
      <w:numFmt w:val="bullet"/>
      <w:lvlText w:val="•"/>
      <w:lvlJc w:val="left"/>
      <w:pPr>
        <w:ind w:left="6927" w:hanging="563"/>
      </w:pPr>
      <w:rPr>
        <w:rFonts w:hint="default"/>
      </w:rPr>
    </w:lvl>
    <w:lvl w:ilvl="7" w:tplc="B5A4D6D0">
      <w:start w:val="1"/>
      <w:numFmt w:val="bullet"/>
      <w:lvlText w:val="•"/>
      <w:lvlJc w:val="left"/>
      <w:pPr>
        <w:ind w:left="7751" w:hanging="563"/>
      </w:pPr>
      <w:rPr>
        <w:rFonts w:hint="default"/>
      </w:rPr>
    </w:lvl>
    <w:lvl w:ilvl="8" w:tplc="9E8CCB72">
      <w:start w:val="1"/>
      <w:numFmt w:val="bullet"/>
      <w:lvlText w:val="•"/>
      <w:lvlJc w:val="left"/>
      <w:pPr>
        <w:ind w:left="8576" w:hanging="563"/>
      </w:pPr>
      <w:rPr>
        <w:rFonts w:hint="default"/>
      </w:rPr>
    </w:lvl>
  </w:abstractNum>
  <w:abstractNum w:abstractNumId="31">
    <w:nsid w:val="45B44D73"/>
    <w:multiLevelType w:val="hybridMultilevel"/>
    <w:tmpl w:val="037889C8"/>
    <w:lvl w:ilvl="0" w:tplc="46CE9DFE">
      <w:start w:val="1"/>
      <w:numFmt w:val="decimal"/>
      <w:lvlText w:val="%1"/>
      <w:lvlJc w:val="left"/>
      <w:pPr>
        <w:ind w:left="417" w:hanging="284"/>
        <w:jc w:val="left"/>
      </w:pPr>
      <w:rPr>
        <w:rFonts w:ascii="Arial" w:eastAsia="Arial" w:hAnsi="Arial" w:cs="Arial" w:hint="default"/>
        <w:color w:val="58595B"/>
        <w:w w:val="100"/>
        <w:sz w:val="12"/>
        <w:szCs w:val="12"/>
      </w:rPr>
    </w:lvl>
    <w:lvl w:ilvl="1" w:tplc="89F8925A">
      <w:start w:val="1"/>
      <w:numFmt w:val="bullet"/>
      <w:lvlText w:val="•"/>
      <w:lvlJc w:val="left"/>
      <w:pPr>
        <w:ind w:left="1400" w:hanging="284"/>
      </w:pPr>
      <w:rPr>
        <w:rFonts w:hint="default"/>
      </w:rPr>
    </w:lvl>
    <w:lvl w:ilvl="2" w:tplc="0EB0B8A0">
      <w:start w:val="1"/>
      <w:numFmt w:val="bullet"/>
      <w:lvlText w:val="•"/>
      <w:lvlJc w:val="left"/>
      <w:pPr>
        <w:ind w:left="2381" w:hanging="284"/>
      </w:pPr>
      <w:rPr>
        <w:rFonts w:hint="default"/>
      </w:rPr>
    </w:lvl>
    <w:lvl w:ilvl="3" w:tplc="5A72453A">
      <w:start w:val="1"/>
      <w:numFmt w:val="bullet"/>
      <w:lvlText w:val="•"/>
      <w:lvlJc w:val="left"/>
      <w:pPr>
        <w:ind w:left="3361" w:hanging="284"/>
      </w:pPr>
      <w:rPr>
        <w:rFonts w:hint="default"/>
      </w:rPr>
    </w:lvl>
    <w:lvl w:ilvl="4" w:tplc="44E2ECBA">
      <w:start w:val="1"/>
      <w:numFmt w:val="bullet"/>
      <w:lvlText w:val="•"/>
      <w:lvlJc w:val="left"/>
      <w:pPr>
        <w:ind w:left="4342" w:hanging="284"/>
      </w:pPr>
      <w:rPr>
        <w:rFonts w:hint="default"/>
      </w:rPr>
    </w:lvl>
    <w:lvl w:ilvl="5" w:tplc="3AA2B348">
      <w:start w:val="1"/>
      <w:numFmt w:val="bullet"/>
      <w:lvlText w:val="•"/>
      <w:lvlJc w:val="left"/>
      <w:pPr>
        <w:ind w:left="5322" w:hanging="284"/>
      </w:pPr>
      <w:rPr>
        <w:rFonts w:hint="default"/>
      </w:rPr>
    </w:lvl>
    <w:lvl w:ilvl="6" w:tplc="4E1AC912">
      <w:start w:val="1"/>
      <w:numFmt w:val="bullet"/>
      <w:lvlText w:val="•"/>
      <w:lvlJc w:val="left"/>
      <w:pPr>
        <w:ind w:left="6303" w:hanging="284"/>
      </w:pPr>
      <w:rPr>
        <w:rFonts w:hint="default"/>
      </w:rPr>
    </w:lvl>
    <w:lvl w:ilvl="7" w:tplc="36048CF2">
      <w:start w:val="1"/>
      <w:numFmt w:val="bullet"/>
      <w:lvlText w:val="•"/>
      <w:lvlJc w:val="left"/>
      <w:pPr>
        <w:ind w:left="7283" w:hanging="284"/>
      </w:pPr>
      <w:rPr>
        <w:rFonts w:hint="default"/>
      </w:rPr>
    </w:lvl>
    <w:lvl w:ilvl="8" w:tplc="88BAC476">
      <w:start w:val="1"/>
      <w:numFmt w:val="bullet"/>
      <w:lvlText w:val="•"/>
      <w:lvlJc w:val="left"/>
      <w:pPr>
        <w:ind w:left="8264" w:hanging="284"/>
      </w:pPr>
      <w:rPr>
        <w:rFonts w:hint="default"/>
      </w:rPr>
    </w:lvl>
  </w:abstractNum>
  <w:abstractNum w:abstractNumId="32">
    <w:nsid w:val="45F209BD"/>
    <w:multiLevelType w:val="hybridMultilevel"/>
    <w:tmpl w:val="6F548142"/>
    <w:lvl w:ilvl="0" w:tplc="688EAAFE">
      <w:start w:val="1"/>
      <w:numFmt w:val="decimal"/>
      <w:lvlText w:val="%1"/>
      <w:lvlJc w:val="left"/>
      <w:pPr>
        <w:ind w:left="417" w:hanging="284"/>
        <w:jc w:val="left"/>
      </w:pPr>
      <w:rPr>
        <w:rFonts w:ascii="Arial" w:eastAsia="Arial" w:hAnsi="Arial" w:cs="Arial" w:hint="default"/>
        <w:color w:val="58595B"/>
        <w:spacing w:val="-3"/>
        <w:w w:val="100"/>
        <w:sz w:val="12"/>
        <w:szCs w:val="12"/>
      </w:rPr>
    </w:lvl>
    <w:lvl w:ilvl="1" w:tplc="852ED160">
      <w:start w:val="1"/>
      <w:numFmt w:val="bullet"/>
      <w:lvlText w:val="•"/>
      <w:lvlJc w:val="left"/>
      <w:pPr>
        <w:ind w:left="1587" w:hanging="171"/>
      </w:pPr>
      <w:rPr>
        <w:rFonts w:ascii="Arial" w:eastAsia="Arial" w:hAnsi="Arial" w:cs="Arial" w:hint="default"/>
        <w:color w:val="0095A7"/>
        <w:spacing w:val="-12"/>
        <w:w w:val="100"/>
        <w:sz w:val="20"/>
        <w:szCs w:val="20"/>
      </w:rPr>
    </w:lvl>
    <w:lvl w:ilvl="2" w:tplc="06B45FA2">
      <w:start w:val="1"/>
      <w:numFmt w:val="bullet"/>
      <w:lvlText w:val="•"/>
      <w:lvlJc w:val="left"/>
      <w:pPr>
        <w:ind w:left="1885" w:hanging="171"/>
      </w:pPr>
      <w:rPr>
        <w:rFonts w:hint="default"/>
      </w:rPr>
    </w:lvl>
    <w:lvl w:ilvl="3" w:tplc="5D26DE70">
      <w:start w:val="1"/>
      <w:numFmt w:val="bullet"/>
      <w:lvlText w:val="•"/>
      <w:lvlJc w:val="left"/>
      <w:pPr>
        <w:ind w:left="2191" w:hanging="171"/>
      </w:pPr>
      <w:rPr>
        <w:rFonts w:hint="default"/>
      </w:rPr>
    </w:lvl>
    <w:lvl w:ilvl="4" w:tplc="300E15D2">
      <w:start w:val="1"/>
      <w:numFmt w:val="bullet"/>
      <w:lvlText w:val="•"/>
      <w:lvlJc w:val="left"/>
      <w:pPr>
        <w:ind w:left="2497" w:hanging="171"/>
      </w:pPr>
      <w:rPr>
        <w:rFonts w:hint="default"/>
      </w:rPr>
    </w:lvl>
    <w:lvl w:ilvl="5" w:tplc="71A4128A">
      <w:start w:val="1"/>
      <w:numFmt w:val="bullet"/>
      <w:lvlText w:val="•"/>
      <w:lvlJc w:val="left"/>
      <w:pPr>
        <w:ind w:left="2803" w:hanging="171"/>
      </w:pPr>
      <w:rPr>
        <w:rFonts w:hint="default"/>
      </w:rPr>
    </w:lvl>
    <w:lvl w:ilvl="6" w:tplc="9E64F4BE">
      <w:start w:val="1"/>
      <w:numFmt w:val="bullet"/>
      <w:lvlText w:val="•"/>
      <w:lvlJc w:val="left"/>
      <w:pPr>
        <w:ind w:left="3108" w:hanging="171"/>
      </w:pPr>
      <w:rPr>
        <w:rFonts w:hint="default"/>
      </w:rPr>
    </w:lvl>
    <w:lvl w:ilvl="7" w:tplc="BCB0255A">
      <w:start w:val="1"/>
      <w:numFmt w:val="bullet"/>
      <w:lvlText w:val="•"/>
      <w:lvlJc w:val="left"/>
      <w:pPr>
        <w:ind w:left="3414" w:hanging="171"/>
      </w:pPr>
      <w:rPr>
        <w:rFonts w:hint="default"/>
      </w:rPr>
    </w:lvl>
    <w:lvl w:ilvl="8" w:tplc="764CCAA8">
      <w:start w:val="1"/>
      <w:numFmt w:val="bullet"/>
      <w:lvlText w:val="•"/>
      <w:lvlJc w:val="left"/>
      <w:pPr>
        <w:ind w:left="3720" w:hanging="171"/>
      </w:pPr>
      <w:rPr>
        <w:rFonts w:hint="default"/>
      </w:rPr>
    </w:lvl>
  </w:abstractNum>
  <w:abstractNum w:abstractNumId="33">
    <w:nsid w:val="4653174D"/>
    <w:multiLevelType w:val="hybridMultilevel"/>
    <w:tmpl w:val="11565DBE"/>
    <w:lvl w:ilvl="0" w:tplc="9B522284">
      <w:start w:val="1"/>
      <w:numFmt w:val="bullet"/>
      <w:lvlText w:val="•"/>
      <w:lvlJc w:val="left"/>
      <w:pPr>
        <w:ind w:left="1587" w:hanging="171"/>
      </w:pPr>
      <w:rPr>
        <w:rFonts w:ascii="Arial" w:eastAsia="Arial" w:hAnsi="Arial" w:cs="Arial" w:hint="default"/>
        <w:color w:val="0095A7"/>
        <w:spacing w:val="-12"/>
        <w:w w:val="100"/>
        <w:sz w:val="20"/>
        <w:szCs w:val="20"/>
      </w:rPr>
    </w:lvl>
    <w:lvl w:ilvl="1" w:tplc="9B00F2A4">
      <w:start w:val="1"/>
      <w:numFmt w:val="bullet"/>
      <w:lvlText w:val="•"/>
      <w:lvlJc w:val="left"/>
      <w:pPr>
        <w:ind w:left="2444" w:hanging="171"/>
      </w:pPr>
      <w:rPr>
        <w:rFonts w:hint="default"/>
      </w:rPr>
    </w:lvl>
    <w:lvl w:ilvl="2" w:tplc="2E061010">
      <w:start w:val="1"/>
      <w:numFmt w:val="bullet"/>
      <w:lvlText w:val="•"/>
      <w:lvlJc w:val="left"/>
      <w:pPr>
        <w:ind w:left="3309" w:hanging="171"/>
      </w:pPr>
      <w:rPr>
        <w:rFonts w:hint="default"/>
      </w:rPr>
    </w:lvl>
    <w:lvl w:ilvl="3" w:tplc="8992511C">
      <w:start w:val="1"/>
      <w:numFmt w:val="bullet"/>
      <w:lvlText w:val="•"/>
      <w:lvlJc w:val="left"/>
      <w:pPr>
        <w:ind w:left="4173" w:hanging="171"/>
      </w:pPr>
      <w:rPr>
        <w:rFonts w:hint="default"/>
      </w:rPr>
    </w:lvl>
    <w:lvl w:ilvl="4" w:tplc="F9F609C8">
      <w:start w:val="1"/>
      <w:numFmt w:val="bullet"/>
      <w:lvlText w:val="•"/>
      <w:lvlJc w:val="left"/>
      <w:pPr>
        <w:ind w:left="5038" w:hanging="171"/>
      </w:pPr>
      <w:rPr>
        <w:rFonts w:hint="default"/>
      </w:rPr>
    </w:lvl>
    <w:lvl w:ilvl="5" w:tplc="9E524456">
      <w:start w:val="1"/>
      <w:numFmt w:val="bullet"/>
      <w:lvlText w:val="•"/>
      <w:lvlJc w:val="left"/>
      <w:pPr>
        <w:ind w:left="5902" w:hanging="171"/>
      </w:pPr>
      <w:rPr>
        <w:rFonts w:hint="default"/>
      </w:rPr>
    </w:lvl>
    <w:lvl w:ilvl="6" w:tplc="1B4469C8">
      <w:start w:val="1"/>
      <w:numFmt w:val="bullet"/>
      <w:lvlText w:val="•"/>
      <w:lvlJc w:val="left"/>
      <w:pPr>
        <w:ind w:left="6767" w:hanging="171"/>
      </w:pPr>
      <w:rPr>
        <w:rFonts w:hint="default"/>
      </w:rPr>
    </w:lvl>
    <w:lvl w:ilvl="7" w:tplc="9636277A">
      <w:start w:val="1"/>
      <w:numFmt w:val="bullet"/>
      <w:lvlText w:val="•"/>
      <w:lvlJc w:val="left"/>
      <w:pPr>
        <w:ind w:left="7631" w:hanging="171"/>
      </w:pPr>
      <w:rPr>
        <w:rFonts w:hint="default"/>
      </w:rPr>
    </w:lvl>
    <w:lvl w:ilvl="8" w:tplc="CE70153E">
      <w:start w:val="1"/>
      <w:numFmt w:val="bullet"/>
      <w:lvlText w:val="•"/>
      <w:lvlJc w:val="left"/>
      <w:pPr>
        <w:ind w:left="8496" w:hanging="171"/>
      </w:pPr>
      <w:rPr>
        <w:rFonts w:hint="default"/>
      </w:rPr>
    </w:lvl>
  </w:abstractNum>
  <w:abstractNum w:abstractNumId="34">
    <w:nsid w:val="46B37978"/>
    <w:multiLevelType w:val="hybridMultilevel"/>
    <w:tmpl w:val="7046915A"/>
    <w:lvl w:ilvl="0" w:tplc="AC2EDE4E">
      <w:start w:val="1"/>
      <w:numFmt w:val="decimal"/>
      <w:lvlText w:val="%1"/>
      <w:lvlJc w:val="left"/>
      <w:pPr>
        <w:ind w:left="1700" w:hanging="284"/>
        <w:jc w:val="left"/>
      </w:pPr>
      <w:rPr>
        <w:rFonts w:ascii="Arial" w:eastAsia="Arial" w:hAnsi="Arial" w:cs="Arial" w:hint="default"/>
        <w:color w:val="58595B"/>
        <w:spacing w:val="-2"/>
        <w:w w:val="100"/>
        <w:sz w:val="12"/>
        <w:szCs w:val="12"/>
      </w:rPr>
    </w:lvl>
    <w:lvl w:ilvl="1" w:tplc="0524711E">
      <w:start w:val="1"/>
      <w:numFmt w:val="bullet"/>
      <w:lvlText w:val="•"/>
      <w:lvlJc w:val="left"/>
      <w:pPr>
        <w:ind w:left="2552" w:hanging="284"/>
      </w:pPr>
      <w:rPr>
        <w:rFonts w:hint="default"/>
      </w:rPr>
    </w:lvl>
    <w:lvl w:ilvl="2" w:tplc="21D201F2">
      <w:start w:val="1"/>
      <w:numFmt w:val="bullet"/>
      <w:lvlText w:val="•"/>
      <w:lvlJc w:val="left"/>
      <w:pPr>
        <w:ind w:left="3405" w:hanging="284"/>
      </w:pPr>
      <w:rPr>
        <w:rFonts w:hint="default"/>
      </w:rPr>
    </w:lvl>
    <w:lvl w:ilvl="3" w:tplc="01100B50">
      <w:start w:val="1"/>
      <w:numFmt w:val="bullet"/>
      <w:lvlText w:val="•"/>
      <w:lvlJc w:val="left"/>
      <w:pPr>
        <w:ind w:left="4257" w:hanging="284"/>
      </w:pPr>
      <w:rPr>
        <w:rFonts w:hint="default"/>
      </w:rPr>
    </w:lvl>
    <w:lvl w:ilvl="4" w:tplc="769A769E">
      <w:start w:val="1"/>
      <w:numFmt w:val="bullet"/>
      <w:lvlText w:val="•"/>
      <w:lvlJc w:val="left"/>
      <w:pPr>
        <w:ind w:left="5110" w:hanging="284"/>
      </w:pPr>
      <w:rPr>
        <w:rFonts w:hint="default"/>
      </w:rPr>
    </w:lvl>
    <w:lvl w:ilvl="5" w:tplc="15D02D18">
      <w:start w:val="1"/>
      <w:numFmt w:val="bullet"/>
      <w:lvlText w:val="•"/>
      <w:lvlJc w:val="left"/>
      <w:pPr>
        <w:ind w:left="5962" w:hanging="284"/>
      </w:pPr>
      <w:rPr>
        <w:rFonts w:hint="default"/>
      </w:rPr>
    </w:lvl>
    <w:lvl w:ilvl="6" w:tplc="71FE9B62">
      <w:start w:val="1"/>
      <w:numFmt w:val="bullet"/>
      <w:lvlText w:val="•"/>
      <w:lvlJc w:val="left"/>
      <w:pPr>
        <w:ind w:left="6815" w:hanging="284"/>
      </w:pPr>
      <w:rPr>
        <w:rFonts w:hint="default"/>
      </w:rPr>
    </w:lvl>
    <w:lvl w:ilvl="7" w:tplc="9F9826B0">
      <w:start w:val="1"/>
      <w:numFmt w:val="bullet"/>
      <w:lvlText w:val="•"/>
      <w:lvlJc w:val="left"/>
      <w:pPr>
        <w:ind w:left="7667" w:hanging="284"/>
      </w:pPr>
      <w:rPr>
        <w:rFonts w:hint="default"/>
      </w:rPr>
    </w:lvl>
    <w:lvl w:ilvl="8" w:tplc="B02402CC">
      <w:start w:val="1"/>
      <w:numFmt w:val="bullet"/>
      <w:lvlText w:val="•"/>
      <w:lvlJc w:val="left"/>
      <w:pPr>
        <w:ind w:left="8520" w:hanging="284"/>
      </w:pPr>
      <w:rPr>
        <w:rFonts w:hint="default"/>
      </w:rPr>
    </w:lvl>
  </w:abstractNum>
  <w:abstractNum w:abstractNumId="35">
    <w:nsid w:val="4B0D6D29"/>
    <w:multiLevelType w:val="hybridMultilevel"/>
    <w:tmpl w:val="25129698"/>
    <w:lvl w:ilvl="0" w:tplc="EFCAB078">
      <w:start w:val="1"/>
      <w:numFmt w:val="bullet"/>
      <w:lvlText w:val="•"/>
      <w:lvlJc w:val="left"/>
      <w:pPr>
        <w:ind w:left="1587" w:hanging="171"/>
      </w:pPr>
      <w:rPr>
        <w:rFonts w:ascii="Arial" w:eastAsia="Arial" w:hAnsi="Arial" w:cs="Arial" w:hint="default"/>
        <w:color w:val="0095A7"/>
        <w:spacing w:val="-12"/>
        <w:w w:val="100"/>
        <w:sz w:val="20"/>
        <w:szCs w:val="20"/>
      </w:rPr>
    </w:lvl>
    <w:lvl w:ilvl="1" w:tplc="8CBED982">
      <w:start w:val="1"/>
      <w:numFmt w:val="bullet"/>
      <w:lvlText w:val="•"/>
      <w:lvlJc w:val="left"/>
      <w:pPr>
        <w:ind w:left="2444" w:hanging="171"/>
      </w:pPr>
      <w:rPr>
        <w:rFonts w:hint="default"/>
      </w:rPr>
    </w:lvl>
    <w:lvl w:ilvl="2" w:tplc="D3F03A64">
      <w:start w:val="1"/>
      <w:numFmt w:val="bullet"/>
      <w:lvlText w:val="•"/>
      <w:lvlJc w:val="left"/>
      <w:pPr>
        <w:ind w:left="3309" w:hanging="171"/>
      </w:pPr>
      <w:rPr>
        <w:rFonts w:hint="default"/>
      </w:rPr>
    </w:lvl>
    <w:lvl w:ilvl="3" w:tplc="802CACE8">
      <w:start w:val="1"/>
      <w:numFmt w:val="bullet"/>
      <w:lvlText w:val="•"/>
      <w:lvlJc w:val="left"/>
      <w:pPr>
        <w:ind w:left="4173" w:hanging="171"/>
      </w:pPr>
      <w:rPr>
        <w:rFonts w:hint="default"/>
      </w:rPr>
    </w:lvl>
    <w:lvl w:ilvl="4" w:tplc="E334EBCE">
      <w:start w:val="1"/>
      <w:numFmt w:val="bullet"/>
      <w:lvlText w:val="•"/>
      <w:lvlJc w:val="left"/>
      <w:pPr>
        <w:ind w:left="5038" w:hanging="171"/>
      </w:pPr>
      <w:rPr>
        <w:rFonts w:hint="default"/>
      </w:rPr>
    </w:lvl>
    <w:lvl w:ilvl="5" w:tplc="C02CED7C">
      <w:start w:val="1"/>
      <w:numFmt w:val="bullet"/>
      <w:lvlText w:val="•"/>
      <w:lvlJc w:val="left"/>
      <w:pPr>
        <w:ind w:left="5902" w:hanging="171"/>
      </w:pPr>
      <w:rPr>
        <w:rFonts w:hint="default"/>
      </w:rPr>
    </w:lvl>
    <w:lvl w:ilvl="6" w:tplc="40929C90">
      <w:start w:val="1"/>
      <w:numFmt w:val="bullet"/>
      <w:lvlText w:val="•"/>
      <w:lvlJc w:val="left"/>
      <w:pPr>
        <w:ind w:left="6767" w:hanging="171"/>
      </w:pPr>
      <w:rPr>
        <w:rFonts w:hint="default"/>
      </w:rPr>
    </w:lvl>
    <w:lvl w:ilvl="7" w:tplc="A87069FE">
      <w:start w:val="1"/>
      <w:numFmt w:val="bullet"/>
      <w:lvlText w:val="•"/>
      <w:lvlJc w:val="left"/>
      <w:pPr>
        <w:ind w:left="7631" w:hanging="171"/>
      </w:pPr>
      <w:rPr>
        <w:rFonts w:hint="default"/>
      </w:rPr>
    </w:lvl>
    <w:lvl w:ilvl="8" w:tplc="8E862492">
      <w:start w:val="1"/>
      <w:numFmt w:val="bullet"/>
      <w:lvlText w:val="•"/>
      <w:lvlJc w:val="left"/>
      <w:pPr>
        <w:ind w:left="8496" w:hanging="171"/>
      </w:pPr>
      <w:rPr>
        <w:rFonts w:hint="default"/>
      </w:rPr>
    </w:lvl>
  </w:abstractNum>
  <w:abstractNum w:abstractNumId="36">
    <w:nsid w:val="4D8C3FF0"/>
    <w:multiLevelType w:val="hybridMultilevel"/>
    <w:tmpl w:val="16F4ECA2"/>
    <w:lvl w:ilvl="0" w:tplc="B58A188C">
      <w:start w:val="1"/>
      <w:numFmt w:val="decimal"/>
      <w:lvlText w:val="%1"/>
      <w:lvlJc w:val="left"/>
      <w:pPr>
        <w:ind w:left="417" w:hanging="284"/>
        <w:jc w:val="left"/>
      </w:pPr>
      <w:rPr>
        <w:rFonts w:ascii="Arial" w:eastAsia="Arial" w:hAnsi="Arial" w:cs="Arial" w:hint="default"/>
        <w:color w:val="58595B"/>
        <w:spacing w:val="-4"/>
        <w:w w:val="100"/>
        <w:sz w:val="12"/>
        <w:szCs w:val="12"/>
      </w:rPr>
    </w:lvl>
    <w:lvl w:ilvl="1" w:tplc="01A6A2B4">
      <w:start w:val="1"/>
      <w:numFmt w:val="bullet"/>
      <w:lvlText w:val="•"/>
      <w:lvlJc w:val="left"/>
      <w:pPr>
        <w:ind w:left="1400" w:hanging="284"/>
      </w:pPr>
      <w:rPr>
        <w:rFonts w:hint="default"/>
      </w:rPr>
    </w:lvl>
    <w:lvl w:ilvl="2" w:tplc="6B94A146">
      <w:start w:val="1"/>
      <w:numFmt w:val="bullet"/>
      <w:lvlText w:val="•"/>
      <w:lvlJc w:val="left"/>
      <w:pPr>
        <w:ind w:left="2381" w:hanging="284"/>
      </w:pPr>
      <w:rPr>
        <w:rFonts w:hint="default"/>
      </w:rPr>
    </w:lvl>
    <w:lvl w:ilvl="3" w:tplc="9350EDA6">
      <w:start w:val="1"/>
      <w:numFmt w:val="bullet"/>
      <w:lvlText w:val="•"/>
      <w:lvlJc w:val="left"/>
      <w:pPr>
        <w:ind w:left="3361" w:hanging="284"/>
      </w:pPr>
      <w:rPr>
        <w:rFonts w:hint="default"/>
      </w:rPr>
    </w:lvl>
    <w:lvl w:ilvl="4" w:tplc="7C1E22E8">
      <w:start w:val="1"/>
      <w:numFmt w:val="bullet"/>
      <w:lvlText w:val="•"/>
      <w:lvlJc w:val="left"/>
      <w:pPr>
        <w:ind w:left="4342" w:hanging="284"/>
      </w:pPr>
      <w:rPr>
        <w:rFonts w:hint="default"/>
      </w:rPr>
    </w:lvl>
    <w:lvl w:ilvl="5" w:tplc="7034EF68">
      <w:start w:val="1"/>
      <w:numFmt w:val="bullet"/>
      <w:lvlText w:val="•"/>
      <w:lvlJc w:val="left"/>
      <w:pPr>
        <w:ind w:left="5322" w:hanging="284"/>
      </w:pPr>
      <w:rPr>
        <w:rFonts w:hint="default"/>
      </w:rPr>
    </w:lvl>
    <w:lvl w:ilvl="6" w:tplc="16E6E050">
      <w:start w:val="1"/>
      <w:numFmt w:val="bullet"/>
      <w:lvlText w:val="•"/>
      <w:lvlJc w:val="left"/>
      <w:pPr>
        <w:ind w:left="6303" w:hanging="284"/>
      </w:pPr>
      <w:rPr>
        <w:rFonts w:hint="default"/>
      </w:rPr>
    </w:lvl>
    <w:lvl w:ilvl="7" w:tplc="E4BA3BBA">
      <w:start w:val="1"/>
      <w:numFmt w:val="bullet"/>
      <w:lvlText w:val="•"/>
      <w:lvlJc w:val="left"/>
      <w:pPr>
        <w:ind w:left="7283" w:hanging="284"/>
      </w:pPr>
      <w:rPr>
        <w:rFonts w:hint="default"/>
      </w:rPr>
    </w:lvl>
    <w:lvl w:ilvl="8" w:tplc="AB22E9A8">
      <w:start w:val="1"/>
      <w:numFmt w:val="bullet"/>
      <w:lvlText w:val="•"/>
      <w:lvlJc w:val="left"/>
      <w:pPr>
        <w:ind w:left="8264" w:hanging="284"/>
      </w:pPr>
      <w:rPr>
        <w:rFonts w:hint="default"/>
      </w:rPr>
    </w:lvl>
  </w:abstractNum>
  <w:abstractNum w:abstractNumId="37">
    <w:nsid w:val="4E1116E0"/>
    <w:multiLevelType w:val="hybridMultilevel"/>
    <w:tmpl w:val="82C4049A"/>
    <w:lvl w:ilvl="0" w:tplc="DA00B458">
      <w:start w:val="1"/>
      <w:numFmt w:val="lowerRoman"/>
      <w:lvlText w:val="%1)"/>
      <w:lvlJc w:val="left"/>
      <w:pPr>
        <w:ind w:left="510" w:hanging="341"/>
        <w:jc w:val="left"/>
      </w:pPr>
      <w:rPr>
        <w:rFonts w:ascii="Arial" w:eastAsia="Arial" w:hAnsi="Arial" w:cs="Arial" w:hint="default"/>
        <w:color w:val="58595B"/>
        <w:spacing w:val="-10"/>
        <w:w w:val="100"/>
        <w:sz w:val="20"/>
        <w:szCs w:val="20"/>
      </w:rPr>
    </w:lvl>
    <w:lvl w:ilvl="1" w:tplc="49883722">
      <w:start w:val="1"/>
      <w:numFmt w:val="bullet"/>
      <w:lvlText w:val="•"/>
      <w:lvlJc w:val="left"/>
      <w:pPr>
        <w:ind w:left="1335" w:hanging="341"/>
      </w:pPr>
      <w:rPr>
        <w:rFonts w:hint="default"/>
      </w:rPr>
    </w:lvl>
    <w:lvl w:ilvl="2" w:tplc="A1B29DF4">
      <w:start w:val="1"/>
      <w:numFmt w:val="bullet"/>
      <w:lvlText w:val="•"/>
      <w:lvlJc w:val="left"/>
      <w:pPr>
        <w:ind w:left="2150" w:hanging="341"/>
      </w:pPr>
      <w:rPr>
        <w:rFonts w:hint="default"/>
      </w:rPr>
    </w:lvl>
    <w:lvl w:ilvl="3" w:tplc="4A3C672E">
      <w:start w:val="1"/>
      <w:numFmt w:val="bullet"/>
      <w:lvlText w:val="•"/>
      <w:lvlJc w:val="left"/>
      <w:pPr>
        <w:ind w:left="2966" w:hanging="341"/>
      </w:pPr>
      <w:rPr>
        <w:rFonts w:hint="default"/>
      </w:rPr>
    </w:lvl>
    <w:lvl w:ilvl="4" w:tplc="DE528522">
      <w:start w:val="1"/>
      <w:numFmt w:val="bullet"/>
      <w:lvlText w:val="•"/>
      <w:lvlJc w:val="left"/>
      <w:pPr>
        <w:ind w:left="3781" w:hanging="341"/>
      </w:pPr>
      <w:rPr>
        <w:rFonts w:hint="default"/>
      </w:rPr>
    </w:lvl>
    <w:lvl w:ilvl="5" w:tplc="D2CC8352">
      <w:start w:val="1"/>
      <w:numFmt w:val="bullet"/>
      <w:lvlText w:val="•"/>
      <w:lvlJc w:val="left"/>
      <w:pPr>
        <w:ind w:left="4597" w:hanging="341"/>
      </w:pPr>
      <w:rPr>
        <w:rFonts w:hint="default"/>
      </w:rPr>
    </w:lvl>
    <w:lvl w:ilvl="6" w:tplc="7CB460E0">
      <w:start w:val="1"/>
      <w:numFmt w:val="bullet"/>
      <w:lvlText w:val="•"/>
      <w:lvlJc w:val="left"/>
      <w:pPr>
        <w:ind w:left="5412" w:hanging="341"/>
      </w:pPr>
      <w:rPr>
        <w:rFonts w:hint="default"/>
      </w:rPr>
    </w:lvl>
    <w:lvl w:ilvl="7" w:tplc="E8C09AAE">
      <w:start w:val="1"/>
      <w:numFmt w:val="bullet"/>
      <w:lvlText w:val="•"/>
      <w:lvlJc w:val="left"/>
      <w:pPr>
        <w:ind w:left="6227" w:hanging="341"/>
      </w:pPr>
      <w:rPr>
        <w:rFonts w:hint="default"/>
      </w:rPr>
    </w:lvl>
    <w:lvl w:ilvl="8" w:tplc="85A0C2CC">
      <w:start w:val="1"/>
      <w:numFmt w:val="bullet"/>
      <w:lvlText w:val="•"/>
      <w:lvlJc w:val="left"/>
      <w:pPr>
        <w:ind w:left="7043" w:hanging="341"/>
      </w:pPr>
      <w:rPr>
        <w:rFonts w:hint="default"/>
      </w:rPr>
    </w:lvl>
  </w:abstractNum>
  <w:abstractNum w:abstractNumId="38">
    <w:nsid w:val="54587B6F"/>
    <w:multiLevelType w:val="hybridMultilevel"/>
    <w:tmpl w:val="3F5E61B0"/>
    <w:lvl w:ilvl="0" w:tplc="F214B042">
      <w:start w:val="1"/>
      <w:numFmt w:val="lowerRoman"/>
      <w:lvlText w:val="%1)"/>
      <w:lvlJc w:val="left"/>
      <w:pPr>
        <w:ind w:left="510" w:hanging="341"/>
        <w:jc w:val="left"/>
      </w:pPr>
      <w:rPr>
        <w:rFonts w:ascii="Arial" w:eastAsia="Arial" w:hAnsi="Arial" w:cs="Arial" w:hint="default"/>
        <w:color w:val="58595B"/>
        <w:spacing w:val="-4"/>
        <w:w w:val="100"/>
        <w:sz w:val="20"/>
        <w:szCs w:val="20"/>
      </w:rPr>
    </w:lvl>
    <w:lvl w:ilvl="1" w:tplc="84BE0670">
      <w:start w:val="1"/>
      <w:numFmt w:val="bullet"/>
      <w:lvlText w:val="•"/>
      <w:lvlJc w:val="left"/>
      <w:pPr>
        <w:ind w:left="1333" w:hanging="341"/>
      </w:pPr>
      <w:rPr>
        <w:rFonts w:hint="default"/>
      </w:rPr>
    </w:lvl>
    <w:lvl w:ilvl="2" w:tplc="685644C0">
      <w:start w:val="1"/>
      <w:numFmt w:val="bullet"/>
      <w:lvlText w:val="•"/>
      <w:lvlJc w:val="left"/>
      <w:pPr>
        <w:ind w:left="2146" w:hanging="341"/>
      </w:pPr>
      <w:rPr>
        <w:rFonts w:hint="default"/>
      </w:rPr>
    </w:lvl>
    <w:lvl w:ilvl="3" w:tplc="F050C7E6">
      <w:start w:val="1"/>
      <w:numFmt w:val="bullet"/>
      <w:lvlText w:val="•"/>
      <w:lvlJc w:val="left"/>
      <w:pPr>
        <w:ind w:left="2960" w:hanging="341"/>
      </w:pPr>
      <w:rPr>
        <w:rFonts w:hint="default"/>
      </w:rPr>
    </w:lvl>
    <w:lvl w:ilvl="4" w:tplc="6E5E6730">
      <w:start w:val="1"/>
      <w:numFmt w:val="bullet"/>
      <w:lvlText w:val="•"/>
      <w:lvlJc w:val="left"/>
      <w:pPr>
        <w:ind w:left="3773" w:hanging="341"/>
      </w:pPr>
      <w:rPr>
        <w:rFonts w:hint="default"/>
      </w:rPr>
    </w:lvl>
    <w:lvl w:ilvl="5" w:tplc="2F66C37C">
      <w:start w:val="1"/>
      <w:numFmt w:val="bullet"/>
      <w:lvlText w:val="•"/>
      <w:lvlJc w:val="left"/>
      <w:pPr>
        <w:ind w:left="4587" w:hanging="341"/>
      </w:pPr>
      <w:rPr>
        <w:rFonts w:hint="default"/>
      </w:rPr>
    </w:lvl>
    <w:lvl w:ilvl="6" w:tplc="F4724BBC">
      <w:start w:val="1"/>
      <w:numFmt w:val="bullet"/>
      <w:lvlText w:val="•"/>
      <w:lvlJc w:val="left"/>
      <w:pPr>
        <w:ind w:left="5400" w:hanging="341"/>
      </w:pPr>
      <w:rPr>
        <w:rFonts w:hint="default"/>
      </w:rPr>
    </w:lvl>
    <w:lvl w:ilvl="7" w:tplc="C05C2A66">
      <w:start w:val="1"/>
      <w:numFmt w:val="bullet"/>
      <w:lvlText w:val="•"/>
      <w:lvlJc w:val="left"/>
      <w:pPr>
        <w:ind w:left="6213" w:hanging="341"/>
      </w:pPr>
      <w:rPr>
        <w:rFonts w:hint="default"/>
      </w:rPr>
    </w:lvl>
    <w:lvl w:ilvl="8" w:tplc="14B6F928">
      <w:start w:val="1"/>
      <w:numFmt w:val="bullet"/>
      <w:lvlText w:val="•"/>
      <w:lvlJc w:val="left"/>
      <w:pPr>
        <w:ind w:left="7027" w:hanging="341"/>
      </w:pPr>
      <w:rPr>
        <w:rFonts w:hint="default"/>
      </w:rPr>
    </w:lvl>
  </w:abstractNum>
  <w:abstractNum w:abstractNumId="39">
    <w:nsid w:val="5CC71442"/>
    <w:multiLevelType w:val="hybridMultilevel"/>
    <w:tmpl w:val="B3426E86"/>
    <w:lvl w:ilvl="0" w:tplc="A192F57A">
      <w:start w:val="13"/>
      <w:numFmt w:val="decimal"/>
      <w:lvlText w:val="%1"/>
      <w:lvlJc w:val="left"/>
      <w:pPr>
        <w:ind w:left="1977" w:hanging="560"/>
        <w:jc w:val="left"/>
      </w:pPr>
      <w:rPr>
        <w:rFonts w:hint="default"/>
      </w:rPr>
    </w:lvl>
    <w:lvl w:ilvl="1" w:tplc="0AD4D0FC">
      <w:start w:val="1"/>
      <w:numFmt w:val="decimal"/>
      <w:lvlText w:val="%1.%2"/>
      <w:lvlJc w:val="left"/>
      <w:pPr>
        <w:ind w:left="1977" w:hanging="560"/>
        <w:jc w:val="right"/>
      </w:pPr>
      <w:rPr>
        <w:rFonts w:ascii="Arial" w:eastAsia="Arial" w:hAnsi="Arial" w:cs="Arial" w:hint="default"/>
        <w:color w:val="0095A7"/>
        <w:spacing w:val="-23"/>
        <w:w w:val="100"/>
        <w:sz w:val="24"/>
        <w:szCs w:val="24"/>
      </w:rPr>
    </w:lvl>
    <w:lvl w:ilvl="2" w:tplc="EC4A7CE4">
      <w:start w:val="1"/>
      <w:numFmt w:val="decimal"/>
      <w:lvlText w:val="%1.%2.%3"/>
      <w:lvlJc w:val="left"/>
      <w:pPr>
        <w:ind w:left="769" w:hanging="635"/>
        <w:jc w:val="left"/>
      </w:pPr>
      <w:rPr>
        <w:rFonts w:ascii="Arial" w:eastAsia="Arial" w:hAnsi="Arial" w:cs="Arial" w:hint="default"/>
        <w:color w:val="0095A7"/>
        <w:spacing w:val="-19"/>
        <w:w w:val="100"/>
        <w:sz w:val="20"/>
        <w:szCs w:val="20"/>
      </w:rPr>
    </w:lvl>
    <w:lvl w:ilvl="3" w:tplc="CA06E9DC">
      <w:start w:val="1"/>
      <w:numFmt w:val="bullet"/>
      <w:lvlText w:val="•"/>
      <w:lvlJc w:val="left"/>
      <w:pPr>
        <w:ind w:left="1587" w:hanging="171"/>
      </w:pPr>
      <w:rPr>
        <w:rFonts w:ascii="Arial" w:eastAsia="Arial" w:hAnsi="Arial" w:cs="Arial" w:hint="default"/>
        <w:color w:val="0095A7"/>
        <w:spacing w:val="-12"/>
        <w:w w:val="100"/>
        <w:sz w:val="20"/>
        <w:szCs w:val="20"/>
      </w:rPr>
    </w:lvl>
    <w:lvl w:ilvl="4" w:tplc="44C24748">
      <w:start w:val="1"/>
      <w:numFmt w:val="bullet"/>
      <w:lvlText w:val="•"/>
      <w:lvlJc w:val="left"/>
      <w:pPr>
        <w:ind w:left="3621" w:hanging="171"/>
      </w:pPr>
      <w:rPr>
        <w:rFonts w:hint="default"/>
      </w:rPr>
    </w:lvl>
    <w:lvl w:ilvl="5" w:tplc="0FC09D40">
      <w:start w:val="1"/>
      <w:numFmt w:val="bullet"/>
      <w:lvlText w:val="•"/>
      <w:lvlJc w:val="left"/>
      <w:pPr>
        <w:ind w:left="4442" w:hanging="171"/>
      </w:pPr>
      <w:rPr>
        <w:rFonts w:hint="default"/>
      </w:rPr>
    </w:lvl>
    <w:lvl w:ilvl="6" w:tplc="1ADE1D7E">
      <w:start w:val="1"/>
      <w:numFmt w:val="bullet"/>
      <w:lvlText w:val="•"/>
      <w:lvlJc w:val="left"/>
      <w:pPr>
        <w:ind w:left="5262" w:hanging="171"/>
      </w:pPr>
      <w:rPr>
        <w:rFonts w:hint="default"/>
      </w:rPr>
    </w:lvl>
    <w:lvl w:ilvl="7" w:tplc="C082DDFC">
      <w:start w:val="1"/>
      <w:numFmt w:val="bullet"/>
      <w:lvlText w:val="•"/>
      <w:lvlJc w:val="left"/>
      <w:pPr>
        <w:ind w:left="6083" w:hanging="171"/>
      </w:pPr>
      <w:rPr>
        <w:rFonts w:hint="default"/>
      </w:rPr>
    </w:lvl>
    <w:lvl w:ilvl="8" w:tplc="A1A83332">
      <w:start w:val="1"/>
      <w:numFmt w:val="bullet"/>
      <w:lvlText w:val="•"/>
      <w:lvlJc w:val="left"/>
      <w:pPr>
        <w:ind w:left="6904" w:hanging="171"/>
      </w:pPr>
      <w:rPr>
        <w:rFonts w:hint="default"/>
      </w:rPr>
    </w:lvl>
  </w:abstractNum>
  <w:abstractNum w:abstractNumId="40">
    <w:nsid w:val="602D5F79"/>
    <w:multiLevelType w:val="hybridMultilevel"/>
    <w:tmpl w:val="F2F0A738"/>
    <w:lvl w:ilvl="0" w:tplc="A41A16DE">
      <w:start w:val="1"/>
      <w:numFmt w:val="bullet"/>
      <w:lvlText w:val="•"/>
      <w:lvlJc w:val="left"/>
      <w:pPr>
        <w:ind w:left="1587" w:hanging="171"/>
      </w:pPr>
      <w:rPr>
        <w:rFonts w:ascii="Arial" w:eastAsia="Arial" w:hAnsi="Arial" w:cs="Arial" w:hint="default"/>
        <w:i/>
        <w:color w:val="231F20"/>
        <w:spacing w:val="-12"/>
        <w:w w:val="100"/>
        <w:sz w:val="20"/>
        <w:szCs w:val="20"/>
      </w:rPr>
    </w:lvl>
    <w:lvl w:ilvl="1" w:tplc="82AC6E52">
      <w:start w:val="1"/>
      <w:numFmt w:val="bullet"/>
      <w:lvlText w:val="•"/>
      <w:lvlJc w:val="left"/>
      <w:pPr>
        <w:ind w:left="2444" w:hanging="171"/>
      </w:pPr>
      <w:rPr>
        <w:rFonts w:hint="default"/>
      </w:rPr>
    </w:lvl>
    <w:lvl w:ilvl="2" w:tplc="C9E4A6F4">
      <w:start w:val="1"/>
      <w:numFmt w:val="bullet"/>
      <w:lvlText w:val="•"/>
      <w:lvlJc w:val="left"/>
      <w:pPr>
        <w:ind w:left="3309" w:hanging="171"/>
      </w:pPr>
      <w:rPr>
        <w:rFonts w:hint="default"/>
      </w:rPr>
    </w:lvl>
    <w:lvl w:ilvl="3" w:tplc="4E28D65C">
      <w:start w:val="1"/>
      <w:numFmt w:val="bullet"/>
      <w:lvlText w:val="•"/>
      <w:lvlJc w:val="left"/>
      <w:pPr>
        <w:ind w:left="4173" w:hanging="171"/>
      </w:pPr>
      <w:rPr>
        <w:rFonts w:hint="default"/>
      </w:rPr>
    </w:lvl>
    <w:lvl w:ilvl="4" w:tplc="491E9BCE">
      <w:start w:val="1"/>
      <w:numFmt w:val="bullet"/>
      <w:lvlText w:val="•"/>
      <w:lvlJc w:val="left"/>
      <w:pPr>
        <w:ind w:left="5038" w:hanging="171"/>
      </w:pPr>
      <w:rPr>
        <w:rFonts w:hint="default"/>
      </w:rPr>
    </w:lvl>
    <w:lvl w:ilvl="5" w:tplc="C9DC863C">
      <w:start w:val="1"/>
      <w:numFmt w:val="bullet"/>
      <w:lvlText w:val="•"/>
      <w:lvlJc w:val="left"/>
      <w:pPr>
        <w:ind w:left="5902" w:hanging="171"/>
      </w:pPr>
      <w:rPr>
        <w:rFonts w:hint="default"/>
      </w:rPr>
    </w:lvl>
    <w:lvl w:ilvl="6" w:tplc="0AA48814">
      <w:start w:val="1"/>
      <w:numFmt w:val="bullet"/>
      <w:lvlText w:val="•"/>
      <w:lvlJc w:val="left"/>
      <w:pPr>
        <w:ind w:left="6767" w:hanging="171"/>
      </w:pPr>
      <w:rPr>
        <w:rFonts w:hint="default"/>
      </w:rPr>
    </w:lvl>
    <w:lvl w:ilvl="7" w:tplc="D9761B3E">
      <w:start w:val="1"/>
      <w:numFmt w:val="bullet"/>
      <w:lvlText w:val="•"/>
      <w:lvlJc w:val="left"/>
      <w:pPr>
        <w:ind w:left="7631" w:hanging="171"/>
      </w:pPr>
      <w:rPr>
        <w:rFonts w:hint="default"/>
      </w:rPr>
    </w:lvl>
    <w:lvl w:ilvl="8" w:tplc="84D67918">
      <w:start w:val="1"/>
      <w:numFmt w:val="bullet"/>
      <w:lvlText w:val="•"/>
      <w:lvlJc w:val="left"/>
      <w:pPr>
        <w:ind w:left="8496" w:hanging="171"/>
      </w:pPr>
      <w:rPr>
        <w:rFonts w:hint="default"/>
      </w:rPr>
    </w:lvl>
  </w:abstractNum>
  <w:abstractNum w:abstractNumId="41">
    <w:nsid w:val="643B68D6"/>
    <w:multiLevelType w:val="hybridMultilevel"/>
    <w:tmpl w:val="457400F6"/>
    <w:lvl w:ilvl="0" w:tplc="2962E8F4">
      <w:start w:val="18"/>
      <w:numFmt w:val="decimal"/>
      <w:lvlText w:val="%1"/>
      <w:lvlJc w:val="left"/>
      <w:pPr>
        <w:ind w:left="1992" w:hanging="575"/>
        <w:jc w:val="left"/>
      </w:pPr>
      <w:rPr>
        <w:rFonts w:hint="default"/>
      </w:rPr>
    </w:lvl>
    <w:lvl w:ilvl="1" w:tplc="9FC498DC">
      <w:start w:val="4"/>
      <w:numFmt w:val="decimal"/>
      <w:lvlText w:val="%1.%2"/>
      <w:lvlJc w:val="left"/>
      <w:pPr>
        <w:ind w:left="1992" w:hanging="575"/>
        <w:jc w:val="left"/>
      </w:pPr>
      <w:rPr>
        <w:rFonts w:ascii="Arial" w:eastAsia="Arial" w:hAnsi="Arial" w:cs="Arial" w:hint="default"/>
        <w:color w:val="0095A7"/>
        <w:spacing w:val="-14"/>
        <w:w w:val="100"/>
        <w:sz w:val="24"/>
        <w:szCs w:val="24"/>
      </w:rPr>
    </w:lvl>
    <w:lvl w:ilvl="2" w:tplc="AEB00BA2">
      <w:start w:val="1"/>
      <w:numFmt w:val="decimal"/>
      <w:lvlText w:val="%1.%2.%3"/>
      <w:lvlJc w:val="left"/>
      <w:pPr>
        <w:ind w:left="2048" w:hanging="632"/>
        <w:jc w:val="right"/>
      </w:pPr>
      <w:rPr>
        <w:rFonts w:ascii="Arial" w:eastAsia="Arial" w:hAnsi="Arial" w:cs="Arial" w:hint="default"/>
        <w:color w:val="0095A7"/>
        <w:spacing w:val="-19"/>
        <w:w w:val="100"/>
        <w:sz w:val="20"/>
        <w:szCs w:val="20"/>
      </w:rPr>
    </w:lvl>
    <w:lvl w:ilvl="3" w:tplc="81B0DD0C">
      <w:start w:val="1"/>
      <w:numFmt w:val="bullet"/>
      <w:lvlText w:val="•"/>
      <w:lvlJc w:val="left"/>
      <w:pPr>
        <w:ind w:left="3859" w:hanging="632"/>
      </w:pPr>
      <w:rPr>
        <w:rFonts w:hint="default"/>
      </w:rPr>
    </w:lvl>
    <w:lvl w:ilvl="4" w:tplc="BC6C1466">
      <w:start w:val="1"/>
      <w:numFmt w:val="bullet"/>
      <w:lvlText w:val="•"/>
      <w:lvlJc w:val="left"/>
      <w:pPr>
        <w:ind w:left="4768" w:hanging="632"/>
      </w:pPr>
      <w:rPr>
        <w:rFonts w:hint="default"/>
      </w:rPr>
    </w:lvl>
    <w:lvl w:ilvl="5" w:tplc="CA4C3B82">
      <w:start w:val="1"/>
      <w:numFmt w:val="bullet"/>
      <w:lvlText w:val="•"/>
      <w:lvlJc w:val="left"/>
      <w:pPr>
        <w:ind w:left="5678" w:hanging="632"/>
      </w:pPr>
      <w:rPr>
        <w:rFonts w:hint="default"/>
      </w:rPr>
    </w:lvl>
    <w:lvl w:ilvl="6" w:tplc="32F8ADEC">
      <w:start w:val="1"/>
      <w:numFmt w:val="bullet"/>
      <w:lvlText w:val="•"/>
      <w:lvlJc w:val="left"/>
      <w:pPr>
        <w:ind w:left="6587" w:hanging="632"/>
      </w:pPr>
      <w:rPr>
        <w:rFonts w:hint="default"/>
      </w:rPr>
    </w:lvl>
    <w:lvl w:ilvl="7" w:tplc="B66CF4F0">
      <w:start w:val="1"/>
      <w:numFmt w:val="bullet"/>
      <w:lvlText w:val="•"/>
      <w:lvlJc w:val="left"/>
      <w:pPr>
        <w:ind w:left="7497" w:hanging="632"/>
      </w:pPr>
      <w:rPr>
        <w:rFonts w:hint="default"/>
      </w:rPr>
    </w:lvl>
    <w:lvl w:ilvl="8" w:tplc="207ED544">
      <w:start w:val="1"/>
      <w:numFmt w:val="bullet"/>
      <w:lvlText w:val="•"/>
      <w:lvlJc w:val="left"/>
      <w:pPr>
        <w:ind w:left="8406" w:hanging="632"/>
      </w:pPr>
      <w:rPr>
        <w:rFonts w:hint="default"/>
      </w:rPr>
    </w:lvl>
  </w:abstractNum>
  <w:abstractNum w:abstractNumId="42">
    <w:nsid w:val="64624101"/>
    <w:multiLevelType w:val="hybridMultilevel"/>
    <w:tmpl w:val="23B41808"/>
    <w:lvl w:ilvl="0" w:tplc="6B32D8E4">
      <w:start w:val="1"/>
      <w:numFmt w:val="bullet"/>
      <w:lvlText w:val="•"/>
      <w:lvlJc w:val="left"/>
      <w:pPr>
        <w:ind w:left="1587" w:hanging="171"/>
      </w:pPr>
      <w:rPr>
        <w:rFonts w:ascii="Arial" w:eastAsia="Arial" w:hAnsi="Arial" w:cs="Arial" w:hint="default"/>
        <w:color w:val="0095A7"/>
        <w:spacing w:val="-12"/>
        <w:w w:val="100"/>
        <w:sz w:val="20"/>
        <w:szCs w:val="20"/>
      </w:rPr>
    </w:lvl>
    <w:lvl w:ilvl="1" w:tplc="2EDAD93E">
      <w:start w:val="1"/>
      <w:numFmt w:val="bullet"/>
      <w:lvlText w:val="•"/>
      <w:lvlJc w:val="left"/>
      <w:pPr>
        <w:ind w:left="2444" w:hanging="171"/>
      </w:pPr>
      <w:rPr>
        <w:rFonts w:hint="default"/>
      </w:rPr>
    </w:lvl>
    <w:lvl w:ilvl="2" w:tplc="C94CE28A">
      <w:start w:val="1"/>
      <w:numFmt w:val="bullet"/>
      <w:lvlText w:val="•"/>
      <w:lvlJc w:val="left"/>
      <w:pPr>
        <w:ind w:left="3309" w:hanging="171"/>
      </w:pPr>
      <w:rPr>
        <w:rFonts w:hint="default"/>
      </w:rPr>
    </w:lvl>
    <w:lvl w:ilvl="3" w:tplc="7AF6C2BA">
      <w:start w:val="1"/>
      <w:numFmt w:val="bullet"/>
      <w:lvlText w:val="•"/>
      <w:lvlJc w:val="left"/>
      <w:pPr>
        <w:ind w:left="4173" w:hanging="171"/>
      </w:pPr>
      <w:rPr>
        <w:rFonts w:hint="default"/>
      </w:rPr>
    </w:lvl>
    <w:lvl w:ilvl="4" w:tplc="E5FEE7C0">
      <w:start w:val="1"/>
      <w:numFmt w:val="bullet"/>
      <w:lvlText w:val="•"/>
      <w:lvlJc w:val="left"/>
      <w:pPr>
        <w:ind w:left="5038" w:hanging="171"/>
      </w:pPr>
      <w:rPr>
        <w:rFonts w:hint="default"/>
      </w:rPr>
    </w:lvl>
    <w:lvl w:ilvl="5" w:tplc="41F6DE42">
      <w:start w:val="1"/>
      <w:numFmt w:val="bullet"/>
      <w:lvlText w:val="•"/>
      <w:lvlJc w:val="left"/>
      <w:pPr>
        <w:ind w:left="5902" w:hanging="171"/>
      </w:pPr>
      <w:rPr>
        <w:rFonts w:hint="default"/>
      </w:rPr>
    </w:lvl>
    <w:lvl w:ilvl="6" w:tplc="21F07EE4">
      <w:start w:val="1"/>
      <w:numFmt w:val="bullet"/>
      <w:lvlText w:val="•"/>
      <w:lvlJc w:val="left"/>
      <w:pPr>
        <w:ind w:left="6767" w:hanging="171"/>
      </w:pPr>
      <w:rPr>
        <w:rFonts w:hint="default"/>
      </w:rPr>
    </w:lvl>
    <w:lvl w:ilvl="7" w:tplc="8826A604">
      <w:start w:val="1"/>
      <w:numFmt w:val="bullet"/>
      <w:lvlText w:val="•"/>
      <w:lvlJc w:val="left"/>
      <w:pPr>
        <w:ind w:left="7631" w:hanging="171"/>
      </w:pPr>
      <w:rPr>
        <w:rFonts w:hint="default"/>
      </w:rPr>
    </w:lvl>
    <w:lvl w:ilvl="8" w:tplc="91C6F4E8">
      <w:start w:val="1"/>
      <w:numFmt w:val="bullet"/>
      <w:lvlText w:val="•"/>
      <w:lvlJc w:val="left"/>
      <w:pPr>
        <w:ind w:left="8496" w:hanging="171"/>
      </w:pPr>
      <w:rPr>
        <w:rFonts w:hint="default"/>
      </w:rPr>
    </w:lvl>
  </w:abstractNum>
  <w:abstractNum w:abstractNumId="43">
    <w:nsid w:val="67B428A5"/>
    <w:multiLevelType w:val="hybridMultilevel"/>
    <w:tmpl w:val="D42AE35A"/>
    <w:lvl w:ilvl="0" w:tplc="8E885F26">
      <w:start w:val="12"/>
      <w:numFmt w:val="decimal"/>
      <w:lvlText w:val="%1"/>
      <w:lvlJc w:val="left"/>
      <w:pPr>
        <w:ind w:left="718" w:hanging="584"/>
        <w:jc w:val="left"/>
      </w:pPr>
      <w:rPr>
        <w:rFonts w:hint="default"/>
      </w:rPr>
    </w:lvl>
    <w:lvl w:ilvl="1" w:tplc="AEFCAAEE">
      <w:start w:val="4"/>
      <w:numFmt w:val="decimal"/>
      <w:lvlText w:val="%1.%2"/>
      <w:lvlJc w:val="left"/>
      <w:pPr>
        <w:ind w:left="718" w:hanging="584"/>
        <w:jc w:val="left"/>
      </w:pPr>
      <w:rPr>
        <w:rFonts w:ascii="Arial" w:eastAsia="Arial" w:hAnsi="Arial" w:cs="Arial" w:hint="default"/>
        <w:color w:val="0095A7"/>
        <w:spacing w:val="-11"/>
        <w:w w:val="100"/>
        <w:sz w:val="24"/>
        <w:szCs w:val="24"/>
      </w:rPr>
    </w:lvl>
    <w:lvl w:ilvl="2" w:tplc="207A5DA6">
      <w:start w:val="1"/>
      <w:numFmt w:val="decimal"/>
      <w:lvlText w:val="%1.%2.%3"/>
      <w:lvlJc w:val="left"/>
      <w:pPr>
        <w:ind w:left="763" w:hanging="630"/>
        <w:jc w:val="left"/>
      </w:pPr>
      <w:rPr>
        <w:rFonts w:ascii="Arial" w:eastAsia="Arial" w:hAnsi="Arial" w:cs="Arial" w:hint="default"/>
        <w:color w:val="0095A7"/>
        <w:spacing w:val="-19"/>
        <w:w w:val="100"/>
        <w:sz w:val="20"/>
        <w:szCs w:val="20"/>
      </w:rPr>
    </w:lvl>
    <w:lvl w:ilvl="3" w:tplc="3B62A64C">
      <w:start w:val="1"/>
      <w:numFmt w:val="bullet"/>
      <w:lvlText w:val="•"/>
      <w:lvlJc w:val="left"/>
      <w:pPr>
        <w:ind w:left="2863" w:hanging="630"/>
      </w:pPr>
      <w:rPr>
        <w:rFonts w:hint="default"/>
      </w:rPr>
    </w:lvl>
    <w:lvl w:ilvl="4" w:tplc="48543938">
      <w:start w:val="1"/>
      <w:numFmt w:val="bullet"/>
      <w:lvlText w:val="•"/>
      <w:lvlJc w:val="left"/>
      <w:pPr>
        <w:ind w:left="3915" w:hanging="630"/>
      </w:pPr>
      <w:rPr>
        <w:rFonts w:hint="default"/>
      </w:rPr>
    </w:lvl>
    <w:lvl w:ilvl="5" w:tplc="A0CC4D50">
      <w:start w:val="1"/>
      <w:numFmt w:val="bullet"/>
      <w:lvlText w:val="•"/>
      <w:lvlJc w:val="left"/>
      <w:pPr>
        <w:ind w:left="4966" w:hanging="630"/>
      </w:pPr>
      <w:rPr>
        <w:rFonts w:hint="default"/>
      </w:rPr>
    </w:lvl>
    <w:lvl w:ilvl="6" w:tplc="5FE4117C">
      <w:start w:val="1"/>
      <w:numFmt w:val="bullet"/>
      <w:lvlText w:val="•"/>
      <w:lvlJc w:val="left"/>
      <w:pPr>
        <w:ind w:left="6018" w:hanging="630"/>
      </w:pPr>
      <w:rPr>
        <w:rFonts w:hint="default"/>
      </w:rPr>
    </w:lvl>
    <w:lvl w:ilvl="7" w:tplc="29DE704C">
      <w:start w:val="1"/>
      <w:numFmt w:val="bullet"/>
      <w:lvlText w:val="•"/>
      <w:lvlJc w:val="left"/>
      <w:pPr>
        <w:ind w:left="7070" w:hanging="630"/>
      </w:pPr>
      <w:rPr>
        <w:rFonts w:hint="default"/>
      </w:rPr>
    </w:lvl>
    <w:lvl w:ilvl="8" w:tplc="7A266918">
      <w:start w:val="1"/>
      <w:numFmt w:val="bullet"/>
      <w:lvlText w:val="•"/>
      <w:lvlJc w:val="left"/>
      <w:pPr>
        <w:ind w:left="8122" w:hanging="630"/>
      </w:pPr>
      <w:rPr>
        <w:rFonts w:hint="default"/>
      </w:rPr>
    </w:lvl>
  </w:abstractNum>
  <w:abstractNum w:abstractNumId="44">
    <w:nsid w:val="695F382C"/>
    <w:multiLevelType w:val="hybridMultilevel"/>
    <w:tmpl w:val="7A58EB5C"/>
    <w:lvl w:ilvl="0" w:tplc="A62EE2E8">
      <w:start w:val="18"/>
      <w:numFmt w:val="decimal"/>
      <w:lvlText w:val="%1"/>
      <w:lvlJc w:val="left"/>
      <w:pPr>
        <w:ind w:left="1980" w:hanging="564"/>
        <w:jc w:val="left"/>
      </w:pPr>
      <w:rPr>
        <w:rFonts w:hint="default"/>
      </w:rPr>
    </w:lvl>
    <w:lvl w:ilvl="1" w:tplc="80B887EC">
      <w:start w:val="1"/>
      <w:numFmt w:val="decimal"/>
      <w:lvlText w:val="%1.%2"/>
      <w:lvlJc w:val="left"/>
      <w:pPr>
        <w:ind w:left="1980" w:hanging="564"/>
        <w:jc w:val="right"/>
      </w:pPr>
      <w:rPr>
        <w:rFonts w:ascii="Arial" w:eastAsia="Arial" w:hAnsi="Arial" w:cs="Arial" w:hint="default"/>
        <w:color w:val="0095A7"/>
        <w:spacing w:val="-23"/>
        <w:w w:val="100"/>
        <w:sz w:val="24"/>
        <w:szCs w:val="24"/>
      </w:rPr>
    </w:lvl>
    <w:lvl w:ilvl="2" w:tplc="E74C09C6">
      <w:start w:val="1"/>
      <w:numFmt w:val="decimal"/>
      <w:lvlText w:val="%1.%2.%3"/>
      <w:lvlJc w:val="left"/>
      <w:pPr>
        <w:ind w:left="2054" w:hanging="638"/>
        <w:jc w:val="left"/>
      </w:pPr>
      <w:rPr>
        <w:rFonts w:ascii="Arial" w:eastAsia="Arial" w:hAnsi="Arial" w:cs="Arial" w:hint="default"/>
        <w:color w:val="0095A7"/>
        <w:spacing w:val="-19"/>
        <w:w w:val="100"/>
        <w:sz w:val="20"/>
        <w:szCs w:val="20"/>
      </w:rPr>
    </w:lvl>
    <w:lvl w:ilvl="3" w:tplc="57F85058">
      <w:start w:val="1"/>
      <w:numFmt w:val="bullet"/>
      <w:lvlText w:val="•"/>
      <w:lvlJc w:val="left"/>
      <w:pPr>
        <w:ind w:left="3874" w:hanging="638"/>
      </w:pPr>
      <w:rPr>
        <w:rFonts w:hint="default"/>
      </w:rPr>
    </w:lvl>
    <w:lvl w:ilvl="4" w:tplc="DAC44206">
      <w:start w:val="1"/>
      <w:numFmt w:val="bullet"/>
      <w:lvlText w:val="•"/>
      <w:lvlJc w:val="left"/>
      <w:pPr>
        <w:ind w:left="4781" w:hanging="638"/>
      </w:pPr>
      <w:rPr>
        <w:rFonts w:hint="default"/>
      </w:rPr>
    </w:lvl>
    <w:lvl w:ilvl="5" w:tplc="3C888588">
      <w:start w:val="1"/>
      <w:numFmt w:val="bullet"/>
      <w:lvlText w:val="•"/>
      <w:lvlJc w:val="left"/>
      <w:pPr>
        <w:ind w:left="5689" w:hanging="638"/>
      </w:pPr>
      <w:rPr>
        <w:rFonts w:hint="default"/>
      </w:rPr>
    </w:lvl>
    <w:lvl w:ilvl="6" w:tplc="2B96776E">
      <w:start w:val="1"/>
      <w:numFmt w:val="bullet"/>
      <w:lvlText w:val="•"/>
      <w:lvlJc w:val="left"/>
      <w:pPr>
        <w:ind w:left="6596" w:hanging="638"/>
      </w:pPr>
      <w:rPr>
        <w:rFonts w:hint="default"/>
      </w:rPr>
    </w:lvl>
    <w:lvl w:ilvl="7" w:tplc="18DC1814">
      <w:start w:val="1"/>
      <w:numFmt w:val="bullet"/>
      <w:lvlText w:val="•"/>
      <w:lvlJc w:val="left"/>
      <w:pPr>
        <w:ind w:left="7503" w:hanging="638"/>
      </w:pPr>
      <w:rPr>
        <w:rFonts w:hint="default"/>
      </w:rPr>
    </w:lvl>
    <w:lvl w:ilvl="8" w:tplc="181A12CC">
      <w:start w:val="1"/>
      <w:numFmt w:val="bullet"/>
      <w:lvlText w:val="•"/>
      <w:lvlJc w:val="left"/>
      <w:pPr>
        <w:ind w:left="8410" w:hanging="638"/>
      </w:pPr>
      <w:rPr>
        <w:rFonts w:hint="default"/>
      </w:rPr>
    </w:lvl>
  </w:abstractNum>
  <w:abstractNum w:abstractNumId="45">
    <w:nsid w:val="750F0AD7"/>
    <w:multiLevelType w:val="hybridMultilevel"/>
    <w:tmpl w:val="0A22083E"/>
    <w:lvl w:ilvl="0" w:tplc="83608E5C">
      <w:start w:val="1"/>
      <w:numFmt w:val="decimal"/>
      <w:lvlText w:val="%1"/>
      <w:lvlJc w:val="left"/>
      <w:pPr>
        <w:ind w:left="1700" w:hanging="284"/>
        <w:jc w:val="left"/>
      </w:pPr>
      <w:rPr>
        <w:rFonts w:ascii="Arial" w:eastAsia="Arial" w:hAnsi="Arial" w:cs="Arial" w:hint="default"/>
        <w:color w:val="58595B"/>
        <w:spacing w:val="-5"/>
        <w:w w:val="100"/>
        <w:sz w:val="12"/>
        <w:szCs w:val="12"/>
      </w:rPr>
    </w:lvl>
    <w:lvl w:ilvl="1" w:tplc="C9D0CB52">
      <w:start w:val="1"/>
      <w:numFmt w:val="bullet"/>
      <w:lvlText w:val="•"/>
      <w:lvlJc w:val="left"/>
      <w:pPr>
        <w:ind w:left="2552" w:hanging="284"/>
      </w:pPr>
      <w:rPr>
        <w:rFonts w:hint="default"/>
      </w:rPr>
    </w:lvl>
    <w:lvl w:ilvl="2" w:tplc="8C8201CA">
      <w:start w:val="1"/>
      <w:numFmt w:val="bullet"/>
      <w:lvlText w:val="•"/>
      <w:lvlJc w:val="left"/>
      <w:pPr>
        <w:ind w:left="3405" w:hanging="284"/>
      </w:pPr>
      <w:rPr>
        <w:rFonts w:hint="default"/>
      </w:rPr>
    </w:lvl>
    <w:lvl w:ilvl="3" w:tplc="10746D5A">
      <w:start w:val="1"/>
      <w:numFmt w:val="bullet"/>
      <w:lvlText w:val="•"/>
      <w:lvlJc w:val="left"/>
      <w:pPr>
        <w:ind w:left="4257" w:hanging="284"/>
      </w:pPr>
      <w:rPr>
        <w:rFonts w:hint="default"/>
      </w:rPr>
    </w:lvl>
    <w:lvl w:ilvl="4" w:tplc="82D4A7B6">
      <w:start w:val="1"/>
      <w:numFmt w:val="bullet"/>
      <w:lvlText w:val="•"/>
      <w:lvlJc w:val="left"/>
      <w:pPr>
        <w:ind w:left="5110" w:hanging="284"/>
      </w:pPr>
      <w:rPr>
        <w:rFonts w:hint="default"/>
      </w:rPr>
    </w:lvl>
    <w:lvl w:ilvl="5" w:tplc="956CEE9E">
      <w:start w:val="1"/>
      <w:numFmt w:val="bullet"/>
      <w:lvlText w:val="•"/>
      <w:lvlJc w:val="left"/>
      <w:pPr>
        <w:ind w:left="5962" w:hanging="284"/>
      </w:pPr>
      <w:rPr>
        <w:rFonts w:hint="default"/>
      </w:rPr>
    </w:lvl>
    <w:lvl w:ilvl="6" w:tplc="D6504522">
      <w:start w:val="1"/>
      <w:numFmt w:val="bullet"/>
      <w:lvlText w:val="•"/>
      <w:lvlJc w:val="left"/>
      <w:pPr>
        <w:ind w:left="6815" w:hanging="284"/>
      </w:pPr>
      <w:rPr>
        <w:rFonts w:hint="default"/>
      </w:rPr>
    </w:lvl>
    <w:lvl w:ilvl="7" w:tplc="BD46A99E">
      <w:start w:val="1"/>
      <w:numFmt w:val="bullet"/>
      <w:lvlText w:val="•"/>
      <w:lvlJc w:val="left"/>
      <w:pPr>
        <w:ind w:left="7667" w:hanging="284"/>
      </w:pPr>
      <w:rPr>
        <w:rFonts w:hint="default"/>
      </w:rPr>
    </w:lvl>
    <w:lvl w:ilvl="8" w:tplc="B3F8D478">
      <w:start w:val="1"/>
      <w:numFmt w:val="bullet"/>
      <w:lvlText w:val="•"/>
      <w:lvlJc w:val="left"/>
      <w:pPr>
        <w:ind w:left="8520" w:hanging="284"/>
      </w:pPr>
      <w:rPr>
        <w:rFonts w:hint="default"/>
      </w:rPr>
    </w:lvl>
  </w:abstractNum>
  <w:abstractNum w:abstractNumId="46">
    <w:nsid w:val="76AB47A7"/>
    <w:multiLevelType w:val="hybridMultilevel"/>
    <w:tmpl w:val="38740BAA"/>
    <w:lvl w:ilvl="0" w:tplc="D0AE37F0">
      <w:start w:val="12"/>
      <w:numFmt w:val="decimal"/>
      <w:lvlText w:val="%1"/>
      <w:lvlJc w:val="left"/>
      <w:pPr>
        <w:ind w:left="2052" w:hanging="636"/>
        <w:jc w:val="left"/>
      </w:pPr>
      <w:rPr>
        <w:rFonts w:hint="default"/>
      </w:rPr>
    </w:lvl>
    <w:lvl w:ilvl="1" w:tplc="47029DBA">
      <w:start w:val="2"/>
      <w:numFmt w:val="decimal"/>
      <w:lvlText w:val="%1.%2"/>
      <w:lvlJc w:val="left"/>
      <w:pPr>
        <w:ind w:left="2052" w:hanging="636"/>
        <w:jc w:val="left"/>
      </w:pPr>
      <w:rPr>
        <w:rFonts w:hint="default"/>
      </w:rPr>
    </w:lvl>
    <w:lvl w:ilvl="2" w:tplc="5484BD50">
      <w:start w:val="1"/>
      <w:numFmt w:val="decimal"/>
      <w:lvlText w:val="%1.%2.%3"/>
      <w:lvlJc w:val="left"/>
      <w:pPr>
        <w:ind w:left="2052" w:hanging="636"/>
        <w:jc w:val="right"/>
      </w:pPr>
      <w:rPr>
        <w:rFonts w:ascii="Arial" w:eastAsia="Arial" w:hAnsi="Arial" w:cs="Arial" w:hint="default"/>
        <w:color w:val="0095A7"/>
        <w:spacing w:val="-19"/>
        <w:w w:val="100"/>
        <w:sz w:val="20"/>
        <w:szCs w:val="20"/>
      </w:rPr>
    </w:lvl>
    <w:lvl w:ilvl="3" w:tplc="26948946">
      <w:start w:val="1"/>
      <w:numFmt w:val="lowerRoman"/>
      <w:lvlText w:val="%4)"/>
      <w:lvlJc w:val="left"/>
      <w:pPr>
        <w:ind w:left="1927" w:hanging="341"/>
        <w:jc w:val="left"/>
      </w:pPr>
      <w:rPr>
        <w:rFonts w:ascii="Arial" w:eastAsia="Arial" w:hAnsi="Arial" w:cs="Arial" w:hint="default"/>
        <w:color w:val="58595B"/>
        <w:spacing w:val="-10"/>
        <w:w w:val="100"/>
        <w:sz w:val="20"/>
        <w:szCs w:val="20"/>
      </w:rPr>
    </w:lvl>
    <w:lvl w:ilvl="4" w:tplc="A20C1F12">
      <w:start w:val="1"/>
      <w:numFmt w:val="bullet"/>
      <w:lvlText w:val="•"/>
      <w:lvlJc w:val="left"/>
      <w:pPr>
        <w:ind w:left="4781" w:hanging="341"/>
      </w:pPr>
      <w:rPr>
        <w:rFonts w:hint="default"/>
      </w:rPr>
    </w:lvl>
    <w:lvl w:ilvl="5" w:tplc="72A0C4CA">
      <w:start w:val="1"/>
      <w:numFmt w:val="bullet"/>
      <w:lvlText w:val="•"/>
      <w:lvlJc w:val="left"/>
      <w:pPr>
        <w:ind w:left="5689" w:hanging="341"/>
      </w:pPr>
      <w:rPr>
        <w:rFonts w:hint="default"/>
      </w:rPr>
    </w:lvl>
    <w:lvl w:ilvl="6" w:tplc="36A6D8D2">
      <w:start w:val="1"/>
      <w:numFmt w:val="bullet"/>
      <w:lvlText w:val="•"/>
      <w:lvlJc w:val="left"/>
      <w:pPr>
        <w:ind w:left="6596" w:hanging="341"/>
      </w:pPr>
      <w:rPr>
        <w:rFonts w:hint="default"/>
      </w:rPr>
    </w:lvl>
    <w:lvl w:ilvl="7" w:tplc="A108285A">
      <w:start w:val="1"/>
      <w:numFmt w:val="bullet"/>
      <w:lvlText w:val="•"/>
      <w:lvlJc w:val="left"/>
      <w:pPr>
        <w:ind w:left="7503" w:hanging="341"/>
      </w:pPr>
      <w:rPr>
        <w:rFonts w:hint="default"/>
      </w:rPr>
    </w:lvl>
    <w:lvl w:ilvl="8" w:tplc="5D06409E">
      <w:start w:val="1"/>
      <w:numFmt w:val="bullet"/>
      <w:lvlText w:val="•"/>
      <w:lvlJc w:val="left"/>
      <w:pPr>
        <w:ind w:left="8410" w:hanging="341"/>
      </w:pPr>
      <w:rPr>
        <w:rFonts w:hint="default"/>
      </w:rPr>
    </w:lvl>
  </w:abstractNum>
  <w:abstractNum w:abstractNumId="47">
    <w:nsid w:val="7B02528E"/>
    <w:multiLevelType w:val="hybridMultilevel"/>
    <w:tmpl w:val="9D3C7A84"/>
    <w:lvl w:ilvl="0" w:tplc="B34633CC">
      <w:start w:val="1"/>
      <w:numFmt w:val="bullet"/>
      <w:lvlText w:val="•"/>
      <w:lvlJc w:val="left"/>
      <w:pPr>
        <w:ind w:left="1587" w:hanging="171"/>
      </w:pPr>
      <w:rPr>
        <w:rFonts w:ascii="Arial" w:eastAsia="Arial" w:hAnsi="Arial" w:cs="Arial" w:hint="default"/>
        <w:color w:val="0095A7"/>
        <w:spacing w:val="-12"/>
        <w:w w:val="100"/>
        <w:sz w:val="20"/>
        <w:szCs w:val="20"/>
      </w:rPr>
    </w:lvl>
    <w:lvl w:ilvl="1" w:tplc="9B7EA9CE">
      <w:start w:val="1"/>
      <w:numFmt w:val="bullet"/>
      <w:lvlText w:val="•"/>
      <w:lvlJc w:val="left"/>
      <w:pPr>
        <w:ind w:left="2444" w:hanging="171"/>
      </w:pPr>
      <w:rPr>
        <w:rFonts w:hint="default"/>
      </w:rPr>
    </w:lvl>
    <w:lvl w:ilvl="2" w:tplc="EC284274">
      <w:start w:val="1"/>
      <w:numFmt w:val="bullet"/>
      <w:lvlText w:val="•"/>
      <w:lvlJc w:val="left"/>
      <w:pPr>
        <w:ind w:left="3309" w:hanging="171"/>
      </w:pPr>
      <w:rPr>
        <w:rFonts w:hint="default"/>
      </w:rPr>
    </w:lvl>
    <w:lvl w:ilvl="3" w:tplc="B65A1036">
      <w:start w:val="1"/>
      <w:numFmt w:val="bullet"/>
      <w:lvlText w:val="•"/>
      <w:lvlJc w:val="left"/>
      <w:pPr>
        <w:ind w:left="4173" w:hanging="171"/>
      </w:pPr>
      <w:rPr>
        <w:rFonts w:hint="default"/>
      </w:rPr>
    </w:lvl>
    <w:lvl w:ilvl="4" w:tplc="28269DE0">
      <w:start w:val="1"/>
      <w:numFmt w:val="bullet"/>
      <w:lvlText w:val="•"/>
      <w:lvlJc w:val="left"/>
      <w:pPr>
        <w:ind w:left="5038" w:hanging="171"/>
      </w:pPr>
      <w:rPr>
        <w:rFonts w:hint="default"/>
      </w:rPr>
    </w:lvl>
    <w:lvl w:ilvl="5" w:tplc="006C976A">
      <w:start w:val="1"/>
      <w:numFmt w:val="bullet"/>
      <w:lvlText w:val="•"/>
      <w:lvlJc w:val="left"/>
      <w:pPr>
        <w:ind w:left="5902" w:hanging="171"/>
      </w:pPr>
      <w:rPr>
        <w:rFonts w:hint="default"/>
      </w:rPr>
    </w:lvl>
    <w:lvl w:ilvl="6" w:tplc="44642316">
      <w:start w:val="1"/>
      <w:numFmt w:val="bullet"/>
      <w:lvlText w:val="•"/>
      <w:lvlJc w:val="left"/>
      <w:pPr>
        <w:ind w:left="6767" w:hanging="171"/>
      </w:pPr>
      <w:rPr>
        <w:rFonts w:hint="default"/>
      </w:rPr>
    </w:lvl>
    <w:lvl w:ilvl="7" w:tplc="4D44A556">
      <w:start w:val="1"/>
      <w:numFmt w:val="bullet"/>
      <w:lvlText w:val="•"/>
      <w:lvlJc w:val="left"/>
      <w:pPr>
        <w:ind w:left="7631" w:hanging="171"/>
      </w:pPr>
      <w:rPr>
        <w:rFonts w:hint="default"/>
      </w:rPr>
    </w:lvl>
    <w:lvl w:ilvl="8" w:tplc="5944EA24">
      <w:start w:val="1"/>
      <w:numFmt w:val="bullet"/>
      <w:lvlText w:val="•"/>
      <w:lvlJc w:val="left"/>
      <w:pPr>
        <w:ind w:left="8496" w:hanging="171"/>
      </w:pPr>
      <w:rPr>
        <w:rFonts w:hint="default"/>
      </w:rPr>
    </w:lvl>
  </w:abstractNum>
  <w:abstractNum w:abstractNumId="48">
    <w:nsid w:val="7DF15832"/>
    <w:multiLevelType w:val="hybridMultilevel"/>
    <w:tmpl w:val="8EEA3FE0"/>
    <w:lvl w:ilvl="0" w:tplc="E1B6A968">
      <w:start w:val="14"/>
      <w:numFmt w:val="decimal"/>
      <w:lvlText w:val="%1"/>
      <w:lvlJc w:val="left"/>
      <w:pPr>
        <w:ind w:left="1975" w:hanging="558"/>
        <w:jc w:val="left"/>
      </w:pPr>
      <w:rPr>
        <w:rFonts w:hint="default"/>
      </w:rPr>
    </w:lvl>
    <w:lvl w:ilvl="1" w:tplc="A7F4E614">
      <w:start w:val="1"/>
      <w:numFmt w:val="decimal"/>
      <w:lvlText w:val="%1.%2"/>
      <w:lvlJc w:val="left"/>
      <w:pPr>
        <w:ind w:left="1975" w:hanging="558"/>
        <w:jc w:val="right"/>
      </w:pPr>
      <w:rPr>
        <w:rFonts w:ascii="Arial" w:eastAsia="Arial" w:hAnsi="Arial" w:cs="Arial" w:hint="default"/>
        <w:color w:val="0095A7"/>
        <w:spacing w:val="-23"/>
        <w:w w:val="100"/>
        <w:sz w:val="24"/>
        <w:szCs w:val="24"/>
      </w:rPr>
    </w:lvl>
    <w:lvl w:ilvl="2" w:tplc="17D81918">
      <w:start w:val="1"/>
      <w:numFmt w:val="bullet"/>
      <w:lvlText w:val="•"/>
      <w:lvlJc w:val="left"/>
      <w:pPr>
        <w:ind w:left="2709" w:hanging="558"/>
      </w:pPr>
      <w:rPr>
        <w:rFonts w:hint="default"/>
      </w:rPr>
    </w:lvl>
    <w:lvl w:ilvl="3" w:tplc="F65A9968">
      <w:start w:val="1"/>
      <w:numFmt w:val="bullet"/>
      <w:lvlText w:val="•"/>
      <w:lvlJc w:val="left"/>
      <w:pPr>
        <w:ind w:left="3439" w:hanging="558"/>
      </w:pPr>
      <w:rPr>
        <w:rFonts w:hint="default"/>
      </w:rPr>
    </w:lvl>
    <w:lvl w:ilvl="4" w:tplc="C8BC7F38">
      <w:start w:val="1"/>
      <w:numFmt w:val="bullet"/>
      <w:lvlText w:val="•"/>
      <w:lvlJc w:val="left"/>
      <w:pPr>
        <w:ind w:left="4168" w:hanging="558"/>
      </w:pPr>
      <w:rPr>
        <w:rFonts w:hint="default"/>
      </w:rPr>
    </w:lvl>
    <w:lvl w:ilvl="5" w:tplc="FD0C5E76">
      <w:start w:val="1"/>
      <w:numFmt w:val="bullet"/>
      <w:lvlText w:val="•"/>
      <w:lvlJc w:val="left"/>
      <w:pPr>
        <w:ind w:left="4898" w:hanging="558"/>
      </w:pPr>
      <w:rPr>
        <w:rFonts w:hint="default"/>
      </w:rPr>
    </w:lvl>
    <w:lvl w:ilvl="6" w:tplc="53B0192A">
      <w:start w:val="1"/>
      <w:numFmt w:val="bullet"/>
      <w:lvlText w:val="•"/>
      <w:lvlJc w:val="left"/>
      <w:pPr>
        <w:ind w:left="5627" w:hanging="558"/>
      </w:pPr>
      <w:rPr>
        <w:rFonts w:hint="default"/>
      </w:rPr>
    </w:lvl>
    <w:lvl w:ilvl="7" w:tplc="E13A2036">
      <w:start w:val="1"/>
      <w:numFmt w:val="bullet"/>
      <w:lvlText w:val="•"/>
      <w:lvlJc w:val="left"/>
      <w:pPr>
        <w:ind w:left="6357" w:hanging="558"/>
      </w:pPr>
      <w:rPr>
        <w:rFonts w:hint="default"/>
      </w:rPr>
    </w:lvl>
    <w:lvl w:ilvl="8" w:tplc="094ACAC0">
      <w:start w:val="1"/>
      <w:numFmt w:val="bullet"/>
      <w:lvlText w:val="•"/>
      <w:lvlJc w:val="left"/>
      <w:pPr>
        <w:ind w:left="7086" w:hanging="558"/>
      </w:pPr>
      <w:rPr>
        <w:rFonts w:hint="default"/>
      </w:rPr>
    </w:lvl>
  </w:abstractNum>
  <w:num w:numId="1">
    <w:abstractNumId w:val="35"/>
  </w:num>
  <w:num w:numId="2">
    <w:abstractNumId w:val="16"/>
  </w:num>
  <w:num w:numId="3">
    <w:abstractNumId w:val="41"/>
  </w:num>
  <w:num w:numId="4">
    <w:abstractNumId w:val="18"/>
  </w:num>
  <w:num w:numId="5">
    <w:abstractNumId w:val="44"/>
  </w:num>
  <w:num w:numId="6">
    <w:abstractNumId w:val="31"/>
  </w:num>
  <w:num w:numId="7">
    <w:abstractNumId w:val="37"/>
  </w:num>
  <w:num w:numId="8">
    <w:abstractNumId w:val="33"/>
  </w:num>
  <w:num w:numId="9">
    <w:abstractNumId w:val="17"/>
  </w:num>
  <w:num w:numId="10">
    <w:abstractNumId w:val="24"/>
  </w:num>
  <w:num w:numId="11">
    <w:abstractNumId w:val="2"/>
  </w:num>
  <w:num w:numId="12">
    <w:abstractNumId w:val="9"/>
  </w:num>
  <w:num w:numId="13">
    <w:abstractNumId w:val="6"/>
  </w:num>
  <w:num w:numId="14">
    <w:abstractNumId w:val="11"/>
  </w:num>
  <w:num w:numId="15">
    <w:abstractNumId w:val="3"/>
  </w:num>
  <w:num w:numId="16">
    <w:abstractNumId w:val="42"/>
  </w:num>
  <w:num w:numId="17">
    <w:abstractNumId w:val="0"/>
  </w:num>
  <w:num w:numId="18">
    <w:abstractNumId w:val="15"/>
  </w:num>
  <w:num w:numId="19">
    <w:abstractNumId w:val="34"/>
  </w:num>
  <w:num w:numId="20">
    <w:abstractNumId w:val="38"/>
  </w:num>
  <w:num w:numId="21">
    <w:abstractNumId w:val="8"/>
  </w:num>
  <w:num w:numId="22">
    <w:abstractNumId w:val="1"/>
  </w:num>
  <w:num w:numId="23">
    <w:abstractNumId w:val="7"/>
  </w:num>
  <w:num w:numId="24">
    <w:abstractNumId w:val="5"/>
  </w:num>
  <w:num w:numId="25">
    <w:abstractNumId w:val="23"/>
  </w:num>
  <w:num w:numId="26">
    <w:abstractNumId w:val="19"/>
  </w:num>
  <w:num w:numId="27">
    <w:abstractNumId w:val="40"/>
  </w:num>
  <w:num w:numId="28">
    <w:abstractNumId w:val="48"/>
  </w:num>
  <w:num w:numId="29">
    <w:abstractNumId w:val="36"/>
  </w:num>
  <w:num w:numId="30">
    <w:abstractNumId w:val="26"/>
  </w:num>
  <w:num w:numId="31">
    <w:abstractNumId w:val="14"/>
  </w:num>
  <w:num w:numId="32">
    <w:abstractNumId w:val="27"/>
  </w:num>
  <w:num w:numId="33">
    <w:abstractNumId w:val="39"/>
  </w:num>
  <w:num w:numId="34">
    <w:abstractNumId w:val="21"/>
  </w:num>
  <w:num w:numId="35">
    <w:abstractNumId w:val="32"/>
  </w:num>
  <w:num w:numId="36">
    <w:abstractNumId w:val="12"/>
  </w:num>
  <w:num w:numId="37">
    <w:abstractNumId w:val="28"/>
  </w:num>
  <w:num w:numId="38">
    <w:abstractNumId w:val="43"/>
  </w:num>
  <w:num w:numId="39">
    <w:abstractNumId w:val="13"/>
  </w:num>
  <w:num w:numId="40">
    <w:abstractNumId w:val="25"/>
  </w:num>
  <w:num w:numId="41">
    <w:abstractNumId w:val="22"/>
  </w:num>
  <w:num w:numId="42">
    <w:abstractNumId w:val="46"/>
  </w:num>
  <w:num w:numId="43">
    <w:abstractNumId w:val="29"/>
  </w:num>
  <w:num w:numId="44">
    <w:abstractNumId w:val="4"/>
  </w:num>
  <w:num w:numId="45">
    <w:abstractNumId w:val="45"/>
  </w:num>
  <w:num w:numId="46">
    <w:abstractNumId w:val="30"/>
  </w:num>
  <w:num w:numId="47">
    <w:abstractNumId w:val="20"/>
  </w:num>
  <w:num w:numId="48">
    <w:abstractNumId w:val="47"/>
  </w:num>
  <w:num w:numId="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evenAndOddHeaders/>
  <w:drawingGridHorizontalSpacing w:val="110"/>
  <w:displayHorizontalDrawingGridEvery w:val="2"/>
  <w:characterSpacingControl w:val="doNotCompress"/>
  <w:hdrShapeDefaults>
    <o:shapedefaults v:ext="edit" spidmax="2227">
      <o:colormenu v:ext="edit" fillcolor="#cfc"/>
    </o:shapedefaults>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160E7F"/>
    <w:rsid w:val="000638CB"/>
    <w:rsid w:val="00071591"/>
    <w:rsid w:val="000E6F0F"/>
    <w:rsid w:val="001124F0"/>
    <w:rsid w:val="00160E7F"/>
    <w:rsid w:val="00223325"/>
    <w:rsid w:val="00275C3A"/>
    <w:rsid w:val="002B0299"/>
    <w:rsid w:val="002F5F62"/>
    <w:rsid w:val="0032455D"/>
    <w:rsid w:val="00330F91"/>
    <w:rsid w:val="00404168"/>
    <w:rsid w:val="004331A4"/>
    <w:rsid w:val="004D1852"/>
    <w:rsid w:val="00535F56"/>
    <w:rsid w:val="007F382C"/>
    <w:rsid w:val="00804E46"/>
    <w:rsid w:val="00813E6B"/>
    <w:rsid w:val="008620F2"/>
    <w:rsid w:val="008C43B8"/>
    <w:rsid w:val="008C4F03"/>
    <w:rsid w:val="008C7B17"/>
    <w:rsid w:val="008E0296"/>
    <w:rsid w:val="009B0E22"/>
    <w:rsid w:val="00A6793D"/>
    <w:rsid w:val="00A86011"/>
    <w:rsid w:val="00B546EF"/>
    <w:rsid w:val="00BA7CEF"/>
    <w:rsid w:val="00BB1B55"/>
    <w:rsid w:val="00BC536D"/>
    <w:rsid w:val="00C03226"/>
    <w:rsid w:val="00C36C4A"/>
    <w:rsid w:val="00C83FFE"/>
    <w:rsid w:val="00D241EB"/>
    <w:rsid w:val="00D26D1C"/>
    <w:rsid w:val="00DD386F"/>
    <w:rsid w:val="00F12AAD"/>
    <w:rsid w:val="00F12BD9"/>
    <w:rsid w:val="00F87145"/>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27">
      <o:colormenu v:ext="edit" fillcolor="#cfc"/>
    </o:shapedefaults>
    <o:shapelayout v:ext="edit">
      <o:idmap v:ext="edit" data="1"/>
    </o:shapelayout>
  </w:shapeDefaults>
  <w:decimalSymbol w:val="."/>
  <w:listSeparator w:val=","/>
  <w14:docId w14:val="44E88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79"/>
      <w:ind w:left="134" w:right="822"/>
      <w:outlineLvl w:val="0"/>
    </w:pPr>
    <w:rPr>
      <w:sz w:val="40"/>
      <w:szCs w:val="40"/>
    </w:rPr>
  </w:style>
  <w:style w:type="paragraph" w:styleId="Heading2">
    <w:name w:val="heading 2"/>
    <w:basedOn w:val="Normal"/>
    <w:uiPriority w:val="1"/>
    <w:qFormat/>
    <w:pPr>
      <w:spacing w:before="187"/>
      <w:ind w:left="1417" w:right="789"/>
      <w:outlineLvl w:val="1"/>
    </w:pPr>
    <w:rPr>
      <w:sz w:val="28"/>
      <w:szCs w:val="28"/>
    </w:rPr>
  </w:style>
  <w:style w:type="paragraph" w:styleId="Heading3">
    <w:name w:val="heading 3"/>
    <w:basedOn w:val="Normal"/>
    <w:uiPriority w:val="1"/>
    <w:qFormat/>
    <w:pPr>
      <w:spacing w:before="196"/>
      <w:ind w:left="1417"/>
      <w:outlineLvl w:val="2"/>
    </w:pPr>
    <w:rPr>
      <w:sz w:val="24"/>
      <w:szCs w:val="24"/>
    </w:rPr>
  </w:style>
  <w:style w:type="paragraph" w:styleId="Heading4">
    <w:name w:val="heading 4"/>
    <w:basedOn w:val="Normal"/>
    <w:uiPriority w:val="1"/>
    <w:qFormat/>
    <w:pPr>
      <w:spacing w:before="128"/>
      <w:ind w:left="170" w:right="567"/>
      <w:outlineLvl w:val="3"/>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29"/>
      <w:ind w:left="417" w:hanging="170"/>
    </w:pPr>
  </w:style>
  <w:style w:type="paragraph" w:customStyle="1" w:styleId="TableParagraph">
    <w:name w:val="Table Paragraph"/>
    <w:basedOn w:val="Normal"/>
    <w:uiPriority w:val="1"/>
    <w:qFormat/>
    <w:pPr>
      <w:spacing w:before="44"/>
    </w:pPr>
  </w:style>
  <w:style w:type="paragraph" w:styleId="BalloonText">
    <w:name w:val="Balloon Text"/>
    <w:basedOn w:val="Normal"/>
    <w:link w:val="BalloonTextChar"/>
    <w:uiPriority w:val="99"/>
    <w:semiHidden/>
    <w:unhideWhenUsed/>
    <w:rsid w:val="002B029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B0299"/>
    <w:rPr>
      <w:rFonts w:ascii="Lucida Grande" w:eastAsia="Arial" w:hAnsi="Lucida Grande" w:cs="Lucida Grande"/>
      <w:sz w:val="18"/>
      <w:szCs w:val="18"/>
    </w:rPr>
  </w:style>
  <w:style w:type="character" w:styleId="Hyperlink">
    <w:name w:val="Hyperlink"/>
    <w:basedOn w:val="DefaultParagraphFont"/>
    <w:uiPriority w:val="99"/>
    <w:unhideWhenUsed/>
    <w:rsid w:val="00223325"/>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jpe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image" Target="media/image5.jpeg"/><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header" Target="header5.xml"/><Relationship Id="rId19" Type="http://schemas.openxmlformats.org/officeDocument/2006/relationships/header" Target="header6.xml"/><Relationship Id="rId60" Type="http://schemas.openxmlformats.org/officeDocument/2006/relationships/header" Target="header31.xml"/><Relationship Id="rId61" Type="http://schemas.openxmlformats.org/officeDocument/2006/relationships/hyperlink" Target="http://www.asbestos.vic.gov.au/about-asbestos/types-of-asbestos" TargetMode="External"/><Relationship Id="rId62" Type="http://schemas.openxmlformats.org/officeDocument/2006/relationships/hyperlink" Target="http://llur.ecan.govt.nz/Public/" TargetMode="External"/><Relationship Id="rId63" Type="http://schemas.openxmlformats.org/officeDocument/2006/relationships/hyperlink" Target="http://www/" TargetMode="External"/><Relationship Id="rId64" Type="http://schemas.openxmlformats.org/officeDocument/2006/relationships/hyperlink" Target="http://planningguidance/" TargetMode="External"/><Relationship Id="rId65" Type="http://schemas.openxmlformats.org/officeDocument/2006/relationships/hyperlink" Target="http://www.scew.gov.au/nepms/assessment-" TargetMode="External"/><Relationship Id="rId66" Type="http://schemas.openxmlformats.org/officeDocument/2006/relationships/hyperlink" Target="http://www.epa.gov/brownfields/brownfield-overview-" TargetMode="External"/><Relationship Id="rId67" Type="http://schemas.openxmlformats.org/officeDocument/2006/relationships/hyperlink" Target="http://www.depi.vic.gov.au/environment-and-wildlife/" TargetMode="External"/><Relationship Id="rId68" Type="http://schemas.openxmlformats.org/officeDocument/2006/relationships/hyperlink" Target="'%20http://www.epa.vic.gov.au/your-environment/land-and-" TargetMode="External"/><Relationship Id="rId69" Type="http://schemas.openxmlformats.org/officeDocument/2006/relationships/image" Target="media/image16.jpeg"/><Relationship Id="rId120" Type="http://schemas.openxmlformats.org/officeDocument/2006/relationships/header" Target="header60.xml"/><Relationship Id="rId121" Type="http://schemas.openxmlformats.org/officeDocument/2006/relationships/header" Target="header61.xml"/><Relationship Id="rId122" Type="http://schemas.openxmlformats.org/officeDocument/2006/relationships/hyperlink" Target="http://www/" TargetMode="External"/><Relationship Id="rId123" Type="http://schemas.openxmlformats.org/officeDocument/2006/relationships/hyperlink" Target="http://www.epa.vic.gov.au/get-involved/" TargetMode="External"/><Relationship Id="rId124" Type="http://schemas.openxmlformats.org/officeDocument/2006/relationships/hyperlink" Target="http://www.epa.vic.gov.au/get-involved/report-" TargetMode="External"/><Relationship Id="rId125" Type="http://schemas.openxmlformats.org/officeDocument/2006/relationships/hyperlink" Target="http://www.epa.vic.gov.au/your-environment/" TargetMode="External"/><Relationship Id="rId126" Type="http://schemas.openxmlformats.org/officeDocument/2006/relationships/hyperlink" Target="http://www.epa.nsw.gov.au/legislation/Actsummaries" TargetMode="External"/><Relationship Id="rId127" Type="http://schemas.openxmlformats.org/officeDocument/2006/relationships/hyperlink" Target="http://www.epa.vic.gov.au/get-involved/report-litter/litter-prevention-" TargetMode="External"/><Relationship Id="rId128" Type="http://schemas.openxmlformats.org/officeDocument/2006/relationships/fontTable" Target="fontTable.xml"/><Relationship Id="rId129" Type="http://schemas.openxmlformats.org/officeDocument/2006/relationships/theme" Target="theme/theme1.xml"/><Relationship Id="rId40" Type="http://schemas.openxmlformats.org/officeDocument/2006/relationships/hyperlink" Target="http://www.epa.nsw.gov.au/" TargetMode="External"/><Relationship Id="rId41" Type="http://schemas.openxmlformats.org/officeDocument/2006/relationships/header" Target="header20.xml"/><Relationship Id="rId42" Type="http://schemas.openxmlformats.org/officeDocument/2006/relationships/image" Target="media/image10.png"/><Relationship Id="rId90" Type="http://schemas.openxmlformats.org/officeDocument/2006/relationships/header" Target="header48.xml"/><Relationship Id="rId91" Type="http://schemas.openxmlformats.org/officeDocument/2006/relationships/hyperlink" Target="http://www.epa.vic.gov.au/business-and-industry/guidelines/licensing-" TargetMode="External"/><Relationship Id="rId92" Type="http://schemas.openxmlformats.org/officeDocument/2006/relationships/hyperlink" Target="http://www.epa.nsw.gov.au/licensing/hrsts/" TargetMode="External"/><Relationship Id="rId93" Type="http://schemas.openxmlformats.org/officeDocument/2006/relationships/hyperlink" Target="http://www.epa.vic.gov.au/our-work/licences-and-" TargetMode="External"/><Relationship Id="rId94" Type="http://schemas.openxmlformats.org/officeDocument/2006/relationships/hyperlink" Target="http://www.theguardian.com/environment/2010/may/20/deepwater-" TargetMode="External"/><Relationship Id="rId95" Type="http://schemas.openxmlformats.org/officeDocument/2006/relationships/hyperlink" Target="http://www.economist.com/node/21551032" TargetMode="External"/><Relationship Id="rId96" Type="http://schemas.openxmlformats.org/officeDocument/2006/relationships/hyperlink" Target="http://www.behaviourworksaustralia.org/projects/nudging-litter-bugs/" TargetMode="External"/><Relationship Id="rId101" Type="http://schemas.openxmlformats.org/officeDocument/2006/relationships/header" Target="header51.xml"/><Relationship Id="rId102" Type="http://schemas.openxmlformats.org/officeDocument/2006/relationships/header" Target="header52.xml"/><Relationship Id="rId103" Type="http://schemas.openxmlformats.org/officeDocument/2006/relationships/header" Target="header53.xml"/><Relationship Id="rId104" Type="http://schemas.openxmlformats.org/officeDocument/2006/relationships/header" Target="header54.xml"/><Relationship Id="rId105" Type="http://schemas.openxmlformats.org/officeDocument/2006/relationships/hyperlink" Target="http://www.energyandresources.vic.gov.au/__data/assets/pdf_" TargetMode="External"/><Relationship Id="rId106" Type="http://schemas.openxmlformats.org/officeDocument/2006/relationships/hyperlink" Target="http://hazelwoodhealthstudy.org.au/" TargetMode="External"/><Relationship Id="rId107" Type="http://schemas.openxmlformats.org/officeDocument/2006/relationships/hyperlink" Target="http://www.epa.vic.gov.au/your-environment/air/air-pollution" TargetMode="External"/><Relationship Id="rId108" Type="http://schemas.openxmlformats.org/officeDocument/2006/relationships/hyperlink" Target="http://www.doc.govt.nz/our-work/tui-mine/" TargetMode="External"/><Relationship Id="rId109" Type="http://schemas.openxmlformats.org/officeDocument/2006/relationships/hyperlink" Target="http://www.smh.com.au/environment/water-issues/bengalla-coal-mine-" TargetMode="External"/><Relationship Id="rId97" Type="http://schemas.openxmlformats.org/officeDocument/2006/relationships/hyperlink" Target="http://www.stir.ac.uk/media/schools/" TargetMode="External"/><Relationship Id="rId98" Type="http://schemas.openxmlformats.org/officeDocument/2006/relationships/header" Target="header49.xml"/><Relationship Id="rId99" Type="http://schemas.openxmlformats.org/officeDocument/2006/relationships/image" Target="media/image20.png"/><Relationship Id="rId43" Type="http://schemas.openxmlformats.org/officeDocument/2006/relationships/header" Target="header21.xml"/><Relationship Id="rId44" Type="http://schemas.openxmlformats.org/officeDocument/2006/relationships/header" Target="header22.xml"/><Relationship Id="rId45" Type="http://schemas.openxmlformats.org/officeDocument/2006/relationships/header" Target="header23.xml"/><Relationship Id="rId46" Type="http://schemas.openxmlformats.org/officeDocument/2006/relationships/image" Target="media/image11.png"/><Relationship Id="rId47" Type="http://schemas.openxmlformats.org/officeDocument/2006/relationships/image" Target="media/image12.jpeg"/><Relationship Id="rId48" Type="http://schemas.openxmlformats.org/officeDocument/2006/relationships/header" Target="header24.xml"/><Relationship Id="rId49" Type="http://schemas.openxmlformats.org/officeDocument/2006/relationships/header" Target="header25.xml"/><Relationship Id="rId100" Type="http://schemas.openxmlformats.org/officeDocument/2006/relationships/header" Target="header50.xml"/><Relationship Id="rId20" Type="http://schemas.openxmlformats.org/officeDocument/2006/relationships/image" Target="media/image6.jpeg"/><Relationship Id="rId21" Type="http://schemas.openxmlformats.org/officeDocument/2006/relationships/header" Target="header7.xml"/><Relationship Id="rId22" Type="http://schemas.openxmlformats.org/officeDocument/2006/relationships/image" Target="media/image7.jpeg"/><Relationship Id="rId70" Type="http://schemas.openxmlformats.org/officeDocument/2006/relationships/header" Target="header32.xml"/><Relationship Id="rId71" Type="http://schemas.openxmlformats.org/officeDocument/2006/relationships/header" Target="header33.xml"/><Relationship Id="rId72" Type="http://schemas.openxmlformats.org/officeDocument/2006/relationships/image" Target="media/image17.png"/><Relationship Id="rId73" Type="http://schemas.openxmlformats.org/officeDocument/2006/relationships/header" Target="header34.xml"/><Relationship Id="rId74" Type="http://schemas.openxmlformats.org/officeDocument/2006/relationships/header" Target="header35.xml"/><Relationship Id="rId75" Type="http://schemas.openxmlformats.org/officeDocument/2006/relationships/header" Target="header36.xml"/><Relationship Id="rId76" Type="http://schemas.openxmlformats.org/officeDocument/2006/relationships/header" Target="header37.xml"/><Relationship Id="rId77" Type="http://schemas.openxmlformats.org/officeDocument/2006/relationships/header" Target="header38.xml"/><Relationship Id="rId78" Type="http://schemas.openxmlformats.org/officeDocument/2006/relationships/hyperlink" Target="http://www.environment.gov.au/system/files/pages/4f59b654-" TargetMode="External"/><Relationship Id="rId79" Type="http://schemas.openxmlformats.org/officeDocument/2006/relationships/header" Target="header39.xml"/><Relationship Id="rId23" Type="http://schemas.openxmlformats.org/officeDocument/2006/relationships/header" Target="header8.xml"/><Relationship Id="rId24" Type="http://schemas.openxmlformats.org/officeDocument/2006/relationships/header" Target="header9.xml"/><Relationship Id="rId25" Type="http://schemas.openxmlformats.org/officeDocument/2006/relationships/image" Target="media/image8.jpeg"/><Relationship Id="rId26" Type="http://schemas.openxmlformats.org/officeDocument/2006/relationships/header" Target="header10.xml"/><Relationship Id="rId27" Type="http://schemas.openxmlformats.org/officeDocument/2006/relationships/header" Target="header11.xml"/><Relationship Id="rId28" Type="http://schemas.openxmlformats.org/officeDocument/2006/relationships/image" Target="media/image9.jpeg"/><Relationship Id="rId29" Type="http://schemas.openxmlformats.org/officeDocument/2006/relationships/header" Target="header1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50" Type="http://schemas.openxmlformats.org/officeDocument/2006/relationships/image" Target="media/image13.jpeg"/><Relationship Id="rId51" Type="http://schemas.openxmlformats.org/officeDocument/2006/relationships/image" Target="media/image14.jpeg"/><Relationship Id="rId52" Type="http://schemas.openxmlformats.org/officeDocument/2006/relationships/hyperlink" Target="http://worksafenews.com.au/news/item/473-hazelwood-power-" TargetMode="External"/><Relationship Id="rId53" Type="http://schemas.openxmlformats.org/officeDocument/2006/relationships/hyperlink" Target="http://www.epa.vic.gov.au/about-us/news-centre/" TargetMode="External"/><Relationship Id="rId54" Type="http://schemas.openxmlformats.org/officeDocument/2006/relationships/header" Target="header26.xml"/><Relationship Id="rId55" Type="http://schemas.openxmlformats.org/officeDocument/2006/relationships/image" Target="media/image15.jpeg"/><Relationship Id="rId56" Type="http://schemas.openxmlformats.org/officeDocument/2006/relationships/header" Target="header27.xml"/><Relationship Id="rId57" Type="http://schemas.openxmlformats.org/officeDocument/2006/relationships/header" Target="header28.xml"/><Relationship Id="rId58" Type="http://schemas.openxmlformats.org/officeDocument/2006/relationships/header" Target="header29.xml"/><Relationship Id="rId59" Type="http://schemas.openxmlformats.org/officeDocument/2006/relationships/header" Target="header30.xml"/><Relationship Id="rId110" Type="http://schemas.openxmlformats.org/officeDocument/2006/relationships/hyperlink" Target="http://www.smh.com.au/environment/wambo-coal-mine-in-hunter-" TargetMode="External"/><Relationship Id="rId111" Type="http://schemas.openxmlformats.org/officeDocument/2006/relationships/hyperlink" Target="http://www.epa.vic.gov.au/our-work/" TargetMode="External"/><Relationship Id="rId112" Type="http://schemas.openxmlformats.org/officeDocument/2006/relationships/hyperlink" Target="http://www.epa.nsw.gov.au/resources/licensing/140743CSGair.pdf" TargetMode="External"/><Relationship Id="rId113" Type="http://schemas.openxmlformats.org/officeDocument/2006/relationships/hyperlink" Target="http://www.energyandresources.vic.gov.au/earth-resources/" TargetMode="External"/><Relationship Id="rId114" Type="http://schemas.openxmlformats.org/officeDocument/2006/relationships/header" Target="header55.xml"/><Relationship Id="rId115" Type="http://schemas.openxmlformats.org/officeDocument/2006/relationships/header" Target="header56.xml"/><Relationship Id="rId116" Type="http://schemas.openxmlformats.org/officeDocument/2006/relationships/image" Target="media/image21.jpeg"/><Relationship Id="rId117" Type="http://schemas.openxmlformats.org/officeDocument/2006/relationships/header" Target="header57.xml"/><Relationship Id="rId118" Type="http://schemas.openxmlformats.org/officeDocument/2006/relationships/header" Target="header58.xml"/><Relationship Id="rId119" Type="http://schemas.openxmlformats.org/officeDocument/2006/relationships/header" Target="header59.xml"/><Relationship Id="rId30" Type="http://schemas.openxmlformats.org/officeDocument/2006/relationships/header" Target="header13.xml"/><Relationship Id="rId31" Type="http://schemas.openxmlformats.org/officeDocument/2006/relationships/header" Target="header14.xml"/><Relationship Id="rId32" Type="http://schemas.openxmlformats.org/officeDocument/2006/relationships/header" Target="header15.xml"/><Relationship Id="rId33" Type="http://schemas.openxmlformats.org/officeDocument/2006/relationships/header" Target="header16.xml"/><Relationship Id="rId34" Type="http://schemas.openxmlformats.org/officeDocument/2006/relationships/header" Target="header17.xml"/><Relationship Id="rId35" Type="http://schemas.openxmlformats.org/officeDocument/2006/relationships/header" Target="header18.xml"/><Relationship Id="rId36" Type="http://schemas.openxmlformats.org/officeDocument/2006/relationships/header" Target="header19.xml"/><Relationship Id="rId37" Type="http://schemas.openxmlformats.org/officeDocument/2006/relationships/hyperlink" Target="http://www.worksafe.vic.gov.au/forms-and-" TargetMode="External"/><Relationship Id="rId38" Type="http://schemas.openxmlformats.org/officeDocument/2006/relationships/hyperlink" Target="http://www.consumer.vic.gov.au/businesses/registered-businesses" TargetMode="External"/><Relationship Id="rId39" Type="http://schemas.openxmlformats.org/officeDocument/2006/relationships/hyperlink" Target="http://www.worksafe.vic.gov.au/__data/assets/pdf_file/0015/10482/" TargetMode="External"/><Relationship Id="rId80" Type="http://schemas.openxmlformats.org/officeDocument/2006/relationships/image" Target="media/image18.jpeg"/><Relationship Id="rId81" Type="http://schemas.openxmlformats.org/officeDocument/2006/relationships/header" Target="header40.xml"/><Relationship Id="rId82" Type="http://schemas.openxmlformats.org/officeDocument/2006/relationships/header" Target="header41.xml"/><Relationship Id="rId83" Type="http://schemas.openxmlformats.org/officeDocument/2006/relationships/image" Target="media/image19.jpeg"/><Relationship Id="rId84" Type="http://schemas.openxmlformats.org/officeDocument/2006/relationships/header" Target="header42.xml"/><Relationship Id="rId85" Type="http://schemas.openxmlformats.org/officeDocument/2006/relationships/header" Target="header43.xml"/><Relationship Id="rId86" Type="http://schemas.openxmlformats.org/officeDocument/2006/relationships/header" Target="header44.xml"/><Relationship Id="rId87" Type="http://schemas.openxmlformats.org/officeDocument/2006/relationships/header" Target="header45.xml"/><Relationship Id="rId88" Type="http://schemas.openxmlformats.org/officeDocument/2006/relationships/header" Target="header46.xml"/><Relationship Id="rId89" Type="http://schemas.openxmlformats.org/officeDocument/2006/relationships/header" Target="header4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E09C58-D518-2749-AEF7-C93DEB0D1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121</Pages>
  <Words>36320</Words>
  <Characters>211384</Characters>
  <Application>Microsoft Macintosh Word</Application>
  <DocSecurity>0</DocSecurity>
  <Lines>4313</Lines>
  <Paragraphs>1465</Paragraphs>
  <ScaleCrop>false</ScaleCrop>
  <Company>Three's a Crowd</Company>
  <LinksUpToDate>false</LinksUpToDate>
  <CharactersWithSpaces>246239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Baird</cp:lastModifiedBy>
  <cp:revision>36</cp:revision>
  <dcterms:created xsi:type="dcterms:W3CDTF">2016-05-31T14:50:00Z</dcterms:created>
  <dcterms:modified xsi:type="dcterms:W3CDTF">2016-06-01T05:52:00Z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2016-05-31T00:00:00Z</vt:filetime>
  </property>
  <property fmtid="{D5CDD505-2E9C-101B-9397-08002B2CF9AE}" pid="3" name="Creator">
    <vt:lpwstr>Adobe InDesign CC 2015 (Macintosh)</vt:lpwstr>
  </property>
  <property fmtid="{D5CDD505-2E9C-101B-9397-08002B2CF9AE}" pid="4" name="LastSaved">
    <vt:filetime>2016-05-31T00:00:00Z</vt:filetime>
  </property>
</Properties>
</file>