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Default Extension="png" ContentType="image/pn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rPr>
          <w:sz w:val="2"/>
          <w:szCs w:val="2"/>
        </w:rPr>
      </w:pPr>
      <w:r>
        <w:rPr/>
        <w:drawing>
          <wp:anchor distT="0" distB="0" distL="0" distR="0" allowOverlap="1" layoutInCell="1" locked="0" behindDoc="1" simplePos="0" relativeHeight="268222199">
            <wp:simplePos x="0" y="0"/>
            <wp:positionH relativeFrom="page">
              <wp:posOffset>965</wp:posOffset>
            </wp:positionH>
            <wp:positionV relativeFrom="page">
              <wp:posOffset>0</wp:posOffset>
            </wp:positionV>
            <wp:extent cx="7559034" cy="10692003"/>
            <wp:effectExtent l="0" t="0" r="0" b="0"/>
            <wp:wrapNone/>
            <wp:docPr id="1" name="image1.jpeg" descr=""/>
            <wp:cNvGraphicFramePr>
              <a:graphicFrameLocks noChangeAspect="1"/>
            </wp:cNvGraphicFramePr>
            <a:graphic>
              <a:graphicData uri="http://schemas.openxmlformats.org/drawingml/2006/picture">
                <pic:pic>
                  <pic:nvPicPr>
                    <pic:cNvPr id="2" name="image1.jpeg"/>
                    <pic:cNvPicPr/>
                  </pic:nvPicPr>
                  <pic:blipFill>
                    <a:blip r:embed="rId5" cstate="print"/>
                    <a:stretch>
                      <a:fillRect/>
                    </a:stretch>
                  </pic:blipFill>
                  <pic:spPr>
                    <a:xfrm>
                      <a:off x="0" y="0"/>
                      <a:ext cx="7559034" cy="10692003"/>
                    </a:xfrm>
                    <a:prstGeom prst="rect">
                      <a:avLst/>
                    </a:prstGeom>
                  </pic:spPr>
                </pic:pic>
              </a:graphicData>
            </a:graphic>
          </wp:anchor>
        </w:drawing>
      </w:r>
    </w:p>
    <w:p>
      <w:pPr>
        <w:spacing w:after="0"/>
        <w:rPr>
          <w:sz w:val="2"/>
          <w:szCs w:val="2"/>
        </w:rPr>
        <w:sectPr>
          <w:type w:val="continuous"/>
          <w:pgSz w:w="11910" w:h="16840"/>
          <w:pgMar w:top="1580" w:bottom="280" w:left="1680" w:right="1680"/>
        </w:sectPr>
      </w:pPr>
    </w:p>
    <w:p>
      <w:pPr>
        <w:rPr>
          <w:sz w:val="2"/>
          <w:szCs w:val="2"/>
        </w:rPr>
      </w:pPr>
      <w:r>
        <w:rPr/>
        <w:pict>
          <v:group style="position:absolute;margin-left:.038pt;margin-top:.000015pt;width:598.75pt;height:841.9pt;mso-position-horizontal-relative:page;mso-position-vertical-relative:page;z-index:-213232" coordorigin="1,0" coordsize="11975,16838">
            <v:shape style="position:absolute;left:1;top:0;width:11904;height:16838" type="#_x0000_t75" stroked="false">
              <v:imagedata r:id="rId6" o:title=""/>
            </v:shape>
            <v:line style="position:absolute" from="10700,917" to="11906,917" stroked="true" strokeweight="7pt" strokecolor="#ffffff"/>
            <w10:wrap type="none"/>
          </v:group>
        </w:pict>
      </w:r>
      <w:r>
        <w:rPr/>
        <w:pict>
          <v:shapetype id="_x0000_t202" o:spt="202" coordsize="21600,21600" path="m,l,21600r21600,l21600,xe">
            <v:stroke joinstyle="miter"/>
            <v:path gradientshapeok="t" o:connecttype="rect"/>
          </v:shapetype>
          <v:shape style="position:absolute;margin-left:514.929077pt;margin-top:40.902756pt;width:10.6pt;height:9.5pt;mso-position-horizontal-relative:page;mso-position-vertical-relative:page;z-index:-213208" type="#_x0000_t202" filled="false" stroked="false">
            <v:textbox inset="0,0,0,0">
              <w:txbxContent>
                <w:p>
                  <w:pPr>
                    <w:spacing w:before="1"/>
                    <w:ind w:left="20" w:right="0" w:firstLine="0"/>
                    <w:jc w:val="left"/>
                    <w:rPr>
                      <w:sz w:val="15"/>
                    </w:rPr>
                  </w:pPr>
                  <w:r>
                    <w:rPr>
                      <w:color w:val="FFFFFF"/>
                      <w:sz w:val="15"/>
                    </w:rPr>
                    <w:t>59</w:t>
                  </w:r>
                </w:p>
              </w:txbxContent>
            </v:textbox>
            <w10:wrap type="none"/>
          </v:shape>
        </w:pict>
      </w:r>
      <w:r>
        <w:rPr/>
        <w:pict>
          <v:shape style="position:absolute;margin-left:89.708702pt;margin-top:105.893967pt;width:343.1pt;height:38.75pt;mso-position-horizontal-relative:page;mso-position-vertical-relative:page;z-index:-213184" type="#_x0000_t202" filled="false" stroked="false">
            <v:textbox inset="0,0,0,0">
              <w:txbxContent>
                <w:p>
                  <w:pPr>
                    <w:pStyle w:val="BodyText"/>
                    <w:spacing w:line="224" w:lineRule="exact"/>
                  </w:pPr>
                  <w:r>
                    <w:rPr>
                      <w:color w:val="FFFFFF"/>
                    </w:rPr>
                    <w:t>PART B</w:t>
                  </w:r>
                </w:p>
                <w:p>
                  <w:pPr>
                    <w:spacing w:before="79"/>
                    <w:ind w:left="20" w:right="0" w:firstLine="0"/>
                    <w:jc w:val="left"/>
                    <w:rPr>
                      <w:sz w:val="40"/>
                    </w:rPr>
                  </w:pPr>
                  <w:r>
                    <w:rPr>
                      <w:color w:val="FFFFFF"/>
                      <w:spacing w:val="-13"/>
                      <w:sz w:val="40"/>
                    </w:rPr>
                    <w:t>WHAT </w:t>
                  </w:r>
                  <w:r>
                    <w:rPr>
                      <w:color w:val="FFFFFF"/>
                      <w:spacing w:val="-7"/>
                      <w:sz w:val="40"/>
                    </w:rPr>
                    <w:t>SHOULD </w:t>
                  </w:r>
                  <w:r>
                    <w:rPr>
                      <w:color w:val="FFFFFF"/>
                      <w:spacing w:val="-5"/>
                      <w:sz w:val="40"/>
                    </w:rPr>
                    <w:t>THE </w:t>
                  </w:r>
                  <w:r>
                    <w:rPr>
                      <w:color w:val="FFFFFF"/>
                      <w:spacing w:val="-15"/>
                      <w:sz w:val="40"/>
                    </w:rPr>
                    <w:t>EPA </w:t>
                  </w:r>
                  <w:r>
                    <w:rPr>
                      <w:color w:val="FFFFFF"/>
                      <w:spacing w:val="-4"/>
                      <w:sz w:val="40"/>
                    </w:rPr>
                    <w:t>BE </w:t>
                  </w:r>
                  <w:r>
                    <w:rPr>
                      <w:color w:val="FFFFFF"/>
                      <w:spacing w:val="-8"/>
                      <w:sz w:val="40"/>
                    </w:rPr>
                    <w:t>DOING?</w:t>
                  </w:r>
                </w:p>
              </w:txbxContent>
            </v:textbox>
            <w10:wrap type="none"/>
          </v:shape>
        </w:pict>
      </w:r>
    </w:p>
    <w:p>
      <w:pPr>
        <w:spacing w:after="0"/>
        <w:rPr>
          <w:sz w:val="2"/>
          <w:szCs w:val="2"/>
        </w:rPr>
        <w:sectPr>
          <w:pgSz w:w="11910" w:h="16840"/>
          <w:pgMar w:top="800" w:bottom="280" w:left="1680" w:right="1280"/>
        </w:sectPr>
      </w:pPr>
    </w:p>
    <w:p>
      <w:pPr>
        <w:rPr>
          <w:sz w:val="2"/>
          <w:szCs w:val="2"/>
        </w:rPr>
      </w:pPr>
      <w:r>
        <w:rPr/>
        <w:drawing>
          <wp:anchor distT="0" distB="0" distL="0" distR="0" allowOverlap="1" layoutInCell="1" locked="0" behindDoc="1" simplePos="0" relativeHeight="268222295">
            <wp:simplePos x="0" y="0"/>
            <wp:positionH relativeFrom="page">
              <wp:posOffset>0</wp:posOffset>
            </wp:positionH>
            <wp:positionV relativeFrom="page">
              <wp:posOffset>3</wp:posOffset>
            </wp:positionV>
            <wp:extent cx="7559039" cy="10692000"/>
            <wp:effectExtent l="0" t="0" r="0" b="0"/>
            <wp:wrapNone/>
            <wp:docPr id="3" name="image3.jpeg" descr=""/>
            <wp:cNvGraphicFramePr>
              <a:graphicFrameLocks noChangeAspect="1"/>
            </wp:cNvGraphicFramePr>
            <a:graphic>
              <a:graphicData uri="http://schemas.openxmlformats.org/drawingml/2006/picture">
                <pic:pic>
                  <pic:nvPicPr>
                    <pic:cNvPr id="4" name="image3.jpeg"/>
                    <pic:cNvPicPr/>
                  </pic:nvPicPr>
                  <pic:blipFill>
                    <a:blip r:embed="rId7" cstate="print"/>
                    <a:stretch>
                      <a:fillRect/>
                    </a:stretch>
                  </pic:blipFill>
                  <pic:spPr>
                    <a:xfrm>
                      <a:off x="0" y="0"/>
                      <a:ext cx="7559039" cy="10692000"/>
                    </a:xfrm>
                    <a:prstGeom prst="rect">
                      <a:avLst/>
                    </a:prstGeom>
                  </pic:spPr>
                </pic:pic>
              </a:graphicData>
            </a:graphic>
          </wp:anchor>
        </w:drawing>
      </w:r>
    </w:p>
    <w:p>
      <w:pPr>
        <w:spacing w:after="0"/>
        <w:rPr>
          <w:sz w:val="2"/>
          <w:szCs w:val="2"/>
        </w:rPr>
        <w:sectPr>
          <w:pgSz w:w="11910" w:h="16840"/>
          <w:pgMar w:top="1580" w:bottom="280" w:left="1680" w:right="1680"/>
        </w:sectPr>
      </w:pPr>
    </w:p>
    <w:p>
      <w:pPr>
        <w:rPr>
          <w:sz w:val="2"/>
          <w:szCs w:val="2"/>
        </w:rPr>
      </w:pPr>
      <w:r>
        <w:rPr/>
        <w:pict>
          <v:group style="position:absolute;margin-left:.076pt;margin-top:.000244pt;width:598.7pt;height:841.9pt;mso-position-horizontal-relative:page;mso-position-vertical-relative:page;z-index:-213136" coordorigin="2,0" coordsize="11974,16838">
            <v:shape style="position:absolute;left:2;top:0;width:11904;height:16838" type="#_x0000_t75" stroked="false">
              <v:imagedata r:id="rId8" o:title=""/>
            </v:shape>
            <v:line style="position:absolute" from="10700,917" to="11906,917" stroked="true" strokeweight="7pt" strokecolor="#0095a7"/>
            <w10:wrap type="none"/>
          </v:group>
        </w:pict>
      </w:r>
      <w:r>
        <w:rPr/>
        <w:pict>
          <v:shape style="position:absolute;margin-left:515.16687pt;margin-top:40.902756pt;width:10.1pt;height:9.5pt;mso-position-horizontal-relative:page;mso-position-vertical-relative:page;z-index:-213112" type="#_x0000_t202" filled="false" stroked="false">
            <v:textbox inset="0,0,0,0">
              <w:txbxContent>
                <w:p>
                  <w:pPr>
                    <w:spacing w:before="1"/>
                    <w:ind w:left="20" w:right="-5" w:firstLine="0"/>
                    <w:jc w:val="left"/>
                    <w:rPr>
                      <w:sz w:val="15"/>
                    </w:rPr>
                  </w:pPr>
                  <w:r>
                    <w:rPr>
                      <w:color w:val="58595B"/>
                      <w:sz w:val="15"/>
                    </w:rPr>
                    <w:t>61</w:t>
                  </w:r>
                </w:p>
              </w:txbxContent>
            </v:textbox>
            <w10:wrap type="none"/>
          </v:shape>
        </w:pict>
      </w:r>
      <w:r>
        <w:rPr/>
        <w:pict>
          <v:shape style="position:absolute;margin-left:89.708702pt;margin-top:105.893967pt;width:298.2pt;height:60.75pt;mso-position-horizontal-relative:page;mso-position-vertical-relative:page;z-index:-213088" type="#_x0000_t202" filled="false" stroked="false">
            <v:textbox inset="0,0,0,0">
              <w:txbxContent>
                <w:p>
                  <w:pPr>
                    <w:spacing w:line="224" w:lineRule="exact" w:before="0"/>
                    <w:ind w:left="20" w:right="0" w:firstLine="0"/>
                    <w:jc w:val="left"/>
                    <w:rPr>
                      <w:b/>
                      <w:sz w:val="20"/>
                    </w:rPr>
                  </w:pPr>
                  <w:r>
                    <w:rPr>
                      <w:b/>
                      <w:color w:val="0095A7"/>
                      <w:sz w:val="20"/>
                    </w:rPr>
                    <w:t>CHAPTER 4</w:t>
                  </w:r>
                </w:p>
                <w:p>
                  <w:pPr>
                    <w:spacing w:line="440" w:lineRule="exact" w:before="102"/>
                    <w:ind w:left="20" w:right="0" w:firstLine="0"/>
                    <w:jc w:val="left"/>
                    <w:rPr>
                      <w:sz w:val="40"/>
                    </w:rPr>
                  </w:pPr>
                  <w:r>
                    <w:rPr>
                      <w:color w:val="58595B"/>
                      <w:spacing w:val="-4"/>
                      <w:sz w:val="40"/>
                    </w:rPr>
                    <w:t>WHY WE </w:t>
                  </w:r>
                  <w:r>
                    <w:rPr>
                      <w:color w:val="58595B"/>
                      <w:spacing w:val="-8"/>
                      <w:sz w:val="40"/>
                    </w:rPr>
                    <w:t>NEED </w:t>
                  </w:r>
                  <w:r>
                    <w:rPr>
                      <w:color w:val="58595B"/>
                      <w:spacing w:val="-10"/>
                      <w:sz w:val="40"/>
                    </w:rPr>
                    <w:t>ENVIRONMENTAL </w:t>
                  </w:r>
                  <w:r>
                    <w:rPr>
                      <w:color w:val="58595B"/>
                      <w:spacing w:val="-11"/>
                      <w:sz w:val="40"/>
                    </w:rPr>
                    <w:t>REGULATION</w:t>
                  </w:r>
                </w:p>
              </w:txbxContent>
            </v:textbox>
            <w10:wrap type="none"/>
          </v:shape>
        </w:pict>
      </w:r>
      <w:r>
        <w:rPr/>
        <w:pict>
          <v:shape style="position:absolute;margin-left:534.996094pt;margin-top:44.090015pt;width:60.3pt;height:5.25pt;mso-position-horizontal-relative:page;mso-position-vertical-relative:page;z-index:-21306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13040" type="#_x0000_t202" filled="false" stroked="false">
            <v:textbox inset="0,0,0,0">
              <w:txbxContent/>
            </v:textbox>
            <w10:wrap type="none"/>
          </v:shape>
        </w:pict>
      </w:r>
    </w:p>
    <w:p>
      <w:pPr>
        <w:spacing w:after="0"/>
        <w:rPr>
          <w:sz w:val="2"/>
          <w:szCs w:val="2"/>
        </w:rPr>
        <w:sectPr>
          <w:pgSz w:w="11910" w:h="16840"/>
          <w:pgMar w:top="800" w:bottom="280" w:left="1680" w:right="1300"/>
        </w:sectPr>
      </w:pPr>
    </w:p>
    <w:p>
      <w:pPr>
        <w:rPr>
          <w:sz w:val="2"/>
          <w:szCs w:val="2"/>
        </w:rPr>
      </w:pPr>
      <w:r>
        <w:rPr/>
        <w:pict>
          <v:line style="position:absolute;mso-position-horizontal-relative:page;mso-position-vertical-relative:page;z-index:-213016" from=".0pt,45.840015pt" to="60.2791pt,45.840015pt" stroked="true" strokeweight="7pt" strokecolor="#0095a7">
            <w10:wrap type="none"/>
          </v:line>
        </w:pict>
      </w:r>
      <w:r>
        <w:rPr/>
        <w:pict>
          <v:rect style="position:absolute;margin-left:70.865997pt;margin-top:143.421021pt;width:432.701pt;height:250.812pt;mso-position-horizontal-relative:page;mso-position-vertical-relative:page;z-index:-212992" filled="true" fillcolor="#eff6f0" stroked="false">
            <v:fill type="solid"/>
            <w10:wrap type="none"/>
          </v:rect>
        </w:pict>
      </w:r>
      <w:r>
        <w:rPr/>
        <w:pict>
          <v:shape style="position:absolute;margin-left:69.866096pt;margin-top:40.902756pt;width:10.55pt;height:9.5pt;mso-position-horizontal-relative:page;mso-position-vertical-relative:page;z-index:-212968" type="#_x0000_t202" filled="false" stroked="false">
            <v:textbox inset="0,0,0,0">
              <w:txbxContent>
                <w:p>
                  <w:pPr>
                    <w:spacing w:before="1"/>
                    <w:ind w:left="20" w:right="0" w:firstLine="0"/>
                    <w:jc w:val="left"/>
                    <w:rPr>
                      <w:sz w:val="15"/>
                    </w:rPr>
                  </w:pPr>
                  <w:r>
                    <w:rPr>
                      <w:color w:val="58595B"/>
                      <w:sz w:val="15"/>
                    </w:rPr>
                    <w:t>62</w:t>
                  </w:r>
                </w:p>
              </w:txbxContent>
            </v:textbox>
            <w10:wrap type="none"/>
          </v:shape>
        </w:pict>
      </w:r>
      <w:r>
        <w:rPr/>
        <w:pict>
          <v:shape style="position:absolute;margin-left:95.377899pt;margin-top:40.902756pt;width:147.75pt;height:9.5pt;mso-position-horizontal-relative:page;mso-position-vertical-relative:page;z-index:-212944"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564812pt;width:320.05pt;height:16pt;mso-position-horizontal-relative:page;mso-position-vertical-relative:page;z-index:-212920" type="#_x0000_t202" filled="false" stroked="false">
            <v:textbox inset="0,0,0,0">
              <w:txbxContent>
                <w:p>
                  <w:pPr>
                    <w:spacing w:line="306" w:lineRule="exact" w:before="0"/>
                    <w:ind w:left="20" w:right="0" w:firstLine="0"/>
                    <w:jc w:val="left"/>
                    <w:rPr>
                      <w:sz w:val="28"/>
                    </w:rPr>
                  </w:pPr>
                  <w:r>
                    <w:rPr>
                      <w:color w:val="0095A7"/>
                      <w:sz w:val="28"/>
                    </w:rPr>
                    <w:t>WHY WE </w:t>
                  </w:r>
                  <w:r>
                    <w:rPr>
                      <w:color w:val="0095A7"/>
                      <w:spacing w:val="-3"/>
                      <w:sz w:val="28"/>
                    </w:rPr>
                    <w:t>NEED ENVIRONMENTAL REGULATION</w:t>
                  </w:r>
                </w:p>
              </w:txbxContent>
            </v:textbox>
            <w10:wrap type="none"/>
          </v:shape>
        </w:pict>
      </w:r>
      <w:r>
        <w:rPr/>
        <w:pict>
          <v:shape style="position:absolute;margin-left:69.866096pt;margin-top:415.434143pt;width:434.95pt;height:73.3pt;mso-position-horizontal-relative:page;mso-position-vertical-relative:page;z-index:-212896" type="#_x0000_t202" filled="false" stroked="false">
            <v:textbox inset="0,0,0,0">
              <w:txbxContent>
                <w:p>
                  <w:pPr>
                    <w:spacing w:line="265" w:lineRule="exact" w:before="0"/>
                    <w:ind w:left="20" w:right="18" w:firstLine="0"/>
                    <w:jc w:val="left"/>
                    <w:rPr>
                      <w:sz w:val="24"/>
                    </w:rPr>
                  </w:pPr>
                  <w:r>
                    <w:rPr>
                      <w:color w:val="0095A7"/>
                      <w:sz w:val="24"/>
                    </w:rPr>
                    <w:t>4.1  Introduction</w:t>
                  </w:r>
                </w:p>
                <w:p>
                  <w:pPr>
                    <w:pStyle w:val="BodyText"/>
                    <w:spacing w:line="280" w:lineRule="auto" w:before="145"/>
                    <w:ind w:right="18"/>
                  </w:pPr>
                  <w:r>
                    <w:rPr>
                      <w:color w:val="58595B"/>
                    </w:rPr>
                    <w:t>A key task for this inquiry is deciding the appropriate role for the EPA of the future, as a protector of public health and safety and a protector of the environment (terms of reference 1 and 3). Good regulators are an essential part of maintaining the high quality of life that Victorians, on the whole, enjoy. They help make Victoria the great place it is to live, work and visit.</w:t>
                  </w:r>
                </w:p>
              </w:txbxContent>
            </v:textbox>
            <w10:wrap type="none"/>
          </v:shape>
        </w:pict>
      </w:r>
      <w:r>
        <w:rPr/>
        <w:pict>
          <v:shape style="position:absolute;margin-left:69.866096pt;margin-top:498.72406pt;width:428.5pt;height:79.5pt;mso-position-horizontal-relative:page;mso-position-vertical-relative:page;z-index:-212872" type="#_x0000_t202" filled="false" stroked="false">
            <v:textbox inset="0,0,0,0">
              <w:txbxContent>
                <w:p>
                  <w:pPr>
                    <w:pStyle w:val="BodyText"/>
                    <w:spacing w:line="280" w:lineRule="auto"/>
                  </w:pPr>
                  <w:r>
                    <w:rPr>
                      <w:color w:val="58595B"/>
                    </w:rPr>
                    <w:t>The EPA’s role is shaped by the larger decisions we take as a community on the role of government and the requirements for regulatory interventions. Generally, Victorians accept, and indeed expect, environmental regulation to address market failures (for example, the negative effects of pollution) and to achieve social policy objectives (for example, ensuring one part of the community does not disproportionately bear the effects of pollution). And they view the EPA as important for protecting human health </w:t>
                  </w:r>
                  <w:r>
                    <w:rPr>
                      <w:i/>
                      <w:color w:val="58595B"/>
                    </w:rPr>
                    <w:t>and </w:t>
                  </w:r>
                  <w:r>
                    <w:rPr>
                      <w:color w:val="58595B"/>
                    </w:rPr>
                    <w:t>the environment, both now and into the future.</w:t>
                  </w:r>
                </w:p>
              </w:txbxContent>
            </v:textbox>
            <w10:wrap type="none"/>
          </v:shape>
        </w:pict>
      </w:r>
      <w:r>
        <w:rPr/>
        <w:pict>
          <v:shape style="position:absolute;margin-left:69.866096pt;margin-top:588.22406pt;width:423.1pt;height:39pt;mso-position-horizontal-relative:page;mso-position-vertical-relative:page;z-index:-212848" type="#_x0000_t202" filled="false" stroked="false">
            <v:textbox inset="0,0,0,0">
              <w:txbxContent>
                <w:p>
                  <w:pPr>
                    <w:pStyle w:val="BodyText"/>
                    <w:spacing w:line="280" w:lineRule="auto"/>
                    <w:ind w:right="17"/>
                  </w:pPr>
                  <w:r>
                    <w:rPr>
                      <w:color w:val="58595B"/>
                    </w:rPr>
                    <w:t>Victorians expect regulation and regulators to be effective and efficient. The EPA must seek to achieve its objective cost effectively, minimising the burden of regulation for businesses and for tax payers.</w:t>
                  </w:r>
                </w:p>
              </w:txbxContent>
            </v:textbox>
            <w10:wrap type="none"/>
          </v:shape>
        </w:pict>
      </w:r>
      <w:r>
        <w:rPr/>
        <w:pict>
          <v:shape style="position:absolute;margin-left:69.866096pt;margin-top:637.22406pt;width:428.4pt;height:79.5pt;mso-position-horizontal-relative:page;mso-position-vertical-relative:page;z-index:-212824" type="#_x0000_t202" filled="false" stroked="false">
            <v:textbox inset="0,0,0,0">
              <w:txbxContent>
                <w:p>
                  <w:pPr>
                    <w:pStyle w:val="BodyText"/>
                    <w:spacing w:line="280" w:lineRule="auto"/>
                  </w:pPr>
                  <w:r>
                    <w:rPr>
                      <w:color w:val="58595B"/>
                    </w:rPr>
                    <w:t>Recognising the central role expectations play in setting the regulatory framework, our terms of reference asked us to consider ‘… the Victorian community’s and industry’s expectations of the EPA as its environmental regulator’. We recognise that expectations do not simply reflect what the community and businesses want; they reflect broader understanding of how government –</w:t>
                  </w:r>
                </w:p>
                <w:p>
                  <w:pPr>
                    <w:pStyle w:val="BodyText"/>
                    <w:spacing w:line="280" w:lineRule="auto" w:before="2"/>
                  </w:pPr>
                  <w:r>
                    <w:rPr>
                      <w:color w:val="58595B"/>
                    </w:rPr>
                    <w:t>through regulation – manages the various interests at play in our society and economy, and acts in the public interest, including looking to the interests of future generations.</w:t>
                  </w:r>
                </w:p>
              </w:txbxContent>
            </v:textbox>
            <w10:wrap type="none"/>
          </v:shape>
        </w:pict>
      </w:r>
      <w:r>
        <w:rPr/>
        <w:pict>
          <v:shape style="position:absolute;margin-left:69.866096pt;margin-top:726.72406pt;width:388.4pt;height:39pt;mso-position-horizontal-relative:page;mso-position-vertical-relative:page;z-index:-212800" type="#_x0000_t202" filled="false" stroked="false">
            <v:textbox inset="0,0,0,0">
              <w:txbxContent>
                <w:p>
                  <w:pPr>
                    <w:pStyle w:val="BodyText"/>
                    <w:spacing w:line="280" w:lineRule="auto"/>
                    <w:ind w:right="17"/>
                    <w:jc w:val="both"/>
                  </w:pPr>
                  <w:r>
                    <w:rPr>
                      <w:color w:val="58595B"/>
                    </w:rPr>
                    <w:t>We also recognise the government and the EPA can and do influence expectations. So expectations can change over time, for example, to account for more information about environmental harms, their risks, and how to manage them.</w:t>
                  </w:r>
                </w:p>
              </w:txbxContent>
            </v:textbox>
            <w10:wrap type="none"/>
          </v:shape>
        </w:pict>
      </w:r>
      <w:r>
        <w:rPr/>
        <w:pict>
          <v:shape style="position:absolute;margin-left:70.865997pt;margin-top:143.421021pt;width:432.7pt;height:250.85pt;mso-position-horizontal-relative:page;mso-position-vertical-relative:page;z-index:-212776" type="#_x0000_t202" filled="false" stroked="false">
            <v:textbox inset="0,0,0,0">
              <w:txbxContent>
                <w:p>
                  <w:pPr>
                    <w:spacing w:before="128"/>
                    <w:ind w:left="170" w:right="0" w:firstLine="0"/>
                    <w:jc w:val="both"/>
                    <w:rPr>
                      <w:b/>
                      <w:sz w:val="20"/>
                    </w:rPr>
                  </w:pPr>
                  <w:r>
                    <w:rPr>
                      <w:b/>
                      <w:color w:val="0095A7"/>
                      <w:sz w:val="20"/>
                    </w:rPr>
                    <w:t>KEY MESSAGES</w:t>
                  </w:r>
                </w:p>
                <w:p>
                  <w:pPr>
                    <w:pStyle w:val="BodyText"/>
                    <w:spacing w:line="280" w:lineRule="auto" w:before="153"/>
                    <w:ind w:left="170" w:right="277"/>
                  </w:pPr>
                  <w:r>
                    <w:rPr>
                      <w:color w:val="58595B"/>
                    </w:rPr>
                    <w:t>A robust regulatory framework for the environment contributes to prosperity, liveability and the health of the community.</w:t>
                  </w:r>
                </w:p>
                <w:p>
                  <w:pPr>
                    <w:pStyle w:val="BodyText"/>
                    <w:spacing w:line="280" w:lineRule="auto" w:before="172"/>
                    <w:ind w:left="170" w:right="654"/>
                    <w:jc w:val="both"/>
                  </w:pPr>
                  <w:r>
                    <w:rPr>
                      <w:color w:val="58595B"/>
                    </w:rPr>
                    <w:t>Given the persistence of some environmental impacts – such as land contamination and biodiversity loss – environmental regulation has long term benefits for economic viability and the health and wellbeing of future generations.</w:t>
                  </w:r>
                </w:p>
                <w:p>
                  <w:pPr>
                    <w:pStyle w:val="BodyText"/>
                    <w:spacing w:line="280" w:lineRule="auto" w:before="172"/>
                    <w:ind w:left="170" w:right="277"/>
                  </w:pPr>
                  <w:r>
                    <w:rPr>
                      <w:color w:val="58595B"/>
                    </w:rPr>
                    <w:t>Because pollution and waste are inevitable byproducts of human activity, preventing harm necessarily entails some regulatory burden.</w:t>
                  </w:r>
                </w:p>
                <w:p>
                  <w:pPr>
                    <w:pStyle w:val="BodyText"/>
                    <w:spacing w:before="172"/>
                    <w:ind w:left="170"/>
                    <w:jc w:val="both"/>
                  </w:pPr>
                  <w:r>
                    <w:rPr>
                      <w:color w:val="58595B"/>
                    </w:rPr>
                    <w:t>The EPA is expected to:</w:t>
                  </w:r>
                </w:p>
                <w:p>
                  <w:pPr>
                    <w:pStyle w:val="ListParagraph"/>
                    <w:numPr>
                      <w:ilvl w:val="0"/>
                      <w:numId w:val="1"/>
                    </w:numPr>
                    <w:tabs>
                      <w:tab w:pos="341" w:val="left" w:leader="none"/>
                    </w:tabs>
                    <w:spacing w:line="240" w:lineRule="auto" w:before="153" w:after="0"/>
                    <w:ind w:left="340" w:right="0" w:hanging="170"/>
                    <w:jc w:val="both"/>
                    <w:rPr>
                      <w:sz w:val="20"/>
                    </w:rPr>
                  </w:pPr>
                  <w:r>
                    <w:rPr>
                      <w:color w:val="58595B"/>
                      <w:sz w:val="20"/>
                    </w:rPr>
                    <w:t>support public health, safety and wellbeing, productivity and environmental</w:t>
                  </w:r>
                  <w:r>
                    <w:rPr>
                      <w:color w:val="58595B"/>
                      <w:spacing w:val="8"/>
                      <w:sz w:val="20"/>
                    </w:rPr>
                    <w:t> </w:t>
                  </w:r>
                  <w:r>
                    <w:rPr>
                      <w:color w:val="58595B"/>
                      <w:sz w:val="20"/>
                    </w:rPr>
                    <w:t>benefits</w:t>
                  </w:r>
                </w:p>
                <w:p>
                  <w:pPr>
                    <w:pStyle w:val="ListParagraph"/>
                    <w:numPr>
                      <w:ilvl w:val="0"/>
                      <w:numId w:val="1"/>
                    </w:numPr>
                    <w:tabs>
                      <w:tab w:pos="341" w:val="left" w:leader="none"/>
                    </w:tabs>
                    <w:spacing w:line="240" w:lineRule="auto" w:before="153" w:after="0"/>
                    <w:ind w:left="340" w:right="0" w:hanging="170"/>
                    <w:jc w:val="both"/>
                    <w:rPr>
                      <w:sz w:val="20"/>
                    </w:rPr>
                  </w:pPr>
                  <w:r>
                    <w:rPr>
                      <w:color w:val="58595B"/>
                      <w:sz w:val="20"/>
                    </w:rPr>
                    <w:t>operate with accountability, cost effectiveness, transparency and procedural</w:t>
                  </w:r>
                  <w:r>
                    <w:rPr>
                      <w:color w:val="58595B"/>
                      <w:spacing w:val="13"/>
                      <w:sz w:val="20"/>
                    </w:rPr>
                    <w:t> </w:t>
                  </w:r>
                  <w:r>
                    <w:rPr>
                      <w:color w:val="58595B"/>
                      <w:sz w:val="20"/>
                    </w:rPr>
                    <w:t>fairness.</w:t>
                  </w:r>
                </w:p>
                <w:p>
                  <w:pPr>
                    <w:pStyle w:val="BodyText"/>
                    <w:spacing w:before="3"/>
                    <w:ind w:left="0"/>
                    <w:rPr>
                      <w:rFonts w:ascii="Times New Roman"/>
                      <w:sz w:val="18"/>
                    </w:rPr>
                  </w:pPr>
                </w:p>
                <w:p>
                  <w:pPr>
                    <w:pStyle w:val="BodyText"/>
                    <w:spacing w:line="280" w:lineRule="auto"/>
                    <w:ind w:left="170" w:right="297"/>
                    <w:jc w:val="both"/>
                  </w:pPr>
                  <w:r>
                    <w:rPr>
                      <w:color w:val="58595B"/>
                    </w:rPr>
                    <w:t>As well as demonstrating commonly accepted principles of best practice regulation, the EPA of the future must be proactive, trusted, innovative, decisive, influential, responsive, adaptive and collaborative.</w:t>
                  </w:r>
                </w:p>
              </w:txbxContent>
            </v:textbox>
            <w10:wrap type="none"/>
          </v:shape>
        </w:pict>
      </w:r>
      <w:r>
        <w:rPr/>
        <w:pict>
          <v:shape style="position:absolute;margin-left:.0pt;margin-top:44.090015pt;width:60.3pt;height:5.25pt;mso-position-horizontal-relative:page;mso-position-vertical-relative:page;z-index:-21275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12728"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12704" from="534.996094pt,45.840015pt" to="595.276001pt,45.840015pt" stroked="true" strokeweight="7pt" strokecolor="#0095a7">
            <w10:wrap type="none"/>
          </v:line>
        </w:pict>
      </w:r>
      <w:r>
        <w:rPr/>
        <w:pict>
          <v:shape style="position:absolute;margin-left:269.196899pt;margin-top:40.902756pt;width:256.3500pt;height:9.5pt;mso-position-horizontal-relative:page;mso-position-vertical-relative:page;z-index:-212680" type="#_x0000_t202" filled="false" stroked="false">
            <v:textbox inset="0,0,0,0">
              <w:txbxContent>
                <w:p>
                  <w:pPr>
                    <w:tabs>
                      <w:tab w:pos="5107" w:val="right" w:leader="none"/>
                    </w:tabs>
                    <w:spacing w:before="1"/>
                    <w:ind w:left="20" w:right="0" w:firstLine="0"/>
                    <w:jc w:val="left"/>
                    <w:rPr>
                      <w:sz w:val="15"/>
                    </w:rPr>
                  </w:pPr>
                  <w:r>
                    <w:rPr>
                      <w:color w:val="58595B"/>
                      <w:spacing w:val="3"/>
                      <w:sz w:val="15"/>
                    </w:rPr>
                    <w:t>CHAPTER </w:t>
                  </w:r>
                  <w:r>
                    <w:rPr>
                      <w:color w:val="58595B"/>
                      <w:sz w:val="15"/>
                    </w:rPr>
                    <w:t>4    </w:t>
                  </w:r>
                  <w:r>
                    <w:rPr>
                      <w:color w:val="58595B"/>
                      <w:spacing w:val="3"/>
                      <w:sz w:val="15"/>
                    </w:rPr>
                    <w:t>WHY </w:t>
                  </w:r>
                  <w:r>
                    <w:rPr>
                      <w:color w:val="58595B"/>
                      <w:sz w:val="15"/>
                    </w:rPr>
                    <w:t>WE NEED</w:t>
                  </w:r>
                  <w:r>
                    <w:rPr>
                      <w:color w:val="58595B"/>
                      <w:spacing w:val="5"/>
                      <w:sz w:val="15"/>
                    </w:rPr>
                    <w:t> </w:t>
                  </w:r>
                  <w:r>
                    <w:rPr>
                      <w:color w:val="58595B"/>
                      <w:spacing w:val="2"/>
                      <w:sz w:val="15"/>
                    </w:rPr>
                    <w:t>ENVIRONMENTAL</w:t>
                  </w:r>
                  <w:r>
                    <w:rPr>
                      <w:color w:val="58595B"/>
                      <w:spacing w:val="4"/>
                      <w:sz w:val="15"/>
                    </w:rPr>
                    <w:t> </w:t>
                  </w:r>
                  <w:r>
                    <w:rPr>
                      <w:color w:val="58595B"/>
                      <w:spacing w:val="2"/>
                      <w:sz w:val="15"/>
                    </w:rPr>
                    <w:t>REGULATION</w:t>
                    <w:tab/>
                  </w:r>
                  <w:r>
                    <w:rPr>
                      <w:color w:val="58595B"/>
                      <w:spacing w:val="3"/>
                      <w:sz w:val="15"/>
                    </w:rPr>
                    <w:t>63</w:t>
                  </w:r>
                </w:p>
              </w:txbxContent>
            </v:textbox>
            <w10:wrap type="none"/>
          </v:shape>
        </w:pict>
      </w:r>
      <w:r>
        <w:rPr/>
        <w:pict>
          <v:shape style="position:absolute;margin-left:89.708603pt;margin-top:105.893967pt;width:427.15pt;height:66pt;mso-position-horizontal-relative:page;mso-position-vertical-relative:page;z-index:-212656" type="#_x0000_t202" filled="false" stroked="false">
            <v:textbox inset="0,0,0,0">
              <w:txbxContent>
                <w:p>
                  <w:pPr>
                    <w:pStyle w:val="BodyText"/>
                    <w:spacing w:line="280" w:lineRule="auto"/>
                    <w:ind w:right="-2"/>
                  </w:pPr>
                  <w:r>
                    <w:rPr>
                      <w:color w:val="58595B"/>
                    </w:rPr>
                    <w:t>To understand expectations for the EPA now and into the future, we considered what we heard from the community and businesses, including through social research, and also theory and contemporary analysis about the purpose and rationale for regulation. We also considered the attributes a modern environmental regulator needs to meet those expectations. These factors frame our examination of the EPA’s objectives, roles, functions, tools and powers into the future.</w:t>
                  </w:r>
                </w:p>
              </w:txbxContent>
            </v:textbox>
            <w10:wrap type="none"/>
          </v:shape>
        </w:pict>
      </w:r>
      <w:r>
        <w:rPr/>
        <w:pict>
          <v:shape style="position:absolute;margin-left:89.708603pt;margin-top:184.529236pt;width:428.55pt;height:59.8pt;mso-position-horizontal-relative:page;mso-position-vertical-relative:page;z-index:-212632" type="#_x0000_t202" filled="false" stroked="false">
            <v:textbox inset="0,0,0,0">
              <w:txbxContent>
                <w:p>
                  <w:pPr>
                    <w:spacing w:line="265" w:lineRule="exact" w:before="0"/>
                    <w:ind w:left="20" w:right="0" w:firstLine="0"/>
                    <w:jc w:val="both"/>
                    <w:rPr>
                      <w:sz w:val="24"/>
                    </w:rPr>
                  </w:pPr>
                  <w:r>
                    <w:rPr>
                      <w:color w:val="0095A7"/>
                      <w:sz w:val="24"/>
                    </w:rPr>
                    <w:t>4.2  The importance of a healthy environment</w:t>
                  </w:r>
                </w:p>
                <w:p>
                  <w:pPr>
                    <w:pStyle w:val="BodyText"/>
                    <w:spacing w:line="280" w:lineRule="auto" w:before="145"/>
                    <w:ind w:right="17"/>
                    <w:jc w:val="both"/>
                  </w:pPr>
                  <w:r>
                    <w:rPr>
                      <w:color w:val="58595B"/>
                    </w:rPr>
                    <w:t>Victoria needs a healthy environment to maintain its present and future liveability and prosperity. The</w:t>
                  </w:r>
                  <w:r>
                    <w:rPr>
                      <w:color w:val="58595B"/>
                      <w:spacing w:val="-7"/>
                    </w:rPr>
                    <w:t> </w:t>
                  </w:r>
                  <w:r>
                    <w:rPr>
                      <w:color w:val="58595B"/>
                    </w:rPr>
                    <w:t>environment</w:t>
                  </w:r>
                  <w:r>
                    <w:rPr>
                      <w:color w:val="58595B"/>
                      <w:spacing w:val="-7"/>
                    </w:rPr>
                    <w:t> </w:t>
                  </w:r>
                  <w:r>
                    <w:rPr>
                      <w:color w:val="58595B"/>
                    </w:rPr>
                    <w:t>is</w:t>
                  </w:r>
                  <w:r>
                    <w:rPr>
                      <w:color w:val="58595B"/>
                      <w:spacing w:val="-7"/>
                    </w:rPr>
                    <w:t> </w:t>
                  </w:r>
                  <w:r>
                    <w:rPr>
                      <w:color w:val="58595B"/>
                    </w:rPr>
                    <w:t>our</w:t>
                  </w:r>
                  <w:r>
                    <w:rPr>
                      <w:color w:val="58595B"/>
                      <w:spacing w:val="-7"/>
                    </w:rPr>
                    <w:t> </w:t>
                  </w:r>
                  <w:r>
                    <w:rPr>
                      <w:color w:val="58595B"/>
                    </w:rPr>
                    <w:t>life</w:t>
                  </w:r>
                  <w:r>
                    <w:rPr>
                      <w:color w:val="58595B"/>
                      <w:spacing w:val="-7"/>
                    </w:rPr>
                    <w:t> </w:t>
                  </w:r>
                  <w:r>
                    <w:rPr>
                      <w:color w:val="58595B"/>
                    </w:rPr>
                    <w:t>support</w:t>
                  </w:r>
                  <w:r>
                    <w:rPr>
                      <w:color w:val="58595B"/>
                      <w:spacing w:val="-7"/>
                    </w:rPr>
                    <w:t> </w:t>
                  </w:r>
                  <w:r>
                    <w:rPr>
                      <w:color w:val="58595B"/>
                    </w:rPr>
                    <w:t>system</w:t>
                  </w:r>
                  <w:r>
                    <w:rPr>
                      <w:color w:val="58595B"/>
                      <w:spacing w:val="-7"/>
                    </w:rPr>
                    <w:t> </w:t>
                  </w:r>
                  <w:r>
                    <w:rPr>
                      <w:color w:val="58595B"/>
                    </w:rPr>
                    <w:t>–</w:t>
                  </w:r>
                  <w:r>
                    <w:rPr>
                      <w:color w:val="58595B"/>
                      <w:spacing w:val="-7"/>
                    </w:rPr>
                    <w:t> </w:t>
                  </w:r>
                  <w:r>
                    <w:rPr>
                      <w:color w:val="58595B"/>
                    </w:rPr>
                    <w:t>the</w:t>
                  </w:r>
                  <w:r>
                    <w:rPr>
                      <w:color w:val="58595B"/>
                      <w:spacing w:val="-7"/>
                    </w:rPr>
                    <w:t> </w:t>
                  </w:r>
                  <w:r>
                    <w:rPr>
                      <w:color w:val="58595B"/>
                    </w:rPr>
                    <w:t>air</w:t>
                  </w:r>
                  <w:r>
                    <w:rPr>
                      <w:color w:val="58595B"/>
                      <w:spacing w:val="-7"/>
                    </w:rPr>
                    <w:t> </w:t>
                  </w:r>
                  <w:r>
                    <w:rPr>
                      <w:color w:val="58595B"/>
                    </w:rPr>
                    <w:t>we</w:t>
                  </w:r>
                  <w:r>
                    <w:rPr>
                      <w:color w:val="58595B"/>
                      <w:spacing w:val="-7"/>
                    </w:rPr>
                    <w:t> </w:t>
                  </w:r>
                  <w:r>
                    <w:rPr>
                      <w:color w:val="58595B"/>
                    </w:rPr>
                    <w:t>breathe,</w:t>
                  </w:r>
                  <w:r>
                    <w:rPr>
                      <w:color w:val="58595B"/>
                      <w:spacing w:val="-7"/>
                    </w:rPr>
                    <w:t> </w:t>
                  </w:r>
                  <w:r>
                    <w:rPr>
                      <w:color w:val="58595B"/>
                    </w:rPr>
                    <w:t>the</w:t>
                  </w:r>
                  <w:r>
                    <w:rPr>
                      <w:color w:val="58595B"/>
                      <w:spacing w:val="-7"/>
                    </w:rPr>
                    <w:t> </w:t>
                  </w:r>
                  <w:r>
                    <w:rPr>
                      <w:color w:val="58595B"/>
                    </w:rPr>
                    <w:t>climate</w:t>
                  </w:r>
                  <w:r>
                    <w:rPr>
                      <w:color w:val="58595B"/>
                      <w:spacing w:val="-7"/>
                    </w:rPr>
                    <w:t> </w:t>
                  </w:r>
                  <w:r>
                    <w:rPr>
                      <w:color w:val="58595B"/>
                    </w:rPr>
                    <w:t>and</w:t>
                  </w:r>
                  <w:r>
                    <w:rPr>
                      <w:color w:val="58595B"/>
                      <w:spacing w:val="-7"/>
                    </w:rPr>
                    <w:t> </w:t>
                  </w:r>
                  <w:r>
                    <w:rPr>
                      <w:color w:val="58595B"/>
                    </w:rPr>
                    <w:t>space</w:t>
                  </w:r>
                  <w:r>
                    <w:rPr>
                      <w:color w:val="58595B"/>
                      <w:spacing w:val="-7"/>
                    </w:rPr>
                    <w:t> </w:t>
                  </w:r>
                  <w:r>
                    <w:rPr>
                      <w:color w:val="58595B"/>
                    </w:rPr>
                    <w:t>we</w:t>
                  </w:r>
                  <w:r>
                    <w:rPr>
                      <w:color w:val="58595B"/>
                      <w:spacing w:val="-7"/>
                    </w:rPr>
                    <w:t> </w:t>
                  </w:r>
                  <w:r>
                    <w:rPr>
                      <w:color w:val="58595B"/>
                    </w:rPr>
                    <w:t>live</w:t>
                  </w:r>
                  <w:r>
                    <w:rPr>
                      <w:color w:val="58595B"/>
                      <w:spacing w:val="-7"/>
                    </w:rPr>
                    <w:t> </w:t>
                  </w:r>
                  <w:r>
                    <w:rPr>
                      <w:color w:val="58595B"/>
                    </w:rPr>
                    <w:t>in, the water we drink and the productive land we</w:t>
                  </w:r>
                  <w:r>
                    <w:rPr>
                      <w:color w:val="58595B"/>
                      <w:spacing w:val="-13"/>
                    </w:rPr>
                    <w:t> </w:t>
                  </w:r>
                  <w:r>
                    <w:rPr>
                      <w:color w:val="58595B"/>
                    </w:rPr>
                    <w:t>use.</w:t>
                  </w:r>
                </w:p>
              </w:txbxContent>
            </v:textbox>
            <w10:wrap type="none"/>
          </v:shape>
        </w:pict>
      </w:r>
      <w:r>
        <w:rPr/>
        <w:pict>
          <v:shape style="position:absolute;margin-left:89.708603pt;margin-top:254.319061pt;width:434.3pt;height:93.05pt;mso-position-horizontal-relative:page;mso-position-vertical-relative:page;z-index:-212608" type="#_x0000_t202" filled="false" stroked="false">
            <v:textbox inset="0,0,0,0">
              <w:txbxContent>
                <w:p>
                  <w:pPr>
                    <w:pStyle w:val="BodyText"/>
                    <w:spacing w:line="280" w:lineRule="auto"/>
                  </w:pPr>
                  <w:r>
                    <w:rPr>
                      <w:color w:val="58595B"/>
                    </w:rPr>
                    <w:t>Before the 1970s, human activity that degraded the environment often occurred unchecked and environmental regulation was the exception. State government attempts to mitigate pollution were limited, fragmented, ad hoc and infrequent. Action was usually prompted by serious but isolated pollution events, or when degradation caused problems for an industry or public utility.</w:t>
                  </w:r>
                  <w:r>
                    <w:rPr>
                      <w:color w:val="58595B"/>
                      <w:position w:val="7"/>
                      <w:sz w:val="11"/>
                    </w:rPr>
                    <w:t>1 </w:t>
                  </w:r>
                  <w:r>
                    <w:rPr>
                      <w:color w:val="58595B"/>
                    </w:rPr>
                    <w:t>As the effects of pollution and waste became clearer, public concern intensified. Communities became aware that their quality of life and health was influenced not only by industrial development but also by the environment.</w:t>
                  </w:r>
                </w:p>
              </w:txbxContent>
            </v:textbox>
            <w10:wrap type="none"/>
          </v:shape>
        </w:pict>
      </w:r>
      <w:r>
        <w:rPr/>
        <w:pict>
          <v:shape style="position:absolute;margin-left:89.7118pt;margin-top:361.583069pt;width:384.9pt;height:44.7pt;mso-position-horizontal-relative:page;mso-position-vertical-relative:page;z-index:-212584" type="#_x0000_t202" filled="false" stroked="false">
            <v:textbox inset="0,0,0,0">
              <w:txbxContent>
                <w:p>
                  <w:pPr>
                    <w:pStyle w:val="BodyText"/>
                    <w:spacing w:line="224" w:lineRule="exact"/>
                    <w:ind w:right="9"/>
                  </w:pPr>
                  <w:r>
                    <w:rPr>
                      <w:color w:val="0095A7"/>
                    </w:rPr>
                    <w:t>4.2.1  Human health depends on environmental health</w:t>
                  </w:r>
                </w:p>
                <w:p>
                  <w:pPr>
                    <w:spacing w:line="280" w:lineRule="auto" w:before="153"/>
                    <w:ind w:left="587" w:right="9" w:firstLine="0"/>
                    <w:jc w:val="left"/>
                    <w:rPr>
                      <w:sz w:val="11"/>
                    </w:rPr>
                  </w:pPr>
                  <w:r>
                    <w:rPr>
                      <w:i/>
                      <w:color w:val="231F20"/>
                      <w:sz w:val="20"/>
                    </w:rPr>
                    <w:t>We argue that the environment and the ecosystem functions it provides is a vital determinant of human health and wellbeing.</w:t>
                  </w:r>
                  <w:r>
                    <w:rPr>
                      <w:color w:val="231F20"/>
                      <w:position w:val="7"/>
                      <w:sz w:val="11"/>
                    </w:rPr>
                    <w:t>2</w:t>
                  </w:r>
                </w:p>
              </w:txbxContent>
            </v:textbox>
            <w10:wrap type="none"/>
          </v:shape>
        </w:pict>
      </w:r>
      <w:r>
        <w:rPr/>
        <w:pict>
          <v:shape style="position:absolute;margin-left:89.708702pt;margin-top:416.252167pt;width:414.6pt;height:12pt;mso-position-horizontal-relative:page;mso-position-vertical-relative:page;z-index:-212560" type="#_x0000_t202" filled="false" stroked="false">
            <v:textbox inset="0,0,0,0">
              <w:txbxContent>
                <w:p>
                  <w:pPr>
                    <w:pStyle w:val="BodyText"/>
                    <w:spacing w:line="224" w:lineRule="exact"/>
                  </w:pPr>
                  <w:r>
                    <w:rPr>
                      <w:color w:val="58595B"/>
                    </w:rPr>
                    <w:t>The connection between human health and the health of the environment is widely accepted:</w:t>
                  </w:r>
                </w:p>
              </w:txbxContent>
            </v:textbox>
            <w10:wrap type="none"/>
          </v:shape>
        </w:pict>
      </w:r>
      <w:r>
        <w:rPr/>
        <w:pict>
          <v:shape style="position:absolute;margin-left:89.708702pt;margin-top:435.42218pt;width:5.5pt;height:12pt;mso-position-horizontal-relative:page;mso-position-vertical-relative:page;z-index:-21253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98.208702pt;margin-top:435.42218pt;width:415.25pt;height:139.2pt;mso-position-horizontal-relative:page;mso-position-vertical-relative:page;z-index:-212512" type="#_x0000_t202" filled="false" stroked="false">
            <v:textbox inset="0,0,0,0">
              <w:txbxContent>
                <w:p>
                  <w:pPr>
                    <w:pStyle w:val="BodyText"/>
                    <w:spacing w:line="280" w:lineRule="auto"/>
                    <w:ind w:right="137"/>
                    <w:rPr>
                      <w:sz w:val="11"/>
                    </w:rPr>
                  </w:pPr>
                  <w:r>
                    <w:rPr>
                      <w:color w:val="58595B"/>
                    </w:rPr>
                    <w:t>In </w:t>
                  </w:r>
                  <w:r>
                    <w:rPr>
                      <w:color w:val="58595B"/>
                      <w:spacing w:val="-3"/>
                    </w:rPr>
                    <w:t>2013, </w:t>
                  </w:r>
                  <w:r>
                    <w:rPr>
                      <w:color w:val="58595B"/>
                    </w:rPr>
                    <w:t>a health risk assessment of air pollution in </w:t>
                  </w:r>
                  <w:r>
                    <w:rPr>
                      <w:color w:val="58595B"/>
                      <w:spacing w:val="-3"/>
                    </w:rPr>
                    <w:t>Sydney, </w:t>
                  </w:r>
                  <w:r>
                    <w:rPr>
                      <w:color w:val="58595B"/>
                    </w:rPr>
                    <w:t>Melbourne, Brisbane and Perth estimated fossil fuel combustion contributed to 1,600 premature deaths a </w:t>
                  </w:r>
                  <w:r>
                    <w:rPr>
                      <w:color w:val="58595B"/>
                      <w:spacing w:val="-4"/>
                    </w:rPr>
                    <w:t>year, </w:t>
                  </w:r>
                  <w:r>
                    <w:rPr>
                      <w:color w:val="58595B"/>
                    </w:rPr>
                    <w:t>1,250 visits to hospitals by children with asthma and respiratory illness and 2,500 visits to hospitals for adults with cardiovascular and respiratory disease.</w:t>
                  </w:r>
                  <w:r>
                    <w:rPr>
                      <w:color w:val="58595B"/>
                      <w:position w:val="7"/>
                      <w:sz w:val="11"/>
                    </w:rPr>
                    <w:t>3 </w:t>
                  </w:r>
                  <w:r>
                    <w:rPr>
                      <w:color w:val="58595B"/>
                    </w:rPr>
                    <w:t>In economic terms alone, the costs are very significant: in 2000, health care costs from air pollution from transport in Australia were estimated to be approximately $2.7 billion each</w:t>
                  </w:r>
                  <w:r>
                    <w:rPr>
                      <w:color w:val="58595B"/>
                      <w:spacing w:val="-5"/>
                    </w:rPr>
                    <w:t> </w:t>
                  </w:r>
                  <w:r>
                    <w:rPr>
                      <w:color w:val="58595B"/>
                      <w:spacing w:val="-3"/>
                    </w:rPr>
                    <w:t>year.</w:t>
                  </w:r>
                  <w:r>
                    <w:rPr>
                      <w:color w:val="58595B"/>
                      <w:spacing w:val="-3"/>
                      <w:position w:val="7"/>
                      <w:sz w:val="11"/>
                    </w:rPr>
                    <w:t>4</w:t>
                  </w:r>
                </w:p>
                <w:p>
                  <w:pPr>
                    <w:pStyle w:val="BodyText"/>
                    <w:spacing w:line="280" w:lineRule="auto" w:before="115"/>
                    <w:ind w:right="37"/>
                  </w:pPr>
                  <w:r>
                    <w:rPr>
                      <w:color w:val="58595B"/>
                    </w:rPr>
                    <w:t>In its </w:t>
                  </w:r>
                  <w:r>
                    <w:rPr>
                      <w:color w:val="58595B"/>
                      <w:spacing w:val="-4"/>
                    </w:rPr>
                    <w:t>2015 </w:t>
                  </w:r>
                  <w:r>
                    <w:rPr>
                      <w:color w:val="58595B"/>
                    </w:rPr>
                    <w:t>report investigating deaths attributable to the Hazelwood mine fire, the Hazelwood Mine Fire Inquiry noted the </w:t>
                  </w:r>
                  <w:r>
                    <w:rPr>
                      <w:color w:val="58595B"/>
                      <w:spacing w:val="-7"/>
                    </w:rPr>
                    <w:t>‘… </w:t>
                  </w:r>
                  <w:r>
                    <w:rPr>
                      <w:color w:val="58595B"/>
                    </w:rPr>
                    <w:t>known health consequences of breathing air contaminated with particulate matter over a prolonged period’ and made two principal findings based on epidemiological reasoning and informed by statistical analysis and</w:t>
                  </w:r>
                  <w:r>
                    <w:rPr>
                      <w:color w:val="58595B"/>
                      <w:spacing w:val="3"/>
                    </w:rPr>
                    <w:t> </w:t>
                  </w:r>
                  <w:r>
                    <w:rPr>
                      <w:color w:val="58595B"/>
                    </w:rPr>
                    <w:t>interpretation:</w:t>
                  </w:r>
                </w:p>
              </w:txbxContent>
            </v:textbox>
            <w10:wrap type="none"/>
          </v:shape>
        </w:pict>
      </w:r>
      <w:r>
        <w:rPr/>
        <w:pict>
          <v:shape style="position:absolute;margin-left:89.709602pt;margin-top:522.090759pt;width:5.5pt;height:12pt;mso-position-horizontal-relative:page;mso-position-vertical-relative:page;z-index:-21248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118.049599pt;margin-top:584.590759pt;width:375.5pt;height:25.5pt;mso-position-horizontal-relative:page;mso-position-vertical-relative:page;z-index:-212464" type="#_x0000_t202" filled="false" stroked="false">
            <v:textbox inset="0,0,0,0">
              <w:txbxContent>
                <w:p>
                  <w:pPr>
                    <w:spacing w:line="280" w:lineRule="auto" w:before="0"/>
                    <w:ind w:left="20" w:right="0" w:firstLine="0"/>
                    <w:jc w:val="left"/>
                    <w:rPr>
                      <w:i/>
                      <w:sz w:val="20"/>
                    </w:rPr>
                  </w:pPr>
                  <w:r>
                    <w:rPr>
                      <w:i/>
                      <w:color w:val="231F20"/>
                      <w:sz w:val="20"/>
                    </w:rPr>
                    <w:t>It is likely that the Hazelwood mine fire contributed to some of the increase in deaths in the Latrobe Valley in 2014.</w:t>
                  </w:r>
                </w:p>
              </w:txbxContent>
            </v:textbox>
            <w10:wrap type="none"/>
          </v:shape>
        </w:pict>
      </w:r>
      <w:r>
        <w:rPr/>
        <w:pict>
          <v:shape style="position:absolute;margin-left:89.6996pt;margin-top:620.090759pt;width:20pt;height:12pt;mso-position-horizontal-relative:page;mso-position-vertical-relative:page;z-index:-212440" type="#_x0000_t202" filled="false" stroked="false">
            <v:textbox inset="0,0,0,0">
              <w:txbxContent>
                <w:p>
                  <w:pPr>
                    <w:pStyle w:val="BodyText"/>
                    <w:spacing w:line="224" w:lineRule="exact"/>
                  </w:pPr>
                  <w:r>
                    <w:rPr>
                      <w:color w:val="58595B"/>
                    </w:rPr>
                    <w:t>And</w:t>
                  </w:r>
                </w:p>
              </w:txbxContent>
            </v:textbox>
            <w10:wrap type="none"/>
          </v:shape>
        </w:pict>
      </w:r>
      <w:r>
        <w:rPr/>
        <w:pict>
          <v:shape style="position:absolute;margin-left:89.709602pt;margin-top:642.090759pt;width:433.6pt;height:117.85pt;mso-position-horizontal-relative:page;mso-position-vertical-relative:page;z-index:-212416" type="#_x0000_t202" filled="false" stroked="false">
            <v:textbox inset="0,0,0,0">
              <w:txbxContent>
                <w:p>
                  <w:pPr>
                    <w:spacing w:line="280" w:lineRule="auto" w:before="0"/>
                    <w:ind w:left="586" w:right="768" w:firstLine="0"/>
                    <w:jc w:val="left"/>
                    <w:rPr>
                      <w:sz w:val="11"/>
                    </w:rPr>
                  </w:pPr>
                  <w:r>
                    <w:rPr>
                      <w:i/>
                      <w:color w:val="231F20"/>
                      <w:sz w:val="20"/>
                    </w:rPr>
                    <w:t>It would be surprising if the air pollution caused by the mine fire did not contribute to some deaths.</w:t>
                  </w:r>
                  <w:r>
                    <w:rPr>
                      <w:color w:val="231F20"/>
                      <w:position w:val="7"/>
                      <w:sz w:val="11"/>
                    </w:rPr>
                    <w:t>5</w:t>
                  </w:r>
                </w:p>
                <w:p>
                  <w:pPr>
                    <w:pStyle w:val="ListParagraph"/>
                    <w:numPr>
                      <w:ilvl w:val="0"/>
                      <w:numId w:val="2"/>
                    </w:numPr>
                    <w:tabs>
                      <w:tab w:pos="190" w:val="left" w:leader="none"/>
                    </w:tabs>
                    <w:spacing w:line="280" w:lineRule="auto" w:before="115" w:after="0"/>
                    <w:ind w:left="190" w:right="17" w:hanging="170"/>
                    <w:jc w:val="left"/>
                    <w:rPr>
                      <w:sz w:val="11"/>
                    </w:rPr>
                  </w:pPr>
                  <w:r>
                    <w:rPr>
                      <w:color w:val="58595B"/>
                      <w:sz w:val="20"/>
                    </w:rPr>
                    <w:t>Soil and water contamination can have significant detrimental impacts on health. Children with the highest levels of exposure to toxic </w:t>
                  </w:r>
                  <w:r>
                    <w:rPr>
                      <w:color w:val="58595B"/>
                      <w:spacing w:val="-4"/>
                      <w:sz w:val="20"/>
                    </w:rPr>
                    <w:t>air, </w:t>
                  </w:r>
                  <w:r>
                    <w:rPr>
                      <w:color w:val="58595B"/>
                      <w:sz w:val="20"/>
                    </w:rPr>
                    <w:t>dust and soils from Broken Hill’s lead and zinc mine consistently have the lowest literacy and numeracy scores in years three and five, for</w:t>
                  </w:r>
                  <w:r>
                    <w:rPr>
                      <w:color w:val="58595B"/>
                      <w:spacing w:val="-12"/>
                      <w:sz w:val="20"/>
                    </w:rPr>
                    <w:t> </w:t>
                  </w:r>
                  <w:r>
                    <w:rPr>
                      <w:color w:val="58595B"/>
                      <w:sz w:val="20"/>
                    </w:rPr>
                    <w:t>example.</w:t>
                  </w:r>
                  <w:r>
                    <w:rPr>
                      <w:color w:val="58595B"/>
                      <w:position w:val="7"/>
                      <w:sz w:val="11"/>
                    </w:rPr>
                    <w:t>6</w:t>
                  </w:r>
                </w:p>
                <w:p>
                  <w:pPr>
                    <w:pStyle w:val="ListParagraph"/>
                    <w:numPr>
                      <w:ilvl w:val="0"/>
                      <w:numId w:val="2"/>
                    </w:numPr>
                    <w:tabs>
                      <w:tab w:pos="190" w:val="left" w:leader="none"/>
                    </w:tabs>
                    <w:spacing w:line="280" w:lineRule="auto" w:before="115" w:after="0"/>
                    <w:ind w:left="190" w:right="33" w:hanging="170"/>
                    <w:jc w:val="left"/>
                    <w:rPr>
                      <w:sz w:val="11"/>
                    </w:rPr>
                  </w:pPr>
                  <w:r>
                    <w:rPr>
                      <w:color w:val="58595B"/>
                      <w:sz w:val="20"/>
                    </w:rPr>
                    <w:t>World Health Organisation analysis indicates that at least one million healthy life years are lost from traffic related noise every year in Western Europe. Most significantly, noise disturbs sleep, and contributes to ischaemic heart disease, cognitive impairment of children and</w:t>
                  </w:r>
                  <w:r>
                    <w:rPr>
                      <w:color w:val="58595B"/>
                      <w:spacing w:val="2"/>
                      <w:sz w:val="20"/>
                    </w:rPr>
                    <w:t> </w:t>
                  </w:r>
                  <w:r>
                    <w:rPr>
                      <w:color w:val="58595B"/>
                      <w:sz w:val="20"/>
                    </w:rPr>
                    <w:t>tinnitus.</w:t>
                  </w:r>
                  <w:r>
                    <w:rPr>
                      <w:color w:val="58595B"/>
                      <w:position w:val="7"/>
                      <w:sz w:val="11"/>
                    </w:rPr>
                    <w:t>7</w:t>
                  </w:r>
                </w:p>
              </w:txbxContent>
            </v:textbox>
            <w10:wrap type="none"/>
          </v:shape>
        </w:pict>
      </w:r>
      <w:r>
        <w:rPr/>
        <w:pict>
          <v:shape style="position:absolute;margin-left:534.996094pt;margin-top:44.090015pt;width:60.3pt;height:5.25pt;mso-position-horizontal-relative:page;mso-position-vertical-relative:page;z-index:-21239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1236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12344" from=".0pt,45.840015pt" to="60.2791pt,45.840015pt" stroked="true" strokeweight="7pt" strokecolor="#0095a7">
            <w10:wrap type="none"/>
          </v:line>
        </w:pict>
      </w:r>
      <w:r>
        <w:rPr/>
        <w:pict>
          <v:shape style="position:absolute;margin-left:69.866096pt;margin-top:40.902756pt;width:10.85pt;height:9.5pt;mso-position-horizontal-relative:page;mso-position-vertical-relative:page;z-index:-212320" type="#_x0000_t202" filled="false" stroked="false">
            <v:textbox inset="0,0,0,0">
              <w:txbxContent>
                <w:p>
                  <w:pPr>
                    <w:spacing w:before="1"/>
                    <w:ind w:left="20" w:right="0" w:firstLine="0"/>
                    <w:jc w:val="left"/>
                    <w:rPr>
                      <w:sz w:val="15"/>
                    </w:rPr>
                  </w:pPr>
                  <w:r>
                    <w:rPr>
                      <w:color w:val="58595B"/>
                      <w:sz w:val="15"/>
                    </w:rPr>
                    <w:t>64</w:t>
                  </w:r>
                </w:p>
              </w:txbxContent>
            </v:textbox>
            <w10:wrap type="none"/>
          </v:shape>
        </w:pict>
      </w:r>
      <w:r>
        <w:rPr/>
        <w:pict>
          <v:shape style="position:absolute;margin-left:95.377899pt;margin-top:40.902756pt;width:147.75pt;height:9.5pt;mso-position-horizontal-relative:page;mso-position-vertical-relative:page;z-index:-212296"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18.65pt;height:58.2pt;mso-position-horizontal-relative:page;mso-position-vertical-relative:page;z-index:-212272" type="#_x0000_t202" filled="false" stroked="false">
            <v:textbox inset="0,0,0,0">
              <w:txbxContent>
                <w:p>
                  <w:pPr>
                    <w:pStyle w:val="BodyText"/>
                    <w:spacing w:line="224" w:lineRule="exact"/>
                  </w:pPr>
                  <w:r>
                    <w:rPr>
                      <w:color w:val="0095A7"/>
                    </w:rPr>
                    <w:t>4.2.2  Victoria’s prosperity is built on a healthy environment</w:t>
                  </w:r>
                </w:p>
                <w:p>
                  <w:pPr>
                    <w:pStyle w:val="BodyText"/>
                    <w:spacing w:line="280" w:lineRule="auto" w:before="153"/>
                  </w:pPr>
                  <w:r>
                    <w:rPr>
                      <w:color w:val="58595B"/>
                    </w:rPr>
                    <w:t>Government, businesses and the broader community recognise the value of a healthy environment for Victoria’s future prosperity. A healthy environment contributes to the economy through liveability, productive natural resources and tourism.</w:t>
                  </w:r>
                </w:p>
              </w:txbxContent>
            </v:textbox>
            <w10:wrap type="none"/>
          </v:shape>
        </w:pict>
      </w:r>
      <w:r>
        <w:rPr/>
        <w:pict>
          <v:shape style="position:absolute;margin-left:69.866096pt;margin-top:174.063965pt;width:424.3pt;height:39pt;mso-position-horizontal-relative:page;mso-position-vertical-relative:page;z-index:-212248" type="#_x0000_t202" filled="false" stroked="false">
            <v:textbox inset="0,0,0,0">
              <w:txbxContent>
                <w:p>
                  <w:pPr>
                    <w:pStyle w:val="BodyText"/>
                    <w:spacing w:line="280" w:lineRule="auto"/>
                    <w:rPr>
                      <w:sz w:val="11"/>
                    </w:rPr>
                  </w:pPr>
                  <w:r>
                    <w:rPr>
                      <w:color w:val="58595B"/>
                    </w:rPr>
                    <w:t>The shift from a heavily manufacturing economy to a more knowledge based economy – based on professional services, medical technology and education – means that liveability will be increasingly important for our economic prosperity.</w:t>
                  </w:r>
                  <w:r>
                    <w:rPr>
                      <w:color w:val="58595B"/>
                      <w:position w:val="7"/>
                      <w:sz w:val="11"/>
                    </w:rPr>
                    <w:t>8</w:t>
                  </w:r>
                </w:p>
              </w:txbxContent>
            </v:textbox>
            <w10:wrap type="none"/>
          </v:shape>
        </w:pict>
      </w:r>
      <w:r>
        <w:rPr/>
        <w:pict>
          <v:shape style="position:absolute;margin-left:98.212601pt;margin-top:223.07106pt;width:370.65pt;height:39pt;mso-position-horizontal-relative:page;mso-position-vertical-relative:page;z-index:-212224" type="#_x0000_t202" filled="false" stroked="false">
            <v:textbox inset="0,0,0,0">
              <w:txbxContent>
                <w:p>
                  <w:pPr>
                    <w:spacing w:line="224" w:lineRule="exact" w:before="0"/>
                    <w:ind w:left="20" w:right="0" w:firstLine="0"/>
                    <w:jc w:val="left"/>
                    <w:rPr>
                      <w:i/>
                      <w:sz w:val="20"/>
                    </w:rPr>
                  </w:pPr>
                  <w:r>
                    <w:rPr>
                      <w:i/>
                      <w:color w:val="231F20"/>
                      <w:sz w:val="20"/>
                    </w:rPr>
                    <w:t>Victoria’s attractiveness as a place to live, visit, study and invest is a major strength</w:t>
                  </w:r>
                </w:p>
                <w:p>
                  <w:pPr>
                    <w:spacing w:line="280" w:lineRule="auto" w:before="40"/>
                    <w:ind w:left="20" w:right="0" w:firstLine="0"/>
                    <w:jc w:val="left"/>
                    <w:rPr>
                      <w:sz w:val="11"/>
                    </w:rPr>
                  </w:pPr>
                  <w:r>
                    <w:rPr>
                      <w:i/>
                      <w:color w:val="231F20"/>
                      <w:sz w:val="20"/>
                    </w:rPr>
                    <w:t>… Our reputation helps to grow new foreign direct investment and attract more international tourists, international students and skilled migrants.</w:t>
                  </w:r>
                  <w:r>
                    <w:rPr>
                      <w:color w:val="231F20"/>
                      <w:position w:val="7"/>
                      <w:sz w:val="11"/>
                    </w:rPr>
                    <w:t>9</w:t>
                  </w:r>
                </w:p>
              </w:txbxContent>
            </v:textbox>
            <w10:wrap type="none"/>
          </v:shape>
        </w:pict>
      </w:r>
      <w:r>
        <w:rPr/>
        <w:pict>
          <v:shape style="position:absolute;margin-left:69.866096pt;margin-top:272.074982pt;width:429.65pt;height:52.5pt;mso-position-horizontal-relative:page;mso-position-vertical-relative:page;z-index:-212200" type="#_x0000_t202" filled="false" stroked="false">
            <v:textbox inset="0,0,0,0">
              <w:txbxContent>
                <w:p>
                  <w:pPr>
                    <w:pStyle w:val="BodyText"/>
                    <w:spacing w:line="280" w:lineRule="auto"/>
                    <w:rPr>
                      <w:sz w:val="11"/>
                    </w:rPr>
                  </w:pPr>
                  <w:r>
                    <w:rPr>
                      <w:color w:val="58595B"/>
                    </w:rPr>
                    <w:t>The ‘productive city’ model outlined in current planning for Melbourne’s future growth recognises the challenges of population growth and seeks to ‘… maintain Melbourne’s globally-recognised liveability and its role as an efficient business services city, tourism destination and freight and manufacturing hub’.</w:t>
                  </w:r>
                  <w:r>
                    <w:rPr>
                      <w:color w:val="58595B"/>
                      <w:position w:val="7"/>
                      <w:sz w:val="11"/>
                    </w:rPr>
                    <w:t>10</w:t>
                  </w:r>
                </w:p>
              </w:txbxContent>
            </v:textbox>
            <w10:wrap type="none"/>
          </v:shape>
        </w:pict>
      </w:r>
      <w:r>
        <w:rPr/>
        <w:pict>
          <v:shape style="position:absolute;margin-left:69.866096pt;margin-top:334.578979pt;width:434.6pt;height:39pt;mso-position-horizontal-relative:page;mso-position-vertical-relative:page;z-index:-212176" type="#_x0000_t202" filled="false" stroked="false">
            <v:textbox inset="0,0,0,0">
              <w:txbxContent>
                <w:p>
                  <w:pPr>
                    <w:pStyle w:val="BodyText"/>
                    <w:spacing w:line="280" w:lineRule="auto"/>
                    <w:rPr>
                      <w:sz w:val="11"/>
                    </w:rPr>
                  </w:pPr>
                  <w:r>
                    <w:rPr>
                      <w:color w:val="58595B"/>
                    </w:rPr>
                    <w:t>Our natural resources are also fundamental to Victoria’s highly productive agricultural sector, which delivers 29 per cent of Australia’s food and fibre exports from only 3 per cent of the nation’s arable land.</w:t>
                  </w:r>
                  <w:r>
                    <w:rPr>
                      <w:color w:val="58595B"/>
                      <w:position w:val="7"/>
                      <w:sz w:val="11"/>
                    </w:rPr>
                    <w:t>11</w:t>
                  </w:r>
                </w:p>
              </w:txbxContent>
            </v:textbox>
            <w10:wrap type="none"/>
          </v:shape>
        </w:pict>
      </w:r>
      <w:r>
        <w:rPr/>
        <w:pict>
          <v:shape style="position:absolute;margin-left:98.212601pt;margin-top:383.582855pt;width:363.15pt;height:66pt;mso-position-horizontal-relative:page;mso-position-vertical-relative:page;z-index:-212152" type="#_x0000_t202" filled="false" stroked="false">
            <v:textbox inset="0,0,0,0">
              <w:txbxContent>
                <w:p>
                  <w:pPr>
                    <w:spacing w:line="280" w:lineRule="auto" w:before="0"/>
                    <w:ind w:left="20" w:right="17" w:firstLine="0"/>
                    <w:jc w:val="left"/>
                    <w:rPr>
                      <w:sz w:val="11"/>
                    </w:rPr>
                  </w:pPr>
                  <w:r>
                    <w:rPr>
                      <w:i/>
                      <w:color w:val="231F20"/>
                      <w:sz w:val="20"/>
                    </w:rPr>
                    <w:t>The productivity of Victoria’s food and agriculture industries is closely linked to the sustainability of the environment. Well-managed soils, water and a diversity  of pollinating insects support Victoria’s world-class agriculture industries and our internationally renowned high quality products from a clean environment and safe supply</w:t>
                  </w:r>
                  <w:r>
                    <w:rPr>
                      <w:i/>
                      <w:color w:val="231F20"/>
                      <w:spacing w:val="-9"/>
                      <w:sz w:val="20"/>
                    </w:rPr>
                    <w:t> </w:t>
                  </w:r>
                  <w:r>
                    <w:rPr>
                      <w:i/>
                      <w:color w:val="231F20"/>
                      <w:sz w:val="20"/>
                    </w:rPr>
                    <w:t>chain.</w:t>
                  </w:r>
                  <w:r>
                    <w:rPr>
                      <w:color w:val="231F20"/>
                      <w:position w:val="7"/>
                      <w:sz w:val="11"/>
                    </w:rPr>
                    <w:t>12</w:t>
                  </w:r>
                </w:p>
              </w:txbxContent>
            </v:textbox>
            <w10:wrap type="none"/>
          </v:shape>
        </w:pict>
      </w:r>
      <w:r>
        <w:rPr/>
        <w:pict>
          <v:shape style="position:absolute;margin-left:69.866096pt;margin-top:459.586853pt;width:394.9pt;height:25.5pt;mso-position-horizontal-relative:page;mso-position-vertical-relative:page;z-index:-212128" type="#_x0000_t202" filled="false" stroked="false">
            <v:textbox inset="0,0,0,0">
              <w:txbxContent>
                <w:p>
                  <w:pPr>
                    <w:pStyle w:val="BodyText"/>
                    <w:spacing w:line="280" w:lineRule="auto"/>
                  </w:pPr>
                  <w:r>
                    <w:rPr>
                      <w:color w:val="58595B"/>
                    </w:rPr>
                    <w:t>Environmental regulation, through the EPA and other parts of government, contributes to maintaining this healthy environment.</w:t>
                  </w:r>
                </w:p>
              </w:txbxContent>
            </v:textbox>
            <w10:wrap type="none"/>
          </v:shape>
        </w:pict>
      </w:r>
      <w:r>
        <w:rPr/>
        <w:pict>
          <v:shape style="position:absolute;margin-left:69.866096pt;margin-top:497.722137pt;width:400.95pt;height:59.8pt;mso-position-horizontal-relative:page;mso-position-vertical-relative:page;z-index:-212104" type="#_x0000_t202" filled="false" stroked="false">
            <v:textbox inset="0,0,0,0">
              <w:txbxContent>
                <w:p>
                  <w:pPr>
                    <w:spacing w:line="265" w:lineRule="exact" w:before="0"/>
                    <w:ind w:left="20" w:right="0" w:firstLine="0"/>
                    <w:jc w:val="left"/>
                    <w:rPr>
                      <w:sz w:val="24"/>
                    </w:rPr>
                  </w:pPr>
                  <w:r>
                    <w:rPr>
                      <w:color w:val="0095A7"/>
                      <w:sz w:val="24"/>
                    </w:rPr>
                    <w:t>4.3  Public policy rationale</w:t>
                  </w:r>
                </w:p>
                <w:p>
                  <w:pPr>
                    <w:spacing w:line="280" w:lineRule="auto" w:before="145"/>
                    <w:ind w:left="586" w:right="0" w:firstLine="0"/>
                    <w:jc w:val="left"/>
                    <w:rPr>
                      <w:sz w:val="11"/>
                    </w:rPr>
                  </w:pPr>
                  <w:r>
                    <w:rPr>
                      <w:i/>
                      <w:color w:val="231F20"/>
                      <w:sz w:val="20"/>
                    </w:rPr>
                    <w:t>When markets fail, when harm occurs or is threatened, when risks need to be managed, when public policies require specific remedies, or when trust is fractured, calls are made to government to intervene – to ‘regulate’.</w:t>
                  </w:r>
                  <w:r>
                    <w:rPr>
                      <w:color w:val="231F20"/>
                      <w:position w:val="7"/>
                      <w:sz w:val="11"/>
                    </w:rPr>
                    <w:t>13</w:t>
                  </w:r>
                </w:p>
              </w:txbxContent>
            </v:textbox>
            <w10:wrap type="none"/>
          </v:shape>
        </w:pict>
      </w:r>
      <w:r>
        <w:rPr/>
        <w:pict>
          <v:shape style="position:absolute;margin-left:69.866096pt;margin-top:567.515991pt;width:435.45pt;height:79.5pt;mso-position-horizontal-relative:page;mso-position-vertical-relative:page;z-index:-212080" type="#_x0000_t202" filled="false" stroked="false">
            <v:textbox inset="0,0,0,0">
              <w:txbxContent>
                <w:p>
                  <w:pPr>
                    <w:pStyle w:val="BodyText"/>
                    <w:spacing w:line="280" w:lineRule="auto"/>
                    <w:ind w:right="21"/>
                  </w:pPr>
                  <w:r>
                    <w:rPr>
                      <w:color w:val="58595B"/>
                    </w:rPr>
                    <w:t>In considering the </w:t>
                  </w:r>
                  <w:r>
                    <w:rPr>
                      <w:color w:val="58595B"/>
                      <w:spacing w:val="-7"/>
                    </w:rPr>
                    <w:t>EPA’s </w:t>
                  </w:r>
                  <w:r>
                    <w:rPr>
                      <w:color w:val="58595B"/>
                    </w:rPr>
                    <w:t>future role, it is important to review why governments regulate. Specifically, what drives the need for environmental regulation and what principles and theoretical considerations underpin the decision to regulate? For this inquiry, we reviewed important elements of the conceptual framework for regulation and the specific considerations that will shape the </w:t>
                  </w:r>
                  <w:r>
                    <w:rPr>
                      <w:color w:val="58595B"/>
                      <w:spacing w:val="-7"/>
                    </w:rPr>
                    <w:t>EPA’s </w:t>
                  </w:r>
                  <w:r>
                    <w:rPr>
                      <w:color w:val="58595B"/>
                    </w:rPr>
                    <w:t>regulatory role. We address these issues again in later chapters as we examine the </w:t>
                  </w:r>
                  <w:r>
                    <w:rPr>
                      <w:color w:val="58595B"/>
                      <w:spacing w:val="-7"/>
                    </w:rPr>
                    <w:t>EPA’s </w:t>
                  </w:r>
                  <w:r>
                    <w:rPr>
                      <w:color w:val="58595B"/>
                    </w:rPr>
                    <w:t>regulatory approach and its statutory and non-statutory tools and</w:t>
                  </w:r>
                  <w:r>
                    <w:rPr>
                      <w:color w:val="58595B"/>
                      <w:spacing w:val="39"/>
                    </w:rPr>
                    <w:t> </w:t>
                  </w:r>
                  <w:r>
                    <w:rPr>
                      <w:color w:val="58595B"/>
                    </w:rPr>
                    <w:t>instruments.</w:t>
                  </w:r>
                </w:p>
              </w:txbxContent>
            </v:textbox>
            <w10:wrap type="none"/>
          </v:shape>
        </w:pict>
      </w:r>
      <w:r>
        <w:rPr/>
        <w:pict>
          <v:shape style="position:absolute;margin-left:69.866096pt;margin-top:657.015991pt;width:425.3pt;height:66pt;mso-position-horizontal-relative:page;mso-position-vertical-relative:page;z-index:-212056" type="#_x0000_t202" filled="false" stroked="false">
            <v:textbox inset="0,0,0,0">
              <w:txbxContent>
                <w:p>
                  <w:pPr>
                    <w:pStyle w:val="BodyText"/>
                    <w:spacing w:line="280" w:lineRule="auto"/>
                    <w:ind w:right="16"/>
                  </w:pPr>
                  <w:r>
                    <w:rPr>
                      <w:color w:val="58595B"/>
                    </w:rPr>
                    <w:t>Generally, governments intervene to manage serious risks to public health and the environment that result from human activity for four reasons. First, free markets will generally not produce enough public goods such as clean air, healthy waterways and the use and amenity benefits of a healthy environment. Rather, governments must intervene to ensure they are provided to the level and standard that the community desires.</w:t>
                  </w:r>
                </w:p>
              </w:txbxContent>
            </v:textbox>
            <w10:wrap type="none"/>
          </v:shape>
        </w:pict>
      </w:r>
      <w:r>
        <w:rPr/>
        <w:pict>
          <v:shape style="position:absolute;margin-left:.0pt;margin-top:44.090015pt;width:60.3pt;height:5.25pt;mso-position-horizontal-relative:page;mso-position-vertical-relative:page;z-index:-21203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12008"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11984" from="534.996094pt,45.840015pt" to="595.276001pt,45.840015pt" stroked="true" strokeweight="7pt" strokecolor="#0095a7">
            <w10:wrap type="none"/>
          </v:line>
        </w:pict>
      </w:r>
      <w:r>
        <w:rPr/>
        <w:pict>
          <v:rect style="position:absolute;margin-left:90.709pt;margin-top:497.851013pt;width:432.701pt;height:262.965pt;mso-position-horizontal-relative:page;mso-position-vertical-relative:page;z-index:-211960" filled="true" fillcolor="#eaf2f3" stroked="false">
            <v:fill type="solid"/>
            <w10:wrap type="none"/>
          </v:rect>
        </w:pict>
      </w:r>
      <w:r>
        <w:rPr/>
        <w:pict>
          <v:shape style="position:absolute;margin-left:269.197601pt;margin-top:40.902756pt;width:256.3500pt;height:9.5pt;mso-position-horizontal-relative:page;mso-position-vertical-relative:page;z-index:-211936" type="#_x0000_t202" filled="false" stroked="false">
            <v:textbox inset="0,0,0,0">
              <w:txbxContent>
                <w:p>
                  <w:pPr>
                    <w:tabs>
                      <w:tab w:pos="5107" w:val="right" w:leader="none"/>
                    </w:tabs>
                    <w:spacing w:before="1"/>
                    <w:ind w:left="20" w:right="0" w:firstLine="0"/>
                    <w:jc w:val="left"/>
                    <w:rPr>
                      <w:sz w:val="15"/>
                    </w:rPr>
                  </w:pPr>
                  <w:r>
                    <w:rPr>
                      <w:color w:val="58595B"/>
                      <w:spacing w:val="3"/>
                      <w:sz w:val="15"/>
                    </w:rPr>
                    <w:t>CHAPTER </w:t>
                  </w:r>
                  <w:r>
                    <w:rPr>
                      <w:color w:val="58595B"/>
                      <w:sz w:val="15"/>
                    </w:rPr>
                    <w:t>4    </w:t>
                  </w:r>
                  <w:r>
                    <w:rPr>
                      <w:color w:val="58595B"/>
                      <w:spacing w:val="3"/>
                      <w:sz w:val="15"/>
                    </w:rPr>
                    <w:t>WHY </w:t>
                  </w:r>
                  <w:r>
                    <w:rPr>
                      <w:color w:val="58595B"/>
                      <w:sz w:val="15"/>
                    </w:rPr>
                    <w:t>WE NEED</w:t>
                  </w:r>
                  <w:r>
                    <w:rPr>
                      <w:color w:val="58595B"/>
                      <w:spacing w:val="5"/>
                      <w:sz w:val="15"/>
                    </w:rPr>
                    <w:t> </w:t>
                  </w:r>
                  <w:r>
                    <w:rPr>
                      <w:color w:val="58595B"/>
                      <w:spacing w:val="2"/>
                      <w:sz w:val="15"/>
                    </w:rPr>
                    <w:t>ENVIRONMENTAL</w:t>
                  </w:r>
                  <w:r>
                    <w:rPr>
                      <w:color w:val="58595B"/>
                      <w:spacing w:val="4"/>
                      <w:sz w:val="15"/>
                    </w:rPr>
                    <w:t> </w:t>
                  </w:r>
                  <w:r>
                    <w:rPr>
                      <w:color w:val="58595B"/>
                      <w:spacing w:val="2"/>
                      <w:sz w:val="15"/>
                    </w:rPr>
                    <w:t>REGULATION</w:t>
                    <w:tab/>
                  </w:r>
                  <w:r>
                    <w:rPr>
                      <w:color w:val="58595B"/>
                      <w:spacing w:val="3"/>
                      <w:sz w:val="15"/>
                    </w:rPr>
                    <w:t>65</w:t>
                  </w:r>
                </w:p>
              </w:txbxContent>
            </v:textbox>
            <w10:wrap type="none"/>
          </v:shape>
        </w:pict>
      </w:r>
      <w:r>
        <w:rPr/>
        <w:pict>
          <v:shape style="position:absolute;margin-left:89.704002pt;margin-top:105.893967pt;width:424.5pt;height:133.5pt;mso-position-horizontal-relative:page;mso-position-vertical-relative:page;z-index:-211912" type="#_x0000_t202" filled="false" stroked="false">
            <v:textbox inset="0,0,0,0">
              <w:txbxContent>
                <w:p>
                  <w:pPr>
                    <w:pStyle w:val="BodyText"/>
                    <w:spacing w:line="280" w:lineRule="auto"/>
                  </w:pPr>
                  <w:r>
                    <w:rPr>
                      <w:color w:val="58595B"/>
                    </w:rPr>
                    <w:t>Second, governments intervene to ensure those producing negative spillovers or externalities from production (such as pollution and waste) bear the costs of their actions. Many types of pollution and waste, if left unchecked, would have enduring impacts on human health, essential ecosystems and the environment’s recreational and amenity benefits. For example, Victorians already live with the consequences of past poor industrial practices which impose costs on and increase risks for the present generation. The ‘polluter pays’ principle, reflected in Victorian environmental legislation, seeks to avoid these impacts on current and future generations.</w:t>
                  </w:r>
                  <w:r>
                    <w:rPr>
                      <w:color w:val="58595B"/>
                      <w:position w:val="7"/>
                      <w:sz w:val="11"/>
                    </w:rPr>
                    <w:t>14 </w:t>
                  </w:r>
                  <w:r>
                    <w:rPr>
                      <w:color w:val="58595B"/>
                    </w:rPr>
                    <w:t>Similarly, climate change caused by a build-up of greenhouse gases in the atmosphere could have large adverse impacts on future generations, and is now at the forefront of policy agendas around the world.</w:t>
                  </w:r>
                </w:p>
              </w:txbxContent>
            </v:textbox>
            <w10:wrap type="none"/>
          </v:shape>
        </w:pict>
      </w:r>
      <w:r>
        <w:rPr/>
        <w:pict>
          <v:shape style="position:absolute;margin-left:89.704002pt;margin-top:249.393967pt;width:425.45pt;height:39pt;mso-position-horizontal-relative:page;mso-position-vertical-relative:page;z-index:-211888" type="#_x0000_t202" filled="false" stroked="false">
            <v:textbox inset="0,0,0,0">
              <w:txbxContent>
                <w:p>
                  <w:pPr>
                    <w:pStyle w:val="BodyText"/>
                    <w:spacing w:line="280" w:lineRule="auto"/>
                  </w:pPr>
                  <w:r>
                    <w:rPr>
                      <w:color w:val="58595B"/>
                    </w:rPr>
                    <w:t>Third, governments intervene to ensure community resources (such as a forest or a fishery) are not overused for production or recreation. Without government intervention, these community resources can be overused, to the detriment of the whole community.</w:t>
                  </w:r>
                </w:p>
              </w:txbxContent>
            </v:textbox>
            <w10:wrap type="none"/>
          </v:shape>
        </w:pict>
      </w:r>
      <w:r>
        <w:rPr/>
        <w:pict>
          <v:shape style="position:absolute;margin-left:118.054001pt;margin-top:298.393982pt;width:377.55pt;height:25.5pt;mso-position-horizontal-relative:page;mso-position-vertical-relative:page;z-index:-211864" type="#_x0000_t202" filled="false" stroked="false">
            <v:textbox inset="0,0,0,0">
              <w:txbxContent>
                <w:p>
                  <w:pPr>
                    <w:spacing w:line="280" w:lineRule="auto" w:before="0"/>
                    <w:ind w:left="20" w:right="0" w:firstLine="0"/>
                    <w:jc w:val="left"/>
                    <w:rPr>
                      <w:sz w:val="20"/>
                    </w:rPr>
                  </w:pPr>
                  <w:r>
                    <w:rPr>
                      <w:i/>
                      <w:color w:val="231F20"/>
                      <w:sz w:val="20"/>
                    </w:rPr>
                    <w:t>One of the most fundamental public interests to be served is protection of the natural environment. </w:t>
                  </w:r>
                  <w:r>
                    <w:rPr>
                      <w:color w:val="231F20"/>
                      <w:sz w:val="20"/>
                    </w:rPr>
                    <w:t>(Monash Business School submission, p. 6)</w:t>
                  </w:r>
                </w:p>
              </w:txbxContent>
            </v:textbox>
            <w10:wrap type="none"/>
          </v:shape>
        </w:pict>
      </w:r>
      <w:r>
        <w:rPr/>
        <w:pict>
          <v:shape style="position:absolute;margin-left:89.713997pt;margin-top:333.893982pt;width:424.65pt;height:52.5pt;mso-position-horizontal-relative:page;mso-position-vertical-relative:page;z-index:-211840" type="#_x0000_t202" filled="false" stroked="false">
            <v:textbox inset="0,0,0,0">
              <w:txbxContent>
                <w:p>
                  <w:pPr>
                    <w:pStyle w:val="BodyText"/>
                    <w:spacing w:line="280" w:lineRule="auto"/>
                    <w:ind w:right="17"/>
                  </w:pPr>
                  <w:r>
                    <w:rPr>
                      <w:color w:val="58595B"/>
                      <w:spacing w:val="-4"/>
                    </w:rPr>
                    <w:t>Four, </w:t>
                  </w:r>
                  <w:r>
                    <w:rPr>
                      <w:color w:val="58595B"/>
                    </w:rPr>
                    <w:t>governments intervene to provide information about the environment and environmental hazards to address information failures. Without such information, individuals may not be able to manage their own risk of exposure to harm – for example, from contaminated soil or from the presence of hazardous materials such as</w:t>
                  </w:r>
                  <w:r>
                    <w:rPr>
                      <w:color w:val="58595B"/>
                      <w:spacing w:val="5"/>
                    </w:rPr>
                    <w:t> </w:t>
                  </w:r>
                  <w:r>
                    <w:rPr>
                      <w:color w:val="58595B"/>
                    </w:rPr>
                    <w:t>asbestos.</w:t>
                  </w:r>
                </w:p>
              </w:txbxContent>
            </v:textbox>
            <w10:wrap type="none"/>
          </v:shape>
        </w:pict>
      </w:r>
      <w:r>
        <w:rPr/>
        <w:pict>
          <v:shape style="position:absolute;margin-left:89.713997pt;margin-top:396.393982pt;width:435.7pt;height:93pt;mso-position-horizontal-relative:page;mso-position-vertical-relative:page;z-index:-211816" type="#_x0000_t202" filled="false" stroked="false">
            <v:textbox inset="0,0,0,0">
              <w:txbxContent>
                <w:p>
                  <w:pPr>
                    <w:pStyle w:val="BodyText"/>
                    <w:spacing w:line="280" w:lineRule="auto"/>
                    <w:ind w:right="13"/>
                  </w:pPr>
                  <w:r>
                    <w:rPr>
                      <w:color w:val="58595B"/>
                    </w:rPr>
                    <w:t>These reasons may be considered the general public policy rationale for government intervention. But governments may also have other reasons for intervening, such as equity considerations.</w:t>
                  </w:r>
                </w:p>
                <w:p>
                  <w:pPr>
                    <w:pStyle w:val="BodyText"/>
                    <w:spacing w:line="280" w:lineRule="auto" w:before="2"/>
                    <w:ind w:right="55"/>
                  </w:pPr>
                  <w:r>
                    <w:rPr>
                      <w:color w:val="58595B"/>
                    </w:rPr>
                    <w:t>Health risks from pollution are often disproportionately imposed on those living in less affluent suburbs and/or on future generations. So governments intervene to promote environmental justice, which involves among other elements, the fair treatment within and between generations (box 4.1). The government may also intervene because the environment has an intrinsic value worth protecting for its own sake, regardless of the benefits provided to society.</w:t>
                  </w:r>
                </w:p>
              </w:txbxContent>
            </v:textbox>
            <w10:wrap type="none"/>
          </v:shape>
        </w:pict>
      </w:r>
      <w:r>
        <w:rPr/>
        <w:pict>
          <v:shape style="position:absolute;margin-left:90.709pt;margin-top:497.851013pt;width:432.75pt;height:263pt;mso-position-horizontal-relative:page;mso-position-vertical-relative:page;z-index:-211792" type="#_x0000_t202" filled="false" stroked="false">
            <v:textbox inset="0,0,0,0">
              <w:txbxContent>
                <w:p>
                  <w:pPr>
                    <w:pStyle w:val="BodyText"/>
                    <w:spacing w:before="128"/>
                    <w:ind w:left="170" w:right="482"/>
                  </w:pPr>
                  <w:r>
                    <w:rPr>
                      <w:b/>
                      <w:color w:val="0095A7"/>
                    </w:rPr>
                    <w:t>BOX 4.1  </w:t>
                  </w:r>
                  <w:r>
                    <w:rPr>
                      <w:color w:val="0095A7"/>
                    </w:rPr>
                    <w:t>EXPECTATIONS OF INTRA-GENERATIONAL EQUITY</w:t>
                  </w:r>
                </w:p>
                <w:p>
                  <w:pPr>
                    <w:pStyle w:val="BodyText"/>
                    <w:spacing w:line="280" w:lineRule="auto" w:before="153"/>
                    <w:ind w:left="170" w:right="482"/>
                  </w:pPr>
                  <w:r>
                    <w:rPr>
                      <w:color w:val="58595B"/>
                    </w:rPr>
                    <w:t>The community expects modern governments to maintain the outcomes of a healthy environment in an equitable manner across the entire community. Specifically, this requirement focuses on situations where certain sections of the community – particularly poorer and disadvantaged communities – bear the brunt of pollution and waste and</w:t>
                  </w:r>
                </w:p>
                <w:p>
                  <w:pPr>
                    <w:pStyle w:val="BodyText"/>
                    <w:spacing w:line="280" w:lineRule="auto" w:before="2"/>
                    <w:ind w:left="170" w:right="1112"/>
                  </w:pPr>
                  <w:r>
                    <w:rPr>
                      <w:color w:val="58595B"/>
                    </w:rPr>
                    <w:t>the resulting risks to health and safety outcomes, wellbeing outcomes and their local environment.</w:t>
                  </w:r>
                </w:p>
                <w:p>
                  <w:pPr>
                    <w:pStyle w:val="BodyText"/>
                    <w:spacing w:line="280" w:lineRule="auto" w:before="172"/>
                    <w:ind w:left="170" w:right="482"/>
                    <w:rPr>
                      <w:sz w:val="11"/>
                    </w:rPr>
                  </w:pPr>
                  <w:r>
                    <w:rPr>
                      <w:color w:val="58595B"/>
                    </w:rPr>
                    <w:t>Victoria has well-known examples of hazardous waste sites, freeways or other transport infrastructure disproportionately affecting poorer communities (or creating poorer communities as a result). People in these communities regularly suffer the effects of air pollution, noise, injury risks, and ugliness.</w:t>
                  </w:r>
                  <w:r>
                    <w:rPr>
                      <w:color w:val="58595B"/>
                      <w:position w:val="7"/>
                      <w:sz w:val="11"/>
                    </w:rPr>
                    <w:t>15</w:t>
                  </w:r>
                </w:p>
                <w:p>
                  <w:pPr>
                    <w:spacing w:line="280" w:lineRule="auto" w:before="172"/>
                    <w:ind w:left="736" w:right="482" w:firstLine="0"/>
                    <w:jc w:val="left"/>
                    <w:rPr>
                      <w:b/>
                      <w:i/>
                      <w:sz w:val="20"/>
                    </w:rPr>
                  </w:pPr>
                  <w:r>
                    <w:rPr>
                      <w:i/>
                      <w:color w:val="231F20"/>
                      <w:sz w:val="20"/>
                    </w:rPr>
                    <w:t>Health inequity occurs as a result of unfair, unjust social treatment – by governments, organisations and people, resulting in macro politico-economic structures and policies that create </w:t>
                  </w:r>
                  <w:r>
                    <w:rPr>
                      <w:b/>
                      <w:i/>
                      <w:color w:val="231F20"/>
                      <w:sz w:val="20"/>
                    </w:rPr>
                    <w:t>living and working conditions that</w:t>
                  </w:r>
                </w:p>
                <w:p>
                  <w:pPr>
                    <w:spacing w:line="280" w:lineRule="auto" w:before="2"/>
                    <w:ind w:left="736" w:right="1112" w:firstLine="0"/>
                    <w:jc w:val="left"/>
                    <w:rPr>
                      <w:sz w:val="11"/>
                    </w:rPr>
                  </w:pPr>
                  <w:r>
                    <w:rPr>
                      <w:b/>
                      <w:i/>
                      <w:color w:val="231F20"/>
                      <w:sz w:val="20"/>
                    </w:rPr>
                    <w:t>are harmful to health</w:t>
                  </w:r>
                  <w:r>
                    <w:rPr>
                      <w:i/>
                      <w:color w:val="231F20"/>
                      <w:sz w:val="20"/>
                    </w:rPr>
                    <w:t>, distribute essential health and other public services unequally and unfairly, preventing some communities and people from participating fully in the cultural, social or community life of society.</w:t>
                  </w:r>
                  <w:r>
                    <w:rPr>
                      <w:color w:val="231F20"/>
                      <w:position w:val="7"/>
                      <w:sz w:val="11"/>
                    </w:rPr>
                    <w:t>16</w:t>
                  </w:r>
                </w:p>
              </w:txbxContent>
            </v:textbox>
            <w10:wrap type="none"/>
          </v:shape>
        </w:pict>
      </w:r>
      <w:r>
        <w:rPr/>
        <w:pict>
          <v:shape style="position:absolute;margin-left:534.996094pt;margin-top:44.090015pt;width:60.3pt;height:5.25pt;mso-position-horizontal-relative:page;mso-position-vertical-relative:page;z-index:-21176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11744"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11720" from=".0pt,45.840015pt" to="60.2791pt,45.840015pt" stroked="true" strokeweight="7pt" strokecolor="#0095a7">
            <w10:wrap type="none"/>
          </v:line>
        </w:pict>
      </w:r>
      <w:r>
        <w:rPr/>
        <w:pict>
          <v:shape style="position:absolute;margin-left:69.866096pt;margin-top:40.902756pt;width:10.8pt;height:9.5pt;mso-position-horizontal-relative:page;mso-position-vertical-relative:page;z-index:-211696" type="#_x0000_t202" filled="false" stroked="false">
            <v:textbox inset="0,0,0,0">
              <w:txbxContent>
                <w:p>
                  <w:pPr>
                    <w:spacing w:before="1"/>
                    <w:ind w:left="20" w:right="0" w:firstLine="0"/>
                    <w:jc w:val="left"/>
                    <w:rPr>
                      <w:sz w:val="15"/>
                    </w:rPr>
                  </w:pPr>
                  <w:r>
                    <w:rPr>
                      <w:color w:val="58595B"/>
                      <w:sz w:val="15"/>
                    </w:rPr>
                    <w:t>66</w:t>
                  </w:r>
                </w:p>
              </w:txbxContent>
            </v:textbox>
            <w10:wrap type="none"/>
          </v:shape>
        </w:pict>
      </w:r>
      <w:r>
        <w:rPr/>
        <w:pict>
          <v:shape style="position:absolute;margin-left:95.377899pt;margin-top:40.902756pt;width:147.75pt;height:9.5pt;mso-position-horizontal-relative:page;mso-position-vertical-relative:page;z-index:-21167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5.45pt;height:52.5pt;mso-position-horizontal-relative:page;mso-position-vertical-relative:page;z-index:-211648" type="#_x0000_t202" filled="false" stroked="false">
            <v:textbox inset="0,0,0,0">
              <w:txbxContent>
                <w:p>
                  <w:pPr>
                    <w:pStyle w:val="BodyText"/>
                    <w:spacing w:line="280" w:lineRule="auto"/>
                    <w:ind w:right="53"/>
                    <w:rPr>
                      <w:sz w:val="11"/>
                    </w:rPr>
                  </w:pPr>
                  <w:r>
                    <w:rPr>
                      <w:color w:val="58595B"/>
                    </w:rPr>
                    <w:t>In broad terms, these economic and social concerns form the policy context for government when </w:t>
                  </w:r>
                  <w:r>
                    <w:rPr>
                      <w:color w:val="58595B"/>
                      <w:spacing w:val="2"/>
                    </w:rPr>
                    <w:t>considering </w:t>
                  </w:r>
                  <w:r>
                    <w:rPr>
                      <w:color w:val="58595B"/>
                    </w:rPr>
                    <w:t>environmental regulation. They present government with a complex task in which,   </w:t>
                  </w:r>
                  <w:r>
                    <w:rPr>
                      <w:color w:val="58595B"/>
                      <w:spacing w:val="-6"/>
                    </w:rPr>
                    <w:t>‘… </w:t>
                  </w:r>
                  <w:r>
                    <w:rPr>
                      <w:color w:val="58595B"/>
                    </w:rPr>
                    <w:t>there will inevitably be value or </w:t>
                  </w:r>
                  <w:r>
                    <w:rPr>
                      <w:color w:val="58595B"/>
                      <w:spacing w:val="2"/>
                    </w:rPr>
                    <w:t>political decisions </w:t>
                  </w:r>
                  <w:r>
                    <w:rPr>
                      <w:color w:val="58595B"/>
                    </w:rPr>
                    <w:t>to be made, as </w:t>
                  </w:r>
                  <w:r>
                    <w:rPr>
                      <w:color w:val="58595B"/>
                      <w:spacing w:val="2"/>
                    </w:rPr>
                    <w:t>conflicting </w:t>
                  </w:r>
                  <w:r>
                    <w:rPr>
                      <w:color w:val="58595B"/>
                    </w:rPr>
                    <w:t>outcomes </w:t>
                  </w:r>
                  <w:r>
                    <w:rPr>
                      <w:color w:val="58595B"/>
                      <w:spacing w:val="4"/>
                    </w:rPr>
                    <w:t>carry </w:t>
                  </w:r>
                  <w:r>
                    <w:rPr>
                      <w:color w:val="58595B"/>
                    </w:rPr>
                    <w:t>with them conflicting or at least different social values as to what is most</w:t>
                  </w:r>
                  <w:r>
                    <w:rPr>
                      <w:color w:val="58595B"/>
                      <w:spacing w:val="-6"/>
                    </w:rPr>
                    <w:t> </w:t>
                  </w:r>
                  <w:r>
                    <w:rPr>
                      <w:color w:val="58595B"/>
                    </w:rPr>
                    <w:t>important’.</w:t>
                  </w:r>
                  <w:r>
                    <w:rPr>
                      <w:color w:val="58595B"/>
                      <w:position w:val="7"/>
                      <w:sz w:val="11"/>
                    </w:rPr>
                    <w:t>17</w:t>
                  </w:r>
                </w:p>
              </w:txbxContent>
            </v:textbox>
            <w10:wrap type="none"/>
          </v:shape>
        </w:pict>
      </w:r>
      <w:r>
        <w:rPr/>
        <w:pict>
          <v:shape style="position:absolute;margin-left:69.866096pt;margin-top:172.649872pt;width:434.65pt;height:71.7pt;mso-position-horizontal-relative:page;mso-position-vertical-relative:page;z-index:-211624" type="#_x0000_t202" filled="false" stroked="false">
            <v:textbox inset="0,0,0,0">
              <w:txbxContent>
                <w:p>
                  <w:pPr>
                    <w:pStyle w:val="BodyText"/>
                    <w:spacing w:line="224" w:lineRule="exact"/>
                  </w:pPr>
                  <w:r>
                    <w:rPr>
                      <w:color w:val="0095A7"/>
                    </w:rPr>
                    <w:t>4.3.1  The costs and benefits of regulation</w:t>
                  </w:r>
                </w:p>
                <w:p>
                  <w:pPr>
                    <w:pStyle w:val="BodyText"/>
                    <w:spacing w:line="280" w:lineRule="auto" w:before="153"/>
                  </w:pPr>
                  <w:r>
                    <w:rPr>
                      <w:color w:val="58595B"/>
                    </w:rPr>
                    <w:t>Identifying a reason for government intervention is a necessary first step, but it still may not justify government intervention. The benefits of government intervention must outweigh the costs, and the intervention must be the most effective way of achieving the objective (that is, achieves the objective at the least cost).</w:t>
                  </w:r>
                </w:p>
              </w:txbxContent>
            </v:textbox>
            <w10:wrap type="none"/>
          </v:shape>
        </w:pict>
      </w:r>
      <w:r>
        <w:rPr/>
        <w:pict>
          <v:shape style="position:absolute;margin-left:69.862801pt;margin-top:254.31987pt;width:424.95pt;height:169.7pt;mso-position-horizontal-relative:page;mso-position-vertical-relative:page;z-index:-211600" type="#_x0000_t202" filled="false" stroked="false">
            <v:textbox inset="0,0,0,0">
              <w:txbxContent>
                <w:p>
                  <w:pPr>
                    <w:pStyle w:val="BodyText"/>
                    <w:spacing w:line="280" w:lineRule="auto"/>
                  </w:pPr>
                  <w:r>
                    <w:rPr>
                      <w:color w:val="58595B"/>
                    </w:rPr>
                    <w:t>The costs and benefits of government intervention may be financial, social and/or environmental.</w:t>
                  </w:r>
                  <w:r>
                    <w:rPr>
                      <w:color w:val="58595B"/>
                      <w:position w:val="7"/>
                      <w:sz w:val="11"/>
                    </w:rPr>
                    <w:t>18 </w:t>
                  </w:r>
                  <w:r>
                    <w:rPr>
                      <w:color w:val="58595B"/>
                    </w:rPr>
                    <w:t>In some cases, it is possible to identify and quantify the costs of environmental regulation, such as:</w:t>
                  </w:r>
                </w:p>
                <w:p>
                  <w:pPr>
                    <w:pStyle w:val="ListParagraph"/>
                    <w:numPr>
                      <w:ilvl w:val="0"/>
                      <w:numId w:val="3"/>
                    </w:numPr>
                    <w:tabs>
                      <w:tab w:pos="190" w:val="left" w:leader="none"/>
                    </w:tabs>
                    <w:spacing w:line="280" w:lineRule="auto" w:before="115" w:after="0"/>
                    <w:ind w:left="190" w:right="431" w:hanging="170"/>
                    <w:jc w:val="left"/>
                    <w:rPr>
                      <w:sz w:val="20"/>
                    </w:rPr>
                  </w:pPr>
                  <w:r>
                    <w:rPr>
                      <w:color w:val="58595B"/>
                      <w:sz w:val="20"/>
                    </w:rPr>
                    <w:t>direct costs to government and regulatory agencies of establishing and administering the regulatory</w:t>
                  </w:r>
                  <w:r>
                    <w:rPr>
                      <w:color w:val="58595B"/>
                      <w:spacing w:val="7"/>
                      <w:sz w:val="20"/>
                    </w:rPr>
                    <w:t> </w:t>
                  </w:r>
                  <w:r>
                    <w:rPr>
                      <w:color w:val="58595B"/>
                      <w:sz w:val="20"/>
                    </w:rPr>
                    <w:t>regime</w:t>
                  </w:r>
                </w:p>
                <w:p>
                  <w:pPr>
                    <w:pStyle w:val="ListParagraph"/>
                    <w:numPr>
                      <w:ilvl w:val="0"/>
                      <w:numId w:val="3"/>
                    </w:numPr>
                    <w:tabs>
                      <w:tab w:pos="190" w:val="left" w:leader="none"/>
                    </w:tabs>
                    <w:spacing w:line="280" w:lineRule="auto" w:before="115" w:after="0"/>
                    <w:ind w:left="190" w:right="158" w:hanging="170"/>
                    <w:jc w:val="left"/>
                    <w:rPr>
                      <w:sz w:val="20"/>
                    </w:rPr>
                  </w:pPr>
                  <w:r>
                    <w:rPr>
                      <w:color w:val="58595B"/>
                      <w:sz w:val="20"/>
                    </w:rPr>
                    <w:t>costs to businesses or individuals of complying with the regulations – the regulatory burden, including </w:t>
                  </w:r>
                  <w:r>
                    <w:rPr>
                      <w:color w:val="58595B"/>
                      <w:spacing w:val="2"/>
                      <w:sz w:val="20"/>
                    </w:rPr>
                    <w:t>licence </w:t>
                  </w:r>
                  <w:r>
                    <w:rPr>
                      <w:color w:val="58595B"/>
                      <w:sz w:val="20"/>
                    </w:rPr>
                    <w:t>fees, investments in </w:t>
                  </w:r>
                  <w:r>
                    <w:rPr>
                      <w:color w:val="58595B"/>
                      <w:spacing w:val="2"/>
                      <w:sz w:val="20"/>
                    </w:rPr>
                    <w:t>technologies </w:t>
                  </w:r>
                  <w:r>
                    <w:rPr>
                      <w:color w:val="58595B"/>
                      <w:sz w:val="20"/>
                    </w:rPr>
                    <w:t>or </w:t>
                  </w:r>
                  <w:r>
                    <w:rPr>
                      <w:color w:val="58595B"/>
                      <w:spacing w:val="2"/>
                      <w:sz w:val="20"/>
                    </w:rPr>
                    <w:t>actions </w:t>
                  </w:r>
                  <w:r>
                    <w:rPr>
                      <w:color w:val="58595B"/>
                      <w:sz w:val="20"/>
                    </w:rPr>
                    <w:t>to meet the regulated standards, as well as the administration and reporting costs or ‘red tape’ associated with demonstrating</w:t>
                  </w:r>
                  <w:r>
                    <w:rPr>
                      <w:color w:val="58595B"/>
                      <w:spacing w:val="8"/>
                      <w:sz w:val="20"/>
                    </w:rPr>
                    <w:t> </w:t>
                  </w:r>
                  <w:r>
                    <w:rPr>
                      <w:color w:val="58595B"/>
                      <w:sz w:val="20"/>
                    </w:rPr>
                    <w:t>compliance</w:t>
                  </w:r>
                </w:p>
                <w:p>
                  <w:pPr>
                    <w:pStyle w:val="ListParagraph"/>
                    <w:numPr>
                      <w:ilvl w:val="0"/>
                      <w:numId w:val="3"/>
                    </w:numPr>
                    <w:tabs>
                      <w:tab w:pos="190" w:val="left" w:leader="none"/>
                    </w:tabs>
                    <w:spacing w:line="240" w:lineRule="auto" w:before="115" w:after="0"/>
                    <w:ind w:left="190" w:right="0" w:hanging="170"/>
                    <w:jc w:val="left"/>
                    <w:rPr>
                      <w:sz w:val="20"/>
                    </w:rPr>
                  </w:pPr>
                  <w:r>
                    <w:rPr>
                      <w:color w:val="58595B"/>
                      <w:sz w:val="20"/>
                    </w:rPr>
                    <w:t>efficiency costs if resources are reallocated away from higher value</w:t>
                  </w:r>
                  <w:r>
                    <w:rPr>
                      <w:color w:val="58595B"/>
                      <w:spacing w:val="15"/>
                      <w:sz w:val="20"/>
                    </w:rPr>
                    <w:t> </w:t>
                  </w:r>
                  <w:r>
                    <w:rPr>
                      <w:color w:val="58595B"/>
                      <w:sz w:val="20"/>
                    </w:rPr>
                    <w:t>uses</w:t>
                  </w:r>
                </w:p>
                <w:p>
                  <w:pPr>
                    <w:pStyle w:val="ListParagraph"/>
                    <w:numPr>
                      <w:ilvl w:val="0"/>
                      <w:numId w:val="3"/>
                    </w:numPr>
                    <w:tabs>
                      <w:tab w:pos="190" w:val="left" w:leader="none"/>
                    </w:tabs>
                    <w:spacing w:line="240" w:lineRule="auto" w:before="153" w:after="0"/>
                    <w:ind w:left="190" w:right="0" w:hanging="170"/>
                    <w:jc w:val="left"/>
                    <w:rPr>
                      <w:sz w:val="20"/>
                    </w:rPr>
                  </w:pPr>
                  <w:r>
                    <w:rPr>
                      <w:color w:val="58595B"/>
                      <w:sz w:val="20"/>
                    </w:rPr>
                    <w:t>costs to consumers in the form of higher prices for goods and</w:t>
                  </w:r>
                  <w:r>
                    <w:rPr>
                      <w:color w:val="58595B"/>
                      <w:spacing w:val="30"/>
                      <w:sz w:val="20"/>
                    </w:rPr>
                    <w:t> </w:t>
                  </w:r>
                  <w:r>
                    <w:rPr>
                      <w:color w:val="58595B"/>
                      <w:sz w:val="20"/>
                    </w:rPr>
                    <w:t>services.</w:t>
                  </w:r>
                </w:p>
              </w:txbxContent>
            </v:textbox>
            <w10:wrap type="none"/>
          </v:shape>
        </w:pict>
      </w:r>
      <w:r>
        <w:rPr/>
        <w:pict>
          <v:shape style="position:absolute;margin-left:69.862801pt;margin-top:434.003082pt;width:420.6pt;height:93pt;mso-position-horizontal-relative:page;mso-position-vertical-relative:page;z-index:-211576" type="#_x0000_t202" filled="false" stroked="false">
            <v:textbox inset="0,0,0,0">
              <w:txbxContent>
                <w:p>
                  <w:pPr>
                    <w:pStyle w:val="BodyText"/>
                    <w:spacing w:line="280" w:lineRule="auto"/>
                    <w:ind w:right="45"/>
                  </w:pPr>
                  <w:r>
                    <w:rPr>
                      <w:color w:val="58595B"/>
                    </w:rPr>
                    <w:t>By contrast, it can be difficult to identify and quantify costs and benefits if they are spread across the community and/or accumulate over time (for example, regulating air pollution from diffuse sources). Further, even if costs and benefits are identified, it can be difficult to quantify them, especially social and environmental effects. Benefits such as the avoided cost of harms, for example, cannot easily be assigned monetary values, or valuation is contentious and  highly subjective. In many cases, these social and environmental effects are expressed</w:t>
                  </w:r>
                  <w:r>
                    <w:rPr>
                      <w:color w:val="58595B"/>
                      <w:spacing w:val="1"/>
                    </w:rPr>
                    <w:t> </w:t>
                  </w:r>
                  <w:r>
                    <w:rPr>
                      <w:color w:val="58595B"/>
                    </w:rPr>
                    <w:t>in</w:t>
                  </w:r>
                </w:p>
                <w:p>
                  <w:pPr>
                    <w:pStyle w:val="BodyText"/>
                    <w:spacing w:before="2"/>
                  </w:pPr>
                  <w:r>
                    <w:rPr>
                      <w:color w:val="58595B"/>
                    </w:rPr>
                    <w:t>non-monetary terms.</w:t>
                  </w:r>
                </w:p>
              </w:txbxContent>
            </v:textbox>
            <w10:wrap type="none"/>
          </v:shape>
        </w:pict>
      </w:r>
      <w:r>
        <w:rPr/>
        <w:pict>
          <v:shape style="position:absolute;margin-left:69.862801pt;margin-top:537.003052pt;width:413.55pt;height:79.5pt;mso-position-horizontal-relative:page;mso-position-vertical-relative:page;z-index:-211552" type="#_x0000_t202" filled="false" stroked="false">
            <v:textbox inset="0,0,0,0">
              <w:txbxContent>
                <w:p>
                  <w:pPr>
                    <w:pStyle w:val="BodyText"/>
                    <w:spacing w:line="280" w:lineRule="auto"/>
                    <w:ind w:right="17"/>
                  </w:pPr>
                  <w:r>
                    <w:rPr>
                      <w:color w:val="58595B"/>
                    </w:rPr>
                    <w:t>The costs of regulation depend on the ambition of the government’s policy objective. Setting a higher bar for avoiding harms in general entails a greater regulatory cost. The costs of regulation – to the regulator and to those regulated – is also heavily influenced by the design of regulatory tools and the processes implemented by the regulator. To be cost effective, governments continuously look to lower the burden of regulation, including red – and green – tape, while maintaining the outcomes that regulation aims to maintain.</w:t>
                  </w:r>
                </w:p>
              </w:txbxContent>
            </v:textbox>
            <w10:wrap type="none"/>
          </v:shape>
        </w:pict>
      </w:r>
      <w:r>
        <w:rPr/>
        <w:pict>
          <v:shape style="position:absolute;margin-left:69.862801pt;margin-top:626.503052pt;width:426.35pt;height:66pt;mso-position-horizontal-relative:page;mso-position-vertical-relative:page;z-index:-211528" type="#_x0000_t202" filled="false" stroked="false">
            <v:textbox inset="0,0,0,0">
              <w:txbxContent>
                <w:p>
                  <w:pPr>
                    <w:pStyle w:val="BodyText"/>
                    <w:spacing w:line="280" w:lineRule="auto"/>
                  </w:pPr>
                  <w:r>
                    <w:rPr>
                      <w:color w:val="58595B"/>
                    </w:rPr>
                    <w:t>It is worthwhile for governments to consider the costs and benefits of regulation systematically (box 4.2). Further, improvements in technology and data – including better environmental accounting and reporting and more sophisticated predictive modelling – will likely make it easier for governments to consider the costs and benefits of environmental regulation. It should also create a policy and regulatory cycle that facilitates continuous improvement.</w:t>
                  </w:r>
                </w:p>
              </w:txbxContent>
            </v:textbox>
            <w10:wrap type="none"/>
          </v:shape>
        </w:pict>
      </w:r>
      <w:r>
        <w:rPr/>
        <w:pict>
          <v:shape style="position:absolute;margin-left:.0pt;margin-top:44.090015pt;width:60.3pt;height:5.25pt;mso-position-horizontal-relative:page;mso-position-vertical-relative:page;z-index:-211504"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11480"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11456" from="534.996094pt,45.840015pt" to="595.276001pt,45.840015pt" stroked="true" strokeweight="7pt" strokecolor="#0095a7">
            <w10:wrap type="none"/>
          </v:line>
        </w:pict>
      </w:r>
      <w:r>
        <w:rPr/>
        <w:pict>
          <v:rect style="position:absolute;margin-left:90.709pt;margin-top:107.717018pt;width:432.701pt;height:261.477000pt;mso-position-horizontal-relative:page;mso-position-vertical-relative:page;z-index:-211432" filled="true" fillcolor="#eaf2f3" stroked="false">
            <v:fill type="solid"/>
            <w10:wrap type="none"/>
          </v:rect>
        </w:pict>
      </w:r>
      <w:r>
        <w:rPr/>
        <w:pict>
          <v:shape style="position:absolute;margin-left:269.193909pt;margin-top:40.902756pt;width:45.55pt;height:9.5pt;mso-position-horizontal-relative:page;mso-position-vertical-relative:page;z-index:-211408" type="#_x0000_t202" filled="false" stroked="false">
            <v:textbox inset="0,0,0,0">
              <w:txbxContent>
                <w:p>
                  <w:pPr>
                    <w:spacing w:before="1"/>
                    <w:ind w:left="20" w:right="0" w:firstLine="0"/>
                    <w:jc w:val="left"/>
                    <w:rPr>
                      <w:sz w:val="15"/>
                    </w:rPr>
                  </w:pPr>
                  <w:r>
                    <w:rPr>
                      <w:color w:val="58595B"/>
                      <w:sz w:val="15"/>
                    </w:rPr>
                    <w:t>CHAPTER 4</w:t>
                  </w:r>
                </w:p>
              </w:txbxContent>
            </v:textbox>
            <w10:wrap type="none"/>
          </v:shape>
        </w:pict>
      </w:r>
      <w:r>
        <w:rPr/>
        <w:pict>
          <v:shape style="position:absolute;margin-left:320.426392pt;margin-top:40.902756pt;width:179.45pt;height:9.5pt;mso-position-horizontal-relative:page;mso-position-vertical-relative:page;z-index:-211384" type="#_x0000_t202" filled="false" stroked="false">
            <v:textbox inset="0,0,0,0">
              <w:txbxContent>
                <w:p>
                  <w:pPr>
                    <w:spacing w:before="1"/>
                    <w:ind w:left="20" w:right="0" w:firstLine="0"/>
                    <w:jc w:val="left"/>
                    <w:rPr>
                      <w:sz w:val="15"/>
                    </w:rPr>
                  </w:pPr>
                  <w:r>
                    <w:rPr>
                      <w:color w:val="58595B"/>
                      <w:sz w:val="15"/>
                    </w:rPr>
                    <w:t>WHY WE NEED ENVIRONMENTAL REGULATION</w:t>
                  </w:r>
                </w:p>
              </w:txbxContent>
            </v:textbox>
            <w10:wrap type="none"/>
          </v:shape>
        </w:pict>
      </w:r>
      <w:r>
        <w:rPr/>
        <w:pict>
          <v:shape style="position:absolute;margin-left:515.021423pt;margin-top:40.902756pt;width:10.4pt;height:9.5pt;mso-position-horizontal-relative:page;mso-position-vertical-relative:page;z-index:-211360" type="#_x0000_t202" filled="false" stroked="false">
            <v:textbox inset="0,0,0,0">
              <w:txbxContent>
                <w:p>
                  <w:pPr>
                    <w:spacing w:before="1"/>
                    <w:ind w:left="20" w:right="0" w:firstLine="0"/>
                    <w:jc w:val="left"/>
                    <w:rPr>
                      <w:sz w:val="15"/>
                    </w:rPr>
                  </w:pPr>
                  <w:r>
                    <w:rPr>
                      <w:color w:val="58595B"/>
                      <w:sz w:val="15"/>
                    </w:rPr>
                    <w:t>67</w:t>
                  </w:r>
                </w:p>
              </w:txbxContent>
            </v:textbox>
            <w10:wrap type="none"/>
          </v:shape>
        </w:pict>
      </w:r>
      <w:r>
        <w:rPr/>
        <w:pict>
          <v:shape style="position:absolute;margin-left:89.702599pt;margin-top:392.017853pt;width:433.75pt;height:71.7pt;mso-position-horizontal-relative:page;mso-position-vertical-relative:page;z-index:-211336" type="#_x0000_t202" filled="false" stroked="false">
            <v:textbox inset="0,0,0,0">
              <w:txbxContent>
                <w:p>
                  <w:pPr>
                    <w:pStyle w:val="BodyText"/>
                    <w:spacing w:line="224" w:lineRule="exact"/>
                    <w:ind w:right="17"/>
                  </w:pPr>
                  <w:r>
                    <w:rPr>
                      <w:color w:val="0095A7"/>
                    </w:rPr>
                    <w:t>4.3.2  Considering risk in environmental regulation</w:t>
                  </w:r>
                </w:p>
                <w:p>
                  <w:pPr>
                    <w:pStyle w:val="BodyText"/>
                    <w:spacing w:line="280" w:lineRule="auto" w:before="153"/>
                    <w:ind w:right="17"/>
                  </w:pPr>
                  <w:r>
                    <w:rPr>
                      <w:color w:val="58595B"/>
                      <w:spacing w:val="-5"/>
                    </w:rPr>
                    <w:t>Increasingly, </w:t>
                  </w:r>
                  <w:r>
                    <w:rPr>
                      <w:color w:val="58595B"/>
                      <w:spacing w:val="-4"/>
                    </w:rPr>
                    <w:t>assessing </w:t>
                  </w:r>
                  <w:r>
                    <w:rPr>
                      <w:color w:val="58595B"/>
                      <w:spacing w:val="-3"/>
                    </w:rPr>
                    <w:t>risk </w:t>
                  </w:r>
                  <w:r>
                    <w:rPr>
                      <w:color w:val="58595B"/>
                    </w:rPr>
                    <w:t>is an </w:t>
                  </w:r>
                  <w:r>
                    <w:rPr>
                      <w:color w:val="58595B"/>
                      <w:spacing w:val="-3"/>
                    </w:rPr>
                    <w:t>important </w:t>
                  </w:r>
                  <w:r>
                    <w:rPr>
                      <w:color w:val="58595B"/>
                    </w:rPr>
                    <w:t>part </w:t>
                  </w:r>
                  <w:r>
                    <w:rPr>
                      <w:color w:val="58595B"/>
                      <w:spacing w:val="-3"/>
                    </w:rPr>
                    <w:t>of </w:t>
                  </w:r>
                  <w:r>
                    <w:rPr>
                      <w:color w:val="58595B"/>
                      <w:spacing w:val="-5"/>
                    </w:rPr>
                    <w:t>government </w:t>
                  </w:r>
                  <w:r>
                    <w:rPr>
                      <w:color w:val="58595B"/>
                      <w:spacing w:val="-4"/>
                    </w:rPr>
                    <w:t>decisions about whether </w:t>
                  </w:r>
                  <w:r>
                    <w:rPr>
                      <w:color w:val="58595B"/>
                      <w:spacing w:val="-3"/>
                    </w:rPr>
                    <w:t>and how much to </w:t>
                  </w:r>
                  <w:r>
                    <w:rPr>
                      <w:color w:val="58595B"/>
                      <w:spacing w:val="-4"/>
                    </w:rPr>
                    <w:t>intervene, </w:t>
                  </w:r>
                  <w:r>
                    <w:rPr>
                      <w:color w:val="58595B"/>
                      <w:spacing w:val="-3"/>
                    </w:rPr>
                    <w:t>and the </w:t>
                  </w:r>
                  <w:r>
                    <w:rPr>
                      <w:color w:val="58595B"/>
                      <w:spacing w:val="-5"/>
                    </w:rPr>
                    <w:t>likely </w:t>
                  </w:r>
                  <w:r>
                    <w:rPr>
                      <w:color w:val="58595B"/>
                      <w:spacing w:val="-4"/>
                    </w:rPr>
                    <w:t>effectiveness </w:t>
                  </w:r>
                  <w:r>
                    <w:rPr>
                      <w:color w:val="58595B"/>
                      <w:spacing w:val="-3"/>
                    </w:rPr>
                    <w:t>of </w:t>
                  </w:r>
                  <w:r>
                    <w:rPr>
                      <w:color w:val="58595B"/>
                    </w:rPr>
                    <w:t>a </w:t>
                  </w:r>
                  <w:r>
                    <w:rPr>
                      <w:color w:val="58595B"/>
                      <w:spacing w:val="-4"/>
                    </w:rPr>
                    <w:t>given intervention. Risk-based regulation </w:t>
                  </w:r>
                  <w:r>
                    <w:rPr>
                      <w:color w:val="58595B"/>
                      <w:spacing w:val="-5"/>
                    </w:rPr>
                    <w:t>improves </w:t>
                  </w:r>
                  <w:r>
                    <w:rPr>
                      <w:color w:val="58595B"/>
                      <w:spacing w:val="-3"/>
                    </w:rPr>
                    <w:t>the </w:t>
                  </w:r>
                  <w:r>
                    <w:rPr>
                      <w:color w:val="58595B"/>
                      <w:spacing w:val="-4"/>
                    </w:rPr>
                    <w:t>‘productivity’ </w:t>
                  </w:r>
                  <w:r>
                    <w:rPr>
                      <w:color w:val="58595B"/>
                      <w:spacing w:val="-3"/>
                    </w:rPr>
                    <w:t>of </w:t>
                  </w:r>
                  <w:r>
                    <w:rPr>
                      <w:color w:val="58595B"/>
                      <w:spacing w:val="-4"/>
                    </w:rPr>
                    <w:t>regulating by delivering </w:t>
                  </w:r>
                  <w:r>
                    <w:rPr>
                      <w:color w:val="58595B"/>
                      <w:spacing w:val="-3"/>
                    </w:rPr>
                    <w:t>the best </w:t>
                  </w:r>
                  <w:r>
                    <w:rPr>
                      <w:color w:val="58595B"/>
                      <w:spacing w:val="-4"/>
                    </w:rPr>
                    <w:t>possible </w:t>
                  </w:r>
                  <w:r>
                    <w:rPr>
                      <w:color w:val="58595B"/>
                      <w:spacing w:val="-3"/>
                    </w:rPr>
                    <w:t>regulatory </w:t>
                  </w:r>
                  <w:r>
                    <w:rPr>
                      <w:color w:val="58595B"/>
                      <w:spacing w:val="-4"/>
                    </w:rPr>
                    <w:t>outcomes </w:t>
                  </w:r>
                  <w:r>
                    <w:rPr>
                      <w:color w:val="58595B"/>
                      <w:spacing w:val="-3"/>
                    </w:rPr>
                    <w:t>from the </w:t>
                  </w:r>
                  <w:r>
                    <w:rPr>
                      <w:color w:val="58595B"/>
                      <w:spacing w:val="-4"/>
                    </w:rPr>
                    <w:t>limited resources </w:t>
                  </w:r>
                  <w:r>
                    <w:rPr>
                      <w:color w:val="58595B"/>
                      <w:spacing w:val="-5"/>
                    </w:rPr>
                    <w:t>available </w:t>
                  </w:r>
                  <w:r>
                    <w:rPr>
                      <w:color w:val="58595B"/>
                      <w:spacing w:val="-3"/>
                    </w:rPr>
                    <w:t>to </w:t>
                  </w:r>
                  <w:r>
                    <w:rPr>
                      <w:color w:val="58595B"/>
                      <w:spacing w:val="-4"/>
                    </w:rPr>
                    <w:t>regulators. </w:t>
                  </w:r>
                  <w:r>
                    <w:rPr>
                      <w:color w:val="58595B"/>
                      <w:spacing w:val="-3"/>
                    </w:rPr>
                    <w:t>According to the </w:t>
                  </w:r>
                  <w:r>
                    <w:rPr>
                      <w:color w:val="58595B"/>
                      <w:spacing w:val="-5"/>
                    </w:rPr>
                    <w:t>OECD, </w:t>
                  </w:r>
                  <w:r>
                    <w:rPr>
                      <w:color w:val="58595B"/>
                      <w:spacing w:val="-4"/>
                    </w:rPr>
                    <w:t>risk-based regulation recognises that:</w:t>
                  </w:r>
                </w:p>
              </w:txbxContent>
            </v:textbox>
            <w10:wrap type="none"/>
          </v:shape>
        </w:pict>
      </w:r>
      <w:r>
        <w:rPr/>
        <w:pict>
          <v:shape style="position:absolute;margin-left:118.052597pt;margin-top:473.687866pt;width:356.75pt;height:52.5pt;mso-position-horizontal-relative:page;mso-position-vertical-relative:page;z-index:-211312" type="#_x0000_t202" filled="false" stroked="false">
            <v:textbox inset="0,0,0,0">
              <w:txbxContent>
                <w:p>
                  <w:pPr>
                    <w:spacing w:line="280" w:lineRule="auto" w:before="0"/>
                    <w:ind w:left="20" w:right="0" w:firstLine="0"/>
                    <w:jc w:val="left"/>
                    <w:rPr>
                      <w:sz w:val="11"/>
                    </w:rPr>
                  </w:pPr>
                  <w:r>
                    <w:rPr>
                      <w:i/>
                      <w:color w:val="231F20"/>
                      <w:sz w:val="20"/>
                    </w:rPr>
                    <w:t>[T]he government cannot regulate to remove all risks and that regulatory action, when taken, should be proportionate, targeted and based on an assessment of the nature and magnitude of the risks and of the likelihood that regulation will be successful in achieving its aims.</w:t>
                  </w:r>
                  <w:r>
                    <w:rPr>
                      <w:color w:val="231F20"/>
                      <w:position w:val="7"/>
                      <w:sz w:val="11"/>
                    </w:rPr>
                    <w:t>20</w:t>
                  </w:r>
                </w:p>
              </w:txbxContent>
            </v:textbox>
            <w10:wrap type="none"/>
          </v:shape>
        </w:pict>
      </w:r>
      <w:r>
        <w:rPr/>
        <w:pict>
          <v:shape style="position:absolute;margin-left:89.708603pt;margin-top:536.193176pt;width:422.8pt;height:39pt;mso-position-horizontal-relative:page;mso-position-vertical-relative:page;z-index:-211288" type="#_x0000_t202" filled="false" stroked="false">
            <v:textbox inset="0,0,0,0">
              <w:txbxContent>
                <w:p>
                  <w:pPr>
                    <w:pStyle w:val="BodyText"/>
                    <w:spacing w:line="280" w:lineRule="auto"/>
                  </w:pPr>
                  <w:r>
                    <w:rPr>
                      <w:color w:val="58595B"/>
                    </w:rPr>
                    <w:t>Considering risk in environmental regulation requires governments to deal with the potential for long term impacts, affecting not only today’s community but future generations. This creates complexity since government must account for uncertain future costs and benefits.</w:t>
                  </w:r>
                </w:p>
              </w:txbxContent>
            </v:textbox>
            <w10:wrap type="none"/>
          </v:shape>
        </w:pict>
      </w:r>
      <w:r>
        <w:rPr/>
        <w:pict>
          <v:shape style="position:absolute;margin-left:89.708603pt;margin-top:585.193176pt;width:435.7pt;height:25.5pt;mso-position-horizontal-relative:page;mso-position-vertical-relative:page;z-index:-211264" type="#_x0000_t202" filled="false" stroked="false">
            <v:textbox inset="0,0,0,0">
              <w:txbxContent>
                <w:p>
                  <w:pPr>
                    <w:pStyle w:val="BodyText"/>
                    <w:spacing w:line="280" w:lineRule="auto"/>
                    <w:ind w:right="13"/>
                  </w:pPr>
                  <w:r>
                    <w:rPr>
                      <w:color w:val="58595B"/>
                    </w:rPr>
                    <w:t>First, government must consider if the risk of a particular event or activity to the outcomes it seeks to maintain is large enough to warrant government intervention, compared with other risks.</w:t>
                  </w:r>
                </w:p>
              </w:txbxContent>
            </v:textbox>
            <w10:wrap type="none"/>
          </v:shape>
        </w:pict>
      </w:r>
      <w:r>
        <w:rPr/>
        <w:pict>
          <v:shape style="position:absolute;margin-left:118.058601pt;margin-top:620.693176pt;width:384.5pt;height:12pt;mso-position-horizontal-relative:page;mso-position-vertical-relative:page;z-index:-211240" type="#_x0000_t202" filled="false" stroked="false">
            <v:textbox inset="0,0,0,0">
              <w:txbxContent>
                <w:p>
                  <w:pPr>
                    <w:spacing w:line="224" w:lineRule="exact" w:before="0"/>
                    <w:ind w:left="20" w:right="0" w:firstLine="0"/>
                    <w:jc w:val="left"/>
                    <w:rPr>
                      <w:sz w:val="11"/>
                    </w:rPr>
                  </w:pPr>
                  <w:r>
                    <w:rPr>
                      <w:i/>
                      <w:color w:val="231F20"/>
                      <w:spacing w:val="-3"/>
                      <w:sz w:val="20"/>
                    </w:rPr>
                    <w:t>Risk </w:t>
                  </w:r>
                  <w:r>
                    <w:rPr>
                      <w:i/>
                      <w:color w:val="231F20"/>
                      <w:spacing w:val="-4"/>
                      <w:sz w:val="20"/>
                    </w:rPr>
                    <w:t>focused regulation </w:t>
                  </w:r>
                  <w:r>
                    <w:rPr>
                      <w:i/>
                      <w:color w:val="231F20"/>
                      <w:spacing w:val="-3"/>
                      <w:sz w:val="20"/>
                    </w:rPr>
                    <w:t>is </w:t>
                  </w:r>
                  <w:r>
                    <w:rPr>
                      <w:i/>
                      <w:color w:val="231F20"/>
                      <w:spacing w:val="-4"/>
                      <w:sz w:val="20"/>
                    </w:rPr>
                    <w:t>regarded </w:t>
                  </w:r>
                  <w:r>
                    <w:rPr>
                      <w:i/>
                      <w:color w:val="231F20"/>
                      <w:spacing w:val="-3"/>
                      <w:sz w:val="20"/>
                    </w:rPr>
                    <w:t>as </w:t>
                  </w:r>
                  <w:r>
                    <w:rPr>
                      <w:i/>
                      <w:color w:val="231F20"/>
                      <w:spacing w:val="-4"/>
                      <w:sz w:val="20"/>
                    </w:rPr>
                    <w:t>being concerned with </w:t>
                  </w:r>
                  <w:r>
                    <w:rPr>
                      <w:i/>
                      <w:color w:val="231F20"/>
                      <w:spacing w:val="-3"/>
                      <w:sz w:val="20"/>
                    </w:rPr>
                    <w:t>primarily </w:t>
                  </w:r>
                  <w:r>
                    <w:rPr>
                      <w:i/>
                      <w:color w:val="231F20"/>
                      <w:spacing w:val="-4"/>
                      <w:sz w:val="20"/>
                    </w:rPr>
                    <w:t>unacceptable </w:t>
                  </w:r>
                  <w:r>
                    <w:rPr>
                      <w:i/>
                      <w:color w:val="231F20"/>
                      <w:spacing w:val="-3"/>
                      <w:sz w:val="20"/>
                    </w:rPr>
                    <w:t>risk.</w:t>
                  </w:r>
                  <w:r>
                    <w:rPr>
                      <w:color w:val="231F20"/>
                      <w:spacing w:val="-3"/>
                      <w:position w:val="7"/>
                      <w:sz w:val="11"/>
                    </w:rPr>
                    <w:t>21</w:t>
                  </w:r>
                </w:p>
              </w:txbxContent>
            </v:textbox>
            <w10:wrap type="none"/>
          </v:shape>
        </w:pict>
      </w:r>
      <w:r>
        <w:rPr/>
        <w:pict>
          <v:shape style="position:absolute;margin-left:89.708603pt;margin-top:642.704956pt;width:418.4pt;height:52.5pt;mso-position-horizontal-relative:page;mso-position-vertical-relative:page;z-index:-211216" type="#_x0000_t202" filled="false" stroked="false">
            <v:textbox inset="0,0,0,0">
              <w:txbxContent>
                <w:p>
                  <w:pPr>
                    <w:pStyle w:val="BodyText"/>
                    <w:spacing w:line="280" w:lineRule="auto"/>
                    <w:ind w:right="17"/>
                  </w:pPr>
                  <w:r>
                    <w:rPr>
                      <w:color w:val="58595B"/>
                    </w:rPr>
                    <w:t>We must acknowledge that governments can never entirely eliminate all risks to human health and the environment. And we must be mindful that, as we face a variety of risks and have finite resources, excessive attempts to minimise one risk can result in other risks not being appropriately managed.</w:t>
                  </w:r>
                </w:p>
              </w:txbxContent>
            </v:textbox>
            <w10:wrap type="none"/>
          </v:shape>
        </w:pict>
      </w:r>
      <w:r>
        <w:rPr/>
        <w:pict>
          <v:shape style="position:absolute;margin-left:118.048599pt;margin-top:705.204956pt;width:364.5pt;height:25.5pt;mso-position-horizontal-relative:page;mso-position-vertical-relative:page;z-index:-211192" type="#_x0000_t202" filled="false" stroked="false">
            <v:textbox inset="0,0,0,0">
              <w:txbxContent>
                <w:p>
                  <w:pPr>
                    <w:spacing w:line="280" w:lineRule="auto" w:before="0"/>
                    <w:ind w:left="20" w:right="0" w:firstLine="0"/>
                    <w:jc w:val="left"/>
                    <w:rPr>
                      <w:sz w:val="11"/>
                    </w:rPr>
                  </w:pPr>
                  <w:r>
                    <w:rPr>
                      <w:i/>
                      <w:color w:val="231F20"/>
                      <w:sz w:val="20"/>
                    </w:rPr>
                    <w:t>It may be optimal for society not to mitigate one risk fully, if to do so would impose unacceptable costs and risks elsewhere.</w:t>
                  </w:r>
                  <w:r>
                    <w:rPr>
                      <w:color w:val="231F20"/>
                      <w:position w:val="7"/>
                      <w:sz w:val="11"/>
                    </w:rPr>
                    <w:t>22</w:t>
                  </w:r>
                </w:p>
              </w:txbxContent>
            </v:textbox>
            <w10:wrap type="none"/>
          </v:shape>
        </w:pict>
      </w:r>
      <w:r>
        <w:rPr/>
        <w:pict>
          <v:shape style="position:absolute;margin-left:89.708603pt;margin-top:740.712891pt;width:419.2pt;height:52.5pt;mso-position-horizontal-relative:page;mso-position-vertical-relative:page;z-index:-211168" type="#_x0000_t202" filled="false" stroked="false">
            <v:textbox inset="0,0,0,0">
              <w:txbxContent>
                <w:p>
                  <w:pPr>
                    <w:pStyle w:val="BodyText"/>
                    <w:spacing w:line="280" w:lineRule="auto"/>
                    <w:rPr>
                      <w:sz w:val="11"/>
                    </w:rPr>
                  </w:pPr>
                  <w:r>
                    <w:rPr>
                      <w:color w:val="58595B"/>
                    </w:rPr>
                    <w:t>Many activities – from agricultural and industrial production, to electricity production, to driving a car and purchasing consumable items – create pollution. Our understanding of the risks associated with these activities, and their relative importance, changes over time, including as new risky activities emerge.</w:t>
                  </w:r>
                  <w:r>
                    <w:rPr>
                      <w:color w:val="58595B"/>
                      <w:position w:val="7"/>
                      <w:sz w:val="11"/>
                    </w:rPr>
                    <w:t>23</w:t>
                  </w:r>
                </w:p>
              </w:txbxContent>
            </v:textbox>
            <w10:wrap type="none"/>
          </v:shape>
        </w:pict>
      </w:r>
      <w:r>
        <w:rPr/>
        <w:pict>
          <v:shape style="position:absolute;margin-left:90.709pt;margin-top:107.717018pt;width:432.75pt;height:261.5pt;mso-position-horizontal-relative:page;mso-position-vertical-relative:page;z-index:-211144" type="#_x0000_t202" filled="false" stroked="false">
            <v:textbox inset="0,0,0,0">
              <w:txbxContent>
                <w:p>
                  <w:pPr>
                    <w:pStyle w:val="BodyText"/>
                    <w:spacing w:before="128"/>
                    <w:ind w:left="170" w:right="482"/>
                  </w:pPr>
                  <w:r>
                    <w:rPr>
                      <w:b/>
                      <w:color w:val="0095A7"/>
                    </w:rPr>
                    <w:t>BOX 4.2 </w:t>
                  </w:r>
                  <w:r>
                    <w:rPr>
                      <w:color w:val="0095A7"/>
                    </w:rPr>
                    <w:t>ASSESSING THE COSTS AND BENEFITS OF ENVIRONMENTAL ASSETS</w:t>
                  </w:r>
                </w:p>
                <w:p>
                  <w:pPr>
                    <w:pStyle w:val="BodyText"/>
                    <w:spacing w:line="280" w:lineRule="auto" w:before="153"/>
                    <w:ind w:left="170" w:right="161"/>
                  </w:pPr>
                  <w:r>
                    <w:rPr>
                      <w:color w:val="58595B"/>
                    </w:rPr>
                    <w:t>As recognised by the Commonwealth Government’s Office of Best Practice Regulation, environmental impacts may not be given enough weight in decisions and the analysis of environmental policies may be unbalanced. Generally, this is because many of the benefits provided by healthy environmental assets are difficult to identify, let alone to quantify in monetary terms. In addition there is often uncertainty associated with environmental impacts.</w:t>
                  </w:r>
                </w:p>
                <w:p>
                  <w:pPr>
                    <w:pStyle w:val="BodyText"/>
                    <w:spacing w:line="280" w:lineRule="auto" w:before="172"/>
                    <w:ind w:left="170" w:right="482"/>
                  </w:pPr>
                  <w:r>
                    <w:rPr>
                      <w:color w:val="58595B"/>
                    </w:rPr>
                    <w:t>The Office of Best Practice Regulation suggests the following framework for considering the environmental impacts of government decisions:</w:t>
                  </w:r>
                </w:p>
                <w:p>
                  <w:pPr>
                    <w:pStyle w:val="ListParagraph"/>
                    <w:numPr>
                      <w:ilvl w:val="0"/>
                      <w:numId w:val="4"/>
                    </w:numPr>
                    <w:tabs>
                      <w:tab w:pos="341" w:val="left" w:leader="none"/>
                    </w:tabs>
                    <w:spacing w:line="240" w:lineRule="auto" w:before="115" w:after="0"/>
                    <w:ind w:left="340" w:right="0" w:hanging="170"/>
                    <w:jc w:val="left"/>
                    <w:rPr>
                      <w:sz w:val="20"/>
                    </w:rPr>
                  </w:pPr>
                  <w:r>
                    <w:rPr>
                      <w:color w:val="58595B"/>
                      <w:sz w:val="20"/>
                    </w:rPr>
                    <w:t>identify the affected environmental</w:t>
                  </w:r>
                  <w:r>
                    <w:rPr>
                      <w:color w:val="58595B"/>
                      <w:spacing w:val="12"/>
                      <w:sz w:val="20"/>
                    </w:rPr>
                    <w:t> </w:t>
                  </w:r>
                  <w:r>
                    <w:rPr>
                      <w:color w:val="58595B"/>
                      <w:sz w:val="20"/>
                    </w:rPr>
                    <w:t>asset/s</w:t>
                  </w:r>
                </w:p>
                <w:p>
                  <w:pPr>
                    <w:pStyle w:val="ListParagraph"/>
                    <w:numPr>
                      <w:ilvl w:val="0"/>
                      <w:numId w:val="4"/>
                    </w:numPr>
                    <w:tabs>
                      <w:tab w:pos="341" w:val="left" w:leader="none"/>
                    </w:tabs>
                    <w:spacing w:line="240" w:lineRule="auto" w:before="153" w:after="0"/>
                    <w:ind w:left="340" w:right="0" w:hanging="170"/>
                    <w:jc w:val="left"/>
                    <w:rPr>
                      <w:sz w:val="20"/>
                    </w:rPr>
                  </w:pPr>
                  <w:r>
                    <w:rPr>
                      <w:color w:val="58595B"/>
                      <w:sz w:val="20"/>
                    </w:rPr>
                    <w:t>understand how the community values the</w:t>
                  </w:r>
                  <w:r>
                    <w:rPr>
                      <w:color w:val="58595B"/>
                      <w:spacing w:val="8"/>
                      <w:sz w:val="20"/>
                    </w:rPr>
                    <w:t> </w:t>
                  </w:r>
                  <w:r>
                    <w:rPr>
                      <w:color w:val="58595B"/>
                      <w:sz w:val="20"/>
                    </w:rPr>
                    <w:t>asset/s</w:t>
                  </w:r>
                </w:p>
                <w:p>
                  <w:pPr>
                    <w:pStyle w:val="ListParagraph"/>
                    <w:numPr>
                      <w:ilvl w:val="0"/>
                      <w:numId w:val="4"/>
                    </w:numPr>
                    <w:tabs>
                      <w:tab w:pos="341" w:val="left" w:leader="none"/>
                    </w:tabs>
                    <w:spacing w:line="240" w:lineRule="auto" w:before="153" w:after="0"/>
                    <w:ind w:left="340" w:right="0" w:hanging="170"/>
                    <w:jc w:val="left"/>
                    <w:rPr>
                      <w:sz w:val="20"/>
                    </w:rPr>
                  </w:pPr>
                  <w:r>
                    <w:rPr>
                      <w:color w:val="58595B"/>
                      <w:sz w:val="20"/>
                    </w:rPr>
                    <w:t>examine how the asset is changing over</w:t>
                  </w:r>
                  <w:r>
                    <w:rPr>
                      <w:color w:val="58595B"/>
                      <w:spacing w:val="-10"/>
                      <w:sz w:val="20"/>
                    </w:rPr>
                    <w:t> </w:t>
                  </w:r>
                  <w:r>
                    <w:rPr>
                      <w:color w:val="58595B"/>
                      <w:sz w:val="20"/>
                    </w:rPr>
                    <w:t>time</w:t>
                  </w:r>
                </w:p>
                <w:p>
                  <w:pPr>
                    <w:pStyle w:val="ListParagraph"/>
                    <w:numPr>
                      <w:ilvl w:val="0"/>
                      <w:numId w:val="4"/>
                    </w:numPr>
                    <w:tabs>
                      <w:tab w:pos="341" w:val="left" w:leader="none"/>
                    </w:tabs>
                    <w:spacing w:line="240" w:lineRule="auto" w:before="153" w:after="0"/>
                    <w:ind w:left="340" w:right="0" w:hanging="170"/>
                    <w:jc w:val="left"/>
                    <w:rPr>
                      <w:sz w:val="20"/>
                    </w:rPr>
                  </w:pPr>
                  <w:r>
                    <w:rPr>
                      <w:color w:val="58595B"/>
                      <w:sz w:val="20"/>
                    </w:rPr>
                    <w:t>state the objective of government action, referring to community</w:t>
                  </w:r>
                  <w:r>
                    <w:rPr>
                      <w:color w:val="58595B"/>
                      <w:spacing w:val="3"/>
                      <w:sz w:val="20"/>
                    </w:rPr>
                    <w:t> </w:t>
                  </w:r>
                  <w:r>
                    <w:rPr>
                      <w:color w:val="58595B"/>
                      <w:sz w:val="20"/>
                    </w:rPr>
                    <w:t>values</w:t>
                  </w:r>
                </w:p>
                <w:p>
                  <w:pPr>
                    <w:pStyle w:val="ListParagraph"/>
                    <w:numPr>
                      <w:ilvl w:val="0"/>
                      <w:numId w:val="4"/>
                    </w:numPr>
                    <w:tabs>
                      <w:tab w:pos="341" w:val="left" w:leader="none"/>
                    </w:tabs>
                    <w:spacing w:line="280" w:lineRule="auto" w:before="153" w:after="0"/>
                    <w:ind w:left="340" w:right="519" w:hanging="170"/>
                    <w:jc w:val="left"/>
                    <w:rPr>
                      <w:sz w:val="20"/>
                    </w:rPr>
                  </w:pPr>
                  <w:r>
                    <w:rPr>
                      <w:color w:val="58595B"/>
                      <w:sz w:val="20"/>
                    </w:rPr>
                    <w:t>examine likely changes to the environmental asset/s and the change in the benefits that it produces, who wins, who loses, etc., as a result of the intervention options</w:t>
                  </w:r>
                  <w:r>
                    <w:rPr>
                      <w:color w:val="58595B"/>
                      <w:spacing w:val="4"/>
                      <w:sz w:val="20"/>
                    </w:rPr>
                    <w:t> </w:t>
                  </w:r>
                  <w:r>
                    <w:rPr>
                      <w:color w:val="58595B"/>
                      <w:sz w:val="20"/>
                    </w:rPr>
                    <w:t>considered</w:t>
                  </w:r>
                </w:p>
                <w:p>
                  <w:pPr>
                    <w:pStyle w:val="ListParagraph"/>
                    <w:numPr>
                      <w:ilvl w:val="0"/>
                      <w:numId w:val="4"/>
                    </w:numPr>
                    <w:tabs>
                      <w:tab w:pos="341" w:val="left" w:leader="none"/>
                    </w:tabs>
                    <w:spacing w:line="240" w:lineRule="auto" w:before="115" w:after="0"/>
                    <w:ind w:left="340" w:right="0" w:hanging="170"/>
                    <w:jc w:val="left"/>
                    <w:rPr>
                      <w:sz w:val="20"/>
                    </w:rPr>
                  </w:pPr>
                  <w:r>
                    <w:rPr>
                      <w:color w:val="58595B"/>
                      <w:sz w:val="20"/>
                    </w:rPr>
                    <w:t>consider</w:t>
                  </w:r>
                  <w:r>
                    <w:rPr>
                      <w:color w:val="58595B"/>
                      <w:spacing w:val="-18"/>
                      <w:sz w:val="20"/>
                    </w:rPr>
                    <w:t> </w:t>
                  </w:r>
                  <w:r>
                    <w:rPr>
                      <w:color w:val="58595B"/>
                      <w:sz w:val="20"/>
                    </w:rPr>
                    <w:t>uncertainties.19</w:t>
                  </w:r>
                </w:p>
              </w:txbxContent>
            </v:textbox>
            <w10:wrap type="none"/>
          </v:shape>
        </w:pict>
      </w:r>
      <w:r>
        <w:rPr/>
        <w:pict>
          <v:shape style="position:absolute;margin-left:534.996094pt;margin-top:44.090015pt;width:60.3pt;height:5.25pt;mso-position-horizontal-relative:page;mso-position-vertical-relative:page;z-index:-211120"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11096"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11072" from=".0pt,45.840015pt" to="60.2791pt,45.840015pt" stroked="true" strokeweight="7pt" strokecolor="#0095a7">
            <w10:wrap type="none"/>
          </v:line>
        </w:pict>
      </w:r>
      <w:r>
        <w:rPr/>
        <w:pict>
          <v:shape style="position:absolute;margin-left:69.866096pt;margin-top:40.902756pt;width:10.75pt;height:9.5pt;mso-position-horizontal-relative:page;mso-position-vertical-relative:page;z-index:-211048" type="#_x0000_t202" filled="false" stroked="false">
            <v:textbox inset="0,0,0,0">
              <w:txbxContent>
                <w:p>
                  <w:pPr>
                    <w:spacing w:before="1"/>
                    <w:ind w:left="20" w:right="0" w:firstLine="0"/>
                    <w:jc w:val="left"/>
                    <w:rPr>
                      <w:sz w:val="15"/>
                    </w:rPr>
                  </w:pPr>
                  <w:r>
                    <w:rPr>
                      <w:color w:val="58595B"/>
                      <w:sz w:val="15"/>
                    </w:rPr>
                    <w:t>68</w:t>
                  </w:r>
                </w:p>
              </w:txbxContent>
            </v:textbox>
            <w10:wrap type="none"/>
          </v:shape>
        </w:pict>
      </w:r>
      <w:r>
        <w:rPr/>
        <w:pict>
          <v:shape style="position:absolute;margin-left:95.377899pt;margin-top:40.902756pt;width:147.75pt;height:9.5pt;mso-position-horizontal-relative:page;mso-position-vertical-relative:page;z-index:-211024"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5.4pt;height:79.5pt;mso-position-horizontal-relative:page;mso-position-vertical-relative:page;z-index:-211000" type="#_x0000_t202" filled="false" stroked="false">
            <v:textbox inset="0,0,0,0">
              <w:txbxContent>
                <w:p>
                  <w:pPr>
                    <w:pStyle w:val="BodyText"/>
                    <w:spacing w:line="280" w:lineRule="auto"/>
                    <w:ind w:right="3"/>
                  </w:pPr>
                  <w:r>
                    <w:rPr>
                      <w:color w:val="58595B"/>
                    </w:rPr>
                    <w:t>Second, government must consider whether the intervention is likely to reduce the risk, which can be uncertain given the complexity of environmental systems and the many factors that contribute to health and the condition of the environment. This uncertainty underscores the critical role</w:t>
                  </w:r>
                </w:p>
                <w:p>
                  <w:pPr>
                    <w:pStyle w:val="BodyText"/>
                    <w:spacing w:line="280" w:lineRule="auto" w:before="2"/>
                    <w:ind w:right="3"/>
                  </w:pPr>
                  <w:r>
                    <w:rPr>
                      <w:color w:val="58595B"/>
                    </w:rPr>
                    <w:t>that science can play in understanding the link between the intervention and the environmental outcomes, and the importance of ongoing evaluation and measurement of outcomes to inform future action.</w:t>
                  </w:r>
                </w:p>
              </w:txbxContent>
            </v:textbox>
            <w10:wrap type="none"/>
          </v:shape>
        </w:pict>
      </w:r>
      <w:r>
        <w:rPr/>
        <w:pict>
          <v:shape style="position:absolute;margin-left:69.866096pt;margin-top:195.393967pt;width:423.65pt;height:66.05pt;mso-position-horizontal-relative:page;mso-position-vertical-relative:page;z-index:-210976" type="#_x0000_t202" filled="false" stroked="false">
            <v:textbox inset="0,0,0,0">
              <w:txbxContent>
                <w:p>
                  <w:pPr>
                    <w:pStyle w:val="BodyText"/>
                    <w:spacing w:line="280" w:lineRule="auto"/>
                    <w:rPr>
                      <w:sz w:val="11"/>
                    </w:rPr>
                  </w:pPr>
                  <w:r>
                    <w:rPr>
                      <w:color w:val="58595B"/>
                    </w:rPr>
                    <w:t>Third, government must consider risk when deciding how to intervene. The EPA applies a risk assessment matrix to prioritise its compliance and enforcement activity.</w:t>
                  </w:r>
                  <w:r>
                    <w:rPr>
                      <w:color w:val="58595B"/>
                      <w:position w:val="7"/>
                      <w:sz w:val="11"/>
                    </w:rPr>
                    <w:t>24 </w:t>
                  </w:r>
                  <w:r>
                    <w:rPr>
                      <w:color w:val="58595B"/>
                    </w:rPr>
                    <w:t>Risk-based decisions are required when setting standards, assessing works approvals and licence conditions, prioritising compliance and enforcement activity, or determining how to handle a particular pollution incident.</w:t>
                  </w:r>
                  <w:r>
                    <w:rPr>
                      <w:color w:val="58595B"/>
                      <w:position w:val="7"/>
                      <w:sz w:val="11"/>
                    </w:rPr>
                    <w:t>25</w:t>
                  </w:r>
                </w:p>
              </w:txbxContent>
            </v:textbox>
            <w10:wrap type="none"/>
          </v:shape>
        </w:pict>
      </w:r>
      <w:r>
        <w:rPr/>
        <w:pict>
          <v:shape style="position:absolute;margin-left:69.866096pt;margin-top:271.401764pt;width:434.7pt;height:79.5pt;mso-position-horizontal-relative:page;mso-position-vertical-relative:page;z-index:-210952" type="#_x0000_t202" filled="false" stroked="false">
            <v:textbox inset="0,0,0,0">
              <w:txbxContent>
                <w:p>
                  <w:pPr>
                    <w:pStyle w:val="BodyText"/>
                    <w:spacing w:line="280" w:lineRule="auto"/>
                    <w:ind w:right="11"/>
                    <w:rPr>
                      <w:sz w:val="11"/>
                    </w:rPr>
                  </w:pPr>
                  <w:r>
                    <w:rPr>
                      <w:color w:val="58595B"/>
                    </w:rPr>
                    <w:t>Integrating risk presents challenges for governments and regulators for several reasons. Community perceptions of risk may be very different from those of decision makers. For example, the community has relatively little awareness of the risks of poor air quality, and its impacts in terms of deaths compared with the road toll. The OECD estimated that air pollution associated with road transport caused 1,483 deaths in Australia in 2010;</w:t>
                  </w:r>
                  <w:r>
                    <w:rPr>
                      <w:color w:val="58595B"/>
                      <w:position w:val="7"/>
                      <w:sz w:val="11"/>
                    </w:rPr>
                    <w:t>26 </w:t>
                  </w:r>
                  <w:r>
                    <w:rPr>
                      <w:color w:val="58595B"/>
                    </w:rPr>
                    <w:t>by contrast, Australia’s road toll in 2010 was 1,367.</w:t>
                  </w:r>
                  <w:r>
                    <w:rPr>
                      <w:color w:val="58595B"/>
                      <w:position w:val="7"/>
                      <w:sz w:val="11"/>
                    </w:rPr>
                    <w:t>27</w:t>
                  </w:r>
                </w:p>
              </w:txbxContent>
            </v:textbox>
            <w10:wrap type="none"/>
          </v:shape>
        </w:pict>
      </w:r>
      <w:r>
        <w:rPr/>
        <w:pict>
          <v:shape style="position:absolute;margin-left:69.862999pt;margin-top:360.905762pt;width:432.1pt;height:52.5pt;mso-position-horizontal-relative:page;mso-position-vertical-relative:page;z-index:-210928" type="#_x0000_t202" filled="false" stroked="false">
            <v:textbox inset="0,0,0,0">
              <w:txbxContent>
                <w:p>
                  <w:pPr>
                    <w:pStyle w:val="BodyText"/>
                    <w:spacing w:line="280" w:lineRule="auto"/>
                  </w:pPr>
                  <w:r>
                    <w:rPr>
                      <w:color w:val="58595B"/>
                      <w:spacing w:val="-3"/>
                    </w:rPr>
                    <w:t>Similarly,</w:t>
                  </w:r>
                  <w:r>
                    <w:rPr>
                      <w:color w:val="58595B"/>
                      <w:spacing w:val="-8"/>
                    </w:rPr>
                    <w:t> </w:t>
                  </w:r>
                  <w:r>
                    <w:rPr>
                      <w:color w:val="58595B"/>
                    </w:rPr>
                    <w:t>the</w:t>
                  </w:r>
                  <w:r>
                    <w:rPr>
                      <w:color w:val="58595B"/>
                      <w:spacing w:val="-8"/>
                    </w:rPr>
                    <w:t> </w:t>
                  </w:r>
                  <w:r>
                    <w:rPr>
                      <w:color w:val="58595B"/>
                    </w:rPr>
                    <w:t>community’s</w:t>
                  </w:r>
                  <w:r>
                    <w:rPr>
                      <w:color w:val="58595B"/>
                      <w:spacing w:val="-8"/>
                    </w:rPr>
                    <w:t> </w:t>
                  </w:r>
                  <w:r>
                    <w:rPr>
                      <w:color w:val="58595B"/>
                    </w:rPr>
                    <w:t>tolerance</w:t>
                  </w:r>
                  <w:r>
                    <w:rPr>
                      <w:color w:val="58595B"/>
                      <w:spacing w:val="-8"/>
                    </w:rPr>
                    <w:t> </w:t>
                  </w:r>
                  <w:r>
                    <w:rPr>
                      <w:color w:val="58595B"/>
                    </w:rPr>
                    <w:t>of</w:t>
                  </w:r>
                  <w:r>
                    <w:rPr>
                      <w:color w:val="58595B"/>
                      <w:spacing w:val="-8"/>
                    </w:rPr>
                    <w:t> </w:t>
                  </w:r>
                  <w:r>
                    <w:rPr>
                      <w:color w:val="58595B"/>
                    </w:rPr>
                    <w:t>risk</w:t>
                  </w:r>
                  <w:r>
                    <w:rPr>
                      <w:color w:val="58595B"/>
                      <w:spacing w:val="-8"/>
                    </w:rPr>
                    <w:t> </w:t>
                  </w:r>
                  <w:r>
                    <w:rPr>
                      <w:color w:val="58595B"/>
                      <w:spacing w:val="-3"/>
                    </w:rPr>
                    <w:t>(that</w:t>
                  </w:r>
                  <w:r>
                    <w:rPr>
                      <w:color w:val="58595B"/>
                      <w:spacing w:val="-8"/>
                    </w:rPr>
                    <w:t> </w:t>
                  </w:r>
                  <w:r>
                    <w:rPr>
                      <w:color w:val="58595B"/>
                    </w:rPr>
                    <w:t>is,</w:t>
                  </w:r>
                  <w:r>
                    <w:rPr>
                      <w:color w:val="58595B"/>
                      <w:spacing w:val="-8"/>
                    </w:rPr>
                    <w:t> </w:t>
                  </w:r>
                  <w:r>
                    <w:rPr>
                      <w:color w:val="58595B"/>
                    </w:rPr>
                    <w:t>the</w:t>
                  </w:r>
                  <w:r>
                    <w:rPr>
                      <w:color w:val="58595B"/>
                      <w:spacing w:val="-8"/>
                    </w:rPr>
                    <w:t> </w:t>
                  </w:r>
                  <w:r>
                    <w:rPr>
                      <w:color w:val="58595B"/>
                      <w:spacing w:val="-3"/>
                    </w:rPr>
                    <w:t>level</w:t>
                  </w:r>
                  <w:r>
                    <w:rPr>
                      <w:color w:val="58595B"/>
                      <w:spacing w:val="-8"/>
                    </w:rPr>
                    <w:t> </w:t>
                  </w:r>
                  <w:r>
                    <w:rPr>
                      <w:color w:val="58595B"/>
                    </w:rPr>
                    <w:t>of</w:t>
                  </w:r>
                  <w:r>
                    <w:rPr>
                      <w:color w:val="58595B"/>
                      <w:spacing w:val="-8"/>
                    </w:rPr>
                    <w:t> </w:t>
                  </w:r>
                  <w:r>
                    <w:rPr>
                      <w:color w:val="58595B"/>
                    </w:rPr>
                    <w:t>risk</w:t>
                  </w:r>
                  <w:r>
                    <w:rPr>
                      <w:color w:val="58595B"/>
                      <w:spacing w:val="-8"/>
                    </w:rPr>
                    <w:t> </w:t>
                  </w:r>
                  <w:r>
                    <w:rPr>
                      <w:color w:val="58595B"/>
                    </w:rPr>
                    <w:t>that</w:t>
                  </w:r>
                  <w:r>
                    <w:rPr>
                      <w:color w:val="58595B"/>
                      <w:spacing w:val="-8"/>
                    </w:rPr>
                    <w:t> </w:t>
                  </w:r>
                  <w:r>
                    <w:rPr>
                      <w:color w:val="58595B"/>
                      <w:spacing w:val="-3"/>
                    </w:rPr>
                    <w:t>they</w:t>
                  </w:r>
                  <w:r>
                    <w:rPr>
                      <w:color w:val="58595B"/>
                      <w:spacing w:val="-8"/>
                    </w:rPr>
                    <w:t> </w:t>
                  </w:r>
                  <w:r>
                    <w:rPr>
                      <w:color w:val="58595B"/>
                    </w:rPr>
                    <w:t>accept</w:t>
                  </w:r>
                  <w:r>
                    <w:rPr>
                      <w:color w:val="58595B"/>
                      <w:spacing w:val="-8"/>
                    </w:rPr>
                    <w:t> </w:t>
                  </w:r>
                  <w:r>
                    <w:rPr>
                      <w:color w:val="58595B"/>
                    </w:rPr>
                    <w:t>as</w:t>
                  </w:r>
                  <w:r>
                    <w:rPr>
                      <w:color w:val="58595B"/>
                      <w:spacing w:val="-8"/>
                    </w:rPr>
                    <w:t> </w:t>
                  </w:r>
                  <w:r>
                    <w:rPr>
                      <w:color w:val="58595B"/>
                      <w:spacing w:val="-3"/>
                    </w:rPr>
                    <w:t>reasonable) may</w:t>
                  </w:r>
                  <w:r>
                    <w:rPr>
                      <w:color w:val="58595B"/>
                      <w:spacing w:val="-7"/>
                    </w:rPr>
                    <w:t> </w:t>
                  </w:r>
                  <w:r>
                    <w:rPr>
                      <w:color w:val="58595B"/>
                    </w:rPr>
                    <w:t>also</w:t>
                  </w:r>
                  <w:r>
                    <w:rPr>
                      <w:color w:val="58595B"/>
                      <w:spacing w:val="-7"/>
                    </w:rPr>
                    <w:t> </w:t>
                  </w:r>
                  <w:r>
                    <w:rPr>
                      <w:color w:val="58595B"/>
                    </w:rPr>
                    <w:t>differ</w:t>
                  </w:r>
                  <w:r>
                    <w:rPr>
                      <w:color w:val="58595B"/>
                      <w:spacing w:val="-7"/>
                    </w:rPr>
                    <w:t> </w:t>
                  </w:r>
                  <w:r>
                    <w:rPr>
                      <w:color w:val="58595B"/>
                    </w:rPr>
                    <w:t>from</w:t>
                  </w:r>
                  <w:r>
                    <w:rPr>
                      <w:color w:val="58595B"/>
                      <w:spacing w:val="-7"/>
                    </w:rPr>
                    <w:t> </w:t>
                  </w:r>
                  <w:r>
                    <w:rPr>
                      <w:color w:val="58595B"/>
                    </w:rPr>
                    <w:t>that</w:t>
                  </w:r>
                  <w:r>
                    <w:rPr>
                      <w:color w:val="58595B"/>
                      <w:spacing w:val="-7"/>
                    </w:rPr>
                    <w:t> </w:t>
                  </w:r>
                  <w:r>
                    <w:rPr>
                      <w:color w:val="58595B"/>
                    </w:rPr>
                    <w:t>of</w:t>
                  </w:r>
                  <w:r>
                    <w:rPr>
                      <w:color w:val="58595B"/>
                      <w:spacing w:val="-7"/>
                    </w:rPr>
                    <w:t> </w:t>
                  </w:r>
                  <w:r>
                    <w:rPr>
                      <w:color w:val="58595B"/>
                      <w:spacing w:val="-3"/>
                    </w:rPr>
                    <w:t>government.</w:t>
                  </w:r>
                  <w:r>
                    <w:rPr>
                      <w:color w:val="58595B"/>
                      <w:spacing w:val="-7"/>
                    </w:rPr>
                    <w:t> </w:t>
                  </w:r>
                  <w:r>
                    <w:rPr>
                      <w:color w:val="58595B"/>
                    </w:rPr>
                    <w:t>In</w:t>
                  </w:r>
                  <w:r>
                    <w:rPr>
                      <w:color w:val="58595B"/>
                      <w:spacing w:val="-7"/>
                    </w:rPr>
                    <w:t> </w:t>
                  </w:r>
                  <w:r>
                    <w:rPr>
                      <w:color w:val="58595B"/>
                      <w:spacing w:val="-3"/>
                    </w:rPr>
                    <w:t>particular,</w:t>
                  </w:r>
                  <w:r>
                    <w:rPr>
                      <w:color w:val="58595B"/>
                      <w:spacing w:val="-7"/>
                    </w:rPr>
                    <w:t> </w:t>
                  </w:r>
                  <w:r>
                    <w:rPr>
                      <w:color w:val="58595B"/>
                    </w:rPr>
                    <w:t>the</w:t>
                  </w:r>
                  <w:r>
                    <w:rPr>
                      <w:color w:val="58595B"/>
                      <w:spacing w:val="-7"/>
                    </w:rPr>
                    <w:t> </w:t>
                  </w:r>
                  <w:r>
                    <w:rPr>
                      <w:color w:val="58595B"/>
                    </w:rPr>
                    <w:t>community</w:t>
                  </w:r>
                  <w:r>
                    <w:rPr>
                      <w:color w:val="58595B"/>
                      <w:spacing w:val="-7"/>
                    </w:rPr>
                    <w:t> </w:t>
                  </w:r>
                  <w:r>
                    <w:rPr>
                      <w:color w:val="58595B"/>
                      <w:spacing w:val="-3"/>
                    </w:rPr>
                    <w:t>may</w:t>
                  </w:r>
                  <w:r>
                    <w:rPr>
                      <w:color w:val="58595B"/>
                      <w:spacing w:val="-7"/>
                    </w:rPr>
                    <w:t> </w:t>
                  </w:r>
                  <w:r>
                    <w:rPr>
                      <w:color w:val="58595B"/>
                    </w:rPr>
                    <w:t>be</w:t>
                  </w:r>
                  <w:r>
                    <w:rPr>
                      <w:color w:val="58595B"/>
                      <w:spacing w:val="-7"/>
                    </w:rPr>
                    <w:t> </w:t>
                  </w:r>
                  <w:r>
                    <w:rPr>
                      <w:color w:val="58595B"/>
                    </w:rPr>
                    <w:t>less</w:t>
                  </w:r>
                  <w:r>
                    <w:rPr>
                      <w:color w:val="58595B"/>
                      <w:spacing w:val="-7"/>
                    </w:rPr>
                    <w:t> </w:t>
                  </w:r>
                  <w:r>
                    <w:rPr>
                      <w:color w:val="58595B"/>
                    </w:rPr>
                    <w:t>tolerant</w:t>
                  </w:r>
                  <w:r>
                    <w:rPr>
                      <w:color w:val="58595B"/>
                      <w:spacing w:val="-7"/>
                    </w:rPr>
                    <w:t> </w:t>
                  </w:r>
                  <w:r>
                    <w:rPr>
                      <w:color w:val="58595B"/>
                    </w:rPr>
                    <w:t>of</w:t>
                  </w:r>
                  <w:r>
                    <w:rPr>
                      <w:color w:val="58595B"/>
                      <w:spacing w:val="-7"/>
                    </w:rPr>
                    <w:t> </w:t>
                  </w:r>
                  <w:r>
                    <w:rPr>
                      <w:color w:val="58595B"/>
                    </w:rPr>
                    <w:t>risk</w:t>
                  </w:r>
                  <w:r>
                    <w:rPr>
                      <w:color w:val="58595B"/>
                      <w:spacing w:val="-7"/>
                    </w:rPr>
                    <w:t> </w:t>
                  </w:r>
                  <w:r>
                    <w:rPr>
                      <w:color w:val="58595B"/>
                    </w:rPr>
                    <w:t>for things</w:t>
                  </w:r>
                  <w:r>
                    <w:rPr>
                      <w:color w:val="58595B"/>
                      <w:spacing w:val="-10"/>
                    </w:rPr>
                    <w:t> </w:t>
                  </w:r>
                  <w:r>
                    <w:rPr>
                      <w:color w:val="58595B"/>
                    </w:rPr>
                    <w:t>that</w:t>
                  </w:r>
                  <w:r>
                    <w:rPr>
                      <w:color w:val="58595B"/>
                      <w:spacing w:val="-10"/>
                    </w:rPr>
                    <w:t> </w:t>
                  </w:r>
                  <w:r>
                    <w:rPr>
                      <w:color w:val="58595B"/>
                    </w:rPr>
                    <w:t>it</w:t>
                  </w:r>
                  <w:r>
                    <w:rPr>
                      <w:color w:val="58595B"/>
                      <w:spacing w:val="-10"/>
                    </w:rPr>
                    <w:t> </w:t>
                  </w:r>
                  <w:r>
                    <w:rPr>
                      <w:color w:val="58595B"/>
                    </w:rPr>
                    <w:t>cannot</w:t>
                  </w:r>
                  <w:r>
                    <w:rPr>
                      <w:color w:val="58595B"/>
                      <w:spacing w:val="-10"/>
                    </w:rPr>
                    <w:t> </w:t>
                  </w:r>
                  <w:r>
                    <w:rPr>
                      <w:color w:val="58595B"/>
                    </w:rPr>
                    <w:t>control</w:t>
                  </w:r>
                  <w:r>
                    <w:rPr>
                      <w:color w:val="58595B"/>
                      <w:position w:val="7"/>
                      <w:sz w:val="11"/>
                    </w:rPr>
                    <w:t>28</w:t>
                  </w:r>
                  <w:r>
                    <w:rPr>
                      <w:color w:val="58595B"/>
                      <w:spacing w:val="16"/>
                      <w:position w:val="7"/>
                      <w:sz w:val="11"/>
                    </w:rPr>
                    <w:t> </w:t>
                  </w:r>
                  <w:r>
                    <w:rPr>
                      <w:color w:val="58595B"/>
                    </w:rPr>
                    <w:t>–</w:t>
                  </w:r>
                  <w:r>
                    <w:rPr>
                      <w:color w:val="58595B"/>
                      <w:spacing w:val="-10"/>
                    </w:rPr>
                    <w:t> </w:t>
                  </w:r>
                  <w:r>
                    <w:rPr>
                      <w:color w:val="58595B"/>
                    </w:rPr>
                    <w:t>this</w:t>
                  </w:r>
                  <w:r>
                    <w:rPr>
                      <w:color w:val="58595B"/>
                      <w:spacing w:val="-10"/>
                    </w:rPr>
                    <w:t> </w:t>
                  </w:r>
                  <w:r>
                    <w:rPr>
                      <w:color w:val="58595B"/>
                    </w:rPr>
                    <w:t>is</w:t>
                  </w:r>
                  <w:r>
                    <w:rPr>
                      <w:color w:val="58595B"/>
                      <w:spacing w:val="-10"/>
                    </w:rPr>
                    <w:t> </w:t>
                  </w:r>
                  <w:r>
                    <w:rPr>
                      <w:color w:val="58595B"/>
                    </w:rPr>
                    <w:t>particularly</w:t>
                  </w:r>
                  <w:r>
                    <w:rPr>
                      <w:color w:val="58595B"/>
                      <w:spacing w:val="-10"/>
                    </w:rPr>
                    <w:t> </w:t>
                  </w:r>
                  <w:r>
                    <w:rPr>
                      <w:color w:val="58595B"/>
                    </w:rPr>
                    <w:t>significant</w:t>
                  </w:r>
                  <w:r>
                    <w:rPr>
                      <w:color w:val="58595B"/>
                      <w:spacing w:val="-10"/>
                    </w:rPr>
                    <w:t> </w:t>
                  </w:r>
                  <w:r>
                    <w:rPr>
                      <w:color w:val="58595B"/>
                    </w:rPr>
                    <w:t>for</w:t>
                  </w:r>
                  <w:r>
                    <w:rPr>
                      <w:color w:val="58595B"/>
                      <w:spacing w:val="-10"/>
                    </w:rPr>
                    <w:t> </w:t>
                  </w:r>
                  <w:r>
                    <w:rPr>
                      <w:color w:val="58595B"/>
                    </w:rPr>
                    <w:t>an</w:t>
                  </w:r>
                  <w:r>
                    <w:rPr>
                      <w:color w:val="58595B"/>
                      <w:spacing w:val="-10"/>
                    </w:rPr>
                    <w:t> </w:t>
                  </w:r>
                  <w:r>
                    <w:rPr>
                      <w:color w:val="58595B"/>
                      <w:spacing w:val="-3"/>
                    </w:rPr>
                    <w:t>environmental</w:t>
                  </w:r>
                  <w:r>
                    <w:rPr>
                      <w:color w:val="58595B"/>
                      <w:spacing w:val="-10"/>
                    </w:rPr>
                    <w:t> </w:t>
                  </w:r>
                  <w:r>
                    <w:rPr>
                      <w:color w:val="58595B"/>
                    </w:rPr>
                    <w:t>regulator</w:t>
                  </w:r>
                  <w:r>
                    <w:rPr>
                      <w:color w:val="58595B"/>
                      <w:spacing w:val="-10"/>
                    </w:rPr>
                    <w:t> </w:t>
                  </w:r>
                  <w:r>
                    <w:rPr>
                      <w:color w:val="58595B"/>
                    </w:rPr>
                    <w:t>charged with</w:t>
                  </w:r>
                  <w:r>
                    <w:rPr>
                      <w:color w:val="58595B"/>
                      <w:spacing w:val="-13"/>
                    </w:rPr>
                    <w:t> </w:t>
                  </w:r>
                  <w:r>
                    <w:rPr>
                      <w:color w:val="58595B"/>
                    </w:rPr>
                    <w:t>managing</w:t>
                  </w:r>
                  <w:r>
                    <w:rPr>
                      <w:color w:val="58595B"/>
                      <w:spacing w:val="-13"/>
                    </w:rPr>
                    <w:t> </w:t>
                  </w:r>
                  <w:r>
                    <w:rPr>
                      <w:color w:val="58595B"/>
                    </w:rPr>
                    <w:t>risks</w:t>
                  </w:r>
                  <w:r>
                    <w:rPr>
                      <w:color w:val="58595B"/>
                      <w:spacing w:val="-13"/>
                    </w:rPr>
                    <w:t> </w:t>
                  </w:r>
                  <w:r>
                    <w:rPr>
                      <w:color w:val="58595B"/>
                    </w:rPr>
                    <w:t>associated</w:t>
                  </w:r>
                  <w:r>
                    <w:rPr>
                      <w:color w:val="58595B"/>
                      <w:spacing w:val="-13"/>
                    </w:rPr>
                    <w:t> </w:t>
                  </w:r>
                  <w:r>
                    <w:rPr>
                      <w:color w:val="58595B"/>
                    </w:rPr>
                    <w:t>with</w:t>
                  </w:r>
                  <w:r>
                    <w:rPr>
                      <w:color w:val="58595B"/>
                      <w:spacing w:val="-13"/>
                    </w:rPr>
                    <w:t> </w:t>
                  </w:r>
                  <w:r>
                    <w:rPr>
                      <w:color w:val="58595B"/>
                    </w:rPr>
                    <w:t>dispersed</w:t>
                  </w:r>
                  <w:r>
                    <w:rPr>
                      <w:color w:val="58595B"/>
                      <w:spacing w:val="-13"/>
                    </w:rPr>
                    <w:t> </w:t>
                  </w:r>
                  <w:r>
                    <w:rPr>
                      <w:color w:val="58595B"/>
                    </w:rPr>
                    <w:t>pollution</w:t>
                  </w:r>
                  <w:r>
                    <w:rPr>
                      <w:color w:val="58595B"/>
                      <w:spacing w:val="-13"/>
                    </w:rPr>
                    <w:t> </w:t>
                  </w:r>
                  <w:r>
                    <w:rPr>
                      <w:color w:val="58595B"/>
                    </w:rPr>
                    <w:t>such</w:t>
                  </w:r>
                  <w:r>
                    <w:rPr>
                      <w:color w:val="58595B"/>
                      <w:spacing w:val="-13"/>
                    </w:rPr>
                    <w:t> </w:t>
                  </w:r>
                  <w:r>
                    <w:rPr>
                      <w:color w:val="58595B"/>
                    </w:rPr>
                    <w:t>as</w:t>
                  </w:r>
                  <w:r>
                    <w:rPr>
                      <w:color w:val="58595B"/>
                      <w:spacing w:val="-13"/>
                    </w:rPr>
                    <w:t> </w:t>
                  </w:r>
                  <w:r>
                    <w:rPr>
                      <w:color w:val="58595B"/>
                    </w:rPr>
                    <w:t>air</w:t>
                  </w:r>
                  <w:r>
                    <w:rPr>
                      <w:color w:val="58595B"/>
                      <w:spacing w:val="-13"/>
                    </w:rPr>
                    <w:t> </w:t>
                  </w:r>
                  <w:r>
                    <w:rPr>
                      <w:color w:val="58595B"/>
                      <w:spacing w:val="-3"/>
                    </w:rPr>
                    <w:t>quality.</w:t>
                  </w:r>
                </w:p>
              </w:txbxContent>
            </v:textbox>
            <w10:wrap type="none"/>
          </v:shape>
        </w:pict>
      </w:r>
      <w:r>
        <w:rPr/>
        <w:pict>
          <v:shape style="position:absolute;margin-left:69.862999pt;margin-top:423.405762pt;width:413.65pt;height:25.5pt;mso-position-horizontal-relative:page;mso-position-vertical-relative:page;z-index:-210904" type="#_x0000_t202" filled="false" stroked="false">
            <v:textbox inset="0,0,0,0">
              <w:txbxContent>
                <w:p>
                  <w:pPr>
                    <w:pStyle w:val="BodyText"/>
                    <w:spacing w:line="280" w:lineRule="auto"/>
                  </w:pPr>
                  <w:r>
                    <w:rPr>
                      <w:color w:val="58595B"/>
                    </w:rPr>
                    <w:t>Differences in risk tolerance can reflect knowledge and understanding differences, which the government/regulator may be able to address.</w:t>
                  </w:r>
                </w:p>
              </w:txbxContent>
            </v:textbox>
            <w10:wrap type="none"/>
          </v:shape>
        </w:pict>
      </w:r>
      <w:r>
        <w:rPr/>
        <w:pict>
          <v:shape style="position:absolute;margin-left:98.212997pt;margin-top:458.905762pt;width:366.65pt;height:39pt;mso-position-horizontal-relative:page;mso-position-vertical-relative:page;z-index:-210880" type="#_x0000_t202" filled="false" stroked="false">
            <v:textbox inset="0,0,0,0">
              <w:txbxContent>
                <w:p>
                  <w:pPr>
                    <w:spacing w:line="280" w:lineRule="auto" w:before="0"/>
                    <w:ind w:left="20" w:right="0" w:firstLine="0"/>
                    <w:jc w:val="left"/>
                    <w:rPr>
                      <w:sz w:val="20"/>
                    </w:rPr>
                  </w:pPr>
                  <w:r>
                    <w:rPr>
                      <w:i/>
                      <w:color w:val="231F20"/>
                      <w:sz w:val="20"/>
                    </w:rPr>
                    <w:t>Where there is a perception of risk (as opposed to an actual risk), better education of local stakeholders is required. </w:t>
                  </w:r>
                  <w:r>
                    <w:rPr>
                      <w:color w:val="231F20"/>
                      <w:sz w:val="20"/>
                    </w:rPr>
                    <w:t>(Australian Contaminated Land Consultants Association submission, p. 15)</w:t>
                  </w:r>
                </w:p>
              </w:txbxContent>
            </v:textbox>
            <w10:wrap type="none"/>
          </v:shape>
        </w:pict>
      </w:r>
      <w:r>
        <w:rPr/>
        <w:pict>
          <v:shape style="position:absolute;margin-left:69.862999pt;margin-top:507.905762pt;width:431.85pt;height:66pt;mso-position-horizontal-relative:page;mso-position-vertical-relative:page;z-index:-210856" type="#_x0000_t202" filled="false" stroked="false">
            <v:textbox inset="0,0,0,0">
              <w:txbxContent>
                <w:p>
                  <w:pPr>
                    <w:pStyle w:val="BodyText"/>
                    <w:spacing w:line="280" w:lineRule="auto"/>
                    <w:ind w:right="14"/>
                  </w:pPr>
                  <w:r>
                    <w:rPr>
                      <w:color w:val="58595B"/>
                    </w:rPr>
                    <w:t>Other times, however, the differences reflect the community’s lack of trust in the regulator’s actions and information. Therefore, it is vital that the regulator maintain public confidence in its expertise and integrity. In particular, when making their decisions, regulators must communicate, so far as possible, the nature of the risks involved, and the extent to which interventions are likely to manage these risks.</w:t>
                  </w:r>
                </w:p>
              </w:txbxContent>
            </v:textbox>
            <w10:wrap type="none"/>
          </v:shape>
        </w:pict>
      </w:r>
      <w:r>
        <w:rPr/>
        <w:pict>
          <v:shape style="position:absolute;margin-left:69.862999pt;margin-top:583.905762pt;width:429.95pt;height:79.55pt;mso-position-horizontal-relative:page;mso-position-vertical-relative:page;z-index:-210832" type="#_x0000_t202" filled="false" stroked="false">
            <v:textbox inset="0,0,0,0">
              <w:txbxContent>
                <w:p>
                  <w:pPr>
                    <w:pStyle w:val="BodyText"/>
                    <w:spacing w:line="280" w:lineRule="auto"/>
                  </w:pPr>
                  <w:r>
                    <w:rPr>
                      <w:color w:val="58595B"/>
                    </w:rPr>
                    <w:t>The</w:t>
                  </w:r>
                  <w:r>
                    <w:rPr>
                      <w:color w:val="58595B"/>
                      <w:spacing w:val="-11"/>
                    </w:rPr>
                    <w:t> </w:t>
                  </w:r>
                  <w:r>
                    <w:rPr>
                      <w:color w:val="58595B"/>
                    </w:rPr>
                    <w:t>community’s</w:t>
                  </w:r>
                  <w:r>
                    <w:rPr>
                      <w:color w:val="58595B"/>
                      <w:spacing w:val="-11"/>
                    </w:rPr>
                    <w:t> </w:t>
                  </w:r>
                  <w:r>
                    <w:rPr>
                      <w:color w:val="58595B"/>
                    </w:rPr>
                    <w:t>views</w:t>
                  </w:r>
                  <w:r>
                    <w:rPr>
                      <w:color w:val="58595B"/>
                      <w:spacing w:val="-11"/>
                    </w:rPr>
                    <w:t> </w:t>
                  </w:r>
                  <w:r>
                    <w:rPr>
                      <w:color w:val="58595B"/>
                    </w:rPr>
                    <w:t>on</w:t>
                  </w:r>
                  <w:r>
                    <w:rPr>
                      <w:color w:val="58595B"/>
                      <w:spacing w:val="-11"/>
                    </w:rPr>
                    <w:t> </w:t>
                  </w:r>
                  <w:r>
                    <w:rPr>
                      <w:color w:val="58595B"/>
                    </w:rPr>
                    <w:t>risk</w:t>
                  </w:r>
                  <w:r>
                    <w:rPr>
                      <w:color w:val="58595B"/>
                      <w:spacing w:val="-11"/>
                    </w:rPr>
                    <w:t> </w:t>
                  </w:r>
                  <w:r>
                    <w:rPr>
                      <w:color w:val="58595B"/>
                    </w:rPr>
                    <w:t>also</w:t>
                  </w:r>
                  <w:r>
                    <w:rPr>
                      <w:color w:val="58595B"/>
                      <w:spacing w:val="-11"/>
                    </w:rPr>
                    <w:t> </w:t>
                  </w:r>
                  <w:r>
                    <w:rPr>
                      <w:color w:val="58595B"/>
                    </w:rPr>
                    <w:t>change</w:t>
                  </w:r>
                  <w:r>
                    <w:rPr>
                      <w:color w:val="58595B"/>
                      <w:spacing w:val="-11"/>
                    </w:rPr>
                    <w:t> </w:t>
                  </w:r>
                  <w:r>
                    <w:rPr>
                      <w:color w:val="58595B"/>
                      <w:spacing w:val="-3"/>
                    </w:rPr>
                    <w:t>over</w:t>
                  </w:r>
                  <w:r>
                    <w:rPr>
                      <w:color w:val="58595B"/>
                      <w:spacing w:val="-11"/>
                    </w:rPr>
                    <w:t> </w:t>
                  </w:r>
                  <w:r>
                    <w:rPr>
                      <w:color w:val="58595B"/>
                    </w:rPr>
                    <w:t>time.</w:t>
                  </w:r>
                  <w:r>
                    <w:rPr>
                      <w:color w:val="58595B"/>
                      <w:spacing w:val="-11"/>
                    </w:rPr>
                    <w:t> </w:t>
                  </w:r>
                  <w:r>
                    <w:rPr>
                      <w:color w:val="58595B"/>
                    </w:rPr>
                    <w:t>Indeed,</w:t>
                  </w:r>
                  <w:r>
                    <w:rPr>
                      <w:color w:val="58595B"/>
                      <w:spacing w:val="-11"/>
                    </w:rPr>
                    <w:t> </w:t>
                  </w:r>
                  <w:r>
                    <w:rPr>
                      <w:color w:val="58595B"/>
                      <w:spacing w:val="-8"/>
                    </w:rPr>
                    <w:t>‘…</w:t>
                  </w:r>
                  <w:r>
                    <w:rPr>
                      <w:color w:val="58595B"/>
                      <w:spacing w:val="-11"/>
                    </w:rPr>
                    <w:t> </w:t>
                  </w:r>
                  <w:r>
                    <w:rPr>
                      <w:color w:val="58595B"/>
                    </w:rPr>
                    <w:t>critical</w:t>
                  </w:r>
                  <w:r>
                    <w:rPr>
                      <w:color w:val="58595B"/>
                      <w:spacing w:val="-11"/>
                    </w:rPr>
                    <w:t> </w:t>
                  </w:r>
                  <w:r>
                    <w:rPr>
                      <w:color w:val="58595B"/>
                    </w:rPr>
                    <w:t>questioning</w:t>
                  </w:r>
                  <w:r>
                    <w:rPr>
                      <w:color w:val="58595B"/>
                      <w:spacing w:val="-11"/>
                    </w:rPr>
                    <w:t> </w:t>
                  </w:r>
                  <w:r>
                    <w:rPr>
                      <w:color w:val="58595B"/>
                      <w:spacing w:val="-3"/>
                    </w:rPr>
                    <w:t>may</w:t>
                  </w:r>
                  <w:r>
                    <w:rPr>
                      <w:color w:val="58595B"/>
                      <w:spacing w:val="-11"/>
                    </w:rPr>
                    <w:t> </w:t>
                  </w:r>
                  <w:r>
                    <w:rPr>
                      <w:color w:val="58595B"/>
                    </w:rPr>
                    <w:t>indicate a more informed and scientifically </w:t>
                  </w:r>
                  <w:r>
                    <w:rPr>
                      <w:color w:val="58595B"/>
                      <w:spacing w:val="-3"/>
                    </w:rPr>
                    <w:t>literate </w:t>
                  </w:r>
                  <w:r>
                    <w:rPr>
                      <w:color w:val="58595B"/>
                    </w:rPr>
                    <w:t>citizenry’.</w:t>
                  </w:r>
                  <w:r>
                    <w:rPr>
                      <w:color w:val="58595B"/>
                      <w:position w:val="7"/>
                      <w:sz w:val="11"/>
                    </w:rPr>
                    <w:t>29 </w:t>
                  </w:r>
                  <w:r>
                    <w:rPr>
                      <w:color w:val="58595B"/>
                      <w:spacing w:val="-6"/>
                    </w:rPr>
                    <w:t>Today’s </w:t>
                  </w:r>
                  <w:r>
                    <w:rPr>
                      <w:color w:val="58595B"/>
                    </w:rPr>
                    <w:t>community is more </w:t>
                  </w:r>
                  <w:r>
                    <w:rPr>
                      <w:color w:val="58595B"/>
                      <w:spacing w:val="-3"/>
                    </w:rPr>
                    <w:t>aware </w:t>
                  </w:r>
                  <w:r>
                    <w:rPr>
                      <w:color w:val="58595B"/>
                    </w:rPr>
                    <w:t>of the </w:t>
                  </w:r>
                  <w:r>
                    <w:rPr>
                      <w:color w:val="58595B"/>
                      <w:spacing w:val="-3"/>
                    </w:rPr>
                    <w:t>environmental</w:t>
                  </w:r>
                  <w:r>
                    <w:rPr>
                      <w:color w:val="58595B"/>
                      <w:spacing w:val="-10"/>
                    </w:rPr>
                    <w:t> </w:t>
                  </w:r>
                  <w:r>
                    <w:rPr>
                      <w:color w:val="58595B"/>
                    </w:rPr>
                    <w:t>impacts</w:t>
                  </w:r>
                  <w:r>
                    <w:rPr>
                      <w:color w:val="58595B"/>
                      <w:spacing w:val="-10"/>
                    </w:rPr>
                    <w:t> </w:t>
                  </w:r>
                  <w:r>
                    <w:rPr>
                      <w:color w:val="58595B"/>
                    </w:rPr>
                    <w:t>of</w:t>
                  </w:r>
                  <w:r>
                    <w:rPr>
                      <w:color w:val="58595B"/>
                      <w:spacing w:val="-10"/>
                    </w:rPr>
                    <w:t> </w:t>
                  </w:r>
                  <w:r>
                    <w:rPr>
                      <w:color w:val="58595B"/>
                    </w:rPr>
                    <w:t>human</w:t>
                  </w:r>
                  <w:r>
                    <w:rPr>
                      <w:color w:val="58595B"/>
                      <w:spacing w:val="-10"/>
                    </w:rPr>
                    <w:t> </w:t>
                  </w:r>
                  <w:r>
                    <w:rPr>
                      <w:color w:val="58595B"/>
                    </w:rPr>
                    <w:t>activities,</w:t>
                  </w:r>
                  <w:r>
                    <w:rPr>
                      <w:color w:val="58595B"/>
                      <w:spacing w:val="-10"/>
                    </w:rPr>
                    <w:t> </w:t>
                  </w:r>
                  <w:r>
                    <w:rPr>
                      <w:color w:val="58595B"/>
                    </w:rPr>
                    <w:t>and</w:t>
                  </w:r>
                  <w:r>
                    <w:rPr>
                      <w:color w:val="58595B"/>
                      <w:spacing w:val="-10"/>
                    </w:rPr>
                    <w:t> </w:t>
                  </w:r>
                  <w:r>
                    <w:rPr>
                      <w:color w:val="58595B"/>
                    </w:rPr>
                    <w:t>the</w:t>
                  </w:r>
                  <w:r>
                    <w:rPr>
                      <w:color w:val="58595B"/>
                      <w:spacing w:val="-10"/>
                    </w:rPr>
                    <w:t> </w:t>
                  </w:r>
                  <w:r>
                    <w:rPr>
                      <w:color w:val="58595B"/>
                    </w:rPr>
                    <w:t>risks</w:t>
                  </w:r>
                  <w:r>
                    <w:rPr>
                      <w:color w:val="58595B"/>
                      <w:spacing w:val="-10"/>
                    </w:rPr>
                    <w:t> </w:t>
                  </w:r>
                  <w:r>
                    <w:rPr>
                      <w:color w:val="58595B"/>
                    </w:rPr>
                    <w:t>associated</w:t>
                  </w:r>
                  <w:r>
                    <w:rPr>
                      <w:color w:val="58595B"/>
                      <w:spacing w:val="-10"/>
                    </w:rPr>
                    <w:t> </w:t>
                  </w:r>
                  <w:r>
                    <w:rPr>
                      <w:color w:val="58595B"/>
                    </w:rPr>
                    <w:t>with</w:t>
                  </w:r>
                  <w:r>
                    <w:rPr>
                      <w:color w:val="58595B"/>
                      <w:spacing w:val="-10"/>
                    </w:rPr>
                    <w:t> </w:t>
                  </w:r>
                  <w:r>
                    <w:rPr>
                      <w:color w:val="58595B"/>
                    </w:rPr>
                    <w:t>these</w:t>
                  </w:r>
                  <w:r>
                    <w:rPr>
                      <w:color w:val="58595B"/>
                      <w:spacing w:val="-10"/>
                    </w:rPr>
                    <w:t> </w:t>
                  </w:r>
                  <w:r>
                    <w:rPr>
                      <w:color w:val="58595B"/>
                    </w:rPr>
                    <w:t>impacts.</w:t>
                  </w:r>
                  <w:r>
                    <w:rPr>
                      <w:color w:val="58595B"/>
                      <w:spacing w:val="-10"/>
                    </w:rPr>
                    <w:t> </w:t>
                  </w:r>
                  <w:r>
                    <w:rPr>
                      <w:color w:val="58595B"/>
                    </w:rPr>
                    <w:t>What</w:t>
                  </w:r>
                  <w:r>
                    <w:rPr>
                      <w:color w:val="58595B"/>
                      <w:spacing w:val="-10"/>
                    </w:rPr>
                    <w:t> </w:t>
                  </w:r>
                  <w:r>
                    <w:rPr>
                      <w:color w:val="58595B"/>
                      <w:spacing w:val="-4"/>
                    </w:rPr>
                    <w:t>was </w:t>
                  </w:r>
                  <w:r>
                    <w:rPr>
                      <w:color w:val="58595B"/>
                    </w:rPr>
                    <w:t>once acceptable is now no </w:t>
                  </w:r>
                  <w:r>
                    <w:rPr>
                      <w:color w:val="58595B"/>
                      <w:spacing w:val="-4"/>
                    </w:rPr>
                    <w:t>longer. </w:t>
                  </w:r>
                  <w:r>
                    <w:rPr>
                      <w:color w:val="58595B"/>
                      <w:spacing w:val="-3"/>
                    </w:rPr>
                    <w:t>We </w:t>
                  </w:r>
                  <w:r>
                    <w:rPr>
                      <w:color w:val="58595B"/>
                    </w:rPr>
                    <w:t>accept the need for major changes such as phasing out unleaded</w:t>
                  </w:r>
                  <w:r>
                    <w:rPr>
                      <w:color w:val="58595B"/>
                      <w:spacing w:val="-10"/>
                    </w:rPr>
                    <w:t> </w:t>
                  </w:r>
                  <w:r>
                    <w:rPr>
                      <w:color w:val="58595B"/>
                    </w:rPr>
                    <w:t>petrol</w:t>
                  </w:r>
                  <w:r>
                    <w:rPr>
                      <w:color w:val="58595B"/>
                      <w:spacing w:val="-10"/>
                    </w:rPr>
                    <w:t> </w:t>
                  </w:r>
                  <w:r>
                    <w:rPr>
                      <w:color w:val="58595B"/>
                    </w:rPr>
                    <w:t>or</w:t>
                  </w:r>
                  <w:r>
                    <w:rPr>
                      <w:color w:val="58595B"/>
                      <w:spacing w:val="-10"/>
                    </w:rPr>
                    <w:t> </w:t>
                  </w:r>
                  <w:r>
                    <w:rPr>
                      <w:color w:val="58595B"/>
                    </w:rPr>
                    <w:t>incandescent</w:t>
                  </w:r>
                  <w:r>
                    <w:rPr>
                      <w:color w:val="58595B"/>
                      <w:spacing w:val="-10"/>
                    </w:rPr>
                    <w:t> </w:t>
                  </w:r>
                  <w:r>
                    <w:rPr>
                      <w:color w:val="58595B"/>
                    </w:rPr>
                    <w:t>light</w:t>
                  </w:r>
                  <w:r>
                    <w:rPr>
                      <w:color w:val="58595B"/>
                      <w:spacing w:val="-10"/>
                    </w:rPr>
                    <w:t> </w:t>
                  </w:r>
                  <w:r>
                    <w:rPr>
                      <w:color w:val="58595B"/>
                      <w:spacing w:val="-3"/>
                    </w:rPr>
                    <w:t>bulbs,</w:t>
                  </w:r>
                  <w:r>
                    <w:rPr>
                      <w:color w:val="58595B"/>
                      <w:spacing w:val="-10"/>
                    </w:rPr>
                    <w:t> </w:t>
                  </w:r>
                  <w:r>
                    <w:rPr>
                      <w:color w:val="58595B"/>
                    </w:rPr>
                    <w:t>for</w:t>
                  </w:r>
                  <w:r>
                    <w:rPr>
                      <w:color w:val="58595B"/>
                      <w:spacing w:val="-10"/>
                    </w:rPr>
                    <w:t> </w:t>
                  </w:r>
                  <w:r>
                    <w:rPr>
                      <w:color w:val="58595B"/>
                      <w:spacing w:val="-3"/>
                    </w:rPr>
                    <w:t>example,</w:t>
                  </w:r>
                  <w:r>
                    <w:rPr>
                      <w:color w:val="58595B"/>
                      <w:spacing w:val="-10"/>
                    </w:rPr>
                    <w:t> </w:t>
                  </w:r>
                  <w:r>
                    <w:rPr>
                      <w:color w:val="58595B"/>
                    </w:rPr>
                    <w:t>as</w:t>
                  </w:r>
                  <w:r>
                    <w:rPr>
                      <w:color w:val="58595B"/>
                      <w:spacing w:val="-10"/>
                    </w:rPr>
                    <w:t> </w:t>
                  </w:r>
                  <w:r>
                    <w:rPr>
                      <w:color w:val="58595B"/>
                      <w:spacing w:val="-3"/>
                    </w:rPr>
                    <w:t>well</w:t>
                  </w:r>
                  <w:r>
                    <w:rPr>
                      <w:color w:val="58595B"/>
                      <w:spacing w:val="-10"/>
                    </w:rPr>
                    <w:t> </w:t>
                  </w:r>
                  <w:r>
                    <w:rPr>
                      <w:color w:val="58595B"/>
                    </w:rPr>
                    <w:t>as</w:t>
                  </w:r>
                  <w:r>
                    <w:rPr>
                      <w:color w:val="58595B"/>
                      <w:spacing w:val="-10"/>
                    </w:rPr>
                    <w:t> </w:t>
                  </w:r>
                  <w:r>
                    <w:rPr>
                      <w:color w:val="58595B"/>
                    </w:rPr>
                    <w:t>smaller</w:t>
                  </w:r>
                  <w:r>
                    <w:rPr>
                      <w:color w:val="58595B"/>
                      <w:spacing w:val="-10"/>
                    </w:rPr>
                    <w:t> </w:t>
                  </w:r>
                  <w:r>
                    <w:rPr>
                      <w:color w:val="58595B"/>
                    </w:rPr>
                    <w:t>scale</w:t>
                  </w:r>
                  <w:r>
                    <w:rPr>
                      <w:color w:val="58595B"/>
                      <w:spacing w:val="-10"/>
                    </w:rPr>
                    <w:t> </w:t>
                  </w:r>
                  <w:r>
                    <w:rPr>
                      <w:color w:val="58595B"/>
                    </w:rPr>
                    <w:t>changes</w:t>
                  </w:r>
                  <w:r>
                    <w:rPr>
                      <w:color w:val="58595B"/>
                      <w:spacing w:val="-10"/>
                    </w:rPr>
                    <w:t> </w:t>
                  </w:r>
                  <w:r>
                    <w:rPr>
                      <w:color w:val="58595B"/>
                    </w:rPr>
                    <w:t>such</w:t>
                  </w:r>
                  <w:r>
                    <w:rPr>
                      <w:color w:val="58595B"/>
                      <w:spacing w:val="-10"/>
                    </w:rPr>
                    <w:t> </w:t>
                  </w:r>
                  <w:r>
                    <w:rPr>
                      <w:color w:val="58595B"/>
                      <w:spacing w:val="-3"/>
                    </w:rPr>
                    <w:t>as banning </w:t>
                  </w:r>
                  <w:r>
                    <w:rPr>
                      <w:color w:val="58595B"/>
                    </w:rPr>
                    <w:t>backyard</w:t>
                  </w:r>
                  <w:r>
                    <w:rPr>
                      <w:color w:val="58595B"/>
                      <w:spacing w:val="-32"/>
                    </w:rPr>
                    <w:t> </w:t>
                  </w:r>
                  <w:r>
                    <w:rPr>
                      <w:color w:val="58595B"/>
                    </w:rPr>
                    <w:t>incinerators.</w:t>
                  </w:r>
                </w:p>
              </w:txbxContent>
            </v:textbox>
            <w10:wrap type="none"/>
          </v:shape>
        </w:pict>
      </w:r>
      <w:r>
        <w:rPr/>
        <w:pict>
          <v:shape style="position:absolute;margin-left:69.867599pt;margin-top:673.421448pt;width:432.5pt;height:79.5pt;mso-position-horizontal-relative:page;mso-position-vertical-relative:page;z-index:-210808" type="#_x0000_t202" filled="false" stroked="false">
            <v:textbox inset="0,0,0,0">
              <w:txbxContent>
                <w:p>
                  <w:pPr>
                    <w:pStyle w:val="BodyText"/>
                    <w:spacing w:line="280" w:lineRule="auto"/>
                    <w:ind w:right="5"/>
                    <w:rPr>
                      <w:sz w:val="11"/>
                    </w:rPr>
                  </w:pPr>
                  <w:r>
                    <w:rPr>
                      <w:color w:val="58595B"/>
                    </w:rPr>
                    <w:t>Further, expectations about risk will continue to change over time as new and unexpected issues arise, and as our scientific knowledge increases. The current Parliamentary Inquiry into Fiskville demonstrates this evolution, as it is considering chemical hazards, noting ‘the status of PFOS (perfluorooctanesulfonic acid) as an ‘emerging contaminant’ within the international scientific community, [and the] … need to seek further clarification about the risks posed by different levels of PFOS’.</w:t>
                  </w:r>
                  <w:r>
                    <w:rPr>
                      <w:color w:val="58595B"/>
                      <w:position w:val="7"/>
                      <w:sz w:val="11"/>
                    </w:rPr>
                    <w:t>30</w:t>
                  </w:r>
                </w:p>
              </w:txbxContent>
            </v:textbox>
            <w10:wrap type="none"/>
          </v:shape>
        </w:pict>
      </w:r>
      <w:r>
        <w:rPr/>
        <w:pict>
          <v:shape style="position:absolute;margin-left:.0pt;margin-top:44.090015pt;width:60.3pt;height:5.25pt;mso-position-horizontal-relative:page;mso-position-vertical-relative:page;z-index:-210784"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10760"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10736" from="534.996094pt,45.840015pt" to="595.276001pt,45.840015pt" stroked="true" strokeweight="7pt" strokecolor="#0095a7">
            <w10:wrap type="none"/>
          </v:line>
        </w:pict>
      </w:r>
      <w:r>
        <w:rPr/>
        <w:pict>
          <v:shape style="position:absolute;margin-left:269.193909pt;margin-top:40.902756pt;width:230.7pt;height:9.5pt;mso-position-horizontal-relative:page;mso-position-vertical-relative:page;z-index:-210712" type="#_x0000_t202" filled="false" stroked="false">
            <v:textbox inset="0,0,0,0">
              <w:txbxContent>
                <w:p>
                  <w:pPr>
                    <w:spacing w:before="1"/>
                    <w:ind w:left="20" w:right="0" w:firstLine="0"/>
                    <w:jc w:val="left"/>
                    <w:rPr>
                      <w:sz w:val="15"/>
                    </w:rPr>
                  </w:pPr>
                  <w:r>
                    <w:rPr>
                      <w:color w:val="58595B"/>
                      <w:sz w:val="15"/>
                    </w:rPr>
                    <w:t>CHAPTER 4    WHY WE NEED ENVIRONMENTAL REGULATION</w:t>
                  </w:r>
                </w:p>
              </w:txbxContent>
            </v:textbox>
            <w10:wrap type="none"/>
          </v:shape>
        </w:pict>
      </w:r>
      <w:r>
        <w:rPr/>
        <w:pict>
          <v:shape style="position:absolute;margin-left:514.871399pt;margin-top:40.902756pt;width:10.7pt;height:9.5pt;mso-position-horizontal-relative:page;mso-position-vertical-relative:page;z-index:-210688" type="#_x0000_t202" filled="false" stroked="false">
            <v:textbox inset="0,0,0,0">
              <w:txbxContent>
                <w:p>
                  <w:pPr>
                    <w:spacing w:before="1"/>
                    <w:ind w:left="20" w:right="0" w:firstLine="0"/>
                    <w:jc w:val="left"/>
                    <w:rPr>
                      <w:sz w:val="15"/>
                    </w:rPr>
                  </w:pPr>
                  <w:r>
                    <w:rPr>
                      <w:color w:val="58595B"/>
                      <w:sz w:val="15"/>
                    </w:rPr>
                    <w:t>69</w:t>
                  </w:r>
                </w:p>
              </w:txbxContent>
            </v:textbox>
            <w10:wrap type="none"/>
          </v:shape>
        </w:pict>
      </w:r>
      <w:r>
        <w:rPr/>
        <w:pict>
          <v:shape style="position:absolute;margin-left:89.708603pt;margin-top:105.893967pt;width:425.6pt;height:85.2pt;mso-position-horizontal-relative:page;mso-position-vertical-relative:page;z-index:-210664" type="#_x0000_t202" filled="false" stroked="false">
            <v:textbox inset="0,0,0,0">
              <w:txbxContent>
                <w:p>
                  <w:pPr>
                    <w:pStyle w:val="BodyText"/>
                    <w:spacing w:line="224" w:lineRule="exact"/>
                  </w:pPr>
                  <w:r>
                    <w:rPr>
                      <w:color w:val="0095A7"/>
                    </w:rPr>
                    <w:t>4.3.3  Uncertainty and the precautionary principle</w:t>
                  </w:r>
                </w:p>
                <w:p>
                  <w:pPr>
                    <w:pStyle w:val="BodyText"/>
                    <w:spacing w:line="280" w:lineRule="auto" w:before="153"/>
                  </w:pPr>
                  <w:r>
                    <w:rPr>
                      <w:color w:val="58595B"/>
                    </w:rPr>
                    <w:t>Assessing the risks, costs and benefits of environmental regulation is frequently complicated by scientific uncertainty. Particular actions, or the use of particular materials or substances, may pose unknown risks of damage to human health or environmental condition. Uncertainty about the future consequences of current actions (that result in pollution and waste) is particularly important where these actions have irreversible consequences.</w:t>
                  </w:r>
                </w:p>
              </w:txbxContent>
            </v:textbox>
            <w10:wrap type="none"/>
          </v:shape>
        </w:pict>
      </w:r>
      <w:r>
        <w:rPr/>
        <w:pict>
          <v:shape style="position:absolute;margin-left:89.705002pt;margin-top:201.063965pt;width:430.65pt;height:79.55pt;mso-position-horizontal-relative:page;mso-position-vertical-relative:page;z-index:-210640" type="#_x0000_t202" filled="false" stroked="false">
            <v:textbox inset="0,0,0,0">
              <w:txbxContent>
                <w:p>
                  <w:pPr>
                    <w:pStyle w:val="BodyText"/>
                    <w:spacing w:line="280" w:lineRule="auto"/>
                  </w:pPr>
                  <w:r>
                    <w:rPr>
                      <w:color w:val="58595B"/>
                    </w:rPr>
                    <w:t>Currently, the EP Act accounts for this uncertainty via the precautionary principle.</w:t>
                  </w:r>
                  <w:r>
                    <w:rPr>
                      <w:color w:val="58595B"/>
                      <w:position w:val="7"/>
                      <w:sz w:val="11"/>
                    </w:rPr>
                    <w:t>31 </w:t>
                  </w:r>
                  <w:r>
                    <w:rPr>
                      <w:color w:val="58595B"/>
                    </w:rPr>
                    <w:t>The principle states that: (1) if there are threats of serious or irreversible environmental damage, lack of</w:t>
                  </w:r>
                </w:p>
                <w:p>
                  <w:pPr>
                    <w:pStyle w:val="BodyText"/>
                    <w:spacing w:line="280" w:lineRule="auto" w:before="2"/>
                    <w:ind w:right="334"/>
                  </w:pPr>
                  <w:r>
                    <w:rPr>
                      <w:color w:val="58595B"/>
                    </w:rPr>
                    <w:t>full scientific certainty should not be used as a reason for postponing measures to prevent environmental degradation; and (2) decision making should be guided by a careful evaluation to avoid serious or irreversible damage to the environment wherever practicable, and an assessment of the risk-weighted consequences of various options.</w:t>
                  </w:r>
                </w:p>
              </w:txbxContent>
            </v:textbox>
            <w10:wrap type="none"/>
          </v:shape>
        </w:pict>
      </w:r>
      <w:r>
        <w:rPr/>
        <w:pict>
          <v:shape style="position:absolute;margin-left:89.705002pt;margin-top:290.567169pt;width:432.5pt;height:39pt;mso-position-horizontal-relative:page;mso-position-vertical-relative:page;z-index:-210616" type="#_x0000_t202" filled="false" stroked="false">
            <v:textbox inset="0,0,0,0">
              <w:txbxContent>
                <w:p>
                  <w:pPr>
                    <w:pStyle w:val="BodyText"/>
                    <w:spacing w:line="280" w:lineRule="auto"/>
                    <w:ind w:right="5"/>
                  </w:pPr>
                  <w:r>
                    <w:rPr>
                      <w:color w:val="58595B"/>
                    </w:rPr>
                    <w:t>The prevalence of the precautionary principle both in Australia and around the world reflects the generally held expectation that governments should regulate to avoid irreversible harm. However, as the Australian Panel of Experts on Environmental Law noted:</w:t>
                  </w:r>
                </w:p>
              </w:txbxContent>
            </v:textbox>
            <w10:wrap type="none"/>
          </v:shape>
        </w:pict>
      </w:r>
      <w:r>
        <w:rPr/>
        <w:pict>
          <v:shape style="position:absolute;margin-left:118.055pt;margin-top:339.567169pt;width:378.65pt;height:52.5pt;mso-position-horizontal-relative:page;mso-position-vertical-relative:page;z-index:-210592" type="#_x0000_t202" filled="false" stroked="false">
            <v:textbox inset="0,0,0,0">
              <w:txbxContent>
                <w:p>
                  <w:pPr>
                    <w:spacing w:line="280" w:lineRule="auto" w:before="0"/>
                    <w:ind w:left="20" w:right="0" w:firstLine="0"/>
                    <w:jc w:val="left"/>
                    <w:rPr>
                      <w:sz w:val="11"/>
                    </w:rPr>
                  </w:pPr>
                  <w:r>
                    <w:rPr>
                      <w:i/>
                      <w:color w:val="231F20"/>
                      <w:sz w:val="20"/>
                    </w:rPr>
                    <w:t>The precautionary principle … has been subject to many different interpretations and attempted applications. [And therefore in] precautionary decision making, society should have a say in what level of risk and potential harm is acceptable and, where possible, the agreed level of risk should be clearly set out in law.</w:t>
                  </w:r>
                  <w:r>
                    <w:rPr>
                      <w:color w:val="231F20"/>
                      <w:position w:val="7"/>
                      <w:sz w:val="11"/>
                    </w:rPr>
                    <w:t>32</w:t>
                  </w:r>
                </w:p>
              </w:txbxContent>
            </v:textbox>
            <w10:wrap type="none"/>
          </v:shape>
        </w:pict>
      </w:r>
      <w:r>
        <w:rPr/>
        <w:pict>
          <v:shape style="position:absolute;margin-left:89.708603pt;margin-top:404.710327pt;width:426.2pt;height:73.3pt;mso-position-horizontal-relative:page;mso-position-vertical-relative:page;z-index:-210568" type="#_x0000_t202" filled="false" stroked="false">
            <v:textbox inset="0,0,0,0">
              <w:txbxContent>
                <w:p>
                  <w:pPr>
                    <w:spacing w:line="265" w:lineRule="exact" w:before="0"/>
                    <w:ind w:left="20" w:right="1" w:firstLine="0"/>
                    <w:jc w:val="left"/>
                    <w:rPr>
                      <w:sz w:val="24"/>
                    </w:rPr>
                  </w:pPr>
                  <w:r>
                    <w:rPr>
                      <w:color w:val="0095A7"/>
                      <w:sz w:val="24"/>
                    </w:rPr>
                    <w:t>4.4  Community and business expectations of environmental regulation</w:t>
                  </w:r>
                </w:p>
                <w:p>
                  <w:pPr>
                    <w:pStyle w:val="BodyText"/>
                    <w:spacing w:line="280" w:lineRule="auto" w:before="145"/>
                    <w:ind w:right="1"/>
                  </w:pPr>
                  <w:r>
                    <w:rPr>
                      <w:color w:val="58595B"/>
                    </w:rPr>
                    <w:t>Our expectations of each other and of business and government are part of the social contract that underpins society. We expect everyone to play their part and ‘do the right thing’, to abide by the rules and not deliberately act in ways that harm others. Regulators play a key role in setting and enforcing these rules.</w:t>
                  </w:r>
                </w:p>
              </w:txbxContent>
            </v:textbox>
            <w10:wrap type="none"/>
          </v:shape>
        </w:pict>
      </w:r>
      <w:r>
        <w:rPr/>
        <w:pict>
          <v:shape style="position:absolute;margin-left:89.708603pt;margin-top:488.000153pt;width:424.25pt;height:66pt;mso-position-horizontal-relative:page;mso-position-vertical-relative:page;z-index:-210544" type="#_x0000_t202" filled="false" stroked="false">
            <v:textbox inset="0,0,0,0">
              <w:txbxContent>
                <w:p>
                  <w:pPr>
                    <w:pStyle w:val="BodyText"/>
                    <w:spacing w:line="280" w:lineRule="auto"/>
                  </w:pPr>
                  <w:r>
                    <w:rPr>
                      <w:color w:val="58595B"/>
                    </w:rPr>
                    <w:t>For civil society to work, regulators must be responsive to expectations – that is, provide the benefits that the community seeks, and apply the rules fairly – or trust erodes. When regulators do not meet expectations, this can affect stakeholders (in terms of time and regulatory burden, frustration and concern) and society as a whole, including reducing the legitimacy, and thus the regulator’s effectiveness and influence.</w:t>
                  </w:r>
                </w:p>
              </w:txbxContent>
            </v:textbox>
            <w10:wrap type="none"/>
          </v:shape>
        </w:pict>
      </w:r>
      <w:r>
        <w:rPr/>
        <w:pict>
          <v:shape style="position:absolute;margin-left:89.708603pt;margin-top:564.000183pt;width:435.2pt;height:66pt;mso-position-horizontal-relative:page;mso-position-vertical-relative:page;z-index:-210520" type="#_x0000_t202" filled="false" stroked="false">
            <v:textbox inset="0,0,0,0">
              <w:txbxContent>
                <w:p>
                  <w:pPr>
                    <w:pStyle w:val="BodyText"/>
                    <w:spacing w:line="280" w:lineRule="auto"/>
                    <w:ind w:right="-9"/>
                  </w:pPr>
                  <w:r>
                    <w:rPr>
                      <w:color w:val="58595B"/>
                    </w:rPr>
                    <w:t>Regulators should not seek simply to identify and meet expectations. Expectations are not always well informed. They are influenced by what the stakeholders understand and trust. In this context, the regulator’s expertise, authority and level of community trust is critically important. This is particularly relevant to the EPA as a science-based regulator that deals with evolving knowledge and changing risk profiles.</w:t>
                  </w:r>
                </w:p>
              </w:txbxContent>
            </v:textbox>
            <w10:wrap type="none"/>
          </v:shape>
        </w:pict>
      </w:r>
      <w:r>
        <w:rPr/>
        <w:pict>
          <v:shape style="position:absolute;margin-left:89.708603pt;margin-top:640.000183pt;width:420.75pt;height:39pt;mso-position-horizontal-relative:page;mso-position-vertical-relative:page;z-index:-210496" type="#_x0000_t202" filled="false" stroked="false">
            <v:textbox inset="0,0,0,0">
              <w:txbxContent>
                <w:p>
                  <w:pPr>
                    <w:pStyle w:val="BodyText"/>
                    <w:spacing w:line="280" w:lineRule="auto"/>
                  </w:pPr>
                  <w:r>
                    <w:rPr>
                      <w:color w:val="58595B"/>
                    </w:rPr>
                    <w:t>Expectations also evolve. As our incomes rise, we are less tolerant of conditions that harm our wellbeing, for example. Similarly, we expect regulators to use available technologies to deliver their services as efficiently as possible. This can help minimise regulatory burdens.</w:t>
                  </w:r>
                </w:p>
              </w:txbxContent>
            </v:textbox>
            <w10:wrap type="none"/>
          </v:shape>
        </w:pict>
      </w:r>
      <w:r>
        <w:rPr/>
        <w:pict>
          <v:shape style="position:absolute;margin-left:89.708603pt;margin-top:689.000183pt;width:435.7pt;height:79.5pt;mso-position-horizontal-relative:page;mso-position-vertical-relative:page;z-index:-210472" type="#_x0000_t202" filled="false" stroked="false">
            <v:textbox inset="0,0,0,0">
              <w:txbxContent>
                <w:p>
                  <w:pPr>
                    <w:pStyle w:val="BodyText"/>
                    <w:spacing w:line="280" w:lineRule="auto"/>
                    <w:ind w:right="13"/>
                  </w:pPr>
                  <w:r>
                    <w:rPr>
                      <w:color w:val="58595B"/>
                    </w:rPr>
                    <w:t>So, regulators (including the EPA) must manage (inform and influence) and meet expectations through time. They must develop relationships with stakeholders, through stakeholder engagement, so they can inform and stay abreast of expectations. They also need to demonstrate capabilities that build trust in the regulator and the information it provides. This information is important in shaping expectations, for example, about acceptable levels of risk and priorities for regulatory interventions.</w:t>
                  </w:r>
                </w:p>
              </w:txbxContent>
            </v:textbox>
            <w10:wrap type="none"/>
          </v:shape>
        </w:pict>
      </w:r>
      <w:r>
        <w:rPr/>
        <w:pict>
          <v:shape style="position:absolute;margin-left:534.996094pt;margin-top:44.090015pt;width:60.3pt;height:5.25pt;mso-position-horizontal-relative:page;mso-position-vertical-relative:page;z-index:-21044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10424"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10400" from=".0pt,45.840015pt" to="60.2791pt,45.840015pt" stroked="true" strokeweight="7pt" strokecolor="#0095a7">
            <w10:wrap type="none"/>
          </v:line>
        </w:pict>
      </w:r>
      <w:r>
        <w:rPr/>
        <w:pict>
          <v:shape style="position:absolute;margin-left:69.866096pt;margin-top:40.902756pt;width:173.3pt;height:9.5pt;mso-position-horizontal-relative:page;mso-position-vertical-relative:page;z-index:-210376" type="#_x0000_t202" filled="false" stroked="false">
            <v:textbox inset="0,0,0,0">
              <w:txbxContent>
                <w:p>
                  <w:pPr>
                    <w:tabs>
                      <w:tab w:pos="530" w:val="left" w:leader="none"/>
                    </w:tabs>
                    <w:spacing w:before="1"/>
                    <w:ind w:left="20" w:right="0" w:firstLine="0"/>
                    <w:jc w:val="left"/>
                    <w:rPr>
                      <w:sz w:val="15"/>
                    </w:rPr>
                  </w:pPr>
                  <w:r>
                    <w:rPr>
                      <w:color w:val="58595B"/>
                      <w:sz w:val="15"/>
                    </w:rPr>
                    <w:t>70</w:t>
                    <w:tab/>
                  </w:r>
                  <w:r>
                    <w:rPr>
                      <w:color w:val="58595B"/>
                      <w:spacing w:val="3"/>
                      <w:sz w:val="15"/>
                    </w:rPr>
                    <w:t>INDEPENDENT </w:t>
                  </w:r>
                  <w:r>
                    <w:rPr>
                      <w:color w:val="58595B"/>
                      <w:spacing w:val="2"/>
                      <w:sz w:val="15"/>
                    </w:rPr>
                    <w:t>INQUIRY </w:t>
                  </w:r>
                  <w:r>
                    <w:rPr>
                      <w:color w:val="58595B"/>
                      <w:sz w:val="15"/>
                    </w:rPr>
                    <w:t>INTO </w:t>
                  </w:r>
                  <w:r>
                    <w:rPr>
                      <w:color w:val="58595B"/>
                      <w:spacing w:val="3"/>
                      <w:sz w:val="15"/>
                    </w:rPr>
                    <w:t>THE</w:t>
                  </w:r>
                  <w:r>
                    <w:rPr>
                      <w:color w:val="58595B"/>
                      <w:spacing w:val="17"/>
                      <w:sz w:val="15"/>
                    </w:rPr>
                    <w:t> </w:t>
                  </w:r>
                  <w:r>
                    <w:rPr>
                      <w:color w:val="58595B"/>
                      <w:sz w:val="15"/>
                    </w:rPr>
                    <w:t>EPA</w:t>
                  </w:r>
                </w:p>
              </w:txbxContent>
            </v:textbox>
            <w10:wrap type="none"/>
          </v:shape>
        </w:pict>
      </w:r>
      <w:r>
        <w:rPr/>
        <w:pict>
          <v:shape style="position:absolute;margin-left:69.866096pt;margin-top:105.72934pt;width:435.4pt;height:86.8pt;mso-position-horizontal-relative:page;mso-position-vertical-relative:page;z-index:-210352" type="#_x0000_t202" filled="false" stroked="false">
            <v:textbox inset="0,0,0,0">
              <w:txbxContent>
                <w:p>
                  <w:pPr>
                    <w:spacing w:line="265" w:lineRule="exact" w:before="0"/>
                    <w:ind w:left="20" w:right="3" w:firstLine="0"/>
                    <w:jc w:val="left"/>
                    <w:rPr>
                      <w:sz w:val="24"/>
                    </w:rPr>
                  </w:pPr>
                  <w:r>
                    <w:rPr>
                      <w:color w:val="0095A7"/>
                      <w:sz w:val="24"/>
                    </w:rPr>
                    <w:t>4.5  Defining expectations of the EPA</w:t>
                  </w:r>
                </w:p>
                <w:p>
                  <w:pPr>
                    <w:pStyle w:val="BodyText"/>
                    <w:spacing w:line="280" w:lineRule="auto" w:before="145"/>
                    <w:ind w:right="3"/>
                  </w:pPr>
                  <w:r>
                    <w:rPr>
                      <w:color w:val="58595B"/>
                    </w:rPr>
                    <w:t>In considering expectations of the EPA, we looked at how the regulator organises and conducts itself, and what outcomes or benefits to expect from environmental regulation. We drew on the literature about regulatory governance and on the views we had heard from the community during our consultations. Indeed, the two strands of expectations – outcomes and conduct – are aptly captured by the Hume Residents Airport Action Group (submission, p. 3):</w:t>
                  </w:r>
                </w:p>
              </w:txbxContent>
            </v:textbox>
            <w10:wrap type="none"/>
          </v:shape>
        </w:pict>
      </w:r>
      <w:r>
        <w:rPr/>
        <w:pict>
          <v:shape style="position:absolute;margin-left:98.216103pt;margin-top:202.519272pt;width:356.85pt;height:25.5pt;mso-position-horizontal-relative:page;mso-position-vertical-relative:page;z-index:-210328" type="#_x0000_t202" filled="false" stroked="false">
            <v:textbox inset="0,0,0,0">
              <w:txbxContent>
                <w:p>
                  <w:pPr>
                    <w:spacing w:line="280" w:lineRule="auto" w:before="0"/>
                    <w:ind w:left="20" w:right="14" w:firstLine="0"/>
                    <w:jc w:val="left"/>
                    <w:rPr>
                      <w:i/>
                      <w:sz w:val="20"/>
                    </w:rPr>
                  </w:pPr>
                  <w:r>
                    <w:rPr>
                      <w:i/>
                      <w:color w:val="231F20"/>
                      <w:sz w:val="20"/>
                    </w:rPr>
                    <w:t>We have an expectation that our health is of paramount importance and that our state authorities are acting in our best interest.</w:t>
                  </w:r>
                </w:p>
              </w:txbxContent>
            </v:textbox>
            <w10:wrap type="none"/>
          </v:shape>
        </w:pict>
      </w:r>
      <w:r>
        <w:rPr/>
        <w:pict>
          <v:shape style="position:absolute;margin-left:69.866096pt;margin-top:242.279266pt;width:429.3pt;height:85.2pt;mso-position-horizontal-relative:page;mso-position-vertical-relative:page;z-index:-210304" type="#_x0000_t202" filled="false" stroked="false">
            <v:textbox inset="0,0,0,0">
              <w:txbxContent>
                <w:p>
                  <w:pPr>
                    <w:pStyle w:val="BodyText"/>
                    <w:spacing w:line="224" w:lineRule="exact"/>
                    <w:ind w:right="17"/>
                  </w:pPr>
                  <w:r>
                    <w:rPr>
                      <w:color w:val="0095A7"/>
                    </w:rPr>
                    <w:t>4.5.1  The conduct of the regulator</w:t>
                  </w:r>
                </w:p>
                <w:p>
                  <w:pPr>
                    <w:pStyle w:val="BodyText"/>
                    <w:spacing w:line="280" w:lineRule="auto" w:before="153"/>
                    <w:ind w:right="17"/>
                  </w:pPr>
                  <w:r>
                    <w:rPr>
                      <w:color w:val="58595B"/>
                    </w:rPr>
                    <w:t>As with all government agencies, the community expects the EPA to be efficient and effective; businesses expect the EPA to keep regulatory burden to the minimum required to achieve the regulatory objective. The community and businesses expect the EPA to have fair and accessible processes. These expectations cover how the EPA executes its formal statutory responsibilities, how it engages with stakeholders and how it interacts with other parts of government.</w:t>
                  </w:r>
                </w:p>
              </w:txbxContent>
            </v:textbox>
            <w10:wrap type="none"/>
          </v:shape>
        </w:pict>
      </w:r>
      <w:r>
        <w:rPr/>
        <w:pict>
          <v:shape style="position:absolute;margin-left:69.866096pt;margin-top:337.44928pt;width:421.75pt;height:39pt;mso-position-horizontal-relative:page;mso-position-vertical-relative:page;z-index:-210280" type="#_x0000_t202" filled="false" stroked="false">
            <v:textbox inset="0,0,0,0">
              <w:txbxContent>
                <w:p>
                  <w:pPr>
                    <w:pStyle w:val="BodyText"/>
                    <w:spacing w:line="280" w:lineRule="auto"/>
                  </w:pPr>
                  <w:r>
                    <w:rPr>
                      <w:color w:val="58595B"/>
                    </w:rPr>
                    <w:t>The community and business expect regulators to be independent. The EPA is expected to act in the public interest, which means it must navigate between the often competing needs of citizens and regulated entities.</w:t>
                  </w:r>
                </w:p>
              </w:txbxContent>
            </v:textbox>
            <w10:wrap type="none"/>
          </v:shape>
        </w:pict>
      </w:r>
      <w:r>
        <w:rPr/>
        <w:pict>
          <v:shape style="position:absolute;margin-left:69.866096pt;margin-top:386.44928pt;width:411.8pt;height:39pt;mso-position-horizontal-relative:page;mso-position-vertical-relative:page;z-index:-210256" type="#_x0000_t202" filled="false" stroked="false">
            <v:textbox inset="0,0,0,0">
              <w:txbxContent>
                <w:p>
                  <w:pPr>
                    <w:pStyle w:val="BodyText"/>
                    <w:spacing w:line="280" w:lineRule="auto"/>
                    <w:ind w:right="13"/>
                  </w:pPr>
                  <w:r>
                    <w:rPr>
                      <w:color w:val="58595B"/>
                    </w:rPr>
                    <w:t>As a science-based regulator, the community expects the EPA to keep standards up to date, to make evidence-based decisions, and to apply risk-based proportionate interventions.</w:t>
                  </w:r>
                </w:p>
                <w:p>
                  <w:pPr>
                    <w:pStyle w:val="BodyText"/>
                    <w:spacing w:before="2"/>
                    <w:ind w:right="13"/>
                  </w:pPr>
                  <w:r>
                    <w:rPr>
                      <w:color w:val="58595B"/>
                    </w:rPr>
                    <w:t>Transparency is expected and is an important component in maintaining trust in the EPA.</w:t>
                  </w:r>
                </w:p>
              </w:txbxContent>
            </v:textbox>
            <w10:wrap type="none"/>
          </v:shape>
        </w:pict>
      </w:r>
      <w:r>
        <w:rPr/>
        <w:pict>
          <v:shape style="position:absolute;margin-left:69.866096pt;margin-top:439.709259pt;width:435.35pt;height:175.35pt;mso-position-horizontal-relative:page;mso-position-vertical-relative:page;z-index:-210232" type="#_x0000_t202" filled="false" stroked="false">
            <v:textbox inset="0,0,0,0">
              <w:txbxContent>
                <w:p>
                  <w:pPr>
                    <w:pStyle w:val="BodyText"/>
                    <w:spacing w:line="224" w:lineRule="exact"/>
                  </w:pPr>
                  <w:r>
                    <w:rPr>
                      <w:color w:val="0095A7"/>
                    </w:rPr>
                    <w:t>4.5.2  The outcomes community expects from effective environmental regulation</w:t>
                  </w:r>
                </w:p>
                <w:p>
                  <w:pPr>
                    <w:pStyle w:val="BodyText"/>
                    <w:spacing w:line="280" w:lineRule="auto" w:before="153"/>
                  </w:pPr>
                  <w:r>
                    <w:rPr>
                      <w:color w:val="58595B"/>
                    </w:rPr>
                    <w:t>The EPA’s protective task involves creating value for Victorians by maintaining the following outcomes that rely on a healthy environment:</w:t>
                  </w:r>
                </w:p>
                <w:p>
                  <w:pPr>
                    <w:pStyle w:val="ListParagraph"/>
                    <w:numPr>
                      <w:ilvl w:val="0"/>
                      <w:numId w:val="5"/>
                    </w:numPr>
                    <w:tabs>
                      <w:tab w:pos="190" w:val="left" w:leader="none"/>
                    </w:tabs>
                    <w:spacing w:line="280" w:lineRule="auto" w:before="115" w:after="0"/>
                    <w:ind w:left="190" w:right="17" w:hanging="170"/>
                    <w:jc w:val="left"/>
                    <w:rPr>
                      <w:sz w:val="20"/>
                    </w:rPr>
                  </w:pPr>
                  <w:r>
                    <w:rPr>
                      <w:b/>
                      <w:i/>
                      <w:color w:val="58595B"/>
                      <w:sz w:val="20"/>
                    </w:rPr>
                    <w:t>Human health and safety outcomes </w:t>
                  </w:r>
                  <w:r>
                    <w:rPr>
                      <w:color w:val="58595B"/>
                      <w:sz w:val="20"/>
                    </w:rPr>
                    <w:t>– including clean air and </w:t>
                  </w:r>
                  <w:r>
                    <w:rPr>
                      <w:color w:val="58595B"/>
                      <w:spacing w:val="-3"/>
                      <w:sz w:val="20"/>
                    </w:rPr>
                    <w:t>water, </w:t>
                  </w:r>
                  <w:r>
                    <w:rPr>
                      <w:color w:val="58595B"/>
                      <w:sz w:val="20"/>
                    </w:rPr>
                    <w:t>soil that is safe to live on, the ability to sleep without being disturbed by excessive</w:t>
                  </w:r>
                  <w:r>
                    <w:rPr>
                      <w:color w:val="58595B"/>
                      <w:spacing w:val="-5"/>
                      <w:sz w:val="20"/>
                    </w:rPr>
                    <w:t> </w:t>
                  </w:r>
                  <w:r>
                    <w:rPr>
                      <w:color w:val="58595B"/>
                      <w:sz w:val="20"/>
                    </w:rPr>
                    <w:t>noise</w:t>
                  </w:r>
                </w:p>
                <w:p>
                  <w:pPr>
                    <w:pStyle w:val="ListParagraph"/>
                    <w:numPr>
                      <w:ilvl w:val="0"/>
                      <w:numId w:val="5"/>
                    </w:numPr>
                    <w:tabs>
                      <w:tab w:pos="190" w:val="left" w:leader="none"/>
                    </w:tabs>
                    <w:spacing w:line="280" w:lineRule="auto" w:before="115" w:after="0"/>
                    <w:ind w:left="190" w:right="682" w:hanging="170"/>
                    <w:jc w:val="left"/>
                    <w:rPr>
                      <w:sz w:val="20"/>
                    </w:rPr>
                  </w:pPr>
                  <w:r>
                    <w:rPr>
                      <w:b/>
                      <w:i/>
                      <w:color w:val="58595B"/>
                      <w:sz w:val="20"/>
                    </w:rPr>
                    <w:t>Human wellbeing outcomes </w:t>
                  </w:r>
                  <w:r>
                    <w:rPr>
                      <w:color w:val="58595B"/>
                      <w:sz w:val="20"/>
                    </w:rPr>
                    <w:t>– including clean water for recreation, living environments without excessive and unpleasant odour and noise, a lack of visible waste and</w:t>
                  </w:r>
                  <w:r>
                    <w:rPr>
                      <w:color w:val="58595B"/>
                      <w:spacing w:val="-16"/>
                      <w:sz w:val="20"/>
                    </w:rPr>
                    <w:t> </w:t>
                  </w:r>
                  <w:r>
                    <w:rPr>
                      <w:color w:val="58595B"/>
                      <w:sz w:val="20"/>
                    </w:rPr>
                    <w:t>litter</w:t>
                  </w:r>
                </w:p>
                <w:p>
                  <w:pPr>
                    <w:pStyle w:val="ListParagraph"/>
                    <w:numPr>
                      <w:ilvl w:val="0"/>
                      <w:numId w:val="5"/>
                    </w:numPr>
                    <w:tabs>
                      <w:tab w:pos="190" w:val="left" w:leader="none"/>
                    </w:tabs>
                    <w:spacing w:line="280" w:lineRule="auto" w:before="115" w:after="0"/>
                    <w:ind w:left="190" w:right="286" w:hanging="170"/>
                    <w:jc w:val="left"/>
                    <w:rPr>
                      <w:sz w:val="20"/>
                    </w:rPr>
                  </w:pPr>
                  <w:r>
                    <w:rPr>
                      <w:b/>
                      <w:i/>
                      <w:color w:val="58595B"/>
                      <w:sz w:val="20"/>
                    </w:rPr>
                    <w:t>Productive use outcomes </w:t>
                  </w:r>
                  <w:r>
                    <w:rPr>
                      <w:color w:val="58595B"/>
                      <w:sz w:val="20"/>
                    </w:rPr>
                    <w:t>– including land suitable for agriculture, buildings and structures, water suitable for stock and for industrial</w:t>
                  </w:r>
                  <w:r>
                    <w:rPr>
                      <w:color w:val="58595B"/>
                      <w:spacing w:val="-1"/>
                      <w:sz w:val="20"/>
                    </w:rPr>
                    <w:t> </w:t>
                  </w:r>
                  <w:r>
                    <w:rPr>
                      <w:color w:val="58595B"/>
                      <w:sz w:val="20"/>
                    </w:rPr>
                    <w:t>use</w:t>
                  </w:r>
                </w:p>
                <w:p>
                  <w:pPr>
                    <w:pStyle w:val="ListParagraph"/>
                    <w:numPr>
                      <w:ilvl w:val="0"/>
                      <w:numId w:val="5"/>
                    </w:numPr>
                    <w:tabs>
                      <w:tab w:pos="190" w:val="left" w:leader="none"/>
                    </w:tabs>
                    <w:spacing w:line="280" w:lineRule="auto" w:before="115" w:after="0"/>
                    <w:ind w:left="190" w:right="1089" w:hanging="170"/>
                    <w:jc w:val="left"/>
                    <w:rPr>
                      <w:sz w:val="20"/>
                    </w:rPr>
                  </w:pPr>
                  <w:r>
                    <w:rPr>
                      <w:b/>
                      <w:i/>
                      <w:color w:val="58595B"/>
                      <w:sz w:val="20"/>
                    </w:rPr>
                    <w:t>A healthy environment in its own right and for future </w:t>
                  </w:r>
                  <w:r>
                    <w:rPr>
                      <w:color w:val="58595B"/>
                      <w:sz w:val="20"/>
                    </w:rPr>
                    <w:t>– as a result of functioning ecosystems that maintain themselves through</w:t>
                  </w:r>
                  <w:r>
                    <w:rPr>
                      <w:color w:val="58595B"/>
                      <w:spacing w:val="-5"/>
                      <w:sz w:val="20"/>
                    </w:rPr>
                    <w:t> </w:t>
                  </w:r>
                  <w:r>
                    <w:rPr>
                      <w:color w:val="58595B"/>
                      <w:sz w:val="20"/>
                    </w:rPr>
                    <w:t>time.</w:t>
                  </w:r>
                </w:p>
              </w:txbxContent>
            </v:textbox>
            <w10:wrap type="none"/>
          </v:shape>
        </w:pict>
      </w:r>
      <w:r>
        <w:rPr/>
        <w:pict>
          <v:shape style="position:absolute;margin-left:69.866096pt;margin-top:625.059265pt;width:416.05pt;height:39pt;mso-position-horizontal-relative:page;mso-position-vertical-relative:page;z-index:-210208" type="#_x0000_t202" filled="false" stroked="false">
            <v:textbox inset="0,0,0,0">
              <w:txbxContent>
                <w:p>
                  <w:pPr>
                    <w:pStyle w:val="BodyText"/>
                    <w:spacing w:line="280" w:lineRule="auto"/>
                  </w:pPr>
                  <w:r>
                    <w:rPr>
                      <w:color w:val="58595B"/>
                    </w:rPr>
                    <w:t>These outcomes are at the heart of governmental environment protection policies and can be categorised in a variety of ways. They also encompass the various ‘beneficial uses’ currently listed in the state environment protection policies.</w:t>
                  </w:r>
                </w:p>
              </w:txbxContent>
            </v:textbox>
            <w10:wrap type="none"/>
          </v:shape>
        </w:pict>
      </w:r>
      <w:r>
        <w:rPr/>
        <w:pict>
          <v:shape style="position:absolute;margin-left:69.866096pt;margin-top:674.059265pt;width:434.1pt;height:66pt;mso-position-horizontal-relative:page;mso-position-vertical-relative:page;z-index:-210184" type="#_x0000_t202" filled="false" stroked="false">
            <v:textbox inset="0,0,0,0">
              <w:txbxContent>
                <w:p>
                  <w:pPr>
                    <w:pStyle w:val="BodyText"/>
                    <w:spacing w:line="280" w:lineRule="auto"/>
                    <w:ind w:right="31"/>
                  </w:pPr>
                  <w:r>
                    <w:rPr>
                      <w:color w:val="58595B"/>
                    </w:rPr>
                    <w:t>The community expects the </w:t>
                  </w:r>
                  <w:r>
                    <w:rPr>
                      <w:color w:val="58595B"/>
                      <w:spacing w:val="-4"/>
                    </w:rPr>
                    <w:t>EPA </w:t>
                  </w:r>
                  <w:r>
                    <w:rPr>
                      <w:color w:val="58595B"/>
                    </w:rPr>
                    <w:t>to maintain these benefits that sustain our standard of living. The </w:t>
                  </w:r>
                  <w:r>
                    <w:rPr>
                      <w:i/>
                      <w:color w:val="58595B"/>
                    </w:rPr>
                    <w:t>level </w:t>
                  </w:r>
                  <w:r>
                    <w:rPr>
                      <w:color w:val="58595B"/>
                    </w:rPr>
                    <w:t>at which society expects the </w:t>
                  </w:r>
                  <w:r>
                    <w:rPr>
                      <w:color w:val="58595B"/>
                      <w:spacing w:val="-4"/>
                    </w:rPr>
                    <w:t>EPA </w:t>
                  </w:r>
                  <w:r>
                    <w:rPr>
                      <w:color w:val="58595B"/>
                    </w:rPr>
                    <w:t>to maintain these benefits, </w:t>
                  </w:r>
                  <w:r>
                    <w:rPr>
                      <w:color w:val="58595B"/>
                      <w:spacing w:val="-3"/>
                    </w:rPr>
                    <w:t>however, </w:t>
                  </w:r>
                  <w:r>
                    <w:rPr>
                      <w:color w:val="58595B"/>
                    </w:rPr>
                    <w:t>is more ambiguous. Expectations about the level of benefits are not always clear or consistent or uniform. Different stakeholders will have different views. And there are rarely transparent processes for us to define our tolerance for</w:t>
                  </w:r>
                  <w:r>
                    <w:rPr>
                      <w:color w:val="58595B"/>
                      <w:spacing w:val="9"/>
                    </w:rPr>
                    <w:t> </w:t>
                  </w:r>
                  <w:r>
                    <w:rPr>
                      <w:color w:val="58595B"/>
                    </w:rPr>
                    <w:t>risk.</w:t>
                  </w:r>
                </w:p>
              </w:txbxContent>
            </v:textbox>
            <w10:wrap type="none"/>
          </v:shape>
        </w:pict>
      </w:r>
      <w:r>
        <w:rPr/>
        <w:pict>
          <v:shape style="position:absolute;margin-left:.0pt;margin-top:44.090015pt;width:60.3pt;height:5.25pt;mso-position-horizontal-relative:page;mso-position-vertical-relative:page;z-index:-21016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1013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10112" from="534.996094pt,45.840015pt" to="595.276001pt,45.840015pt" stroked="true" strokeweight="7pt" strokecolor="#0095a7">
            <w10:wrap type="none"/>
          </v:line>
        </w:pict>
      </w:r>
      <w:r>
        <w:rPr/>
        <w:pict>
          <v:shape style="position:absolute;margin-left:269.197693pt;margin-top:40.902756pt;width:230.7pt;height:9.5pt;mso-position-horizontal-relative:page;mso-position-vertical-relative:page;z-index:-210088" type="#_x0000_t202" filled="false" stroked="false">
            <v:textbox inset="0,0,0,0">
              <w:txbxContent>
                <w:p>
                  <w:pPr>
                    <w:spacing w:before="1"/>
                    <w:ind w:left="20" w:right="0" w:firstLine="0"/>
                    <w:jc w:val="left"/>
                    <w:rPr>
                      <w:sz w:val="15"/>
                    </w:rPr>
                  </w:pPr>
                  <w:r>
                    <w:rPr>
                      <w:color w:val="58595B"/>
                      <w:sz w:val="15"/>
                    </w:rPr>
                    <w:t>CHAPTER 4    WHY WE NEED ENVIRONMENTAL REGULATION</w:t>
                  </w:r>
                </w:p>
              </w:txbxContent>
            </v:textbox>
            <w10:wrap type="none"/>
          </v:shape>
        </w:pict>
      </w:r>
      <w:r>
        <w:rPr/>
        <w:pict>
          <v:shape style="position:absolute;margin-left:515.347717pt;margin-top:40.902756pt;width:9.75pt;height:9.5pt;mso-position-horizontal-relative:page;mso-position-vertical-relative:page;z-index:-210064" type="#_x0000_t202" filled="false" stroked="false">
            <v:textbox inset="0,0,0,0">
              <w:txbxContent>
                <w:p>
                  <w:pPr>
                    <w:spacing w:before="1"/>
                    <w:ind w:left="20" w:right="-12" w:firstLine="0"/>
                    <w:jc w:val="left"/>
                    <w:rPr>
                      <w:sz w:val="15"/>
                    </w:rPr>
                  </w:pPr>
                  <w:r>
                    <w:rPr>
                      <w:color w:val="58595B"/>
                      <w:sz w:val="15"/>
                    </w:rPr>
                    <w:t>71</w:t>
                  </w:r>
                </w:p>
              </w:txbxContent>
            </v:textbox>
            <w10:wrap type="none"/>
          </v:shape>
        </w:pict>
      </w:r>
      <w:r>
        <w:rPr/>
        <w:pict>
          <v:shape style="position:absolute;margin-left:89.708603pt;margin-top:105.893967pt;width:431.95pt;height:106.5pt;mso-position-horizontal-relative:page;mso-position-vertical-relative:page;z-index:-210040" type="#_x0000_t202" filled="false" stroked="false">
            <v:textbox inset="0,0,0,0">
              <w:txbxContent>
                <w:p>
                  <w:pPr>
                    <w:pStyle w:val="BodyText"/>
                    <w:spacing w:line="280" w:lineRule="auto"/>
                    <w:ind w:right="-8"/>
                  </w:pPr>
                  <w:r>
                    <w:rPr>
                      <w:color w:val="58595B"/>
                      <w:spacing w:val="-4"/>
                    </w:rPr>
                    <w:t>Businesses expect </w:t>
                  </w:r>
                  <w:r>
                    <w:rPr>
                      <w:color w:val="58595B"/>
                      <w:spacing w:val="-3"/>
                    </w:rPr>
                    <w:t>the </w:t>
                  </w:r>
                  <w:r>
                    <w:rPr>
                      <w:color w:val="58595B"/>
                      <w:spacing w:val="-7"/>
                    </w:rPr>
                    <w:t>EPA </w:t>
                  </w:r>
                  <w:r>
                    <w:rPr>
                      <w:color w:val="58595B"/>
                      <w:spacing w:val="-3"/>
                    </w:rPr>
                    <w:t>to </w:t>
                  </w:r>
                  <w:r>
                    <w:rPr>
                      <w:color w:val="58595B"/>
                      <w:spacing w:val="-4"/>
                    </w:rPr>
                    <w:t>maintain </w:t>
                  </w:r>
                  <w:r>
                    <w:rPr>
                      <w:color w:val="58595B"/>
                      <w:spacing w:val="-3"/>
                    </w:rPr>
                    <w:t>these </w:t>
                  </w:r>
                  <w:r>
                    <w:rPr>
                      <w:color w:val="58595B"/>
                      <w:spacing w:val="-4"/>
                    </w:rPr>
                    <w:t>outcomes </w:t>
                  </w:r>
                  <w:r>
                    <w:rPr>
                      <w:color w:val="58595B"/>
                      <w:spacing w:val="-3"/>
                    </w:rPr>
                    <w:t>for the benefit of the </w:t>
                  </w:r>
                  <w:r>
                    <w:rPr>
                      <w:color w:val="58595B"/>
                      <w:spacing w:val="-5"/>
                    </w:rPr>
                    <w:t>community. </w:t>
                  </w:r>
                  <w:r>
                    <w:rPr>
                      <w:color w:val="58595B"/>
                      <w:spacing w:val="-4"/>
                    </w:rPr>
                    <w:t>Businesses </w:t>
                  </w:r>
                  <w:r>
                    <w:rPr>
                      <w:color w:val="58595B"/>
                      <w:spacing w:val="-3"/>
                    </w:rPr>
                    <w:t>also benefit from these </w:t>
                  </w:r>
                  <w:r>
                    <w:rPr>
                      <w:color w:val="58595B"/>
                      <w:spacing w:val="-4"/>
                    </w:rPr>
                    <w:t>outcomes. </w:t>
                  </w:r>
                  <w:r>
                    <w:rPr>
                      <w:color w:val="58595B"/>
                      <w:spacing w:val="-3"/>
                    </w:rPr>
                    <w:t>Some </w:t>
                  </w:r>
                  <w:r>
                    <w:rPr>
                      <w:color w:val="58595B"/>
                      <w:spacing w:val="-4"/>
                    </w:rPr>
                    <w:t>businesses </w:t>
                  </w:r>
                  <w:r>
                    <w:rPr>
                      <w:color w:val="58595B"/>
                      <w:spacing w:val="-3"/>
                    </w:rPr>
                    <w:t>benefit </w:t>
                  </w:r>
                  <w:r>
                    <w:rPr>
                      <w:color w:val="58595B"/>
                      <w:spacing w:val="-5"/>
                    </w:rPr>
                    <w:t>directly, </w:t>
                  </w:r>
                  <w:r>
                    <w:rPr>
                      <w:color w:val="58595B"/>
                      <w:spacing w:val="-3"/>
                    </w:rPr>
                    <w:t>for </w:t>
                  </w:r>
                  <w:r>
                    <w:rPr>
                      <w:color w:val="58595B"/>
                      <w:spacing w:val="-5"/>
                    </w:rPr>
                    <w:t>example, </w:t>
                  </w:r>
                  <w:r>
                    <w:rPr>
                      <w:color w:val="58595B"/>
                    </w:rPr>
                    <w:t>certain </w:t>
                  </w:r>
                  <w:r>
                    <w:rPr>
                      <w:color w:val="58595B"/>
                      <w:spacing w:val="-4"/>
                    </w:rPr>
                    <w:t>tourism </w:t>
                  </w:r>
                  <w:r>
                    <w:rPr>
                      <w:color w:val="58595B"/>
                      <w:spacing w:val="-3"/>
                    </w:rPr>
                    <w:t>and </w:t>
                  </w:r>
                  <w:r>
                    <w:rPr>
                      <w:color w:val="58595B"/>
                    </w:rPr>
                    <w:t>fishery </w:t>
                  </w:r>
                  <w:r>
                    <w:rPr>
                      <w:color w:val="58595B"/>
                      <w:spacing w:val="-4"/>
                    </w:rPr>
                    <w:t>operators. </w:t>
                  </w:r>
                  <w:r>
                    <w:rPr>
                      <w:color w:val="58595B"/>
                      <w:spacing w:val="-3"/>
                    </w:rPr>
                    <w:t>Others benefit </w:t>
                  </w:r>
                  <w:r>
                    <w:rPr>
                      <w:color w:val="58595B"/>
                      <w:spacing w:val="-4"/>
                    </w:rPr>
                    <w:t>by </w:t>
                  </w:r>
                  <w:r>
                    <w:rPr>
                      <w:color w:val="58595B"/>
                      <w:spacing w:val="-2"/>
                    </w:rPr>
                    <w:t>virtue </w:t>
                  </w:r>
                  <w:r>
                    <w:rPr>
                      <w:color w:val="58595B"/>
                      <w:spacing w:val="-3"/>
                    </w:rPr>
                    <w:t>of </w:t>
                  </w:r>
                  <w:r>
                    <w:rPr>
                      <w:color w:val="58595B"/>
                      <w:spacing w:val="-5"/>
                    </w:rPr>
                    <w:t>Victoria’s </w:t>
                  </w:r>
                  <w:r>
                    <w:rPr>
                      <w:color w:val="58595B"/>
                      <w:spacing w:val="-4"/>
                    </w:rPr>
                    <w:t>reputation </w:t>
                  </w:r>
                  <w:r>
                    <w:rPr>
                      <w:color w:val="58595B"/>
                      <w:spacing w:val="-3"/>
                    </w:rPr>
                    <w:t>as </w:t>
                  </w:r>
                  <w:r>
                    <w:rPr>
                      <w:color w:val="58595B"/>
                    </w:rPr>
                    <w:t>a </w:t>
                  </w:r>
                  <w:r>
                    <w:rPr>
                      <w:color w:val="58595B"/>
                      <w:spacing w:val="-4"/>
                    </w:rPr>
                    <w:t>destination </w:t>
                  </w:r>
                  <w:r>
                    <w:rPr>
                      <w:color w:val="58595B"/>
                      <w:spacing w:val="-3"/>
                    </w:rPr>
                    <w:t>for </w:t>
                  </w:r>
                  <w:r>
                    <w:rPr>
                      <w:color w:val="58595B"/>
                      <w:spacing w:val="-4"/>
                    </w:rPr>
                    <w:t>skilled workers </w:t>
                  </w:r>
                  <w:r>
                    <w:rPr>
                      <w:color w:val="58595B"/>
                      <w:spacing w:val="-3"/>
                    </w:rPr>
                    <w:t>from </w:t>
                  </w:r>
                  <w:r>
                    <w:rPr>
                      <w:color w:val="58595B"/>
                      <w:spacing w:val="-4"/>
                    </w:rPr>
                    <w:t>around </w:t>
                  </w:r>
                  <w:r>
                    <w:rPr>
                      <w:color w:val="58595B"/>
                      <w:spacing w:val="-3"/>
                    </w:rPr>
                    <w:t>the </w:t>
                  </w:r>
                  <w:r>
                    <w:rPr>
                      <w:color w:val="58595B"/>
                      <w:spacing w:val="-4"/>
                    </w:rPr>
                    <w:t>world, </w:t>
                  </w:r>
                  <w:r>
                    <w:rPr>
                      <w:color w:val="58595B"/>
                      <w:spacing w:val="-3"/>
                    </w:rPr>
                    <w:t>which </w:t>
                  </w:r>
                  <w:r>
                    <w:rPr>
                      <w:color w:val="58595B"/>
                      <w:spacing w:val="-4"/>
                    </w:rPr>
                    <w:t>increases population </w:t>
                  </w:r>
                  <w:r>
                    <w:rPr>
                      <w:color w:val="58595B"/>
                      <w:spacing w:val="-3"/>
                    </w:rPr>
                    <w:t>growth and </w:t>
                  </w:r>
                  <w:r>
                    <w:rPr>
                      <w:color w:val="58595B"/>
                      <w:spacing w:val="-4"/>
                    </w:rPr>
                    <w:t>demand </w:t>
                  </w:r>
                  <w:r>
                    <w:rPr>
                      <w:color w:val="58595B"/>
                      <w:spacing w:val="-3"/>
                    </w:rPr>
                    <w:t>for </w:t>
                  </w:r>
                  <w:r>
                    <w:rPr>
                      <w:color w:val="58595B"/>
                      <w:spacing w:val="-4"/>
                    </w:rPr>
                    <w:t>products </w:t>
                  </w:r>
                  <w:r>
                    <w:rPr>
                      <w:color w:val="58595B"/>
                      <w:spacing w:val="-3"/>
                    </w:rPr>
                    <w:t>and services.</w:t>
                  </w:r>
                </w:p>
                <w:p>
                  <w:pPr>
                    <w:pStyle w:val="BodyText"/>
                    <w:spacing w:line="280" w:lineRule="auto" w:before="2"/>
                    <w:ind w:right="-8"/>
                  </w:pPr>
                  <w:r>
                    <w:rPr>
                      <w:color w:val="58595B"/>
                      <w:spacing w:val="-3"/>
                    </w:rPr>
                    <w:t>For</w:t>
                  </w:r>
                  <w:r>
                    <w:rPr>
                      <w:color w:val="58595B"/>
                      <w:spacing w:val="-8"/>
                    </w:rPr>
                    <w:t> </w:t>
                  </w:r>
                  <w:r>
                    <w:rPr>
                      <w:color w:val="58595B"/>
                      <w:spacing w:val="-3"/>
                    </w:rPr>
                    <w:t>government</w:t>
                  </w:r>
                  <w:r>
                    <w:rPr>
                      <w:color w:val="58595B"/>
                      <w:spacing w:val="-8"/>
                    </w:rPr>
                    <w:t> </w:t>
                  </w:r>
                  <w:r>
                    <w:rPr>
                      <w:color w:val="58595B"/>
                      <w:spacing w:val="-4"/>
                    </w:rPr>
                    <w:t>generally,</w:t>
                  </w:r>
                  <w:r>
                    <w:rPr>
                      <w:color w:val="58595B"/>
                      <w:spacing w:val="-8"/>
                    </w:rPr>
                    <w:t> </w:t>
                  </w:r>
                  <w:r>
                    <w:rPr>
                      <w:color w:val="58595B"/>
                    </w:rPr>
                    <w:t>and</w:t>
                  </w:r>
                  <w:r>
                    <w:rPr>
                      <w:color w:val="58595B"/>
                      <w:spacing w:val="-8"/>
                    </w:rPr>
                    <w:t> </w:t>
                  </w:r>
                  <w:r>
                    <w:rPr>
                      <w:color w:val="58595B"/>
                    </w:rPr>
                    <w:t>for</w:t>
                  </w:r>
                  <w:r>
                    <w:rPr>
                      <w:color w:val="58595B"/>
                      <w:spacing w:val="-8"/>
                    </w:rPr>
                    <w:t> </w:t>
                  </w:r>
                  <w:r>
                    <w:rPr>
                      <w:color w:val="58595B"/>
                    </w:rPr>
                    <w:t>regulators</w:t>
                  </w:r>
                  <w:r>
                    <w:rPr>
                      <w:color w:val="58595B"/>
                      <w:spacing w:val="-8"/>
                    </w:rPr>
                    <w:t> </w:t>
                  </w:r>
                  <w:r>
                    <w:rPr>
                      <w:color w:val="58595B"/>
                    </w:rPr>
                    <w:t>such</w:t>
                  </w:r>
                  <w:r>
                    <w:rPr>
                      <w:color w:val="58595B"/>
                      <w:spacing w:val="-8"/>
                    </w:rPr>
                    <w:t> </w:t>
                  </w:r>
                  <w:r>
                    <w:rPr>
                      <w:color w:val="58595B"/>
                    </w:rPr>
                    <w:t>as</w:t>
                  </w:r>
                  <w:r>
                    <w:rPr>
                      <w:color w:val="58595B"/>
                      <w:spacing w:val="-8"/>
                    </w:rPr>
                    <w:t> </w:t>
                  </w:r>
                  <w:r>
                    <w:rPr>
                      <w:color w:val="58595B"/>
                    </w:rPr>
                    <w:t>the</w:t>
                  </w:r>
                  <w:r>
                    <w:rPr>
                      <w:color w:val="58595B"/>
                      <w:spacing w:val="-8"/>
                    </w:rPr>
                    <w:t> </w:t>
                  </w:r>
                  <w:r>
                    <w:rPr>
                      <w:color w:val="58595B"/>
                      <w:spacing w:val="-3"/>
                    </w:rPr>
                    <w:t>EPA,</w:t>
                  </w:r>
                  <w:r>
                    <w:rPr>
                      <w:color w:val="58595B"/>
                      <w:spacing w:val="-8"/>
                    </w:rPr>
                    <w:t> </w:t>
                  </w:r>
                  <w:r>
                    <w:rPr>
                      <w:color w:val="58595B"/>
                    </w:rPr>
                    <w:t>decisions</w:t>
                  </w:r>
                  <w:r>
                    <w:rPr>
                      <w:color w:val="58595B"/>
                      <w:spacing w:val="-8"/>
                    </w:rPr>
                    <w:t> </w:t>
                  </w:r>
                  <w:r>
                    <w:rPr>
                      <w:color w:val="58595B"/>
                    </w:rPr>
                    <w:t>will</w:t>
                  </w:r>
                  <w:r>
                    <w:rPr>
                      <w:color w:val="58595B"/>
                      <w:spacing w:val="-8"/>
                    </w:rPr>
                    <w:t> </w:t>
                  </w:r>
                  <w:r>
                    <w:rPr>
                      <w:color w:val="58595B"/>
                      <w:spacing w:val="-3"/>
                    </w:rPr>
                    <w:t>involve</w:t>
                  </w:r>
                  <w:r>
                    <w:rPr>
                      <w:color w:val="58595B"/>
                      <w:spacing w:val="-8"/>
                    </w:rPr>
                    <w:t> </w:t>
                  </w:r>
                  <w:r>
                    <w:rPr>
                      <w:color w:val="58595B"/>
                    </w:rPr>
                    <w:t>balancing different outcomes, including between economic, social and </w:t>
                  </w:r>
                  <w:r>
                    <w:rPr>
                      <w:color w:val="58595B"/>
                      <w:spacing w:val="-3"/>
                    </w:rPr>
                    <w:t>environmental </w:t>
                  </w:r>
                  <w:r>
                    <w:rPr>
                      <w:color w:val="58595B"/>
                    </w:rPr>
                    <w:t>outcomes. The appropriate</w:t>
                  </w:r>
                  <w:r>
                    <w:rPr>
                      <w:color w:val="58595B"/>
                      <w:spacing w:val="-10"/>
                    </w:rPr>
                    <w:t> </w:t>
                  </w:r>
                  <w:r>
                    <w:rPr>
                      <w:color w:val="58595B"/>
                      <w:spacing w:val="-3"/>
                    </w:rPr>
                    <w:t>level</w:t>
                  </w:r>
                  <w:r>
                    <w:rPr>
                      <w:color w:val="58595B"/>
                      <w:spacing w:val="-10"/>
                    </w:rPr>
                    <w:t> </w:t>
                  </w:r>
                  <w:r>
                    <w:rPr>
                      <w:color w:val="58595B"/>
                    </w:rPr>
                    <w:t>is</w:t>
                  </w:r>
                  <w:r>
                    <w:rPr>
                      <w:color w:val="58595B"/>
                      <w:spacing w:val="-10"/>
                    </w:rPr>
                    <w:t> </w:t>
                  </w:r>
                  <w:r>
                    <w:rPr>
                      <w:color w:val="58595B"/>
                    </w:rPr>
                    <w:t>often</w:t>
                  </w:r>
                  <w:r>
                    <w:rPr>
                      <w:color w:val="58595B"/>
                      <w:spacing w:val="-10"/>
                    </w:rPr>
                    <w:t> </w:t>
                  </w:r>
                  <w:r>
                    <w:rPr>
                      <w:color w:val="58595B"/>
                    </w:rPr>
                    <w:t>a</w:t>
                  </w:r>
                  <w:r>
                    <w:rPr>
                      <w:color w:val="58595B"/>
                      <w:spacing w:val="-10"/>
                    </w:rPr>
                    <w:t> </w:t>
                  </w:r>
                  <w:r>
                    <w:rPr>
                      <w:color w:val="58595B"/>
                    </w:rPr>
                    <w:t>question</w:t>
                  </w:r>
                  <w:r>
                    <w:rPr>
                      <w:color w:val="58595B"/>
                      <w:spacing w:val="-10"/>
                    </w:rPr>
                    <w:t> </w:t>
                  </w:r>
                  <w:r>
                    <w:rPr>
                      <w:color w:val="58595B"/>
                    </w:rPr>
                    <w:t>of</w:t>
                  </w:r>
                  <w:r>
                    <w:rPr>
                      <w:color w:val="58595B"/>
                      <w:spacing w:val="-10"/>
                    </w:rPr>
                    <w:t> </w:t>
                  </w:r>
                  <w:r>
                    <w:rPr>
                      <w:color w:val="58595B"/>
                    </w:rPr>
                    <w:t>risk</w:t>
                  </w:r>
                  <w:r>
                    <w:rPr>
                      <w:color w:val="58595B"/>
                      <w:spacing w:val="-10"/>
                    </w:rPr>
                    <w:t> </w:t>
                  </w:r>
                  <w:r>
                    <w:rPr>
                      <w:color w:val="58595B"/>
                    </w:rPr>
                    <w:t>tolerance</w:t>
                  </w:r>
                  <w:r>
                    <w:rPr>
                      <w:color w:val="58595B"/>
                      <w:spacing w:val="-10"/>
                    </w:rPr>
                    <w:t> </w:t>
                  </w:r>
                  <w:r>
                    <w:rPr>
                      <w:color w:val="58595B"/>
                    </w:rPr>
                    <w:t>and</w:t>
                  </w:r>
                  <w:r>
                    <w:rPr>
                      <w:color w:val="58595B"/>
                      <w:spacing w:val="-10"/>
                    </w:rPr>
                    <w:t> </w:t>
                  </w:r>
                  <w:r>
                    <w:rPr>
                      <w:color w:val="58595B"/>
                    </w:rPr>
                    <w:t>cost.</w:t>
                  </w:r>
                  <w:r>
                    <w:rPr>
                      <w:color w:val="58595B"/>
                      <w:spacing w:val="-10"/>
                    </w:rPr>
                    <w:t> </w:t>
                  </w:r>
                  <w:r>
                    <w:rPr>
                      <w:color w:val="58595B"/>
                    </w:rPr>
                    <w:t>Reducing</w:t>
                  </w:r>
                  <w:r>
                    <w:rPr>
                      <w:color w:val="58595B"/>
                      <w:spacing w:val="-10"/>
                    </w:rPr>
                    <w:t> </w:t>
                  </w:r>
                  <w:r>
                    <w:rPr>
                      <w:color w:val="58595B"/>
                    </w:rPr>
                    <w:t>the</w:t>
                  </w:r>
                  <w:r>
                    <w:rPr>
                      <w:color w:val="58595B"/>
                      <w:spacing w:val="-10"/>
                    </w:rPr>
                    <w:t> </w:t>
                  </w:r>
                  <w:r>
                    <w:rPr>
                      <w:color w:val="58595B"/>
                    </w:rPr>
                    <w:t>risk</w:t>
                  </w:r>
                  <w:r>
                    <w:rPr>
                      <w:color w:val="58595B"/>
                      <w:spacing w:val="-10"/>
                    </w:rPr>
                    <w:t> </w:t>
                  </w:r>
                  <w:r>
                    <w:rPr>
                      <w:color w:val="58595B"/>
                    </w:rPr>
                    <w:t>of</w:t>
                  </w:r>
                  <w:r>
                    <w:rPr>
                      <w:color w:val="58595B"/>
                      <w:spacing w:val="-10"/>
                    </w:rPr>
                    <w:t> </w:t>
                  </w:r>
                  <w:r>
                    <w:rPr>
                      <w:color w:val="58595B"/>
                    </w:rPr>
                    <w:t>harm</w:t>
                  </w:r>
                  <w:r>
                    <w:rPr>
                      <w:color w:val="58595B"/>
                      <w:spacing w:val="-10"/>
                    </w:rPr>
                    <w:t> </w:t>
                  </w:r>
                  <w:r>
                    <w:rPr>
                      <w:color w:val="58595B"/>
                    </w:rPr>
                    <w:t>from pollution</w:t>
                  </w:r>
                  <w:r>
                    <w:rPr>
                      <w:color w:val="58595B"/>
                      <w:spacing w:val="-14"/>
                    </w:rPr>
                    <w:t> </w:t>
                  </w:r>
                  <w:r>
                    <w:rPr>
                      <w:color w:val="58595B"/>
                    </w:rPr>
                    <w:t>and</w:t>
                  </w:r>
                  <w:r>
                    <w:rPr>
                      <w:color w:val="58595B"/>
                      <w:spacing w:val="-14"/>
                    </w:rPr>
                    <w:t> </w:t>
                  </w:r>
                  <w:r>
                    <w:rPr>
                      <w:color w:val="58595B"/>
                      <w:spacing w:val="-3"/>
                    </w:rPr>
                    <w:t>waste</w:t>
                  </w:r>
                  <w:r>
                    <w:rPr>
                      <w:color w:val="58595B"/>
                      <w:spacing w:val="-14"/>
                    </w:rPr>
                    <w:t> </w:t>
                  </w:r>
                  <w:r>
                    <w:rPr>
                      <w:color w:val="58595B"/>
                    </w:rPr>
                    <w:t>is</w:t>
                  </w:r>
                  <w:r>
                    <w:rPr>
                      <w:color w:val="58595B"/>
                      <w:spacing w:val="-14"/>
                    </w:rPr>
                    <w:t> </w:t>
                  </w:r>
                  <w:r>
                    <w:rPr>
                      <w:color w:val="58595B"/>
                    </w:rPr>
                    <w:t>costly</w:t>
                  </w:r>
                  <w:r>
                    <w:rPr>
                      <w:color w:val="58595B"/>
                      <w:spacing w:val="-14"/>
                    </w:rPr>
                    <w:t> </w:t>
                  </w:r>
                  <w:r>
                    <w:rPr>
                      <w:color w:val="58595B"/>
                    </w:rPr>
                    <w:t>and</w:t>
                  </w:r>
                  <w:r>
                    <w:rPr>
                      <w:color w:val="58595B"/>
                      <w:spacing w:val="-14"/>
                    </w:rPr>
                    <w:t> </w:t>
                  </w:r>
                  <w:r>
                    <w:rPr>
                      <w:color w:val="58595B"/>
                    </w:rPr>
                    <w:t>eliminating</w:t>
                  </w:r>
                  <w:r>
                    <w:rPr>
                      <w:color w:val="58595B"/>
                      <w:spacing w:val="-14"/>
                    </w:rPr>
                    <w:t> </w:t>
                  </w:r>
                  <w:r>
                    <w:rPr>
                      <w:color w:val="58595B"/>
                    </w:rPr>
                    <w:t>risk</w:t>
                  </w:r>
                  <w:r>
                    <w:rPr>
                      <w:color w:val="58595B"/>
                      <w:spacing w:val="-14"/>
                    </w:rPr>
                    <w:t> </w:t>
                  </w:r>
                  <w:r>
                    <w:rPr>
                      <w:color w:val="58595B"/>
                    </w:rPr>
                    <w:t>altogether</w:t>
                  </w:r>
                  <w:r>
                    <w:rPr>
                      <w:color w:val="58595B"/>
                      <w:spacing w:val="-14"/>
                    </w:rPr>
                    <w:t> </w:t>
                  </w:r>
                  <w:r>
                    <w:rPr>
                      <w:color w:val="58595B"/>
                    </w:rPr>
                    <w:t>is</w:t>
                  </w:r>
                  <w:r>
                    <w:rPr>
                      <w:color w:val="58595B"/>
                      <w:spacing w:val="-14"/>
                    </w:rPr>
                    <w:t> </w:t>
                  </w:r>
                  <w:r>
                    <w:rPr>
                      <w:color w:val="58595B"/>
                    </w:rPr>
                    <w:t>impossible.</w:t>
                  </w:r>
                </w:p>
              </w:txbxContent>
            </v:textbox>
            <w10:wrap type="none"/>
          </v:shape>
        </w:pict>
      </w:r>
      <w:r>
        <w:rPr/>
        <w:pict>
          <v:shape style="position:absolute;margin-left:118.058601pt;margin-top:222.393967pt;width:372.35pt;height:52.5pt;mso-position-horizontal-relative:page;mso-position-vertical-relative:page;z-index:-210016" type="#_x0000_t202" filled="false" stroked="false">
            <v:textbox inset="0,0,0,0">
              <w:txbxContent>
                <w:p>
                  <w:pPr>
                    <w:spacing w:line="280" w:lineRule="auto" w:before="0"/>
                    <w:ind w:left="20" w:right="17" w:firstLine="0"/>
                    <w:jc w:val="left"/>
                    <w:rPr>
                      <w:sz w:val="20"/>
                    </w:rPr>
                  </w:pPr>
                  <w:r>
                    <w:rPr>
                      <w:i/>
                      <w:color w:val="231F20"/>
                      <w:sz w:val="20"/>
                    </w:rPr>
                    <w:t>The importance of striking a right balance to provide the best outcomes on behalf  of the community rather than an organisation, political issue or economic benefit to an individual/organisation was seen as a crucial position that should be maintained, improved and strengthened by the EPA. </w:t>
                  </w:r>
                  <w:r>
                    <w:rPr>
                      <w:color w:val="231F20"/>
                      <w:sz w:val="20"/>
                    </w:rPr>
                    <w:t>(City of Greater Bendigo submission, p.</w:t>
                  </w:r>
                  <w:r>
                    <w:rPr>
                      <w:color w:val="231F20"/>
                      <w:spacing w:val="-18"/>
                      <w:sz w:val="20"/>
                    </w:rPr>
                    <w:t> </w:t>
                  </w:r>
                  <w:r>
                    <w:rPr>
                      <w:color w:val="231F20"/>
                      <w:spacing w:val="-5"/>
                      <w:sz w:val="20"/>
                    </w:rPr>
                    <w:t>4)</w:t>
                  </w:r>
                </w:p>
              </w:txbxContent>
            </v:textbox>
            <w10:wrap type="none"/>
          </v:shape>
        </w:pict>
      </w:r>
      <w:r>
        <w:rPr/>
        <w:pict>
          <v:shape style="position:absolute;margin-left:89.703796pt;margin-top:284.893982pt;width:428.5pt;height:93.05pt;mso-position-horizontal-relative:page;mso-position-vertical-relative:page;z-index:-209992" type="#_x0000_t202" filled="false" stroked="false">
            <v:textbox inset="0,0,0,0">
              <w:txbxContent>
                <w:p>
                  <w:pPr>
                    <w:pStyle w:val="BodyText"/>
                    <w:spacing w:line="280" w:lineRule="auto"/>
                    <w:ind w:right="17"/>
                  </w:pPr>
                  <w:r>
                    <w:rPr>
                      <w:color w:val="58595B"/>
                    </w:rPr>
                    <w:t>The community and businesses expect the </w:t>
                  </w:r>
                  <w:r>
                    <w:rPr>
                      <w:color w:val="58595B"/>
                      <w:spacing w:val="-4"/>
                    </w:rPr>
                    <w:t>EPA </w:t>
                  </w:r>
                  <w:r>
                    <w:rPr>
                      <w:color w:val="58595B"/>
                    </w:rPr>
                    <w:t>to apply its expertise to assess risks, address economic, social and environmental considerations, and then determine the appropriate outcome for ‘community wellbeing and the benefit of future generations’.</w:t>
                  </w:r>
                  <w:r>
                    <w:rPr>
                      <w:color w:val="58595B"/>
                      <w:position w:val="7"/>
                      <w:sz w:val="11"/>
                    </w:rPr>
                    <w:t>33 </w:t>
                  </w:r>
                  <w:r>
                    <w:rPr>
                      <w:color w:val="58595B"/>
                    </w:rPr>
                    <w:t>This process requires both expert knowledge and mature regulatory judgement. It involves regulatory design and implementation that minimises the burden of regulation. Community and businesses also expect accountability and transparency for these decisions – and that the </w:t>
                  </w:r>
                  <w:r>
                    <w:rPr>
                      <w:color w:val="58595B"/>
                      <w:spacing w:val="-4"/>
                    </w:rPr>
                    <w:t>EPA </w:t>
                  </w:r>
                  <w:r>
                    <w:rPr>
                      <w:color w:val="58595B"/>
                    </w:rPr>
                    <w:t>should test expectations on risk and cost</w:t>
                  </w:r>
                  <w:r>
                    <w:rPr>
                      <w:color w:val="58595B"/>
                      <w:spacing w:val="7"/>
                    </w:rPr>
                    <w:t> </w:t>
                  </w:r>
                  <w:r>
                    <w:rPr>
                      <w:color w:val="58595B"/>
                    </w:rPr>
                    <w:t>tolerance.</w:t>
                  </w:r>
                </w:p>
              </w:txbxContent>
            </v:textbox>
            <w10:wrap type="none"/>
          </v:shape>
        </w:pict>
      </w:r>
      <w:r>
        <w:rPr/>
        <w:pict>
          <v:shape style="position:absolute;margin-left:118.053802pt;margin-top:387.901764pt;width:374.25pt;height:39pt;mso-position-horizontal-relative:page;mso-position-vertical-relative:page;z-index:-209968" type="#_x0000_t202" filled="false" stroked="false">
            <v:textbox inset="0,0,0,0">
              <w:txbxContent>
                <w:p>
                  <w:pPr>
                    <w:spacing w:line="280" w:lineRule="auto" w:before="0"/>
                    <w:ind w:left="20" w:right="0" w:firstLine="0"/>
                    <w:jc w:val="left"/>
                    <w:rPr>
                      <w:sz w:val="11"/>
                    </w:rPr>
                  </w:pPr>
                  <w:r>
                    <w:rPr>
                      <w:i/>
                      <w:color w:val="231F20"/>
                      <w:sz w:val="20"/>
                    </w:rPr>
                    <w:t>A regulator must choose from an array of available strategies that it considers will achieve the greatest net benefit for the community in the most efficient and effective manner, and at the least cost to business and the community.</w:t>
                  </w:r>
                  <w:r>
                    <w:rPr>
                      <w:color w:val="231F20"/>
                      <w:position w:val="7"/>
                      <w:sz w:val="11"/>
                    </w:rPr>
                    <w:t>34</w:t>
                  </w:r>
                </w:p>
              </w:txbxContent>
            </v:textbox>
            <w10:wrap type="none"/>
          </v:shape>
        </w:pict>
      </w:r>
      <w:r>
        <w:rPr/>
        <w:pict>
          <v:shape style="position:absolute;margin-left:89.708603pt;margin-top:436.909668pt;width:411pt;height:52.5pt;mso-position-horizontal-relative:page;mso-position-vertical-relative:page;z-index:-209944" type="#_x0000_t202" filled="false" stroked="false">
            <v:textbox inset="0,0,0,0">
              <w:txbxContent>
                <w:p>
                  <w:pPr>
                    <w:pStyle w:val="BodyText"/>
                    <w:spacing w:line="280" w:lineRule="auto"/>
                    <w:ind w:right="17"/>
                  </w:pPr>
                  <w:r>
                    <w:rPr>
                      <w:color w:val="58595B"/>
                      <w:spacing w:val="-3"/>
                    </w:rPr>
                    <w:t>However, </w:t>
                  </w:r>
                  <w:r>
                    <w:rPr>
                      <w:color w:val="58595B"/>
                    </w:rPr>
                    <w:t>the </w:t>
                  </w:r>
                  <w:r>
                    <w:rPr>
                      <w:color w:val="58595B"/>
                      <w:spacing w:val="-4"/>
                    </w:rPr>
                    <w:t>EPA </w:t>
                  </w:r>
                  <w:r>
                    <w:rPr>
                      <w:color w:val="58595B"/>
                    </w:rPr>
                    <w:t>acts within a policy context set by government, which helps define expectations and provides a high level framework for decision making. The policy context  for environmental regulation and the </w:t>
                  </w:r>
                  <w:r>
                    <w:rPr>
                      <w:color w:val="58595B"/>
                      <w:spacing w:val="-7"/>
                    </w:rPr>
                    <w:t>EPA’s </w:t>
                  </w:r>
                  <w:r>
                    <w:rPr>
                      <w:color w:val="58595B"/>
                      <w:spacing w:val="-3"/>
                    </w:rPr>
                    <w:t>key </w:t>
                  </w:r>
                  <w:r>
                    <w:rPr>
                      <w:color w:val="58595B"/>
                    </w:rPr>
                    <w:t>regulatory settings are – and should be – the domain of the executive arm of</w:t>
                  </w:r>
                  <w:r>
                    <w:rPr>
                      <w:color w:val="58595B"/>
                      <w:spacing w:val="-11"/>
                    </w:rPr>
                    <w:t> </w:t>
                  </w:r>
                  <w:r>
                    <w:rPr>
                      <w:color w:val="58595B"/>
                    </w:rPr>
                    <w:t>government.</w:t>
                  </w:r>
                </w:p>
              </w:txbxContent>
            </v:textbox>
            <w10:wrap type="none"/>
          </v:shape>
        </w:pict>
      </w:r>
      <w:r>
        <w:rPr/>
        <w:pict>
          <v:shape style="position:absolute;margin-left:89.708603pt;margin-top:502.044952pt;width:413.95pt;height:59.8pt;mso-position-horizontal-relative:page;mso-position-vertical-relative:page;z-index:-209920" type="#_x0000_t202" filled="false" stroked="false">
            <v:textbox inset="0,0,0,0">
              <w:txbxContent>
                <w:p>
                  <w:pPr>
                    <w:spacing w:line="235" w:lineRule="auto" w:before="0"/>
                    <w:ind w:left="20" w:right="74" w:firstLine="0"/>
                    <w:jc w:val="left"/>
                    <w:rPr>
                      <w:sz w:val="24"/>
                    </w:rPr>
                  </w:pPr>
                  <w:r>
                    <w:rPr>
                      <w:color w:val="0095A7"/>
                      <w:sz w:val="24"/>
                    </w:rPr>
                    <w:t>4.6 What this means for the EPA – the attributes of an effective environmental regulator</w:t>
                  </w:r>
                </w:p>
                <w:p>
                  <w:pPr>
                    <w:pStyle w:val="BodyText"/>
                    <w:spacing w:line="280" w:lineRule="auto" w:before="146"/>
                  </w:pPr>
                  <w:r>
                    <w:rPr>
                      <w:color w:val="58595B"/>
                    </w:rPr>
                    <w:t>Commonly accepted principles of regulatory best practice identify the following key attributes for a strong and effective regulator:</w:t>
                  </w:r>
                </w:p>
              </w:txbxContent>
            </v:textbox>
            <w10:wrap type="none"/>
          </v:shape>
        </w:pict>
      </w:r>
      <w:r>
        <w:rPr/>
        <w:pict>
          <v:shape style="position:absolute;margin-left:89.708603pt;margin-top:571.834839pt;width:419.35pt;height:25.5pt;mso-position-horizontal-relative:page;mso-position-vertical-relative:page;z-index:-209896" type="#_x0000_t202" filled="false" stroked="false">
            <v:textbox inset="0,0,0,0">
              <w:txbxContent>
                <w:p>
                  <w:pPr>
                    <w:pStyle w:val="BodyText"/>
                    <w:spacing w:line="280" w:lineRule="auto"/>
                  </w:pPr>
                  <w:r>
                    <w:rPr>
                      <w:b/>
                      <w:color w:val="58595B"/>
                    </w:rPr>
                    <w:t>Accountable </w:t>
                  </w:r>
                  <w:r>
                    <w:rPr>
                      <w:color w:val="58595B"/>
                    </w:rPr>
                    <w:t>– Set clear standards and prepare to be judged on the decision making process and outcomes.</w:t>
                  </w:r>
                </w:p>
              </w:txbxContent>
            </v:textbox>
            <w10:wrap type="none"/>
          </v:shape>
        </w:pict>
      </w:r>
      <w:r>
        <w:rPr/>
        <w:pict>
          <v:shape style="position:absolute;margin-left:89.708603pt;margin-top:607.334839pt;width:402pt;height:12pt;mso-position-horizontal-relative:page;mso-position-vertical-relative:page;z-index:-209872" type="#_x0000_t202" filled="false" stroked="false">
            <v:textbox inset="0,0,0,0">
              <w:txbxContent>
                <w:p>
                  <w:pPr>
                    <w:pStyle w:val="BodyText"/>
                    <w:spacing w:line="224" w:lineRule="exact"/>
                  </w:pPr>
                  <w:r>
                    <w:rPr>
                      <w:b/>
                      <w:color w:val="58595B"/>
                    </w:rPr>
                    <w:t>Transparent </w:t>
                  </w:r>
                  <w:r>
                    <w:rPr>
                      <w:color w:val="58595B"/>
                    </w:rPr>
                    <w:t>– Open the processes and outcomes to the public and regulated community.</w:t>
                  </w:r>
                </w:p>
              </w:txbxContent>
            </v:textbox>
            <w10:wrap type="none"/>
          </v:shape>
        </w:pict>
      </w:r>
      <w:r>
        <w:rPr/>
        <w:pict>
          <v:shape style="position:absolute;margin-left:89.708603pt;margin-top:629.334839pt;width:435.7pt;height:12pt;mso-position-horizontal-relative:page;mso-position-vertical-relative:page;z-index:-209848" type="#_x0000_t202" filled="false" stroked="false">
            <v:textbox inset="0,0,0,0">
              <w:txbxContent>
                <w:p>
                  <w:pPr>
                    <w:pStyle w:val="BodyText"/>
                    <w:spacing w:line="224" w:lineRule="exact"/>
                    <w:ind w:right="-9"/>
                  </w:pPr>
                  <w:r>
                    <w:rPr>
                      <w:b/>
                      <w:color w:val="58595B"/>
                      <w:spacing w:val="-3"/>
                    </w:rPr>
                    <w:t>Inclusive </w:t>
                  </w:r>
                  <w:r>
                    <w:rPr>
                      <w:color w:val="58595B"/>
                    </w:rPr>
                    <w:t>– </w:t>
                  </w:r>
                  <w:r>
                    <w:rPr>
                      <w:color w:val="58595B"/>
                      <w:spacing w:val="-4"/>
                    </w:rPr>
                    <w:t>Develop regulation </w:t>
                  </w:r>
                  <w:r>
                    <w:rPr>
                      <w:color w:val="58595B"/>
                    </w:rPr>
                    <w:t>in </w:t>
                  </w:r>
                  <w:r>
                    <w:rPr>
                      <w:color w:val="58595B"/>
                      <w:spacing w:val="-4"/>
                    </w:rPr>
                    <w:t>partnership/consultation </w:t>
                  </w:r>
                  <w:r>
                    <w:rPr>
                      <w:color w:val="58595B"/>
                      <w:spacing w:val="-3"/>
                    </w:rPr>
                    <w:t>with </w:t>
                  </w:r>
                  <w:r>
                    <w:rPr>
                      <w:color w:val="58595B"/>
                      <w:spacing w:val="-5"/>
                    </w:rPr>
                    <w:t>community, </w:t>
                  </w:r>
                  <w:r>
                    <w:rPr>
                      <w:color w:val="58595B"/>
                      <w:spacing w:val="-4"/>
                    </w:rPr>
                    <w:t>business </w:t>
                  </w:r>
                  <w:r>
                    <w:rPr>
                      <w:color w:val="58595B"/>
                      <w:spacing w:val="-3"/>
                    </w:rPr>
                    <w:t>and </w:t>
                  </w:r>
                  <w:r>
                    <w:rPr>
                      <w:color w:val="58595B"/>
                      <w:spacing w:val="-4"/>
                    </w:rPr>
                    <w:t>government.</w:t>
                  </w:r>
                </w:p>
              </w:txbxContent>
            </v:textbox>
            <w10:wrap type="none"/>
          </v:shape>
        </w:pict>
      </w:r>
      <w:r>
        <w:rPr/>
        <w:pict>
          <v:shape style="position:absolute;margin-left:89.708603pt;margin-top:651.334839pt;width:423.6pt;height:25.5pt;mso-position-horizontal-relative:page;mso-position-vertical-relative:page;z-index:-209824" type="#_x0000_t202" filled="false" stroked="false">
            <v:textbox inset="0,0,0,0">
              <w:txbxContent>
                <w:p>
                  <w:pPr>
                    <w:pStyle w:val="BodyText"/>
                    <w:spacing w:line="280" w:lineRule="auto"/>
                  </w:pPr>
                  <w:r>
                    <w:rPr>
                      <w:b/>
                      <w:color w:val="58595B"/>
                    </w:rPr>
                    <w:t>Authoritative </w:t>
                  </w:r>
                  <w:r>
                    <w:rPr>
                      <w:color w:val="58595B"/>
                    </w:rPr>
                    <w:t>– Maintain an authoritative understanding of the environment and information on the level of compliance.</w:t>
                  </w:r>
                </w:p>
              </w:txbxContent>
            </v:textbox>
            <w10:wrap type="none"/>
          </v:shape>
        </w:pict>
      </w:r>
      <w:r>
        <w:rPr/>
        <w:pict>
          <v:shape style="position:absolute;margin-left:89.708603pt;margin-top:686.834839pt;width:433.8pt;height:12pt;mso-position-horizontal-relative:page;mso-position-vertical-relative:page;z-index:-209800" type="#_x0000_t202" filled="false" stroked="false">
            <v:textbox inset="0,0,0,0">
              <w:txbxContent>
                <w:p>
                  <w:pPr>
                    <w:pStyle w:val="BodyText"/>
                    <w:spacing w:line="224" w:lineRule="exact"/>
                  </w:pPr>
                  <w:r>
                    <w:rPr>
                      <w:b/>
                      <w:color w:val="58595B"/>
                      <w:spacing w:val="-3"/>
                    </w:rPr>
                    <w:t>Proportionate </w:t>
                  </w:r>
                  <w:r>
                    <w:rPr>
                      <w:color w:val="58595B"/>
                    </w:rPr>
                    <w:t>– </w:t>
                  </w:r>
                  <w:r>
                    <w:rPr>
                      <w:color w:val="58595B"/>
                      <w:spacing w:val="-5"/>
                    </w:rPr>
                    <w:t>Ensure </w:t>
                  </w:r>
                  <w:r>
                    <w:rPr>
                      <w:color w:val="58595B"/>
                      <w:spacing w:val="-3"/>
                    </w:rPr>
                    <w:t>regulatory </w:t>
                  </w:r>
                  <w:r>
                    <w:rPr>
                      <w:color w:val="58595B"/>
                      <w:spacing w:val="-4"/>
                    </w:rPr>
                    <w:t>responses </w:t>
                  </w:r>
                  <w:r>
                    <w:rPr>
                      <w:color w:val="58595B"/>
                      <w:spacing w:val="-3"/>
                    </w:rPr>
                    <w:t>are proportionate to the </w:t>
                  </w:r>
                  <w:r>
                    <w:rPr>
                      <w:color w:val="58595B"/>
                      <w:spacing w:val="-4"/>
                    </w:rPr>
                    <w:t>problem they </w:t>
                  </w:r>
                  <w:r>
                    <w:rPr>
                      <w:color w:val="58595B"/>
                      <w:spacing w:val="-3"/>
                    </w:rPr>
                    <w:t>seek to </w:t>
                  </w:r>
                  <w:r>
                    <w:rPr>
                      <w:color w:val="58595B"/>
                      <w:spacing w:val="-4"/>
                    </w:rPr>
                    <w:t>address.</w:t>
                  </w:r>
                </w:p>
              </w:txbxContent>
            </v:textbox>
            <w10:wrap type="none"/>
          </v:shape>
        </w:pict>
      </w:r>
      <w:r>
        <w:rPr/>
        <w:pict>
          <v:shape style="position:absolute;margin-left:89.708603pt;margin-top:708.834839pt;width:424.65pt;height:25.5pt;mso-position-horizontal-relative:page;mso-position-vertical-relative:page;z-index:-209776" type="#_x0000_t202" filled="false" stroked="false">
            <v:textbox inset="0,0,0,0">
              <w:txbxContent>
                <w:p>
                  <w:pPr>
                    <w:pStyle w:val="BodyText"/>
                    <w:spacing w:line="280" w:lineRule="auto"/>
                    <w:ind w:right="6"/>
                  </w:pPr>
                  <w:r>
                    <w:rPr>
                      <w:b/>
                      <w:color w:val="58595B"/>
                    </w:rPr>
                    <w:t>Consistent </w:t>
                  </w:r>
                  <w:r>
                    <w:rPr>
                      <w:color w:val="58595B"/>
                    </w:rPr>
                    <w:t>– Apply decision making processes consistently and predictably to different parties in similar situations.</w:t>
                  </w:r>
                </w:p>
              </w:txbxContent>
            </v:textbox>
            <w10:wrap type="none"/>
          </v:shape>
        </w:pict>
      </w:r>
      <w:r>
        <w:rPr/>
        <w:pict>
          <v:shape style="position:absolute;margin-left:89.708603pt;margin-top:744.334839pt;width:427.1pt;height:25.5pt;mso-position-horizontal-relative:page;mso-position-vertical-relative:page;z-index:-209752" type="#_x0000_t202" filled="false" stroked="false">
            <v:textbox inset="0,0,0,0">
              <w:txbxContent>
                <w:p>
                  <w:pPr>
                    <w:pStyle w:val="BodyText"/>
                    <w:spacing w:line="280" w:lineRule="auto"/>
                  </w:pPr>
                  <w:r>
                    <w:rPr>
                      <w:b/>
                      <w:color w:val="58595B"/>
                    </w:rPr>
                    <w:t>Effective </w:t>
                  </w:r>
                  <w:r>
                    <w:rPr>
                      <w:color w:val="58595B"/>
                    </w:rPr>
                    <w:t>– Judge risk accurately and introduce regulatory responses that seek to prevent harm or improve outcomes at the lowest cost necessary to achieve objectives.</w:t>
                  </w:r>
                </w:p>
              </w:txbxContent>
            </v:textbox>
            <w10:wrap type="none"/>
          </v:shape>
        </w:pict>
      </w:r>
      <w:r>
        <w:rPr/>
        <w:pict>
          <v:shape style="position:absolute;margin-left:89.708603pt;margin-top:779.834839pt;width:279.650pt;height:12pt;mso-position-horizontal-relative:page;mso-position-vertical-relative:page;z-index:-209728" type="#_x0000_t202" filled="false" stroked="false">
            <v:textbox inset="0,0,0,0">
              <w:txbxContent>
                <w:p>
                  <w:pPr>
                    <w:pStyle w:val="BodyText"/>
                    <w:spacing w:line="224" w:lineRule="exact"/>
                    <w:rPr>
                      <w:sz w:val="11"/>
                    </w:rPr>
                  </w:pPr>
                  <w:r>
                    <w:rPr>
                      <w:b/>
                      <w:color w:val="58595B"/>
                    </w:rPr>
                    <w:t>Targeted </w:t>
                  </w:r>
                  <w:r>
                    <w:rPr>
                      <w:color w:val="58595B"/>
                    </w:rPr>
                    <w:t>– Allocate effort to the areas of most serious harm.</w:t>
                  </w:r>
                  <w:r>
                    <w:rPr>
                      <w:color w:val="58595B"/>
                      <w:position w:val="7"/>
                      <w:sz w:val="11"/>
                    </w:rPr>
                    <w:t>35</w:t>
                  </w:r>
                </w:p>
              </w:txbxContent>
            </v:textbox>
            <w10:wrap type="none"/>
          </v:shape>
        </w:pict>
      </w:r>
      <w:r>
        <w:rPr/>
        <w:pict>
          <v:shape style="position:absolute;margin-left:534.996094pt;margin-top:44.090015pt;width:60.3pt;height:5.25pt;mso-position-horizontal-relative:page;mso-position-vertical-relative:page;z-index:-20970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9680"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09656" from=".0pt,45.840015pt" to="60.2791pt,45.840015pt" stroked="true" strokeweight="7pt" strokecolor="#0095a7">
            <w10:wrap type="none"/>
          </v:line>
        </w:pict>
      </w:r>
      <w:r>
        <w:rPr/>
        <w:pict>
          <v:shape style="position:absolute;margin-left:69.866096pt;margin-top:40.902756pt;width:10.4pt;height:9.5pt;mso-position-horizontal-relative:page;mso-position-vertical-relative:page;z-index:-209632" type="#_x0000_t202" filled="false" stroked="false">
            <v:textbox inset="0,0,0,0">
              <w:txbxContent>
                <w:p>
                  <w:pPr>
                    <w:spacing w:before="1"/>
                    <w:ind w:left="20" w:right="0" w:firstLine="0"/>
                    <w:jc w:val="left"/>
                    <w:rPr>
                      <w:sz w:val="15"/>
                    </w:rPr>
                  </w:pPr>
                  <w:r>
                    <w:rPr>
                      <w:color w:val="58595B"/>
                      <w:sz w:val="15"/>
                    </w:rPr>
                    <w:t>72</w:t>
                  </w:r>
                </w:p>
              </w:txbxContent>
            </v:textbox>
            <w10:wrap type="none"/>
          </v:shape>
        </w:pict>
      </w:r>
      <w:r>
        <w:rPr/>
        <w:pict>
          <v:shape style="position:absolute;margin-left:95.377899pt;margin-top:40.902756pt;width:147.75pt;height:9.5pt;mso-position-horizontal-relative:page;mso-position-vertical-relative:page;z-index:-209608"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29.7pt;height:66pt;mso-position-horizontal-relative:page;mso-position-vertical-relative:page;z-index:-209584" type="#_x0000_t202" filled="false" stroked="false">
            <v:textbox inset="0,0,0,0">
              <w:txbxContent>
                <w:p>
                  <w:pPr>
                    <w:pStyle w:val="BodyText"/>
                    <w:spacing w:line="280" w:lineRule="auto"/>
                    <w:ind w:right="17" w:hanging="1"/>
                  </w:pPr>
                  <w:r>
                    <w:rPr>
                      <w:color w:val="58595B"/>
                    </w:rPr>
                    <w:t>The EPA adopted these attributes as guiding principles.</w:t>
                  </w:r>
                  <w:r>
                    <w:rPr>
                      <w:color w:val="58595B"/>
                      <w:position w:val="7"/>
                      <w:sz w:val="11"/>
                    </w:rPr>
                    <w:t>36 </w:t>
                  </w:r>
                  <w:r>
                    <w:rPr>
                      <w:color w:val="58595B"/>
                    </w:rPr>
                    <w:t>Clearly, they are essential attributes and are consistent with Victoria’s efforts over recent years to improve productivity and economic growth by reforming regulatory systems and reducing regulatory burdens on business.</w:t>
                  </w:r>
                  <w:r>
                    <w:rPr>
                      <w:color w:val="58595B"/>
                      <w:position w:val="7"/>
                      <w:sz w:val="11"/>
                    </w:rPr>
                    <w:t>37 </w:t>
                  </w:r>
                  <w:r>
                    <w:rPr>
                      <w:color w:val="58595B"/>
                    </w:rPr>
                    <w:t>This will remain an important focus for the EPA of the future, noting that ‘improving regulatory efficiency and minimising regulatory burden’ is identified as a key issue in our terms of reference.</w:t>
                  </w:r>
                </w:p>
              </w:txbxContent>
            </v:textbox>
            <w10:wrap type="none"/>
          </v:shape>
        </w:pict>
      </w:r>
      <w:r>
        <w:rPr/>
        <w:pict>
          <v:shape style="position:absolute;margin-left:69.869499pt;margin-top:181.893967pt;width:415.4pt;height:25.5pt;mso-position-horizontal-relative:page;mso-position-vertical-relative:page;z-index:-209560" type="#_x0000_t202" filled="false" stroked="false">
            <v:textbox inset="0,0,0,0">
              <w:txbxContent>
                <w:p>
                  <w:pPr>
                    <w:pStyle w:val="BodyText"/>
                    <w:spacing w:line="280" w:lineRule="auto"/>
                    <w:ind w:right="-3"/>
                  </w:pPr>
                  <w:r>
                    <w:rPr>
                      <w:color w:val="58595B"/>
                    </w:rPr>
                    <w:t>We consider, however, that these attributes only partly frame what will be required of the EPA of the future.</w:t>
                  </w:r>
                </w:p>
              </w:txbxContent>
            </v:textbox>
            <w10:wrap type="none"/>
          </v:shape>
        </w:pict>
      </w:r>
      <w:r>
        <w:rPr/>
        <w:pict>
          <v:shape style="position:absolute;margin-left:69.869499pt;margin-top:220.233963pt;width:435.7pt;height:124.25pt;mso-position-horizontal-relative:page;mso-position-vertical-relative:page;z-index:-209536" type="#_x0000_t202" filled="false" stroked="false">
            <v:textbox inset="0,0,0,0">
              <w:txbxContent>
                <w:p>
                  <w:pPr>
                    <w:spacing w:line="224" w:lineRule="exact" w:before="0"/>
                    <w:ind w:left="20" w:right="13" w:firstLine="0"/>
                    <w:jc w:val="left"/>
                    <w:rPr>
                      <w:i/>
                      <w:sz w:val="20"/>
                    </w:rPr>
                  </w:pPr>
                  <w:r>
                    <w:rPr>
                      <w:i/>
                      <w:color w:val="6D6E71"/>
                      <w:sz w:val="20"/>
                    </w:rPr>
                    <w:t>The EPA as a science-based regulator</w:t>
                  </w:r>
                </w:p>
                <w:p>
                  <w:pPr>
                    <w:pStyle w:val="BodyText"/>
                    <w:spacing w:line="280" w:lineRule="auto" w:before="125"/>
                    <w:ind w:right="18"/>
                  </w:pPr>
                  <w:r>
                    <w:rPr>
                      <w:color w:val="58595B"/>
                    </w:rPr>
                    <w:t>The </w:t>
                  </w:r>
                  <w:r>
                    <w:rPr>
                      <w:color w:val="58595B"/>
                      <w:spacing w:val="-7"/>
                    </w:rPr>
                    <w:t>EPA’s </w:t>
                  </w:r>
                  <w:r>
                    <w:rPr>
                      <w:color w:val="58595B"/>
                    </w:rPr>
                    <w:t>fundamental characteristic is it is a </w:t>
                  </w:r>
                  <w:r>
                    <w:rPr>
                      <w:b/>
                      <w:color w:val="58595B"/>
                    </w:rPr>
                    <w:t>science-based </w:t>
                  </w:r>
                  <w:r>
                    <w:rPr>
                      <w:color w:val="58595B"/>
                    </w:rPr>
                    <w:t>regulator – capable of assessing risk to the environment and public health, of determining acceptable standards for pollution control, and of providing authoritative direction on risk management and mitigation measures. This scientific and technical expertise has been a defining feature to date and must be maintained and enhanced in the future. In particular, Victoria needs an enhanced environmental health capability to strengthen protection for public health. This expertise underpins the </w:t>
                  </w:r>
                  <w:r>
                    <w:rPr>
                      <w:color w:val="58595B"/>
                      <w:spacing w:val="-4"/>
                    </w:rPr>
                    <w:t>EPA</w:t>
                  </w:r>
                  <w:r>
                    <w:rPr>
                      <w:color w:val="58595B"/>
                      <w:spacing w:val="14"/>
                    </w:rPr>
                    <w:t> </w:t>
                  </w:r>
                  <w:r>
                    <w:rPr>
                      <w:color w:val="58595B"/>
                    </w:rPr>
                    <w:t>as</w:t>
                  </w:r>
                </w:p>
                <w:p>
                  <w:pPr>
                    <w:pStyle w:val="BodyText"/>
                    <w:spacing w:line="280" w:lineRule="auto" w:before="2"/>
                    <w:ind w:right="368"/>
                  </w:pPr>
                  <w:r>
                    <w:rPr>
                      <w:color w:val="58595B"/>
                    </w:rPr>
                    <w:t>it exercises its regulatory powers and is necessary for business and community confidence. This scientific base sets it apart from other Victorian regulators.</w:t>
                  </w:r>
                </w:p>
              </w:txbxContent>
            </v:textbox>
            <w10:wrap type="none"/>
          </v:shape>
        </w:pict>
      </w:r>
      <w:r>
        <w:rPr/>
        <w:pict>
          <v:shape style="position:absolute;margin-left:69.869499pt;margin-top:357.323975pt;width:411.7pt;height:56.75pt;mso-position-horizontal-relative:page;mso-position-vertical-relative:page;z-index:-209512" type="#_x0000_t202" filled="false" stroked="false">
            <v:textbox inset="0,0,0,0">
              <w:txbxContent>
                <w:p>
                  <w:pPr>
                    <w:spacing w:line="224" w:lineRule="exact" w:before="0"/>
                    <w:ind w:left="20" w:right="0" w:firstLine="0"/>
                    <w:jc w:val="left"/>
                    <w:rPr>
                      <w:i/>
                      <w:sz w:val="20"/>
                    </w:rPr>
                  </w:pPr>
                  <w:r>
                    <w:rPr>
                      <w:i/>
                      <w:color w:val="6D6E71"/>
                      <w:sz w:val="20"/>
                    </w:rPr>
                    <w:t>Strategic attributes required for the future</w:t>
                  </w:r>
                </w:p>
                <w:p>
                  <w:pPr>
                    <w:pStyle w:val="BodyText"/>
                    <w:spacing w:line="280" w:lineRule="auto" w:before="125"/>
                    <w:ind w:right="34"/>
                  </w:pPr>
                  <w:r>
                    <w:rPr>
                      <w:color w:val="58595B"/>
                    </w:rPr>
                    <w:t>Reflecting the views of the Victorian community and industry and other stakeholders, and our view of the </w:t>
                  </w:r>
                  <w:r>
                    <w:rPr>
                      <w:color w:val="58595B"/>
                      <w:spacing w:val="-4"/>
                    </w:rPr>
                    <w:t>EPA </w:t>
                  </w:r>
                  <w:r>
                    <w:rPr>
                      <w:color w:val="58595B"/>
                    </w:rPr>
                    <w:t>being more proactive and influential, we identified the following strategic attributes. We consider these as necessary for the </w:t>
                  </w:r>
                  <w:r>
                    <w:rPr>
                      <w:color w:val="58595B"/>
                      <w:spacing w:val="-4"/>
                    </w:rPr>
                    <w:t>EPA </w:t>
                  </w:r>
                  <w:r>
                    <w:rPr>
                      <w:color w:val="58595B"/>
                    </w:rPr>
                    <w:t>as a modern and mature</w:t>
                  </w:r>
                  <w:r>
                    <w:rPr>
                      <w:color w:val="58595B"/>
                      <w:spacing w:val="28"/>
                    </w:rPr>
                    <w:t> </w:t>
                  </w:r>
                  <w:r>
                    <w:rPr>
                      <w:color w:val="58595B"/>
                    </w:rPr>
                    <w:t>regulator:</w:t>
                  </w:r>
                </w:p>
              </w:txbxContent>
            </v:textbox>
            <w10:wrap type="none"/>
          </v:shape>
        </w:pict>
      </w:r>
      <w:r>
        <w:rPr/>
        <w:pict>
          <v:shape style="position:absolute;margin-left:69.867104pt;margin-top:421.243958pt;width:5.5pt;height:31.2pt;mso-position-horizontal-relative:page;mso-position-vertical-relative:page;z-index:-209488" type="#_x0000_t202" filled="false" stroked="false">
            <v:textbox inset="0,0,0,0">
              <w:txbxContent>
                <w:p>
                  <w:pPr>
                    <w:pStyle w:val="BodyText"/>
                    <w:spacing w:line="224" w:lineRule="exact"/>
                  </w:pPr>
                  <w:r>
                    <w:rPr>
                      <w:color w:val="0095A7"/>
                    </w:rPr>
                    <w:t>•</w:t>
                  </w:r>
                </w:p>
                <w:p>
                  <w:pPr>
                    <w:pStyle w:val="BodyText"/>
                    <w:spacing w:before="153"/>
                  </w:pPr>
                  <w:r>
                    <w:rPr>
                      <w:color w:val="0095A7"/>
                    </w:rPr>
                    <w:t>•</w:t>
                  </w:r>
                </w:p>
              </w:txbxContent>
            </v:textbox>
            <w10:wrap type="none"/>
          </v:shape>
        </w:pict>
      </w:r>
      <w:r>
        <w:rPr/>
        <w:pict>
          <v:shape style="position:absolute;margin-left:78.367104pt;margin-top:421.243958pt;width:423.25pt;height:256.3500pt;mso-position-horizontal-relative:page;mso-position-vertical-relative:page;z-index:-209464" type="#_x0000_t202" filled="false" stroked="false">
            <v:textbox inset="0,0,0,0">
              <w:txbxContent>
                <w:p>
                  <w:pPr>
                    <w:pStyle w:val="BodyText"/>
                    <w:spacing w:line="224" w:lineRule="exact"/>
                    <w:ind w:right="-2"/>
                    <w:rPr>
                      <w:sz w:val="11"/>
                    </w:rPr>
                  </w:pPr>
                  <w:r>
                    <w:rPr>
                      <w:b/>
                      <w:color w:val="58595B"/>
                    </w:rPr>
                    <w:t>Proactive </w:t>
                  </w:r>
                  <w:r>
                    <w:rPr>
                      <w:color w:val="58595B"/>
                    </w:rPr>
                    <w:t>– Regulators have an obligation to anticipate issues and not be passive.</w:t>
                  </w:r>
                  <w:r>
                    <w:rPr>
                      <w:color w:val="58595B"/>
                      <w:position w:val="7"/>
                      <w:sz w:val="11"/>
                    </w:rPr>
                    <w:t>38</w:t>
                  </w:r>
                </w:p>
                <w:p>
                  <w:pPr>
                    <w:spacing w:line="280" w:lineRule="auto" w:before="153"/>
                    <w:ind w:left="20" w:right="-2" w:firstLine="0"/>
                    <w:jc w:val="left"/>
                    <w:rPr>
                      <w:sz w:val="11"/>
                    </w:rPr>
                  </w:pPr>
                  <w:r>
                    <w:rPr>
                      <w:b/>
                      <w:color w:val="58595B"/>
                      <w:sz w:val="20"/>
                    </w:rPr>
                    <w:t>Trusted </w:t>
                  </w:r>
                  <w:r>
                    <w:rPr>
                      <w:color w:val="58595B"/>
                      <w:sz w:val="20"/>
                    </w:rPr>
                    <w:t>– For the EPA, ‘trusted’ is likely to include at least all of the following: </w:t>
                  </w:r>
                  <w:r>
                    <w:rPr>
                      <w:i/>
                      <w:color w:val="58595B"/>
                      <w:sz w:val="20"/>
                    </w:rPr>
                    <w:t>‘We trust you’ may mean that we believe you can give us the right answers and reliable information. It may mean that we believe that you are honest, and will tell us all that you know. Or it may mean that we trust your judgement, and rely on you for decisions which are wise, impartial, ethical and in the public interest.</w:t>
                  </w:r>
                  <w:r>
                    <w:rPr>
                      <w:color w:val="58595B"/>
                      <w:position w:val="7"/>
                      <w:sz w:val="11"/>
                    </w:rPr>
                    <w:t>39</w:t>
                  </w:r>
                </w:p>
                <w:p>
                  <w:pPr>
                    <w:spacing w:line="280" w:lineRule="auto" w:before="115"/>
                    <w:ind w:left="20" w:right="131" w:firstLine="0"/>
                    <w:jc w:val="left"/>
                    <w:rPr>
                      <w:sz w:val="11"/>
                    </w:rPr>
                  </w:pPr>
                  <w:r>
                    <w:rPr>
                      <w:b/>
                      <w:color w:val="58595B"/>
                      <w:sz w:val="20"/>
                    </w:rPr>
                    <w:t>Innovative </w:t>
                  </w:r>
                  <w:r>
                    <w:rPr>
                      <w:color w:val="58595B"/>
                      <w:sz w:val="20"/>
                    </w:rPr>
                    <w:t>– </w:t>
                  </w:r>
                  <w:r>
                    <w:rPr>
                      <w:i/>
                      <w:color w:val="58595B"/>
                      <w:sz w:val="20"/>
                    </w:rPr>
                    <w:t>Regulatory policies and interventions should be treated as experiments from which regulators can learn and help shape future strategies.</w:t>
                  </w:r>
                  <w:r>
                    <w:rPr>
                      <w:color w:val="58595B"/>
                      <w:position w:val="7"/>
                      <w:sz w:val="11"/>
                    </w:rPr>
                    <w:t>40</w:t>
                  </w:r>
                </w:p>
                <w:p>
                  <w:pPr>
                    <w:spacing w:line="280" w:lineRule="auto" w:before="115"/>
                    <w:ind w:left="20" w:right="131" w:firstLine="0"/>
                    <w:jc w:val="left"/>
                    <w:rPr>
                      <w:sz w:val="11"/>
                    </w:rPr>
                  </w:pPr>
                  <w:r>
                    <w:rPr>
                      <w:b/>
                      <w:color w:val="58595B"/>
                      <w:sz w:val="20"/>
                    </w:rPr>
                    <w:t>Decisive and influential </w:t>
                  </w:r>
                  <w:r>
                    <w:rPr>
                      <w:color w:val="58595B"/>
                      <w:sz w:val="20"/>
                    </w:rPr>
                    <w:t>– </w:t>
                  </w:r>
                  <w:r>
                    <w:rPr>
                      <w:i/>
                      <w:color w:val="58595B"/>
                      <w:sz w:val="20"/>
                    </w:rPr>
                    <w:t>Being decisive does not mean being impulsive but rather actively seeking information … To be decisive, we must understand the public interest and as much of a complicated issue as possible so we can make a policy decision that ensures public health and safety.</w:t>
                  </w:r>
                  <w:r>
                    <w:rPr>
                      <w:color w:val="58595B"/>
                      <w:position w:val="7"/>
                      <w:sz w:val="11"/>
                    </w:rPr>
                    <w:t>41</w:t>
                  </w:r>
                </w:p>
                <w:p>
                  <w:pPr>
                    <w:spacing w:line="280" w:lineRule="auto" w:before="115"/>
                    <w:ind w:left="20" w:right="-2" w:firstLine="0"/>
                    <w:jc w:val="left"/>
                    <w:rPr>
                      <w:sz w:val="11"/>
                    </w:rPr>
                  </w:pPr>
                  <w:r>
                    <w:rPr>
                      <w:b/>
                      <w:color w:val="58595B"/>
                      <w:sz w:val="20"/>
                    </w:rPr>
                    <w:t>Responsive and adaptive </w:t>
                  </w:r>
                  <w:r>
                    <w:rPr>
                      <w:color w:val="58595B"/>
                      <w:sz w:val="20"/>
                    </w:rPr>
                    <w:t>– </w:t>
                  </w:r>
                  <w:r>
                    <w:rPr>
                      <w:i/>
                      <w:color w:val="58595B"/>
                      <w:sz w:val="20"/>
                    </w:rPr>
                    <w:t>The operating environment and risks change over time and regulators need to have a flexible and ongoing ability to assess such changes.</w:t>
                  </w:r>
                  <w:r>
                    <w:rPr>
                      <w:color w:val="58595B"/>
                      <w:position w:val="7"/>
                      <w:sz w:val="11"/>
                    </w:rPr>
                    <w:t>42</w:t>
                  </w:r>
                </w:p>
                <w:p>
                  <w:pPr>
                    <w:pStyle w:val="BodyText"/>
                    <w:spacing w:line="280" w:lineRule="auto" w:before="115"/>
                    <w:ind w:right="193"/>
                  </w:pPr>
                  <w:r>
                    <w:rPr>
                      <w:b/>
                      <w:color w:val="58595B"/>
                    </w:rPr>
                    <w:t>Collaborative </w:t>
                  </w:r>
                  <w:r>
                    <w:rPr>
                      <w:color w:val="58595B"/>
                    </w:rPr>
                    <w:t>– Managing complex risks requires that the EPA involves other parts of government, deploys a broader range of tools, and engages businesses and the community to play their part.</w:t>
                  </w:r>
                </w:p>
              </w:txbxContent>
            </v:textbox>
            <w10:wrap type="none"/>
          </v:shape>
        </w:pict>
      </w:r>
      <w:r>
        <w:rPr/>
        <w:pict>
          <v:shape style="position:absolute;margin-left:69.867104pt;margin-top:513.586853pt;width:5.5pt;height:12pt;mso-position-horizontal-relative:page;mso-position-vertical-relative:page;z-index:-20944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67104pt;margin-top:546.256165pt;width:5.5pt;height:12pt;mso-position-horizontal-relative:page;mso-position-vertical-relative:page;z-index:-20941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67104pt;margin-top:605.925354pt;width:5.5pt;height:12pt;mso-position-horizontal-relative:page;mso-position-vertical-relative:page;z-index:-20939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67104pt;margin-top:638.594788pt;width:5.5pt;height:12pt;mso-position-horizontal-relative:page;mso-position-vertical-relative:page;z-index:-20936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67104pt;margin-top:687.594788pt;width:417.05pt;height:39pt;mso-position-horizontal-relative:page;mso-position-vertical-relative:page;z-index:-209344" type="#_x0000_t202" filled="false" stroked="false">
            <v:textbox inset="0,0,0,0">
              <w:txbxContent>
                <w:p>
                  <w:pPr>
                    <w:pStyle w:val="BodyText"/>
                    <w:spacing w:line="280" w:lineRule="auto"/>
                    <w:ind w:right="17"/>
                    <w:jc w:val="both"/>
                  </w:pPr>
                  <w:r>
                    <w:rPr>
                      <w:color w:val="58595B"/>
                    </w:rPr>
                    <w:t>Taken together, this expanded set of attributes provides direction as we consider the scope of activities and functions of the EPA, and the capabilities and governance it needs to effectively use its regulatory tools in the future. These are illustrated in figure 4.1.</w:t>
                  </w:r>
                </w:p>
              </w:txbxContent>
            </v:textbox>
            <w10:wrap type="none"/>
          </v:shape>
        </w:pict>
      </w:r>
      <w:r>
        <w:rPr/>
        <w:pict>
          <v:shape style="position:absolute;margin-left:.0pt;margin-top:44.090015pt;width:60.3pt;height:5.25pt;mso-position-horizontal-relative:page;mso-position-vertical-relative:page;z-index:-20932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0929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09272" from="534.996094pt,45.840015pt" to="595.276001pt,45.840015pt" stroked="true" strokeweight="7pt" strokecolor="#0095a7">
            <w10:wrap type="none"/>
          </v:line>
        </w:pict>
      </w:r>
      <w:r>
        <w:rPr/>
        <w:pict>
          <v:group style="position:absolute;margin-left:90.708pt;margin-top:387.600006pt;width:433.75pt;height:192.9pt;mso-position-horizontal-relative:page;mso-position-vertical-relative:page;z-index:-209248" coordorigin="1814,7752" coordsize="8675,3858">
            <v:rect style="position:absolute;left:1814;top:7752;width:8674;height:3857" filled="true" fillcolor="#ededee" stroked="false">
              <v:fill type="solid"/>
            </v:rect>
            <v:shape style="position:absolute;left:1814;top:7752;width:8674;height:3857" type="#_x0000_t75" stroked="false">
              <v:imagedata r:id="rId9" o:title=""/>
            </v:shape>
            <w10:wrap type="none"/>
          </v:group>
        </w:pict>
      </w:r>
      <w:r>
        <w:rPr/>
        <w:pict>
          <v:shape style="position:absolute;margin-left:269.193909pt;margin-top:40.902756pt;width:230.7pt;height:9.5pt;mso-position-horizontal-relative:page;mso-position-vertical-relative:page;z-index:-209224" type="#_x0000_t202" filled="false" stroked="false">
            <v:textbox inset="0,0,0,0">
              <w:txbxContent>
                <w:p>
                  <w:pPr>
                    <w:spacing w:before="1"/>
                    <w:ind w:left="20" w:right="0" w:firstLine="0"/>
                    <w:jc w:val="left"/>
                    <w:rPr>
                      <w:sz w:val="15"/>
                    </w:rPr>
                  </w:pPr>
                  <w:r>
                    <w:rPr>
                      <w:color w:val="58595B"/>
                      <w:sz w:val="15"/>
                    </w:rPr>
                    <w:t>CHAPTER 4    WHY WE NEED ENVIRONMENTAL REGULATION</w:t>
                  </w:r>
                </w:p>
              </w:txbxContent>
            </v:textbox>
            <w10:wrap type="none"/>
          </v:shape>
        </w:pict>
      </w:r>
      <w:r>
        <w:rPr/>
        <w:pict>
          <v:shape style="position:absolute;margin-left:515.02887pt;margin-top:40.902756pt;width:10.4pt;height:9.5pt;mso-position-horizontal-relative:page;mso-position-vertical-relative:page;z-index:-209200" type="#_x0000_t202" filled="false" stroked="false">
            <v:textbox inset="0,0,0,0">
              <w:txbxContent>
                <w:p>
                  <w:pPr>
                    <w:spacing w:before="1"/>
                    <w:ind w:left="20" w:right="0" w:firstLine="0"/>
                    <w:jc w:val="left"/>
                    <w:rPr>
                      <w:sz w:val="15"/>
                    </w:rPr>
                  </w:pPr>
                  <w:r>
                    <w:rPr>
                      <w:color w:val="58595B"/>
                      <w:sz w:val="15"/>
                    </w:rPr>
                    <w:t>73</w:t>
                  </w:r>
                </w:p>
              </w:txbxContent>
            </v:textbox>
            <w10:wrap type="none"/>
          </v:shape>
        </w:pict>
      </w:r>
      <w:r>
        <w:rPr/>
        <w:pict>
          <v:shape style="position:absolute;margin-left:89.708603pt;margin-top:105.893967pt;width:427.9pt;height:66pt;mso-position-horizontal-relative:page;mso-position-vertical-relative:page;z-index:-209176" type="#_x0000_t202" filled="false" stroked="false">
            <v:textbox inset="0,0,0,0">
              <w:txbxContent>
                <w:p>
                  <w:pPr>
                    <w:pStyle w:val="BodyText"/>
                    <w:spacing w:line="280" w:lineRule="auto"/>
                  </w:pPr>
                  <w:r>
                    <w:rPr>
                      <w:color w:val="58595B"/>
                    </w:rPr>
                    <w:t>In considering the environmental regulation that relates to the task of the EPA and proposing changes to it, we have been mindful that regulation is not the only method by which government can intervene. When we propose strengthening regulation or new regulation, we did so because we consider the risk of harm warrants regulation, rather than a non-regulatory approach, to prevent these harms.</w:t>
                  </w:r>
                </w:p>
              </w:txbxContent>
            </v:textbox>
            <w10:wrap type="none"/>
          </v:shape>
        </w:pict>
      </w:r>
      <w:r>
        <w:rPr/>
        <w:pict>
          <v:shape style="position:absolute;margin-left:89.708603pt;margin-top:181.893967pt;width:434.7pt;height:52.5pt;mso-position-horizontal-relative:page;mso-position-vertical-relative:page;z-index:-209152" type="#_x0000_t202" filled="false" stroked="false">
            <v:textbox inset="0,0,0,0">
              <w:txbxContent>
                <w:p>
                  <w:pPr>
                    <w:pStyle w:val="BodyText"/>
                    <w:spacing w:line="280" w:lineRule="auto"/>
                    <w:ind w:right="11"/>
                  </w:pPr>
                  <w:r>
                    <w:rPr>
                      <w:color w:val="58595B"/>
                    </w:rPr>
                    <w:t>Of course, these issues will be considered fully as part of the usual government processes for preparing legislative and regulatory changes. However, we consider that, on balance, the benefits to the community of harm prevention justify the additional regulatory burden that these proposals may involve.</w:t>
                  </w:r>
                </w:p>
              </w:txbxContent>
            </v:textbox>
            <w10:wrap type="none"/>
          </v:shape>
        </w:pict>
      </w:r>
      <w:r>
        <w:rPr/>
        <w:pict>
          <v:shape style="position:absolute;margin-left:89.708603pt;margin-top:244.393967pt;width:429.7pt;height:106.5pt;mso-position-horizontal-relative:page;mso-position-vertical-relative:page;z-index:-209128" type="#_x0000_t202" filled="false" stroked="false">
            <v:textbox inset="0,0,0,0">
              <w:txbxContent>
                <w:p>
                  <w:pPr>
                    <w:pStyle w:val="BodyText"/>
                    <w:spacing w:line="280" w:lineRule="auto"/>
                    <w:ind w:right="214"/>
                  </w:pPr>
                  <w:r>
                    <w:rPr>
                      <w:color w:val="58595B"/>
                    </w:rPr>
                    <w:t>Regulators can significantly influence the regulatory burden in how they </w:t>
                  </w:r>
                  <w:r>
                    <w:rPr>
                      <w:color w:val="58595B"/>
                      <w:spacing w:val="2"/>
                    </w:rPr>
                    <w:t>carry </w:t>
                  </w:r>
                  <w:r>
                    <w:rPr>
                      <w:color w:val="58595B"/>
                    </w:rPr>
                    <w:t>out their functions. The </w:t>
                  </w:r>
                  <w:r>
                    <w:rPr>
                      <w:color w:val="58595B"/>
                      <w:spacing w:val="-4"/>
                    </w:rPr>
                    <w:t>EPA </w:t>
                  </w:r>
                  <w:r>
                    <w:rPr>
                      <w:color w:val="58595B"/>
                    </w:rPr>
                    <w:t>must have a clear focus on the outcomes that the community expects  from environmental regulation (the health and safety, wellbeing, productive and environmental outcomes) to identify how to best maintain them. How regulation is implemented – including through guidance materials, the method and manner of engagement with those who are regulated, and the method and manner of conducting compliance and enforcement activities</w:t>
                  </w:r>
                  <w:r>
                    <w:rPr>
                      <w:color w:val="58595B"/>
                      <w:spacing w:val="12"/>
                    </w:rPr>
                    <w:t> </w:t>
                  </w:r>
                  <w:r>
                    <w:rPr>
                      <w:color w:val="58595B"/>
                    </w:rPr>
                    <w:t>–</w:t>
                  </w:r>
                </w:p>
                <w:p>
                  <w:pPr>
                    <w:pStyle w:val="BodyText"/>
                    <w:spacing w:line="280" w:lineRule="auto" w:before="2"/>
                    <w:ind w:right="17"/>
                  </w:pPr>
                  <w:r>
                    <w:rPr>
                      <w:color w:val="58595B"/>
                    </w:rPr>
                    <w:t>can significantly influence the regulatory burden. Our proposals should be implemented in a way that accounts for the needs of business, and in particular small business.</w:t>
                  </w:r>
                </w:p>
              </w:txbxContent>
            </v:textbox>
            <w10:wrap type="none"/>
          </v:shape>
        </w:pict>
      </w:r>
      <w:r>
        <w:rPr/>
        <w:pict>
          <v:shape style="position:absolute;margin-left:89.708603pt;margin-top:362.313965pt;width:434pt;height:12pt;mso-position-horizontal-relative:page;mso-position-vertical-relative:page;z-index:-209104" type="#_x0000_t202" filled="false" stroked="false">
            <v:textbox inset="0,0,0,0">
              <w:txbxContent>
                <w:p>
                  <w:pPr>
                    <w:pStyle w:val="BodyText"/>
                    <w:spacing w:line="224" w:lineRule="exact"/>
                  </w:pPr>
                  <w:r>
                    <w:rPr>
                      <w:b/>
                      <w:color w:val="0095A7"/>
                    </w:rPr>
                    <w:t>FIGURE </w:t>
                  </w:r>
                  <w:r>
                    <w:rPr>
                      <w:b/>
                      <w:color w:val="0095A7"/>
                      <w:spacing w:val="-6"/>
                    </w:rPr>
                    <w:t>4.1 </w:t>
                  </w:r>
                  <w:r>
                    <w:rPr>
                      <w:color w:val="0095A7"/>
                    </w:rPr>
                    <w:t>BUILDING ON THE </w:t>
                  </w:r>
                  <w:r>
                    <w:rPr>
                      <w:color w:val="0095A7"/>
                      <w:spacing w:val="-5"/>
                    </w:rPr>
                    <w:t>EPA </w:t>
                  </w:r>
                  <w:r>
                    <w:rPr>
                      <w:color w:val="0095A7"/>
                    </w:rPr>
                    <w:t>OF </w:t>
                  </w:r>
                  <w:r>
                    <w:rPr>
                      <w:color w:val="0095A7"/>
                      <w:spacing w:val="-6"/>
                    </w:rPr>
                    <w:t>TODAY </w:t>
                  </w:r>
                  <w:r>
                    <w:rPr>
                      <w:color w:val="0095A7"/>
                      <w:spacing w:val="-4"/>
                    </w:rPr>
                    <w:t>TO </w:t>
                  </w:r>
                  <w:r>
                    <w:rPr>
                      <w:color w:val="0095A7"/>
                    </w:rPr>
                    <w:t>MEET </w:t>
                  </w:r>
                  <w:r>
                    <w:rPr>
                      <w:color w:val="0095A7"/>
                      <w:spacing w:val="-5"/>
                    </w:rPr>
                    <w:t>EXPECTATIONS </w:t>
                  </w:r>
                  <w:r>
                    <w:rPr>
                      <w:color w:val="0095A7"/>
                    </w:rPr>
                    <w:t>FOR THE FUTURE</w:t>
                  </w:r>
                </w:p>
              </w:txbxContent>
            </v:textbox>
            <w10:wrap type="none"/>
          </v:shape>
        </w:pict>
      </w:r>
      <w:r>
        <w:rPr/>
        <w:pict>
          <v:shape style="position:absolute;margin-left:534.996094pt;margin-top:44.090015pt;width:60.3pt;height:5.25pt;mso-position-horizontal-relative:page;mso-position-vertical-relative:page;z-index:-209080"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9056"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09032" from=".0pt,45.840015pt" to="60.2791pt,45.840015pt" stroked="true" strokeweight="7pt" strokecolor="#0095a7">
            <w10:wrap type="none"/>
          </v:line>
        </w:pict>
      </w:r>
      <w:r>
        <w:rPr/>
        <w:pict>
          <v:line style="position:absolute;mso-position-horizontal-relative:page;mso-position-vertical-relative:page;z-index:-209008" from="70.866096pt,103.331017pt" to="504.567096pt,103.331017pt" stroked="true" strokeweight=".5pt" strokecolor="#58595b">
            <w10:wrap type="none"/>
          </v:line>
        </w:pict>
      </w:r>
      <w:r>
        <w:rPr/>
        <w:pict>
          <v:shape style="position:absolute;margin-left:69.866096pt;margin-top:40.902756pt;width:9.5pt;height:9.5pt;mso-position-horizontal-relative:page;mso-position-vertical-relative:page;z-index:-208984" type="#_x0000_t202" filled="false" stroked="false">
            <v:textbox inset="0,0,0,0">
              <w:txbxContent>
                <w:p>
                  <w:pPr>
                    <w:spacing w:before="1"/>
                    <w:ind w:left="20" w:right="-17" w:firstLine="0"/>
                    <w:jc w:val="left"/>
                    <w:rPr>
                      <w:sz w:val="15"/>
                    </w:rPr>
                  </w:pPr>
                  <w:r>
                    <w:rPr>
                      <w:color w:val="58595B"/>
                      <w:sz w:val="15"/>
                    </w:rPr>
                    <w:t>74</w:t>
                  </w:r>
                </w:p>
              </w:txbxContent>
            </v:textbox>
            <w10:wrap type="none"/>
          </v:shape>
        </w:pict>
      </w:r>
      <w:r>
        <w:rPr/>
        <w:pict>
          <v:shape style="position:absolute;margin-left:95.377899pt;margin-top:40.902756pt;width:147.75pt;height:9.5pt;mso-position-horizontal-relative:page;mso-position-vertical-relative:page;z-index:-208960"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6.22303pt;width:5.3pt;height:8pt;mso-position-horizontal-relative:page;mso-position-vertical-relative:page;z-index:-208936" type="#_x0000_t202" filled="false" stroked="false">
            <v:textbox inset="0,0,0,0">
              <w:txbxContent>
                <w:p>
                  <w:pPr>
                    <w:spacing w:before="4"/>
                    <w:ind w:left="20" w:right="0" w:firstLine="0"/>
                    <w:jc w:val="left"/>
                    <w:rPr>
                      <w:sz w:val="12"/>
                    </w:rPr>
                  </w:pPr>
                  <w:r>
                    <w:rPr>
                      <w:color w:val="58595B"/>
                      <w:sz w:val="12"/>
                    </w:rPr>
                    <w:t>1</w:t>
                  </w:r>
                </w:p>
              </w:txbxContent>
            </v:textbox>
            <w10:wrap type="none"/>
          </v:shape>
        </w:pict>
      </w:r>
      <w:r>
        <w:rPr/>
        <w:pict>
          <v:shape style="position:absolute;margin-left:84.032097pt;margin-top:106.22303pt;width:198.5pt;height:649.9pt;mso-position-horizontal-relative:page;mso-position-vertical-relative:page;z-index:-208912" type="#_x0000_t202" filled="false" stroked="false">
            <v:textbox inset="0,0,0,0">
              <w:txbxContent>
                <w:p>
                  <w:pPr>
                    <w:spacing w:line="242" w:lineRule="auto" w:before="4"/>
                    <w:ind w:left="20" w:right="94" w:firstLine="0"/>
                    <w:jc w:val="left"/>
                    <w:rPr>
                      <w:sz w:val="12"/>
                    </w:rPr>
                  </w:pPr>
                  <w:r>
                    <w:rPr>
                      <w:color w:val="58595B"/>
                      <w:sz w:val="12"/>
                    </w:rPr>
                    <w:t>Russ P and Tanner L 1978, </w:t>
                  </w:r>
                  <w:r>
                    <w:rPr>
                      <w:i/>
                      <w:color w:val="58595B"/>
                      <w:sz w:val="12"/>
                    </w:rPr>
                    <w:t>The politics of pollution</w:t>
                  </w:r>
                  <w:r>
                    <w:rPr>
                      <w:color w:val="58595B"/>
                      <w:sz w:val="12"/>
                    </w:rPr>
                    <w:t>, Widescope International Publishers, p.  1.</w:t>
                  </w:r>
                </w:p>
                <w:p>
                  <w:pPr>
                    <w:spacing w:line="242" w:lineRule="auto" w:before="29"/>
                    <w:ind w:left="20" w:right="94" w:firstLine="0"/>
                    <w:jc w:val="left"/>
                    <w:rPr>
                      <w:sz w:val="12"/>
                    </w:rPr>
                  </w:pPr>
                  <w:r>
                    <w:rPr>
                      <w:color w:val="58595B"/>
                      <w:sz w:val="12"/>
                    </w:rPr>
                    <w:t>Public Health Association of Australia 2015, Submission on EPBC Amendment (Standing) Bill 2015, https://</w:t>
                  </w:r>
                  <w:hyperlink r:id="rId10">
                    <w:r>
                      <w:rPr>
                        <w:color w:val="58595B"/>
                        <w:sz w:val="12"/>
                      </w:rPr>
                      <w:t>www.phaa.net.au/documents/</w:t>
                    </w:r>
                  </w:hyperlink>
                  <w:r>
                    <w:rPr>
                      <w:color w:val="58595B"/>
                      <w:sz w:val="12"/>
                    </w:rPr>
                    <w:t> item/1137 (accessed 6 October 2015), p. 5.</w:t>
                  </w:r>
                </w:p>
                <w:p>
                  <w:pPr>
                    <w:spacing w:line="242" w:lineRule="auto" w:before="29"/>
                    <w:ind w:left="20" w:right="94" w:firstLine="0"/>
                    <w:jc w:val="left"/>
                    <w:rPr>
                      <w:sz w:val="12"/>
                    </w:rPr>
                  </w:pPr>
                  <w:r>
                    <w:rPr>
                      <w:color w:val="58595B"/>
                      <w:sz w:val="12"/>
                    </w:rPr>
                    <w:t>Morgan G, Broome R and Jalaludin B 2013, </w:t>
                  </w:r>
                  <w:r>
                    <w:rPr>
                      <w:i/>
                      <w:color w:val="58595B"/>
                      <w:sz w:val="12"/>
                    </w:rPr>
                    <w:t>Summary for policy makers on the health risk assessment on air pollution in Australia</w:t>
                  </w:r>
                  <w:r>
                    <w:rPr>
                      <w:color w:val="58595B"/>
                      <w:sz w:val="12"/>
                    </w:rPr>
                    <w:t>,   Prepared</w:t>
                  </w:r>
                </w:p>
                <w:p>
                  <w:pPr>
                    <w:spacing w:before="0"/>
                    <w:ind w:left="20" w:right="94" w:firstLine="0"/>
                    <w:jc w:val="left"/>
                    <w:rPr>
                      <w:sz w:val="12"/>
                    </w:rPr>
                  </w:pPr>
                  <w:r>
                    <w:rPr>
                      <w:color w:val="58595B"/>
                      <w:sz w:val="12"/>
                    </w:rPr>
                    <w:t>for the National Environment Protection   Council.</w:t>
                  </w:r>
                </w:p>
                <w:p>
                  <w:pPr>
                    <w:spacing w:line="242" w:lineRule="auto" w:before="30"/>
                    <w:ind w:left="20" w:right="94" w:firstLine="0"/>
                    <w:jc w:val="left"/>
                    <w:rPr>
                      <w:sz w:val="12"/>
                    </w:rPr>
                  </w:pPr>
                  <w:r>
                    <w:rPr>
                      <w:color w:val="58595B"/>
                      <w:sz w:val="12"/>
                    </w:rPr>
                    <w:t>Bureau of Transport and Regional Economics 2005, </w:t>
                  </w:r>
                  <w:r>
                    <w:rPr>
                      <w:i/>
                      <w:color w:val="58595B"/>
                      <w:sz w:val="12"/>
                    </w:rPr>
                    <w:t>Health impacts of transport emissions in Australia: economic costs</w:t>
                  </w:r>
                  <w:r>
                    <w:rPr>
                      <w:color w:val="58595B"/>
                      <w:sz w:val="12"/>
                    </w:rPr>
                    <w:t>, Working paper 63, Department of Transport and Regional Services, Canberra, p.  105.</w:t>
                  </w:r>
                </w:p>
                <w:p>
                  <w:pPr>
                    <w:spacing w:line="242" w:lineRule="auto" w:before="29"/>
                    <w:ind w:left="20" w:right="281" w:firstLine="0"/>
                    <w:jc w:val="left"/>
                    <w:rPr>
                      <w:sz w:val="12"/>
                    </w:rPr>
                  </w:pPr>
                  <w:r>
                    <w:rPr>
                      <w:color w:val="58595B"/>
                      <w:sz w:val="12"/>
                    </w:rPr>
                    <w:t>Hazelwood Mine Fire Inquiry Report 2015-2016, </w:t>
                  </w:r>
                  <w:r>
                    <w:rPr>
                      <w:i/>
                      <w:color w:val="58595B"/>
                      <w:sz w:val="12"/>
                    </w:rPr>
                    <w:t>Investigations into 2009-2014 deaths</w:t>
                  </w:r>
                  <w:r>
                    <w:rPr>
                      <w:color w:val="58595B"/>
                      <w:sz w:val="12"/>
                    </w:rPr>
                    <w:t>, Volume II, Melbourne, p.  90.</w:t>
                  </w:r>
                </w:p>
                <w:p>
                  <w:pPr>
                    <w:spacing w:line="242" w:lineRule="auto" w:before="29"/>
                    <w:ind w:left="20" w:right="94" w:firstLine="0"/>
                    <w:jc w:val="left"/>
                    <w:rPr>
                      <w:sz w:val="12"/>
                    </w:rPr>
                  </w:pPr>
                  <w:r>
                    <w:rPr>
                      <w:color w:val="58595B"/>
                      <w:sz w:val="12"/>
                    </w:rPr>
                    <w:t>Dong C, Taylor M </w:t>
                  </w:r>
                  <w:r>
                    <w:rPr>
                      <w:color w:val="58595B"/>
                      <w:spacing w:val="-6"/>
                      <w:sz w:val="12"/>
                    </w:rPr>
                    <w:t>P, </w:t>
                  </w:r>
                  <w:r>
                    <w:rPr>
                      <w:color w:val="58595B"/>
                      <w:sz w:val="12"/>
                    </w:rPr>
                    <w:t>Kristensen L J 2015, ‘Environmental contamination  in an Australian mining </w:t>
                  </w:r>
                  <w:r>
                    <w:rPr>
                      <w:color w:val="58595B"/>
                      <w:spacing w:val="2"/>
                      <w:sz w:val="12"/>
                    </w:rPr>
                    <w:t>community </w:t>
                  </w:r>
                  <w:r>
                    <w:rPr>
                      <w:color w:val="58595B"/>
                      <w:sz w:val="12"/>
                    </w:rPr>
                    <w:t>and potential </w:t>
                  </w:r>
                  <w:r>
                    <w:rPr>
                      <w:color w:val="58595B"/>
                      <w:spacing w:val="2"/>
                      <w:sz w:val="12"/>
                    </w:rPr>
                    <w:t>influences </w:t>
                  </w:r>
                  <w:r>
                    <w:rPr>
                      <w:color w:val="58595B"/>
                      <w:sz w:val="12"/>
                    </w:rPr>
                    <w:t>on early </w:t>
                  </w:r>
                  <w:r>
                    <w:rPr>
                      <w:color w:val="58595B"/>
                      <w:spacing w:val="2"/>
                      <w:sz w:val="12"/>
                    </w:rPr>
                    <w:t>childhood </w:t>
                  </w:r>
                  <w:r>
                    <w:rPr>
                      <w:color w:val="58595B"/>
                      <w:sz w:val="12"/>
                    </w:rPr>
                    <w:t>health and behavioural outcomes’, </w:t>
                  </w:r>
                  <w:r>
                    <w:rPr>
                      <w:i/>
                      <w:color w:val="58595B"/>
                      <w:sz w:val="12"/>
                    </w:rPr>
                    <w:t>Environmental Pollution</w:t>
                  </w:r>
                  <w:r>
                    <w:rPr>
                      <w:color w:val="58595B"/>
                      <w:sz w:val="12"/>
                    </w:rPr>
                    <w:t>, Volume 207, December, p.</w:t>
                  </w:r>
                  <w:r>
                    <w:rPr>
                      <w:color w:val="58595B"/>
                      <w:spacing w:val="10"/>
                      <w:sz w:val="12"/>
                    </w:rPr>
                    <w:t> </w:t>
                  </w:r>
                  <w:r>
                    <w:rPr>
                      <w:color w:val="58595B"/>
                      <w:spacing w:val="2"/>
                      <w:sz w:val="12"/>
                    </w:rPr>
                    <w:t>345.</w:t>
                  </w:r>
                </w:p>
                <w:p>
                  <w:pPr>
                    <w:spacing w:line="242" w:lineRule="auto" w:before="29"/>
                    <w:ind w:left="20" w:right="94" w:firstLine="0"/>
                    <w:jc w:val="left"/>
                    <w:rPr>
                      <w:sz w:val="12"/>
                    </w:rPr>
                  </w:pPr>
                  <w:r>
                    <w:rPr>
                      <w:color w:val="58595B"/>
                      <w:sz w:val="12"/>
                    </w:rPr>
                    <w:t>World Health Organisation 2011, </w:t>
                  </w:r>
                  <w:r>
                    <w:rPr>
                      <w:i/>
                      <w:color w:val="58595B"/>
                      <w:sz w:val="12"/>
                    </w:rPr>
                    <w:t>Burden of disease from environmental noise: quantification of healthy life years lost</w:t>
                  </w:r>
                  <w:r>
                    <w:rPr>
                      <w:color w:val="58595B"/>
                      <w:sz w:val="12"/>
                    </w:rPr>
                    <w:t>, Copenhagen, p.   7.</w:t>
                  </w:r>
                </w:p>
                <w:p>
                  <w:pPr>
                    <w:spacing w:line="242" w:lineRule="auto" w:before="29"/>
                    <w:ind w:left="20" w:right="94" w:firstLine="0"/>
                    <w:jc w:val="left"/>
                    <w:rPr>
                      <w:sz w:val="12"/>
                    </w:rPr>
                  </w:pPr>
                  <w:r>
                    <w:rPr>
                      <w:color w:val="58595B"/>
                      <w:sz w:val="12"/>
                    </w:rPr>
                    <w:t>Victorian Competition and Efficiency Commission 2008, </w:t>
                  </w:r>
                  <w:r>
                    <w:rPr>
                      <w:i/>
                      <w:color w:val="58595B"/>
                      <w:sz w:val="12"/>
                    </w:rPr>
                    <w:t>A State of liveability: an inquiry into enhancing Victoria’s liveability</w:t>
                  </w:r>
                  <w:r>
                    <w:rPr>
                      <w:color w:val="58595B"/>
                      <w:sz w:val="12"/>
                    </w:rPr>
                    <w:t>, Final report, October, p. 43.</w:t>
                  </w:r>
                </w:p>
                <w:p>
                  <w:pPr>
                    <w:spacing w:line="242" w:lineRule="auto" w:before="29"/>
                    <w:ind w:left="20" w:right="94" w:firstLine="0"/>
                    <w:jc w:val="left"/>
                    <w:rPr>
                      <w:sz w:val="12"/>
                    </w:rPr>
                  </w:pPr>
                  <w:r>
                    <w:rPr>
                      <w:color w:val="58595B"/>
                      <w:sz w:val="12"/>
                    </w:rPr>
                    <w:t>Department of Economic Development, Jobs, Transport and Resources 2015, </w:t>
                  </w:r>
                  <w:r>
                    <w:rPr>
                      <w:i/>
                      <w:color w:val="58595B"/>
                      <w:sz w:val="12"/>
                    </w:rPr>
                    <w:t>Strategic Plan</w:t>
                  </w:r>
                  <w:r>
                    <w:rPr>
                      <w:color w:val="58595B"/>
                      <w:sz w:val="12"/>
                    </w:rPr>
                    <w:t>, Melbourne, July,  p.11.</w:t>
                  </w:r>
                </w:p>
                <w:p>
                  <w:pPr>
                    <w:spacing w:line="242" w:lineRule="auto" w:before="29"/>
                    <w:ind w:left="20" w:right="197" w:firstLine="0"/>
                    <w:jc w:val="left"/>
                    <w:rPr>
                      <w:sz w:val="12"/>
                    </w:rPr>
                  </w:pPr>
                  <w:r>
                    <w:rPr>
                      <w:color w:val="58595B"/>
                      <w:sz w:val="12"/>
                    </w:rPr>
                    <w:t>Plan Melbourne 2015, </w:t>
                  </w:r>
                  <w:r>
                    <w:rPr>
                      <w:i/>
                      <w:color w:val="58595B"/>
                      <w:sz w:val="12"/>
                    </w:rPr>
                    <w:t>Plan Melbourne Refresh</w:t>
                  </w:r>
                  <w:r>
                    <w:rPr>
                      <w:color w:val="58595B"/>
                      <w:sz w:val="12"/>
                    </w:rPr>
                    <w:t>, discussion paper, Melbourne, October</w:t>
                  </w:r>
                  <w:hyperlink r:id="rId11">
                    <w:r>
                      <w:rPr>
                        <w:color w:val="58595B"/>
                        <w:sz w:val="12"/>
                      </w:rPr>
                      <w:t>, http://refresh.planmelbourne.vic.gov.au/plan-</w:t>
                    </w:r>
                  </w:hyperlink>
                  <w:r>
                    <w:rPr>
                      <w:color w:val="58595B"/>
                      <w:sz w:val="12"/>
                    </w:rPr>
                    <w:t> melbourne-refresh-discussion-paper (accessed 9 March 2016), p.  8.</w:t>
                  </w:r>
                </w:p>
                <w:p>
                  <w:pPr>
                    <w:spacing w:line="242" w:lineRule="auto" w:before="29"/>
                    <w:ind w:left="20" w:right="250" w:firstLine="0"/>
                    <w:jc w:val="left"/>
                    <w:rPr>
                      <w:sz w:val="12"/>
                    </w:rPr>
                  </w:pPr>
                  <w:r>
                    <w:rPr>
                      <w:color w:val="58595B"/>
                      <w:sz w:val="12"/>
                    </w:rPr>
                    <w:t>Bulletpoint, ‘Growing food and fibre’</w:t>
                  </w:r>
                  <w:hyperlink r:id="rId12">
                    <w:r>
                      <w:rPr>
                        <w:color w:val="58595B"/>
                        <w:sz w:val="12"/>
                      </w:rPr>
                      <w:t>, http://www.bulletpoint.com.au/</w:t>
                    </w:r>
                  </w:hyperlink>
                  <w:r>
                    <w:rPr>
                      <w:color w:val="58595B"/>
                      <w:sz w:val="12"/>
                    </w:rPr>
                    <w:t> growing-food-and-fibre/(accessed 10 March).</w:t>
                  </w:r>
                </w:p>
                <w:p>
                  <w:pPr>
                    <w:spacing w:line="242" w:lineRule="auto" w:before="29"/>
                    <w:ind w:left="20" w:right="94" w:firstLine="0"/>
                    <w:jc w:val="left"/>
                    <w:rPr>
                      <w:sz w:val="12"/>
                    </w:rPr>
                  </w:pPr>
                  <w:r>
                    <w:rPr>
                      <w:color w:val="58595B"/>
                      <w:sz w:val="12"/>
                    </w:rPr>
                    <w:t>Victorian Government 2015, </w:t>
                  </w:r>
                  <w:r>
                    <w:rPr>
                      <w:i/>
                      <w:color w:val="58595B"/>
                      <w:sz w:val="12"/>
                    </w:rPr>
                    <w:t>Response to the State of the Environment Report 2013</w:t>
                  </w:r>
                  <w:r>
                    <w:rPr>
                      <w:color w:val="58595B"/>
                      <w:sz w:val="12"/>
                    </w:rPr>
                    <w:t>, Melbourne, p. 6.</w:t>
                  </w:r>
                </w:p>
                <w:p>
                  <w:pPr>
                    <w:spacing w:line="242" w:lineRule="auto" w:before="29"/>
                    <w:ind w:left="20" w:right="281" w:firstLine="0"/>
                    <w:jc w:val="left"/>
                    <w:rPr>
                      <w:sz w:val="12"/>
                    </w:rPr>
                  </w:pPr>
                  <w:r>
                    <w:rPr>
                      <w:color w:val="58595B"/>
                      <w:sz w:val="12"/>
                    </w:rPr>
                    <w:t>Freiberg A 2010, </w:t>
                  </w:r>
                  <w:r>
                    <w:rPr>
                      <w:i/>
                      <w:color w:val="58595B"/>
                      <w:sz w:val="12"/>
                    </w:rPr>
                    <w:t>The tools of regulation</w:t>
                  </w:r>
                  <w:r>
                    <w:rPr>
                      <w:color w:val="58595B"/>
                      <w:sz w:val="12"/>
                    </w:rPr>
                    <w:t>, Federation Press, Sydney, p. 49.</w:t>
                  </w:r>
                </w:p>
                <w:p>
                  <w:pPr>
                    <w:spacing w:before="29"/>
                    <w:ind w:left="20" w:right="94" w:firstLine="0"/>
                    <w:jc w:val="left"/>
                    <w:rPr>
                      <w:sz w:val="12"/>
                    </w:rPr>
                  </w:pPr>
                  <w:r>
                    <w:rPr>
                      <w:color w:val="58595B"/>
                      <w:sz w:val="12"/>
                    </w:rPr>
                    <w:t>Section 1F(2), Environment Protection Act  1970.</w:t>
                  </w:r>
                </w:p>
                <w:p>
                  <w:pPr>
                    <w:spacing w:line="242" w:lineRule="auto" w:before="30"/>
                    <w:ind w:left="20" w:right="94" w:firstLine="0"/>
                    <w:jc w:val="left"/>
                    <w:rPr>
                      <w:sz w:val="12"/>
                    </w:rPr>
                  </w:pPr>
                  <w:r>
                    <w:rPr>
                      <w:color w:val="58595B"/>
                      <w:sz w:val="12"/>
                    </w:rPr>
                    <w:t>Frumkin H 2005, ‘Health, equity, and the built environment’, </w:t>
                  </w:r>
                  <w:r>
                    <w:rPr>
                      <w:i/>
                      <w:color w:val="58595B"/>
                      <w:sz w:val="12"/>
                    </w:rPr>
                    <w:t>Environmental Health Perspectives</w:t>
                  </w:r>
                  <w:r>
                    <w:rPr>
                      <w:color w:val="58595B"/>
                      <w:sz w:val="12"/>
                    </w:rPr>
                    <w:t>, May, 113(5), A290-1., cited in Doctors for the Environment submission, p.  13.</w:t>
                  </w:r>
                </w:p>
                <w:p>
                  <w:pPr>
                    <w:spacing w:line="242" w:lineRule="auto" w:before="29"/>
                    <w:ind w:left="20" w:right="94" w:firstLine="0"/>
                    <w:jc w:val="left"/>
                    <w:rPr>
                      <w:sz w:val="12"/>
                    </w:rPr>
                  </w:pPr>
                  <w:r>
                    <w:rPr>
                      <w:color w:val="58595B"/>
                      <w:sz w:val="12"/>
                    </w:rPr>
                    <w:t>Public Health Association of Australia 2015, Submission on the Food Standards Australia New Zealand Amendment (Forum on Food Regulation and Other Measures) Bill 2015, October, https://www.phaa. net.au/documents/item/1121 (accessed 10 March 2016), p.  5.</w:t>
                  </w:r>
                </w:p>
                <w:p>
                  <w:pPr>
                    <w:spacing w:line="242" w:lineRule="auto" w:before="29"/>
                    <w:ind w:left="20" w:right="94" w:firstLine="0"/>
                    <w:jc w:val="left"/>
                    <w:rPr>
                      <w:sz w:val="12"/>
                    </w:rPr>
                  </w:pPr>
                  <w:r>
                    <w:rPr>
                      <w:color w:val="58595B"/>
                      <w:sz w:val="12"/>
                    </w:rPr>
                    <w:t>Dovers S 2006, </w:t>
                  </w:r>
                  <w:r>
                    <w:rPr>
                      <w:i/>
                      <w:color w:val="58595B"/>
                      <w:sz w:val="12"/>
                    </w:rPr>
                    <w:t>The dilemma of conflicting environmental outcomes; current or emerging issues</w:t>
                  </w:r>
                  <w:r>
                    <w:rPr>
                      <w:color w:val="58595B"/>
                      <w:sz w:val="12"/>
                    </w:rPr>
                    <w:t>, Paper prepared for the Australian State of the Environment Committee, Centre for Resource and Environmental Studies, Australian National University, p.  4.</w:t>
                  </w:r>
                </w:p>
                <w:p>
                  <w:pPr>
                    <w:spacing w:line="242" w:lineRule="auto" w:before="29"/>
                    <w:ind w:left="20" w:right="281" w:firstLine="0"/>
                    <w:jc w:val="left"/>
                    <w:rPr>
                      <w:sz w:val="12"/>
                    </w:rPr>
                  </w:pPr>
                  <w:r>
                    <w:rPr>
                      <w:color w:val="58595B"/>
                      <w:sz w:val="12"/>
                    </w:rPr>
                    <w:t>Freiberg A 2010, </w:t>
                  </w:r>
                  <w:r>
                    <w:rPr>
                      <w:i/>
                      <w:color w:val="58595B"/>
                      <w:sz w:val="12"/>
                    </w:rPr>
                    <w:t>The tools of regulation</w:t>
                  </w:r>
                  <w:r>
                    <w:rPr>
                      <w:color w:val="58595B"/>
                      <w:sz w:val="12"/>
                    </w:rPr>
                    <w:t>, Federation Press, Sydney, p. 75.</w:t>
                  </w:r>
                </w:p>
                <w:p>
                  <w:pPr>
                    <w:spacing w:line="242" w:lineRule="auto" w:before="29"/>
                    <w:ind w:left="20" w:right="94" w:firstLine="0"/>
                    <w:jc w:val="left"/>
                    <w:rPr>
                      <w:sz w:val="12"/>
                    </w:rPr>
                  </w:pPr>
                  <w:r>
                    <w:rPr>
                      <w:color w:val="58595B"/>
                      <w:sz w:val="12"/>
                    </w:rPr>
                    <w:t>Office of Best Practice Regulation 2014, Environmental valuation and uncertainty research report, Canberra.</w:t>
                  </w:r>
                </w:p>
                <w:p>
                  <w:pPr>
                    <w:spacing w:line="242" w:lineRule="auto" w:before="29"/>
                    <w:ind w:left="20" w:right="94" w:firstLine="0"/>
                    <w:jc w:val="left"/>
                    <w:rPr>
                      <w:sz w:val="12"/>
                    </w:rPr>
                  </w:pPr>
                  <w:r>
                    <w:rPr>
                      <w:color w:val="58595B"/>
                      <w:sz w:val="12"/>
                    </w:rPr>
                    <w:t>OECD 2010, </w:t>
                  </w:r>
                  <w:r>
                    <w:rPr>
                      <w:i/>
                      <w:color w:val="58595B"/>
                      <w:sz w:val="12"/>
                    </w:rPr>
                    <w:t>Risk and regulatory policy: improving the governance of risk</w:t>
                  </w:r>
                  <w:r>
                    <w:rPr>
                      <w:color w:val="58595B"/>
                      <w:sz w:val="12"/>
                    </w:rPr>
                    <w:t>, Paris, April, p. 16.</w:t>
                  </w:r>
                </w:p>
                <w:p>
                  <w:pPr>
                    <w:spacing w:line="242" w:lineRule="auto" w:before="29"/>
                    <w:ind w:left="20" w:right="281" w:firstLine="0"/>
                    <w:jc w:val="left"/>
                    <w:rPr>
                      <w:sz w:val="12"/>
                    </w:rPr>
                  </w:pPr>
                  <w:r>
                    <w:rPr>
                      <w:color w:val="58595B"/>
                      <w:sz w:val="12"/>
                    </w:rPr>
                    <w:t>Freiberg A 2010, </w:t>
                  </w:r>
                  <w:r>
                    <w:rPr>
                      <w:i/>
                      <w:color w:val="58595B"/>
                      <w:sz w:val="12"/>
                    </w:rPr>
                    <w:t>The tools of regulation</w:t>
                  </w:r>
                  <w:r>
                    <w:rPr>
                      <w:color w:val="58595B"/>
                      <w:sz w:val="12"/>
                    </w:rPr>
                    <w:t>, Federation Press, Sydney, p. 22.</w:t>
                  </w:r>
                </w:p>
                <w:p>
                  <w:pPr>
                    <w:spacing w:line="242" w:lineRule="auto" w:before="29"/>
                    <w:ind w:left="20" w:right="281" w:firstLine="0"/>
                    <w:jc w:val="left"/>
                    <w:rPr>
                      <w:sz w:val="12"/>
                    </w:rPr>
                  </w:pPr>
                  <w:r>
                    <w:rPr>
                      <w:color w:val="58595B"/>
                      <w:sz w:val="12"/>
                    </w:rPr>
                    <w:t>Freiberg A 2010, </w:t>
                  </w:r>
                  <w:r>
                    <w:rPr>
                      <w:i/>
                      <w:color w:val="58595B"/>
                      <w:sz w:val="12"/>
                    </w:rPr>
                    <w:t>The tools of regulation</w:t>
                  </w:r>
                  <w:r>
                    <w:rPr>
                      <w:color w:val="58595B"/>
                      <w:sz w:val="12"/>
                    </w:rPr>
                    <w:t>, Federation Press, Sydney, p. 54.</w:t>
                  </w:r>
                </w:p>
                <w:p>
                  <w:pPr>
                    <w:spacing w:line="242" w:lineRule="auto" w:before="29"/>
                    <w:ind w:left="20" w:right="281" w:firstLine="0"/>
                    <w:jc w:val="left"/>
                    <w:rPr>
                      <w:sz w:val="12"/>
                    </w:rPr>
                  </w:pPr>
                  <w:r>
                    <w:rPr>
                      <w:color w:val="58595B"/>
                      <w:sz w:val="12"/>
                    </w:rPr>
                    <w:t>Australian National Audit Office 2014, </w:t>
                  </w:r>
                  <w:r>
                    <w:rPr>
                      <w:i/>
                      <w:color w:val="58595B"/>
                      <w:sz w:val="12"/>
                    </w:rPr>
                    <w:t>Administering regulation: achieving the right balance</w:t>
                  </w:r>
                  <w:r>
                    <w:rPr>
                      <w:color w:val="58595B"/>
                      <w:sz w:val="12"/>
                    </w:rPr>
                    <w:t>, Better practice guide, Canberra,   June.</w:t>
                  </w:r>
                </w:p>
                <w:p>
                  <w:pPr>
                    <w:spacing w:line="242" w:lineRule="auto" w:before="29"/>
                    <w:ind w:left="20" w:right="94" w:firstLine="0"/>
                    <w:jc w:val="left"/>
                    <w:rPr>
                      <w:sz w:val="12"/>
                    </w:rPr>
                  </w:pPr>
                  <w:r>
                    <w:rPr>
                      <w:color w:val="58595B"/>
                      <w:sz w:val="12"/>
                    </w:rPr>
                    <w:t>EPA Victoria 2014, Compliance and Enforcement Policy, Melbourne, August, p. 7.</w:t>
                  </w:r>
                </w:p>
                <w:p>
                  <w:pPr>
                    <w:spacing w:before="29"/>
                    <w:ind w:left="20" w:right="94" w:firstLine="0"/>
                    <w:jc w:val="left"/>
                    <w:rPr>
                      <w:sz w:val="12"/>
                    </w:rPr>
                  </w:pPr>
                  <w:r>
                    <w:rPr>
                      <w:color w:val="58595B"/>
                      <w:sz w:val="12"/>
                    </w:rPr>
                    <w:t>Freiberg A 2010, </w:t>
                  </w:r>
                  <w:r>
                    <w:rPr>
                      <w:i/>
                      <w:color w:val="58595B"/>
                      <w:sz w:val="12"/>
                    </w:rPr>
                    <w:t>The tools of regulation</w:t>
                  </w:r>
                  <w:r>
                    <w:rPr>
                      <w:color w:val="58595B"/>
                      <w:sz w:val="12"/>
                    </w:rPr>
                    <w:t>, Federation Press,   Sydney,</w:t>
                  </w:r>
                </w:p>
                <w:p>
                  <w:pPr>
                    <w:spacing w:line="242" w:lineRule="auto" w:before="2"/>
                    <w:ind w:left="20" w:right="94" w:firstLine="0"/>
                    <w:jc w:val="left"/>
                    <w:rPr>
                      <w:sz w:val="12"/>
                    </w:rPr>
                  </w:pPr>
                  <w:r>
                    <w:rPr>
                      <w:color w:val="58595B"/>
                      <w:sz w:val="12"/>
                    </w:rPr>
                    <w:t>p. 53; Gunningham N 2015 b, </w:t>
                  </w:r>
                  <w:r>
                    <w:rPr>
                      <w:i/>
                      <w:color w:val="58595B"/>
                      <w:sz w:val="12"/>
                    </w:rPr>
                    <w:t>Options for reforming environmental law and regulation in Victoria</w:t>
                  </w:r>
                  <w:r>
                    <w:rPr>
                      <w:color w:val="58595B"/>
                      <w:sz w:val="12"/>
                    </w:rPr>
                    <w:t>, Paper 2, p.  5.</w:t>
                  </w:r>
                </w:p>
                <w:p>
                  <w:pPr>
                    <w:spacing w:line="242" w:lineRule="auto" w:before="29"/>
                    <w:ind w:left="20" w:right="94" w:firstLine="0"/>
                    <w:jc w:val="left"/>
                    <w:rPr>
                      <w:sz w:val="12"/>
                    </w:rPr>
                  </w:pPr>
                  <w:r>
                    <w:rPr>
                      <w:color w:val="58595B"/>
                      <w:sz w:val="12"/>
                    </w:rPr>
                    <w:t>OECD 2014, </w:t>
                  </w:r>
                  <w:r>
                    <w:rPr>
                      <w:i/>
                      <w:color w:val="58595B"/>
                      <w:sz w:val="12"/>
                    </w:rPr>
                    <w:t>The cost of air pollution: health impacts of road transport</w:t>
                  </w:r>
                  <w:r>
                    <w:rPr>
                      <w:color w:val="58595B"/>
                      <w:sz w:val="12"/>
                    </w:rPr>
                    <w:t>, Copenhagen, p. 46.</w:t>
                  </w:r>
                </w:p>
                <w:p>
                  <w:pPr>
                    <w:spacing w:before="29"/>
                    <w:ind w:left="20" w:right="94" w:firstLine="0"/>
                    <w:jc w:val="left"/>
                    <w:rPr>
                      <w:sz w:val="12"/>
                    </w:rPr>
                  </w:pPr>
                  <w:r>
                    <w:rPr>
                      <w:color w:val="58595B"/>
                      <w:sz w:val="12"/>
                    </w:rPr>
                    <w:t>Bureau of Infrastructure, Transport and Regional Economics   2011,</w:t>
                  </w:r>
                </w:p>
                <w:p>
                  <w:pPr>
                    <w:spacing w:before="2"/>
                    <w:ind w:left="20" w:right="94" w:firstLine="0"/>
                    <w:jc w:val="left"/>
                    <w:rPr>
                      <w:sz w:val="12"/>
                    </w:rPr>
                  </w:pPr>
                  <w:r>
                    <w:rPr>
                      <w:i/>
                      <w:color w:val="58595B"/>
                      <w:sz w:val="12"/>
                    </w:rPr>
                    <w:t>Road deaths Australia 2010: statistical summary</w:t>
                  </w:r>
                  <w:r>
                    <w:rPr>
                      <w:color w:val="58595B"/>
                      <w:sz w:val="12"/>
                    </w:rPr>
                    <w:t>, Canberra, p.   2.</w:t>
                  </w:r>
                </w:p>
                <w:p>
                  <w:pPr>
                    <w:spacing w:line="242" w:lineRule="auto" w:before="30"/>
                    <w:ind w:left="20" w:right="17" w:firstLine="0"/>
                    <w:jc w:val="left"/>
                    <w:rPr>
                      <w:sz w:val="12"/>
                    </w:rPr>
                  </w:pPr>
                  <w:r>
                    <w:rPr>
                      <w:color w:val="58595B"/>
                      <w:spacing w:val="2"/>
                      <w:sz w:val="12"/>
                    </w:rPr>
                    <w:t>‘There </w:t>
                  </w:r>
                  <w:r>
                    <w:rPr>
                      <w:color w:val="58595B"/>
                      <w:sz w:val="12"/>
                    </w:rPr>
                    <w:t>are also </w:t>
                  </w:r>
                  <w:r>
                    <w:rPr>
                      <w:color w:val="58595B"/>
                      <w:spacing w:val="2"/>
                      <w:sz w:val="12"/>
                    </w:rPr>
                    <w:t>“fright </w:t>
                  </w:r>
                  <w:r>
                    <w:rPr>
                      <w:color w:val="58595B"/>
                      <w:sz w:val="12"/>
                    </w:rPr>
                    <w:t>factors” which make people more </w:t>
                  </w:r>
                  <w:r>
                    <w:rPr>
                      <w:color w:val="58595B"/>
                      <w:spacing w:val="2"/>
                      <w:sz w:val="12"/>
                    </w:rPr>
                    <w:t>wary </w:t>
                  </w:r>
                  <w:r>
                    <w:rPr>
                      <w:color w:val="58595B"/>
                      <w:sz w:val="12"/>
                    </w:rPr>
                    <w:t>of some risks than is warranted by objective calculation of odds: for example,    risk is less acceptable if the risk-taker has no </w:t>
                  </w:r>
                  <w:r>
                    <w:rPr>
                      <w:color w:val="58595B"/>
                      <w:spacing w:val="2"/>
                      <w:sz w:val="12"/>
                    </w:rPr>
                    <w:t>choice </w:t>
                  </w:r>
                  <w:r>
                    <w:rPr>
                      <w:color w:val="58595B"/>
                      <w:sz w:val="12"/>
                    </w:rPr>
                    <w:t>as to whether to  take the risk and no personal means of managing it.’ UK House of Lords Select Committee on </w:t>
                  </w:r>
                  <w:r>
                    <w:rPr>
                      <w:color w:val="58595B"/>
                      <w:spacing w:val="2"/>
                      <w:sz w:val="12"/>
                    </w:rPr>
                    <w:t>Science </w:t>
                  </w:r>
                  <w:r>
                    <w:rPr>
                      <w:color w:val="58595B"/>
                      <w:sz w:val="12"/>
                    </w:rPr>
                    <w:t>and Technology </w:t>
                  </w:r>
                  <w:r>
                    <w:rPr>
                      <w:color w:val="58595B"/>
                      <w:spacing w:val="2"/>
                      <w:sz w:val="12"/>
                    </w:rPr>
                    <w:t>2000, </w:t>
                  </w:r>
                  <w:r>
                    <w:rPr>
                      <w:i/>
                      <w:color w:val="58595B"/>
                      <w:sz w:val="12"/>
                    </w:rPr>
                    <w:t>Science and Technology</w:t>
                  </w:r>
                  <w:r>
                    <w:rPr>
                      <w:color w:val="58595B"/>
                      <w:sz w:val="12"/>
                    </w:rPr>
                    <w:t>, Third </w:t>
                  </w:r>
                  <w:r>
                    <w:rPr>
                      <w:color w:val="58595B"/>
                      <w:spacing w:val="2"/>
                      <w:sz w:val="12"/>
                    </w:rPr>
                    <w:t>report, </w:t>
                  </w:r>
                  <w:r>
                    <w:rPr>
                      <w:color w:val="58595B"/>
                      <w:sz w:val="12"/>
                    </w:rPr>
                    <w:t>February, paragraph </w:t>
                  </w:r>
                  <w:r>
                    <w:rPr>
                      <w:color w:val="58595B"/>
                      <w:spacing w:val="14"/>
                      <w:sz w:val="12"/>
                    </w:rPr>
                    <w:t> </w:t>
                  </w:r>
                  <w:r>
                    <w:rPr>
                      <w:color w:val="58595B"/>
                      <w:spacing w:val="-5"/>
                      <w:sz w:val="12"/>
                    </w:rPr>
                    <w:t>4.17.</w:t>
                  </w:r>
                </w:p>
                <w:p>
                  <w:pPr>
                    <w:spacing w:line="242" w:lineRule="auto" w:before="29"/>
                    <w:ind w:left="20" w:right="28" w:firstLine="0"/>
                    <w:jc w:val="left"/>
                    <w:rPr>
                      <w:sz w:val="12"/>
                    </w:rPr>
                  </w:pPr>
                  <w:r>
                    <w:rPr>
                      <w:color w:val="58595B"/>
                      <w:sz w:val="12"/>
                    </w:rPr>
                    <w:t>UK House of Lords Select Committee on </w:t>
                  </w:r>
                  <w:r>
                    <w:rPr>
                      <w:color w:val="58595B"/>
                      <w:spacing w:val="2"/>
                      <w:sz w:val="12"/>
                    </w:rPr>
                    <w:t>Science </w:t>
                  </w:r>
                  <w:r>
                    <w:rPr>
                      <w:color w:val="58595B"/>
                      <w:sz w:val="12"/>
                    </w:rPr>
                    <w:t>and Technology   </w:t>
                  </w:r>
                  <w:r>
                    <w:rPr>
                      <w:color w:val="58595B"/>
                      <w:spacing w:val="2"/>
                      <w:sz w:val="12"/>
                    </w:rPr>
                    <w:t>2000, </w:t>
                  </w:r>
                  <w:r>
                    <w:rPr>
                      <w:i/>
                      <w:color w:val="58595B"/>
                      <w:sz w:val="12"/>
                    </w:rPr>
                    <w:t>Science and Technology</w:t>
                  </w:r>
                  <w:r>
                    <w:rPr>
                      <w:color w:val="58595B"/>
                      <w:sz w:val="12"/>
                    </w:rPr>
                    <w:t>, Third </w:t>
                  </w:r>
                  <w:r>
                    <w:rPr>
                      <w:color w:val="58595B"/>
                      <w:spacing w:val="2"/>
                      <w:sz w:val="12"/>
                    </w:rPr>
                    <w:t>report, </w:t>
                  </w:r>
                  <w:r>
                    <w:rPr>
                      <w:color w:val="58595B"/>
                      <w:sz w:val="12"/>
                    </w:rPr>
                    <w:t>February, paragraph  </w:t>
                  </w:r>
                  <w:r>
                    <w:rPr>
                      <w:color w:val="58595B"/>
                      <w:spacing w:val="4"/>
                      <w:sz w:val="12"/>
                    </w:rPr>
                    <w:t> </w:t>
                  </w:r>
                  <w:r>
                    <w:rPr>
                      <w:color w:val="58595B"/>
                      <w:sz w:val="12"/>
                    </w:rPr>
                    <w:t>2.43.</w:t>
                  </w:r>
                </w:p>
                <w:p>
                  <w:pPr>
                    <w:spacing w:line="242" w:lineRule="auto" w:before="29"/>
                    <w:ind w:left="20" w:right="238" w:firstLine="0"/>
                    <w:jc w:val="left"/>
                    <w:rPr>
                      <w:sz w:val="12"/>
                    </w:rPr>
                  </w:pPr>
                  <w:r>
                    <w:rPr>
                      <w:color w:val="58595B"/>
                      <w:sz w:val="12"/>
                    </w:rPr>
                    <w:t>Parliament of </w:t>
                  </w:r>
                  <w:r>
                    <w:rPr>
                      <w:color w:val="58595B"/>
                      <w:spacing w:val="2"/>
                      <w:sz w:val="12"/>
                    </w:rPr>
                    <w:t>Victoria </w:t>
                  </w:r>
                  <w:r>
                    <w:rPr>
                      <w:color w:val="58595B"/>
                      <w:sz w:val="12"/>
                    </w:rPr>
                    <w:t>Environment, Natural Resources and Regional Development Committee 2015, </w:t>
                  </w:r>
                  <w:r>
                    <w:rPr>
                      <w:i/>
                      <w:color w:val="58595B"/>
                      <w:spacing w:val="2"/>
                      <w:sz w:val="12"/>
                    </w:rPr>
                    <w:t>Inquiry </w:t>
                  </w:r>
                  <w:r>
                    <w:rPr>
                      <w:i/>
                      <w:color w:val="58595B"/>
                      <w:sz w:val="12"/>
                    </w:rPr>
                    <w:t>into the CFA Training College at Fiskville</w:t>
                  </w:r>
                  <w:r>
                    <w:rPr>
                      <w:color w:val="58595B"/>
                      <w:sz w:val="12"/>
                    </w:rPr>
                    <w:t>, Interim </w:t>
                  </w:r>
                  <w:r>
                    <w:rPr>
                      <w:color w:val="58595B"/>
                      <w:spacing w:val="2"/>
                      <w:sz w:val="12"/>
                    </w:rPr>
                    <w:t>Report, </w:t>
                  </w:r>
                  <w:r>
                    <w:rPr>
                      <w:color w:val="58595B"/>
                      <w:sz w:val="12"/>
                    </w:rPr>
                    <w:t>Melbourne, p. xi. The </w:t>
                  </w:r>
                  <w:r>
                    <w:rPr>
                      <w:color w:val="58595B"/>
                      <w:spacing w:val="2"/>
                      <w:sz w:val="12"/>
                    </w:rPr>
                    <w:t>final report </w:t>
                  </w:r>
                  <w:r>
                    <w:rPr>
                      <w:color w:val="58595B"/>
                      <w:sz w:val="12"/>
                    </w:rPr>
                    <w:t>is due   by 31 March</w:t>
                  </w:r>
                  <w:r>
                    <w:rPr>
                      <w:color w:val="58595B"/>
                      <w:spacing w:val="9"/>
                      <w:sz w:val="12"/>
                    </w:rPr>
                    <w:t> </w:t>
                  </w:r>
                  <w:r>
                    <w:rPr>
                      <w:color w:val="58595B"/>
                      <w:sz w:val="12"/>
                    </w:rPr>
                    <w:t>2016.</w:t>
                  </w:r>
                </w:p>
                <w:p>
                  <w:pPr>
                    <w:spacing w:before="29"/>
                    <w:ind w:left="20" w:right="94" w:firstLine="0"/>
                    <w:jc w:val="left"/>
                    <w:rPr>
                      <w:sz w:val="12"/>
                    </w:rPr>
                  </w:pPr>
                  <w:r>
                    <w:rPr>
                      <w:color w:val="58595B"/>
                      <w:sz w:val="12"/>
                    </w:rPr>
                    <w:t>Section 1C, </w:t>
                  </w:r>
                  <w:r>
                    <w:rPr>
                      <w:i/>
                      <w:color w:val="58595B"/>
                      <w:sz w:val="12"/>
                    </w:rPr>
                    <w:t>Environment Protection Act  1970</w:t>
                  </w:r>
                  <w:r>
                    <w:rPr>
                      <w:color w:val="58595B"/>
                      <w:sz w:val="12"/>
                    </w:rPr>
                    <w:t>.</w:t>
                  </w:r>
                </w:p>
                <w:p>
                  <w:pPr>
                    <w:spacing w:line="242" w:lineRule="auto" w:before="30"/>
                    <w:ind w:left="20" w:right="94" w:firstLine="0"/>
                    <w:jc w:val="left"/>
                    <w:rPr>
                      <w:sz w:val="12"/>
                    </w:rPr>
                  </w:pPr>
                  <w:r>
                    <w:rPr>
                      <w:color w:val="58595B"/>
                      <w:sz w:val="12"/>
                    </w:rPr>
                    <w:t>Australian Panel of Experts on Environmental Law 2015, </w:t>
                  </w:r>
                  <w:r>
                    <w:rPr>
                      <w:i/>
                      <w:color w:val="58595B"/>
                      <w:sz w:val="12"/>
                    </w:rPr>
                    <w:t>The next generation of Australia’s environmental laws</w:t>
                  </w:r>
                  <w:r>
                    <w:rPr>
                      <w:color w:val="58595B"/>
                      <w:sz w:val="12"/>
                    </w:rPr>
                    <w:t>, Introductory Paper, November, p. 8.</w:t>
                  </w:r>
                </w:p>
                <w:p>
                  <w:pPr>
                    <w:spacing w:line="242" w:lineRule="auto" w:before="29"/>
                    <w:ind w:left="20" w:right="281" w:firstLine="0"/>
                    <w:jc w:val="left"/>
                    <w:rPr>
                      <w:sz w:val="12"/>
                    </w:rPr>
                  </w:pPr>
                  <w:r>
                    <w:rPr>
                      <w:color w:val="58595B"/>
                      <w:sz w:val="12"/>
                    </w:rPr>
                    <w:t>As reflected in the principle of integrated decision making, section 1B(2), </w:t>
                  </w:r>
                  <w:r>
                    <w:rPr>
                      <w:i/>
                      <w:color w:val="58595B"/>
                      <w:sz w:val="12"/>
                    </w:rPr>
                    <w:t>Environmental Protection Act  1970</w:t>
                  </w:r>
                  <w:r>
                    <w:rPr>
                      <w:color w:val="58595B"/>
                      <w:sz w:val="12"/>
                    </w:rPr>
                    <w:t>.</w:t>
                  </w:r>
                </w:p>
                <w:p>
                  <w:pPr>
                    <w:spacing w:line="242" w:lineRule="auto" w:before="29"/>
                    <w:ind w:left="20" w:right="37" w:firstLine="0"/>
                    <w:jc w:val="left"/>
                    <w:rPr>
                      <w:sz w:val="12"/>
                    </w:rPr>
                  </w:pPr>
                  <w:r>
                    <w:rPr>
                      <w:color w:val="58595B"/>
                      <w:sz w:val="12"/>
                    </w:rPr>
                    <w:t>Australian National Audit </w:t>
                  </w:r>
                  <w:r>
                    <w:rPr>
                      <w:color w:val="58595B"/>
                      <w:spacing w:val="3"/>
                      <w:sz w:val="12"/>
                    </w:rPr>
                    <w:t>Office </w:t>
                  </w:r>
                  <w:r>
                    <w:rPr>
                      <w:color w:val="58595B"/>
                      <w:sz w:val="12"/>
                    </w:rPr>
                    <w:t>2014, </w:t>
                  </w:r>
                  <w:r>
                    <w:rPr>
                      <w:i/>
                      <w:color w:val="58595B"/>
                      <w:sz w:val="12"/>
                    </w:rPr>
                    <w:t>Administering regulation:  achieving the right balance</w:t>
                  </w:r>
                  <w:r>
                    <w:rPr>
                      <w:color w:val="58595B"/>
                      <w:sz w:val="12"/>
                    </w:rPr>
                    <w:t>, Better practice guide, Canberra, June, p.  </w:t>
                  </w:r>
                  <w:r>
                    <w:rPr>
                      <w:color w:val="58595B"/>
                      <w:spacing w:val="32"/>
                      <w:sz w:val="12"/>
                    </w:rPr>
                    <w:t> </w:t>
                  </w:r>
                  <w:r>
                    <w:rPr>
                      <w:color w:val="58595B"/>
                      <w:sz w:val="12"/>
                    </w:rPr>
                    <w:t>4.</w:t>
                  </w:r>
                </w:p>
              </w:txbxContent>
            </v:textbox>
            <w10:wrap type="none"/>
          </v:shape>
        </w:pict>
      </w:r>
      <w:r>
        <w:rPr/>
        <w:pict>
          <v:shape style="position:absolute;margin-left:292.718109pt;margin-top:106.34903pt;width:8.85pt;height:8pt;mso-position-horizontal-relative:page;mso-position-vertical-relative:page;z-index:-208888" type="#_x0000_t202" filled="false" stroked="false">
            <v:textbox inset="0,0,0,0">
              <w:txbxContent>
                <w:p>
                  <w:pPr>
                    <w:spacing w:before="4"/>
                    <w:ind w:left="20" w:right="0" w:firstLine="0"/>
                    <w:jc w:val="left"/>
                    <w:rPr>
                      <w:sz w:val="12"/>
                    </w:rPr>
                  </w:pPr>
                  <w:r>
                    <w:rPr>
                      <w:color w:val="58595B"/>
                      <w:sz w:val="12"/>
                    </w:rPr>
                    <w:t>35</w:t>
                  </w:r>
                </w:p>
              </w:txbxContent>
            </v:textbox>
            <w10:wrap type="none"/>
          </v:shape>
        </w:pict>
      </w:r>
      <w:r>
        <w:rPr/>
        <w:pict>
          <v:shape style="position:absolute;margin-left:306.878113pt;margin-top:106.34903pt;width:197.95pt;height:235pt;mso-position-horizontal-relative:page;mso-position-vertical-relative:page;z-index:-208864" type="#_x0000_t202" filled="false" stroked="false">
            <v:textbox inset="0,0,0,0">
              <w:txbxContent>
                <w:p>
                  <w:pPr>
                    <w:spacing w:line="242" w:lineRule="auto" w:before="4"/>
                    <w:ind w:left="20" w:right="159" w:firstLine="0"/>
                    <w:jc w:val="left"/>
                    <w:rPr>
                      <w:sz w:val="12"/>
                    </w:rPr>
                  </w:pPr>
                  <w:r>
                    <w:rPr>
                      <w:color w:val="58595B"/>
                      <w:spacing w:val="2"/>
                      <w:sz w:val="12"/>
                    </w:rPr>
                    <w:t>Department </w:t>
                  </w:r>
                  <w:r>
                    <w:rPr>
                      <w:color w:val="58595B"/>
                      <w:sz w:val="12"/>
                    </w:rPr>
                    <w:t>of Treasury and Finance 2015, </w:t>
                  </w:r>
                  <w:r>
                    <w:rPr>
                      <w:i/>
                      <w:color w:val="58595B"/>
                      <w:sz w:val="12"/>
                    </w:rPr>
                    <w:t>Victorian guide to  regulation toolkit </w:t>
                  </w:r>
                  <w:r>
                    <w:rPr>
                      <w:i/>
                      <w:color w:val="58595B"/>
                      <w:spacing w:val="-3"/>
                      <w:sz w:val="12"/>
                    </w:rPr>
                    <w:t>1: </w:t>
                  </w:r>
                  <w:r>
                    <w:rPr>
                      <w:i/>
                      <w:color w:val="58595B"/>
                      <w:sz w:val="12"/>
                    </w:rPr>
                    <w:t>purposes and types of regulation</w:t>
                  </w:r>
                  <w:r>
                    <w:rPr>
                      <w:color w:val="58595B"/>
                      <w:sz w:val="12"/>
                    </w:rPr>
                    <w:t>, Melbourne, July; Australian National Audit </w:t>
                  </w:r>
                  <w:r>
                    <w:rPr>
                      <w:color w:val="58595B"/>
                      <w:spacing w:val="3"/>
                      <w:sz w:val="12"/>
                    </w:rPr>
                    <w:t>Office, </w:t>
                  </w:r>
                  <w:r>
                    <w:rPr>
                      <w:i/>
                      <w:color w:val="58595B"/>
                      <w:sz w:val="12"/>
                    </w:rPr>
                    <w:t>Administering regulation. achieving   the right balance</w:t>
                  </w:r>
                  <w:r>
                    <w:rPr>
                      <w:color w:val="58595B"/>
                      <w:sz w:val="12"/>
                    </w:rPr>
                    <w:t>, Better practice guide, Canberra; Australian  </w:t>
                  </w:r>
                  <w:r>
                    <w:rPr>
                      <w:color w:val="58595B"/>
                      <w:spacing w:val="30"/>
                      <w:sz w:val="12"/>
                    </w:rPr>
                    <w:t> </w:t>
                  </w:r>
                  <w:r>
                    <w:rPr>
                      <w:color w:val="58595B"/>
                      <w:sz w:val="12"/>
                    </w:rPr>
                    <w:t>Panel</w:t>
                  </w:r>
                </w:p>
                <w:p>
                  <w:pPr>
                    <w:spacing w:line="242" w:lineRule="auto" w:before="0"/>
                    <w:ind w:left="20" w:right="86" w:firstLine="0"/>
                    <w:jc w:val="left"/>
                    <w:rPr>
                      <w:sz w:val="12"/>
                    </w:rPr>
                  </w:pPr>
                  <w:r>
                    <w:rPr>
                      <w:color w:val="58595B"/>
                      <w:sz w:val="12"/>
                    </w:rPr>
                    <w:t>of </w:t>
                  </w:r>
                  <w:r>
                    <w:rPr>
                      <w:color w:val="58595B"/>
                      <w:spacing w:val="2"/>
                      <w:sz w:val="12"/>
                    </w:rPr>
                    <w:t>Experts </w:t>
                  </w:r>
                  <w:r>
                    <w:rPr>
                      <w:color w:val="58595B"/>
                      <w:sz w:val="12"/>
                    </w:rPr>
                    <w:t>on Environmental Law 2015, </w:t>
                  </w:r>
                  <w:r>
                    <w:rPr>
                      <w:i/>
                      <w:color w:val="58595B"/>
                      <w:sz w:val="12"/>
                    </w:rPr>
                    <w:t>The next generation of Australia’s environmental laws</w:t>
                  </w:r>
                  <w:r>
                    <w:rPr>
                      <w:color w:val="58595B"/>
                      <w:sz w:val="12"/>
                    </w:rPr>
                    <w:t>, </w:t>
                  </w:r>
                  <w:r>
                    <w:rPr>
                      <w:color w:val="58595B"/>
                      <w:spacing w:val="2"/>
                      <w:sz w:val="12"/>
                    </w:rPr>
                    <w:t>Introductory </w:t>
                  </w:r>
                  <w:r>
                    <w:rPr>
                      <w:color w:val="58595B"/>
                      <w:sz w:val="12"/>
                    </w:rPr>
                    <w:t>Paper, November, p. 7; OECD 2014, </w:t>
                  </w:r>
                  <w:r>
                    <w:rPr>
                      <w:i/>
                      <w:color w:val="58595B"/>
                      <w:sz w:val="12"/>
                    </w:rPr>
                    <w:t>The governance of regulators</w:t>
                  </w:r>
                  <w:r>
                    <w:rPr>
                      <w:color w:val="58595B"/>
                      <w:sz w:val="12"/>
                    </w:rPr>
                    <w:t>, OECD Best Practice Principles for Regulatory Policy, OECD Publishing; </w:t>
                  </w:r>
                  <w:r>
                    <w:rPr>
                      <w:color w:val="58595B"/>
                      <w:spacing w:val="2"/>
                      <w:sz w:val="12"/>
                    </w:rPr>
                    <w:t>Victorian </w:t>
                  </w:r>
                  <w:r>
                    <w:rPr>
                      <w:color w:val="58595B"/>
                      <w:sz w:val="12"/>
                    </w:rPr>
                    <w:t>Competition and </w:t>
                  </w:r>
                  <w:r>
                    <w:rPr>
                      <w:color w:val="58595B"/>
                      <w:spacing w:val="2"/>
                      <w:sz w:val="12"/>
                    </w:rPr>
                    <w:t>Efficiency </w:t>
                  </w:r>
                  <w:r>
                    <w:rPr>
                      <w:color w:val="58595B"/>
                      <w:sz w:val="12"/>
                    </w:rPr>
                    <w:t>Commission 2015, </w:t>
                  </w:r>
                  <w:r>
                    <w:rPr>
                      <w:i/>
                      <w:color w:val="58595B"/>
                      <w:spacing w:val="2"/>
                      <w:sz w:val="12"/>
                    </w:rPr>
                    <w:t>Smart </w:t>
                  </w:r>
                  <w:r>
                    <w:rPr>
                      <w:i/>
                      <w:color w:val="58595B"/>
                      <w:sz w:val="12"/>
                    </w:rPr>
                    <w:t>regulation: </w:t>
                  </w:r>
                  <w:r>
                    <w:rPr>
                      <w:i/>
                      <w:color w:val="58595B"/>
                      <w:spacing w:val="2"/>
                      <w:sz w:val="12"/>
                    </w:rPr>
                    <w:t>Grappling </w:t>
                  </w:r>
                  <w:r>
                    <w:rPr>
                      <w:i/>
                      <w:color w:val="58595B"/>
                      <w:sz w:val="12"/>
                    </w:rPr>
                    <w:t>with risk</w:t>
                  </w:r>
                  <w:r>
                    <w:rPr>
                      <w:color w:val="58595B"/>
                      <w:sz w:val="12"/>
                    </w:rPr>
                    <w:t>, </w:t>
                  </w:r>
                  <w:r>
                    <w:rPr>
                      <w:color w:val="58595B"/>
                      <w:spacing w:val="2"/>
                      <w:sz w:val="12"/>
                    </w:rPr>
                    <w:t>Supporting </w:t>
                  </w:r>
                  <w:r>
                    <w:rPr>
                      <w:color w:val="58595B"/>
                      <w:sz w:val="12"/>
                    </w:rPr>
                    <w:t>paper, Melbourne, April; based on Australasian Environmental Law Enforcement and Regulators </w:t>
                  </w:r>
                  <w:r>
                    <w:rPr>
                      <w:color w:val="58595B"/>
                      <w:spacing w:val="2"/>
                      <w:sz w:val="12"/>
                    </w:rPr>
                    <w:t>Network </w:t>
                  </w:r>
                  <w:r>
                    <w:rPr>
                      <w:color w:val="58595B"/>
                      <w:sz w:val="12"/>
                    </w:rPr>
                    <w:t>2013, </w:t>
                  </w:r>
                  <w:r>
                    <w:rPr>
                      <w:i/>
                      <w:color w:val="58595B"/>
                      <w:sz w:val="12"/>
                    </w:rPr>
                    <w:t>Principles and considerations for using risk assessment in environmental </w:t>
                  </w:r>
                  <w:r>
                    <w:rPr>
                      <w:i/>
                      <w:color w:val="58595B"/>
                      <w:spacing w:val="2"/>
                      <w:sz w:val="12"/>
                    </w:rPr>
                    <w:t>regulatory</w:t>
                  </w:r>
                  <w:r>
                    <w:rPr>
                      <w:i/>
                      <w:color w:val="58595B"/>
                      <w:spacing w:val="32"/>
                      <w:sz w:val="12"/>
                    </w:rPr>
                    <w:t> </w:t>
                  </w:r>
                  <w:r>
                    <w:rPr>
                      <w:i/>
                      <w:color w:val="58595B"/>
                      <w:sz w:val="12"/>
                    </w:rPr>
                    <w:t>agencies</w:t>
                  </w:r>
                  <w:r>
                    <w:rPr>
                      <w:color w:val="58595B"/>
                      <w:sz w:val="12"/>
                    </w:rPr>
                    <w:t>.</w:t>
                  </w:r>
                </w:p>
                <w:p>
                  <w:pPr>
                    <w:spacing w:before="29"/>
                    <w:ind w:left="20" w:right="159" w:firstLine="0"/>
                    <w:jc w:val="left"/>
                    <w:rPr>
                      <w:sz w:val="12"/>
                    </w:rPr>
                  </w:pPr>
                  <w:r>
                    <w:rPr>
                      <w:color w:val="58595B"/>
                      <w:sz w:val="12"/>
                    </w:rPr>
                    <w:t>EPA Victoria 2011, </w:t>
                  </w:r>
                  <w:r>
                    <w:rPr>
                      <w:i/>
                      <w:color w:val="58595B"/>
                      <w:sz w:val="12"/>
                    </w:rPr>
                    <w:t>Five year plan 2011–2016</w:t>
                  </w:r>
                  <w:r>
                    <w:rPr>
                      <w:color w:val="58595B"/>
                      <w:sz w:val="12"/>
                    </w:rPr>
                    <w:t>, Melbourne, p. 5.</w:t>
                  </w:r>
                </w:p>
                <w:p>
                  <w:pPr>
                    <w:spacing w:line="242" w:lineRule="auto" w:before="30"/>
                    <w:ind w:left="20" w:right="116" w:firstLine="0"/>
                    <w:jc w:val="left"/>
                    <w:rPr>
                      <w:sz w:val="12"/>
                    </w:rPr>
                  </w:pPr>
                  <w:r>
                    <w:rPr>
                      <w:color w:val="58595B"/>
                      <w:sz w:val="12"/>
                    </w:rPr>
                    <w:t>Many studies have shown that reducing the costs of regulation   positively </w:t>
                  </w:r>
                  <w:r>
                    <w:rPr>
                      <w:color w:val="58595B"/>
                      <w:spacing w:val="2"/>
                      <w:sz w:val="12"/>
                    </w:rPr>
                    <w:t>affects </w:t>
                  </w:r>
                  <w:r>
                    <w:rPr>
                      <w:color w:val="58595B"/>
                      <w:sz w:val="12"/>
                    </w:rPr>
                    <w:t>productivity, employment and economic growth For example, a study across 25 European </w:t>
                  </w:r>
                  <w:r>
                    <w:rPr>
                      <w:color w:val="58595B"/>
                      <w:spacing w:val="2"/>
                      <w:sz w:val="12"/>
                    </w:rPr>
                    <w:t>countries </w:t>
                  </w:r>
                  <w:r>
                    <w:rPr>
                      <w:color w:val="58595B"/>
                      <w:sz w:val="12"/>
                    </w:rPr>
                    <w:t>estimated that, on average, a 25 per cent reduction in regulatory ‘red tape’ would increase gross domestic product by 1.6 per cent. See </w:t>
                  </w:r>
                  <w:r>
                    <w:rPr>
                      <w:color w:val="58595B"/>
                      <w:spacing w:val="2"/>
                      <w:sz w:val="12"/>
                    </w:rPr>
                    <w:t>Gelauff </w:t>
                  </w:r>
                  <w:r>
                    <w:rPr>
                      <w:color w:val="58595B"/>
                      <w:sz w:val="12"/>
                    </w:rPr>
                    <w:t>G and </w:t>
                  </w:r>
                  <w:r>
                    <w:rPr>
                      <w:color w:val="58595B"/>
                      <w:spacing w:val="31"/>
                      <w:sz w:val="12"/>
                    </w:rPr>
                    <w:t> </w:t>
                  </w:r>
                  <w:r>
                    <w:rPr>
                      <w:color w:val="58595B"/>
                      <w:sz w:val="12"/>
                    </w:rPr>
                    <w:t>Lejour</w:t>
                  </w:r>
                </w:p>
                <w:p>
                  <w:pPr>
                    <w:spacing w:line="242" w:lineRule="auto" w:before="0"/>
                    <w:ind w:left="20" w:right="86" w:firstLine="0"/>
                    <w:jc w:val="left"/>
                    <w:rPr>
                      <w:sz w:val="12"/>
                    </w:rPr>
                  </w:pPr>
                  <w:r>
                    <w:rPr>
                      <w:color w:val="58595B"/>
                      <w:sz w:val="12"/>
                    </w:rPr>
                    <w:t>A 2006, </w:t>
                  </w:r>
                  <w:r>
                    <w:rPr>
                      <w:i/>
                      <w:color w:val="58595B"/>
                      <w:sz w:val="12"/>
                    </w:rPr>
                    <w:t>Five Lisbon highlights: The economic impact of reaching these targets</w:t>
                  </w:r>
                  <w:r>
                    <w:rPr>
                      <w:color w:val="58595B"/>
                      <w:sz w:val="12"/>
                    </w:rPr>
                    <w:t>, CPB Netherlands Bureau for Economic Policy Analysis,   May.</w:t>
                  </w:r>
                </w:p>
                <w:p>
                  <w:pPr>
                    <w:spacing w:before="29"/>
                    <w:ind w:left="20" w:right="86" w:firstLine="0"/>
                    <w:jc w:val="left"/>
                    <w:rPr>
                      <w:sz w:val="12"/>
                    </w:rPr>
                  </w:pPr>
                  <w:r>
                    <w:rPr>
                      <w:color w:val="58595B"/>
                      <w:sz w:val="12"/>
                    </w:rPr>
                    <w:t>From discussions with Professor Malcolm Sparrow, 7 November  2015.</w:t>
                  </w:r>
                </w:p>
                <w:p>
                  <w:pPr>
                    <w:spacing w:line="242" w:lineRule="auto" w:before="30"/>
                    <w:ind w:left="20" w:right="17" w:firstLine="0"/>
                    <w:jc w:val="left"/>
                    <w:rPr>
                      <w:sz w:val="12"/>
                    </w:rPr>
                  </w:pPr>
                  <w:r>
                    <w:rPr>
                      <w:color w:val="58595B"/>
                      <w:sz w:val="12"/>
                    </w:rPr>
                    <w:t>UK House of Lords Select Committee on </w:t>
                  </w:r>
                  <w:r>
                    <w:rPr>
                      <w:color w:val="58595B"/>
                      <w:spacing w:val="2"/>
                      <w:sz w:val="12"/>
                    </w:rPr>
                    <w:t>Science </w:t>
                  </w:r>
                  <w:r>
                    <w:rPr>
                      <w:color w:val="58595B"/>
                      <w:sz w:val="12"/>
                    </w:rPr>
                    <w:t>and Technology   </w:t>
                  </w:r>
                  <w:r>
                    <w:rPr>
                      <w:color w:val="58595B"/>
                      <w:spacing w:val="2"/>
                      <w:sz w:val="12"/>
                    </w:rPr>
                    <w:t>2000, </w:t>
                  </w:r>
                  <w:r>
                    <w:rPr>
                      <w:i/>
                      <w:color w:val="58595B"/>
                      <w:sz w:val="12"/>
                    </w:rPr>
                    <w:t>Science and Technology</w:t>
                  </w:r>
                  <w:r>
                    <w:rPr>
                      <w:color w:val="58595B"/>
                      <w:sz w:val="12"/>
                    </w:rPr>
                    <w:t>, Third </w:t>
                  </w:r>
                  <w:r>
                    <w:rPr>
                      <w:color w:val="58595B"/>
                      <w:spacing w:val="2"/>
                      <w:sz w:val="12"/>
                    </w:rPr>
                    <w:t>report, </w:t>
                  </w:r>
                  <w:r>
                    <w:rPr>
                      <w:color w:val="58595B"/>
                      <w:sz w:val="12"/>
                    </w:rPr>
                    <w:t>February, paragraph </w:t>
                  </w:r>
                  <w:r>
                    <w:rPr>
                      <w:color w:val="58595B"/>
                      <w:spacing w:val="29"/>
                      <w:sz w:val="12"/>
                    </w:rPr>
                    <w:t> </w:t>
                  </w:r>
                  <w:r>
                    <w:rPr>
                      <w:color w:val="58595B"/>
                      <w:spacing w:val="2"/>
                      <w:sz w:val="12"/>
                    </w:rPr>
                    <w:t>2.29.</w:t>
                  </w:r>
                </w:p>
                <w:p>
                  <w:pPr>
                    <w:spacing w:line="242" w:lineRule="auto" w:before="29"/>
                    <w:ind w:left="20" w:right="159" w:firstLine="0"/>
                    <w:jc w:val="left"/>
                    <w:rPr>
                      <w:sz w:val="12"/>
                    </w:rPr>
                  </w:pPr>
                  <w:r>
                    <w:rPr>
                      <w:color w:val="58595B"/>
                      <w:sz w:val="12"/>
                    </w:rPr>
                    <w:t>Gunningham N 2015 b, </w:t>
                  </w:r>
                  <w:r>
                    <w:rPr>
                      <w:i/>
                      <w:color w:val="58595B"/>
                      <w:sz w:val="12"/>
                    </w:rPr>
                    <w:t>Options for reforming environmental law and regulation in Victoria</w:t>
                  </w:r>
                  <w:r>
                    <w:rPr>
                      <w:color w:val="58595B"/>
                      <w:sz w:val="12"/>
                    </w:rPr>
                    <w:t>. Paper 2, p.  52.</w:t>
                  </w:r>
                </w:p>
                <w:p>
                  <w:pPr>
                    <w:spacing w:line="242" w:lineRule="auto" w:before="29"/>
                    <w:ind w:left="20" w:right="86" w:firstLine="0"/>
                    <w:jc w:val="left"/>
                    <w:rPr>
                      <w:sz w:val="12"/>
                    </w:rPr>
                  </w:pPr>
                  <w:r>
                    <w:rPr>
                      <w:color w:val="58595B"/>
                      <w:sz w:val="12"/>
                    </w:rPr>
                    <w:t>The Hon. Gregory B Jaczko, Commissioner, US Nuclear Regulatory Commission 2008, ‘Being a Decisive Regulator’, Prepared remarks for the </w:t>
                  </w:r>
                  <w:r>
                    <w:rPr>
                      <w:i/>
                      <w:color w:val="58595B"/>
                      <w:sz w:val="12"/>
                    </w:rPr>
                    <w:t>Regulatory Information Conference</w:t>
                  </w:r>
                  <w:r>
                    <w:rPr>
                      <w:color w:val="58595B"/>
                      <w:sz w:val="12"/>
                    </w:rPr>
                    <w:t>, March 11</w:t>
                  </w:r>
                  <w:hyperlink r:id="rId13">
                    <w:r>
                      <w:rPr>
                        <w:color w:val="58595B"/>
                        <w:sz w:val="12"/>
                      </w:rPr>
                      <w:t>, http://pbadupws.nrc.</w:t>
                    </w:r>
                  </w:hyperlink>
                  <w:r>
                    <w:rPr>
                      <w:color w:val="58595B"/>
                      <w:sz w:val="12"/>
                    </w:rPr>
                    <w:t> gov/docs/ML0807/ML080720171.pdf (accessed 3 March  2016).</w:t>
                  </w:r>
                </w:p>
                <w:p>
                  <w:pPr>
                    <w:spacing w:line="242" w:lineRule="auto" w:before="29"/>
                    <w:ind w:left="20" w:right="35" w:firstLine="0"/>
                    <w:jc w:val="left"/>
                    <w:rPr>
                      <w:sz w:val="12"/>
                    </w:rPr>
                  </w:pPr>
                  <w:r>
                    <w:rPr>
                      <w:color w:val="58595B"/>
                      <w:sz w:val="12"/>
                    </w:rPr>
                    <w:t>Australian National Audit </w:t>
                  </w:r>
                  <w:r>
                    <w:rPr>
                      <w:color w:val="58595B"/>
                      <w:spacing w:val="3"/>
                      <w:sz w:val="12"/>
                    </w:rPr>
                    <w:t>Office </w:t>
                  </w:r>
                  <w:r>
                    <w:rPr>
                      <w:color w:val="58595B"/>
                      <w:sz w:val="12"/>
                    </w:rPr>
                    <w:t>2014, </w:t>
                  </w:r>
                  <w:r>
                    <w:rPr>
                      <w:i/>
                      <w:color w:val="58595B"/>
                      <w:sz w:val="12"/>
                    </w:rPr>
                    <w:t>Administering regulation: achieving the right balance</w:t>
                  </w:r>
                  <w:r>
                    <w:rPr>
                      <w:color w:val="58595B"/>
                      <w:sz w:val="12"/>
                    </w:rPr>
                    <w:t>, Better practice guide, Canberra, June, p.  </w:t>
                  </w:r>
                  <w:r>
                    <w:rPr>
                      <w:color w:val="58595B"/>
                      <w:spacing w:val="31"/>
                      <w:sz w:val="12"/>
                    </w:rPr>
                    <w:t> </w:t>
                  </w:r>
                  <w:r>
                    <w:rPr>
                      <w:color w:val="58595B"/>
                      <w:spacing w:val="-5"/>
                      <w:sz w:val="12"/>
                    </w:rPr>
                    <w:t>7.</w:t>
                  </w:r>
                </w:p>
              </w:txbxContent>
            </v:textbox>
            <w10:wrap type="none"/>
          </v:shape>
        </w:pict>
      </w:r>
      <w:r>
        <w:rPr/>
        <w:pict>
          <v:shape style="position:absolute;margin-left:69.866096pt;margin-top:121.643028pt;width:5.3pt;height:8pt;mso-position-horizontal-relative:page;mso-position-vertical-relative:page;z-index:-208840" type="#_x0000_t202" filled="false" stroked="false">
            <v:textbox inset="0,0,0,0">
              <w:txbxContent>
                <w:p>
                  <w:pPr>
                    <w:spacing w:before="4"/>
                    <w:ind w:left="20" w:right="0" w:firstLine="0"/>
                    <w:jc w:val="left"/>
                    <w:rPr>
                      <w:sz w:val="12"/>
                    </w:rPr>
                  </w:pPr>
                  <w:r>
                    <w:rPr>
                      <w:color w:val="58595B"/>
                      <w:sz w:val="12"/>
                    </w:rPr>
                    <w:t>2</w:t>
                  </w:r>
                </w:p>
              </w:txbxContent>
            </v:textbox>
            <w10:wrap type="none"/>
          </v:shape>
        </w:pict>
      </w:r>
      <w:r>
        <w:rPr/>
        <w:pict>
          <v:shape style="position:absolute;margin-left:69.866096pt;margin-top:144.065033pt;width:5.3pt;height:8pt;mso-position-horizontal-relative:page;mso-position-vertical-relative:page;z-index:-208816" type="#_x0000_t202" filled="false" stroked="false">
            <v:textbox inset="0,0,0,0">
              <w:txbxContent>
                <w:p>
                  <w:pPr>
                    <w:spacing w:before="4"/>
                    <w:ind w:left="20" w:right="0" w:firstLine="0"/>
                    <w:jc w:val="left"/>
                    <w:rPr>
                      <w:sz w:val="12"/>
                    </w:rPr>
                  </w:pPr>
                  <w:r>
                    <w:rPr>
                      <w:color w:val="58595B"/>
                      <w:sz w:val="12"/>
                    </w:rPr>
                    <w:t>3</w:t>
                  </w:r>
                </w:p>
              </w:txbxContent>
            </v:textbox>
            <w10:wrap type="none"/>
          </v:shape>
        </w:pict>
      </w:r>
      <w:r>
        <w:rPr/>
        <w:pict>
          <v:shape style="position:absolute;margin-left:69.866096pt;margin-top:166.48703pt;width:5.3pt;height:8pt;mso-position-horizontal-relative:page;mso-position-vertical-relative:page;z-index:-208792" type="#_x0000_t202" filled="false" stroked="false">
            <v:textbox inset="0,0,0,0">
              <w:txbxContent>
                <w:p>
                  <w:pPr>
                    <w:spacing w:before="4"/>
                    <w:ind w:left="20" w:right="0" w:firstLine="0"/>
                    <w:jc w:val="left"/>
                    <w:rPr>
                      <w:sz w:val="12"/>
                    </w:rPr>
                  </w:pPr>
                  <w:r>
                    <w:rPr>
                      <w:color w:val="58595B"/>
                      <w:sz w:val="12"/>
                    </w:rPr>
                    <w:t>4</w:t>
                  </w:r>
                </w:p>
              </w:txbxContent>
            </v:textbox>
            <w10:wrap type="none"/>
          </v:shape>
        </w:pict>
      </w:r>
      <w:r>
        <w:rPr/>
        <w:pict>
          <v:shape style="position:absolute;margin-left:69.866096pt;margin-top:188.909027pt;width:5.3pt;height:8pt;mso-position-horizontal-relative:page;mso-position-vertical-relative:page;z-index:-208768" type="#_x0000_t202" filled="false" stroked="false">
            <v:textbox inset="0,0,0,0">
              <w:txbxContent>
                <w:p>
                  <w:pPr>
                    <w:spacing w:before="4"/>
                    <w:ind w:left="20" w:right="0" w:firstLine="0"/>
                    <w:jc w:val="left"/>
                    <w:rPr>
                      <w:sz w:val="12"/>
                    </w:rPr>
                  </w:pPr>
                  <w:r>
                    <w:rPr>
                      <w:color w:val="58595B"/>
                      <w:sz w:val="12"/>
                    </w:rPr>
                    <w:t>5</w:t>
                  </w:r>
                </w:p>
              </w:txbxContent>
            </v:textbox>
            <w10:wrap type="none"/>
          </v:shape>
        </w:pict>
      </w:r>
      <w:r>
        <w:rPr/>
        <w:pict>
          <v:shape style="position:absolute;margin-left:292.712097pt;margin-top:198.791031pt;width:8.85pt;height:16.45pt;mso-position-horizontal-relative:page;mso-position-vertical-relative:page;z-index:-208744" type="#_x0000_t202" filled="false" stroked="false">
            <v:textbox inset="0,0,0,0">
              <w:txbxContent>
                <w:p>
                  <w:pPr>
                    <w:spacing w:before="4"/>
                    <w:ind w:left="20" w:right="0" w:firstLine="0"/>
                    <w:jc w:val="left"/>
                    <w:rPr>
                      <w:sz w:val="12"/>
                    </w:rPr>
                  </w:pPr>
                  <w:r>
                    <w:rPr>
                      <w:color w:val="58595B"/>
                      <w:sz w:val="12"/>
                    </w:rPr>
                    <w:t>36</w:t>
                  </w:r>
                </w:p>
                <w:p>
                  <w:pPr>
                    <w:spacing w:before="30"/>
                    <w:ind w:left="20" w:right="0" w:firstLine="0"/>
                    <w:jc w:val="left"/>
                    <w:rPr>
                      <w:sz w:val="12"/>
                    </w:rPr>
                  </w:pPr>
                  <w:r>
                    <w:rPr>
                      <w:color w:val="58595B"/>
                      <w:sz w:val="12"/>
                    </w:rPr>
                    <w:t>37</w:t>
                  </w:r>
                </w:p>
              </w:txbxContent>
            </v:textbox>
            <w10:wrap type="none"/>
          </v:shape>
        </w:pict>
      </w:r>
      <w:r>
        <w:rPr/>
        <w:pict>
          <v:shape style="position:absolute;margin-left:69.866096pt;margin-top:204.329025pt;width:5.3pt;height:8pt;mso-position-horizontal-relative:page;mso-position-vertical-relative:page;z-index:-208720" type="#_x0000_t202" filled="false" stroked="false">
            <v:textbox inset="0,0,0,0">
              <w:txbxContent>
                <w:p>
                  <w:pPr>
                    <w:spacing w:before="4"/>
                    <w:ind w:left="20" w:right="0" w:firstLine="0"/>
                    <w:jc w:val="left"/>
                    <w:rPr>
                      <w:sz w:val="12"/>
                    </w:rPr>
                  </w:pPr>
                  <w:r>
                    <w:rPr>
                      <w:color w:val="58595B"/>
                      <w:sz w:val="12"/>
                    </w:rPr>
                    <w:t>6</w:t>
                  </w:r>
                </w:p>
              </w:txbxContent>
            </v:textbox>
            <w10:wrap type="none"/>
          </v:shape>
        </w:pict>
      </w:r>
      <w:r>
        <w:rPr/>
        <w:pict>
          <v:shape style="position:absolute;margin-left:69.866096pt;margin-top:233.753021pt;width:5.3pt;height:8pt;mso-position-horizontal-relative:page;mso-position-vertical-relative:page;z-index:-208696" type="#_x0000_t202" filled="false" stroked="false">
            <v:textbox inset="0,0,0,0">
              <w:txbxContent>
                <w:p>
                  <w:pPr>
                    <w:spacing w:before="4"/>
                    <w:ind w:left="20" w:right="0" w:firstLine="0"/>
                    <w:jc w:val="left"/>
                    <w:rPr>
                      <w:sz w:val="12"/>
                    </w:rPr>
                  </w:pPr>
                  <w:r>
                    <w:rPr>
                      <w:color w:val="58595B"/>
                      <w:sz w:val="12"/>
                    </w:rPr>
                    <w:t>7</w:t>
                  </w:r>
                </w:p>
              </w:txbxContent>
            </v:textbox>
            <w10:wrap type="none"/>
          </v:shape>
        </w:pict>
      </w:r>
      <w:r>
        <w:rPr/>
        <w:pict>
          <v:shape style="position:absolute;margin-left:69.866096pt;margin-top:249.173019pt;width:5.3pt;height:8pt;mso-position-horizontal-relative:page;mso-position-vertical-relative:page;z-index:-208672" type="#_x0000_t202" filled="false" stroked="false">
            <v:textbox inset="0,0,0,0">
              <w:txbxContent>
                <w:p>
                  <w:pPr>
                    <w:spacing w:before="4"/>
                    <w:ind w:left="20" w:right="0" w:firstLine="0"/>
                    <w:jc w:val="left"/>
                    <w:rPr>
                      <w:sz w:val="12"/>
                    </w:rPr>
                  </w:pPr>
                  <w:r>
                    <w:rPr>
                      <w:color w:val="58595B"/>
                      <w:sz w:val="12"/>
                    </w:rPr>
                    <w:t>8</w:t>
                  </w:r>
                </w:p>
              </w:txbxContent>
            </v:textbox>
            <w10:wrap type="none"/>
          </v:shape>
        </w:pict>
      </w:r>
      <w:r>
        <w:rPr/>
        <w:pict>
          <v:shape style="position:absolute;margin-left:292.706085pt;margin-top:257.639038pt;width:8.85pt;height:16.45pt;mso-position-horizontal-relative:page;mso-position-vertical-relative:page;z-index:-208648" type="#_x0000_t202" filled="false" stroked="false">
            <v:textbox inset="0,0,0,0">
              <w:txbxContent>
                <w:p>
                  <w:pPr>
                    <w:spacing w:before="4"/>
                    <w:ind w:left="20" w:right="0" w:firstLine="0"/>
                    <w:jc w:val="left"/>
                    <w:rPr>
                      <w:sz w:val="12"/>
                    </w:rPr>
                  </w:pPr>
                  <w:r>
                    <w:rPr>
                      <w:color w:val="58595B"/>
                      <w:sz w:val="12"/>
                    </w:rPr>
                    <w:t>38</w:t>
                  </w:r>
                </w:p>
                <w:p>
                  <w:pPr>
                    <w:spacing w:before="30"/>
                    <w:ind w:left="20" w:right="0" w:firstLine="0"/>
                    <w:jc w:val="left"/>
                    <w:rPr>
                      <w:sz w:val="12"/>
                    </w:rPr>
                  </w:pPr>
                  <w:r>
                    <w:rPr>
                      <w:color w:val="58595B"/>
                      <w:sz w:val="12"/>
                    </w:rPr>
                    <w:t>39</w:t>
                  </w:r>
                </w:p>
              </w:txbxContent>
            </v:textbox>
            <w10:wrap type="none"/>
          </v:shape>
        </w:pict>
      </w:r>
      <w:r>
        <w:rPr/>
        <w:pict>
          <v:shape style="position:absolute;margin-left:69.866096pt;margin-top:271.595032pt;width:5.3pt;height:8pt;mso-position-horizontal-relative:page;mso-position-vertical-relative:page;z-index:-208624" type="#_x0000_t202" filled="false" stroked="false">
            <v:textbox inset="0,0,0,0">
              <w:txbxContent>
                <w:p>
                  <w:pPr>
                    <w:spacing w:before="4"/>
                    <w:ind w:left="20" w:right="0" w:firstLine="0"/>
                    <w:jc w:val="left"/>
                    <w:rPr>
                      <w:sz w:val="12"/>
                    </w:rPr>
                  </w:pPr>
                  <w:r>
                    <w:rPr>
                      <w:color w:val="58595B"/>
                      <w:sz w:val="12"/>
                    </w:rPr>
                    <w:t>9</w:t>
                  </w:r>
                </w:p>
              </w:txbxContent>
            </v:textbox>
            <w10:wrap type="none"/>
          </v:shape>
        </w:pict>
      </w:r>
      <w:r>
        <w:rPr/>
        <w:pict>
          <v:shape style="position:absolute;margin-left:292.706085pt;margin-top:281.47702pt;width:8.8pt;height:8pt;mso-position-horizontal-relative:page;mso-position-vertical-relative:page;z-index:-208600" type="#_x0000_t202" filled="false" stroked="false">
            <v:textbox inset="0,0,0,0">
              <w:txbxContent>
                <w:p>
                  <w:pPr>
                    <w:spacing w:before="4"/>
                    <w:ind w:left="20" w:right="0" w:firstLine="0"/>
                    <w:jc w:val="left"/>
                    <w:rPr>
                      <w:sz w:val="12"/>
                    </w:rPr>
                  </w:pPr>
                  <w:r>
                    <w:rPr>
                      <w:color w:val="58595B"/>
                      <w:sz w:val="12"/>
                    </w:rPr>
                    <w:t>40</w:t>
                  </w:r>
                </w:p>
              </w:txbxContent>
            </v:textbox>
            <w10:wrap type="none"/>
          </v:shape>
        </w:pict>
      </w:r>
      <w:r>
        <w:rPr/>
        <w:pict>
          <v:shape style="position:absolute;margin-left:69.866096pt;margin-top:287.015015pt;width:8.550pt;height:8pt;mso-position-horizontal-relative:page;mso-position-vertical-relative:page;z-index:-208576" type="#_x0000_t202" filled="false" stroked="false">
            <v:textbox inset="0,0,0,0">
              <w:txbxContent>
                <w:p>
                  <w:pPr>
                    <w:spacing w:before="4"/>
                    <w:ind w:left="20" w:right="-3" w:firstLine="0"/>
                    <w:jc w:val="left"/>
                    <w:rPr>
                      <w:sz w:val="12"/>
                    </w:rPr>
                  </w:pPr>
                  <w:r>
                    <w:rPr>
                      <w:color w:val="58595B"/>
                      <w:sz w:val="12"/>
                    </w:rPr>
                    <w:t>10</w:t>
                  </w:r>
                </w:p>
              </w:txbxContent>
            </v:textbox>
            <w10:wrap type="none"/>
          </v:shape>
        </w:pict>
      </w:r>
      <w:r>
        <w:rPr/>
        <w:pict>
          <v:shape style="position:absolute;margin-left:292.706085pt;margin-top:296.897034pt;width:8.15pt;height:8pt;mso-position-horizontal-relative:page;mso-position-vertical-relative:page;z-index:-208552" type="#_x0000_t202" filled="false" stroked="false">
            <v:textbox inset="0,0,0,0">
              <w:txbxContent>
                <w:p>
                  <w:pPr>
                    <w:spacing w:before="4"/>
                    <w:ind w:left="20" w:right="-11" w:firstLine="0"/>
                    <w:jc w:val="left"/>
                    <w:rPr>
                      <w:sz w:val="12"/>
                    </w:rPr>
                  </w:pPr>
                  <w:r>
                    <w:rPr>
                      <w:color w:val="58595B"/>
                      <w:sz w:val="12"/>
                    </w:rPr>
                    <w:t>41</w:t>
                  </w:r>
                </w:p>
              </w:txbxContent>
            </v:textbox>
            <w10:wrap type="none"/>
          </v:shape>
        </w:pict>
      </w:r>
      <w:r>
        <w:rPr/>
        <w:pict>
          <v:shape style="position:absolute;margin-left:69.866096pt;margin-top:309.437012pt;width:7.9pt;height:8pt;mso-position-horizontal-relative:page;mso-position-vertical-relative:page;z-index:-208528" type="#_x0000_t202" filled="false" stroked="false">
            <v:textbox inset="0,0,0,0">
              <w:txbxContent>
                <w:p>
                  <w:pPr>
                    <w:spacing w:before="4"/>
                    <w:ind w:left="20" w:right="-16" w:firstLine="0"/>
                    <w:jc w:val="left"/>
                    <w:rPr>
                      <w:sz w:val="12"/>
                    </w:rPr>
                  </w:pPr>
                  <w:r>
                    <w:rPr>
                      <w:color w:val="58595B"/>
                      <w:sz w:val="12"/>
                    </w:rPr>
                    <w:t>11</w:t>
                  </w:r>
                </w:p>
              </w:txbxContent>
            </v:textbox>
            <w10:wrap type="none"/>
          </v:shape>
        </w:pict>
      </w:r>
      <w:r>
        <w:rPr/>
        <w:pict>
          <v:shape style="position:absolute;margin-left:69.866096pt;margin-top:324.857025pt;width:8.4pt;height:8pt;mso-position-horizontal-relative:page;mso-position-vertical-relative:page;z-index:-208504" type="#_x0000_t202" filled="false" stroked="false">
            <v:textbox inset="0,0,0,0">
              <w:txbxContent>
                <w:p>
                  <w:pPr>
                    <w:spacing w:before="4"/>
                    <w:ind w:left="20" w:right="-6" w:firstLine="0"/>
                    <w:jc w:val="left"/>
                    <w:rPr>
                      <w:sz w:val="12"/>
                    </w:rPr>
                  </w:pPr>
                  <w:r>
                    <w:rPr>
                      <w:color w:val="58595B"/>
                      <w:sz w:val="12"/>
                    </w:rPr>
                    <w:t>12</w:t>
                  </w:r>
                </w:p>
              </w:txbxContent>
            </v:textbox>
            <w10:wrap type="none"/>
          </v:shape>
        </w:pict>
      </w:r>
      <w:r>
        <w:rPr/>
        <w:pict>
          <v:shape style="position:absolute;margin-left:292.706085pt;margin-top:326.321014pt;width:8.65pt;height:8pt;mso-position-horizontal-relative:page;mso-position-vertical-relative:page;z-index:-208480" type="#_x0000_t202" filled="false" stroked="false">
            <v:textbox inset="0,0,0,0">
              <w:txbxContent>
                <w:p>
                  <w:pPr>
                    <w:spacing w:before="4"/>
                    <w:ind w:left="20" w:right="-1" w:firstLine="0"/>
                    <w:jc w:val="left"/>
                    <w:rPr>
                      <w:sz w:val="12"/>
                    </w:rPr>
                  </w:pPr>
                  <w:r>
                    <w:rPr>
                      <w:color w:val="58595B"/>
                      <w:sz w:val="12"/>
                    </w:rPr>
                    <w:t>42</w:t>
                  </w:r>
                </w:p>
              </w:txbxContent>
            </v:textbox>
            <w10:wrap type="none"/>
          </v:shape>
        </w:pict>
      </w:r>
      <w:r>
        <w:rPr/>
        <w:pict>
          <v:shape style="position:absolute;margin-left:69.8601pt;margin-top:340.277039pt;width:8.4pt;height:8pt;mso-position-horizontal-relative:page;mso-position-vertical-relative:page;z-index:-208456" type="#_x0000_t202" filled="false" stroked="false">
            <v:textbox inset="0,0,0,0">
              <w:txbxContent>
                <w:p>
                  <w:pPr>
                    <w:spacing w:before="4"/>
                    <w:ind w:left="20" w:right="-6" w:firstLine="0"/>
                    <w:jc w:val="left"/>
                    <w:rPr>
                      <w:sz w:val="12"/>
                    </w:rPr>
                  </w:pPr>
                  <w:r>
                    <w:rPr>
                      <w:color w:val="58595B"/>
                      <w:sz w:val="12"/>
                    </w:rPr>
                    <w:t>13</w:t>
                  </w:r>
                </w:p>
              </w:txbxContent>
            </v:textbox>
            <w10:wrap type="none"/>
          </v:shape>
        </w:pict>
      </w:r>
      <w:r>
        <w:rPr/>
        <w:pict>
          <v:shape style="position:absolute;margin-left:69.8601pt;margin-top:355.697021pt;width:8.450pt;height:16.45pt;mso-position-horizontal-relative:page;mso-position-vertical-relative:page;z-index:-208432" type="#_x0000_t202" filled="false" stroked="false">
            <v:textbox inset="0,0,0,0">
              <w:txbxContent>
                <w:p>
                  <w:pPr>
                    <w:spacing w:before="4"/>
                    <w:ind w:left="20" w:right="-5" w:firstLine="0"/>
                    <w:jc w:val="left"/>
                    <w:rPr>
                      <w:sz w:val="12"/>
                    </w:rPr>
                  </w:pPr>
                  <w:r>
                    <w:rPr>
                      <w:color w:val="58595B"/>
                      <w:sz w:val="12"/>
                    </w:rPr>
                    <w:t>14</w:t>
                  </w:r>
                </w:p>
                <w:p>
                  <w:pPr>
                    <w:spacing w:before="30"/>
                    <w:ind w:left="20" w:right="-5" w:firstLine="0"/>
                    <w:jc w:val="left"/>
                    <w:rPr>
                      <w:sz w:val="12"/>
                    </w:rPr>
                  </w:pPr>
                  <w:r>
                    <w:rPr>
                      <w:color w:val="58595B"/>
                      <w:sz w:val="12"/>
                    </w:rPr>
                    <w:t>15</w:t>
                  </w:r>
                </w:p>
              </w:txbxContent>
            </v:textbox>
            <w10:wrap type="none"/>
          </v:shape>
        </w:pict>
      </w:r>
      <w:r>
        <w:rPr/>
        <w:pict>
          <v:shape style="position:absolute;margin-left:69.8601pt;margin-top:386.537018pt;width:8.550pt;height:8pt;mso-position-horizontal-relative:page;mso-position-vertical-relative:page;z-index:-208408" type="#_x0000_t202" filled="false" stroked="false">
            <v:textbox inset="0,0,0,0">
              <w:txbxContent>
                <w:p>
                  <w:pPr>
                    <w:spacing w:before="4"/>
                    <w:ind w:left="20" w:right="-3" w:firstLine="0"/>
                    <w:jc w:val="left"/>
                    <w:rPr>
                      <w:sz w:val="12"/>
                    </w:rPr>
                  </w:pPr>
                  <w:r>
                    <w:rPr>
                      <w:color w:val="58595B"/>
                      <w:sz w:val="12"/>
                    </w:rPr>
                    <w:t>16</w:t>
                  </w:r>
                </w:p>
              </w:txbxContent>
            </v:textbox>
            <w10:wrap type="none"/>
          </v:shape>
        </w:pict>
      </w:r>
      <w:r>
        <w:rPr/>
        <w:pict>
          <v:shape style="position:absolute;margin-left:69.866096pt;margin-top:415.961029pt;width:8.25pt;height:8pt;mso-position-horizontal-relative:page;mso-position-vertical-relative:page;z-index:-208384" type="#_x0000_t202" filled="false" stroked="false">
            <v:textbox inset="0,0,0,0">
              <w:txbxContent>
                <w:p>
                  <w:pPr>
                    <w:spacing w:before="4"/>
                    <w:ind w:left="20" w:right="-9" w:firstLine="0"/>
                    <w:jc w:val="left"/>
                    <w:rPr>
                      <w:sz w:val="12"/>
                    </w:rPr>
                  </w:pPr>
                  <w:r>
                    <w:rPr>
                      <w:color w:val="58595B"/>
                      <w:sz w:val="12"/>
                    </w:rPr>
                    <w:t>17</w:t>
                  </w:r>
                </w:p>
              </w:txbxContent>
            </v:textbox>
            <w10:wrap type="none"/>
          </v:shape>
        </w:pict>
      </w:r>
      <w:r>
        <w:rPr/>
        <w:pict>
          <v:shape style="position:absolute;margin-left:69.866096pt;margin-top:445.38504pt;width:8.5pt;height:8pt;mso-position-horizontal-relative:page;mso-position-vertical-relative:page;z-index:-208360" type="#_x0000_t202" filled="false" stroked="false">
            <v:textbox inset="0,0,0,0">
              <w:txbxContent>
                <w:p>
                  <w:pPr>
                    <w:spacing w:before="4"/>
                    <w:ind w:left="20" w:right="-4" w:firstLine="0"/>
                    <w:jc w:val="left"/>
                    <w:rPr>
                      <w:sz w:val="12"/>
                    </w:rPr>
                  </w:pPr>
                  <w:r>
                    <w:rPr>
                      <w:color w:val="58595B"/>
                      <w:sz w:val="12"/>
                    </w:rPr>
                    <w:t>18</w:t>
                  </w:r>
                </w:p>
              </w:txbxContent>
            </v:textbox>
            <w10:wrap type="none"/>
          </v:shape>
        </w:pict>
      </w:r>
      <w:r>
        <w:rPr/>
        <w:pict>
          <v:shape style="position:absolute;margin-left:69.866096pt;margin-top:460.805023pt;width:8.5pt;height:8pt;mso-position-horizontal-relative:page;mso-position-vertical-relative:page;z-index:-208336" type="#_x0000_t202" filled="false" stroked="false">
            <v:textbox inset="0,0,0,0">
              <w:txbxContent>
                <w:p>
                  <w:pPr>
                    <w:spacing w:before="4"/>
                    <w:ind w:left="20" w:right="-4" w:firstLine="0"/>
                    <w:jc w:val="left"/>
                    <w:rPr>
                      <w:sz w:val="12"/>
                    </w:rPr>
                  </w:pPr>
                  <w:r>
                    <w:rPr>
                      <w:color w:val="58595B"/>
                      <w:sz w:val="12"/>
                    </w:rPr>
                    <w:t>19</w:t>
                  </w:r>
                </w:p>
              </w:txbxContent>
            </v:textbox>
            <w10:wrap type="none"/>
          </v:shape>
        </w:pict>
      </w:r>
      <w:r>
        <w:rPr/>
        <w:pict>
          <v:shape style="position:absolute;margin-left:69.866096pt;margin-top:476.225037pt;width:8.8pt;height:8pt;mso-position-horizontal-relative:page;mso-position-vertical-relative:page;z-index:-208312" type="#_x0000_t202" filled="false" stroked="false">
            <v:textbox inset="0,0,0,0">
              <w:txbxContent>
                <w:p>
                  <w:pPr>
                    <w:spacing w:before="4"/>
                    <w:ind w:left="20" w:right="0" w:firstLine="0"/>
                    <w:jc w:val="left"/>
                    <w:rPr>
                      <w:sz w:val="12"/>
                    </w:rPr>
                  </w:pPr>
                  <w:r>
                    <w:rPr>
                      <w:color w:val="58595B"/>
                      <w:sz w:val="12"/>
                    </w:rPr>
                    <w:t>20</w:t>
                  </w:r>
                </w:p>
              </w:txbxContent>
            </v:textbox>
            <w10:wrap type="none"/>
          </v:shape>
        </w:pict>
      </w:r>
      <w:r>
        <w:rPr/>
        <w:pict>
          <v:shape style="position:absolute;margin-left:69.866096pt;margin-top:491.64502pt;width:8.6pt;height:8pt;mso-position-horizontal-relative:page;mso-position-vertical-relative:page;z-index:-208288" type="#_x0000_t202" filled="false" stroked="false">
            <v:textbox inset="0,0,0,0">
              <w:txbxContent>
                <w:p>
                  <w:pPr>
                    <w:spacing w:before="4"/>
                    <w:ind w:left="20" w:right="-2" w:firstLine="0"/>
                    <w:jc w:val="left"/>
                    <w:rPr>
                      <w:sz w:val="12"/>
                    </w:rPr>
                  </w:pPr>
                  <w:r>
                    <w:rPr>
                      <w:color w:val="58595B"/>
                      <w:sz w:val="12"/>
                    </w:rPr>
                    <w:t>21</w:t>
                  </w:r>
                </w:p>
              </w:txbxContent>
            </v:textbox>
            <w10:wrap type="none"/>
          </v:shape>
        </w:pict>
      </w:r>
      <w:r>
        <w:rPr/>
        <w:pict>
          <v:shape style="position:absolute;margin-left:69.866096pt;margin-top:507.065033pt;width:8.85pt;height:8pt;mso-position-horizontal-relative:page;mso-position-vertical-relative:page;z-index:-208264" type="#_x0000_t202" filled="false" stroked="false">
            <v:textbox inset="0,0,0,0">
              <w:txbxContent>
                <w:p>
                  <w:pPr>
                    <w:spacing w:before="4"/>
                    <w:ind w:left="20" w:right="0" w:firstLine="0"/>
                    <w:jc w:val="left"/>
                    <w:rPr>
                      <w:sz w:val="12"/>
                    </w:rPr>
                  </w:pPr>
                  <w:r>
                    <w:rPr>
                      <w:color w:val="58595B"/>
                      <w:sz w:val="12"/>
                    </w:rPr>
                    <w:t>22</w:t>
                  </w:r>
                </w:p>
              </w:txbxContent>
            </v:textbox>
            <w10:wrap type="none"/>
          </v:shape>
        </w:pict>
      </w:r>
      <w:r>
        <w:rPr/>
        <w:pict>
          <v:shape style="position:absolute;margin-left:69.866096pt;margin-top:522.485046pt;width:8.8pt;height:8pt;mso-position-horizontal-relative:page;mso-position-vertical-relative:page;z-index:-208240" type="#_x0000_t202" filled="false" stroked="false">
            <v:textbox inset="0,0,0,0">
              <w:txbxContent>
                <w:p>
                  <w:pPr>
                    <w:spacing w:before="4"/>
                    <w:ind w:left="20" w:right="0" w:firstLine="0"/>
                    <w:jc w:val="left"/>
                    <w:rPr>
                      <w:sz w:val="12"/>
                    </w:rPr>
                  </w:pPr>
                  <w:r>
                    <w:rPr>
                      <w:color w:val="58595B"/>
                      <w:sz w:val="12"/>
                    </w:rPr>
                    <w:t>23</w:t>
                  </w:r>
                </w:p>
              </w:txbxContent>
            </v:textbox>
            <w10:wrap type="none"/>
          </v:shape>
        </w:pict>
      </w:r>
      <w:r>
        <w:rPr/>
        <w:pict>
          <v:shape style="position:absolute;margin-left:69.866096pt;margin-top:537.905029pt;width:8.7pt;height:8pt;mso-position-horizontal-relative:page;mso-position-vertical-relative:page;z-index:-208216" type="#_x0000_t202" filled="false" stroked="false">
            <v:textbox inset="0,0,0,0">
              <w:txbxContent>
                <w:p>
                  <w:pPr>
                    <w:spacing w:before="4"/>
                    <w:ind w:left="20" w:right="0" w:firstLine="0"/>
                    <w:jc w:val="left"/>
                    <w:rPr>
                      <w:sz w:val="12"/>
                    </w:rPr>
                  </w:pPr>
                  <w:r>
                    <w:rPr>
                      <w:color w:val="58595B"/>
                      <w:sz w:val="12"/>
                    </w:rPr>
                    <w:t>24</w:t>
                  </w:r>
                </w:p>
              </w:txbxContent>
            </v:textbox>
            <w10:wrap type="none"/>
          </v:shape>
        </w:pict>
      </w:r>
      <w:r>
        <w:rPr/>
        <w:pict>
          <v:shape style="position:absolute;margin-left:69.866096pt;margin-top:553.325012pt;width:8.75pt;height:8pt;mso-position-horizontal-relative:page;mso-position-vertical-relative:page;z-index:-208192" type="#_x0000_t202" filled="false" stroked="false">
            <v:textbox inset="0,0,0,0">
              <w:txbxContent>
                <w:p>
                  <w:pPr>
                    <w:spacing w:before="4"/>
                    <w:ind w:left="20" w:right="0" w:firstLine="0"/>
                    <w:jc w:val="left"/>
                    <w:rPr>
                      <w:sz w:val="12"/>
                    </w:rPr>
                  </w:pPr>
                  <w:r>
                    <w:rPr>
                      <w:color w:val="58595B"/>
                      <w:sz w:val="12"/>
                    </w:rPr>
                    <w:t>25</w:t>
                  </w:r>
                </w:p>
              </w:txbxContent>
            </v:textbox>
            <w10:wrap type="none"/>
          </v:shape>
        </w:pict>
      </w:r>
      <w:r>
        <w:rPr/>
        <w:pict>
          <v:shape style="position:absolute;margin-left:69.866096pt;margin-top:575.747009pt;width:8.8pt;height:8pt;mso-position-horizontal-relative:page;mso-position-vertical-relative:page;z-index:-208168" type="#_x0000_t202" filled="false" stroked="false">
            <v:textbox inset="0,0,0,0">
              <w:txbxContent>
                <w:p>
                  <w:pPr>
                    <w:spacing w:before="4"/>
                    <w:ind w:left="20" w:right="0" w:firstLine="0"/>
                    <w:jc w:val="left"/>
                    <w:rPr>
                      <w:sz w:val="12"/>
                    </w:rPr>
                  </w:pPr>
                  <w:r>
                    <w:rPr>
                      <w:color w:val="58595B"/>
                      <w:sz w:val="12"/>
                    </w:rPr>
                    <w:t>26</w:t>
                  </w:r>
                </w:p>
              </w:txbxContent>
            </v:textbox>
            <w10:wrap type="none"/>
          </v:shape>
        </w:pict>
      </w:r>
      <w:r>
        <w:rPr/>
        <w:pict>
          <v:shape style="position:absolute;margin-left:69.866096pt;margin-top:591.167053pt;width:8.75pt;height:8pt;mso-position-horizontal-relative:page;mso-position-vertical-relative:page;z-index:-208144" type="#_x0000_t202" filled="false" stroked="false">
            <v:textbox inset="0,0,0,0">
              <w:txbxContent>
                <w:p>
                  <w:pPr>
                    <w:spacing w:before="4"/>
                    <w:ind w:left="20" w:right="0" w:firstLine="0"/>
                    <w:jc w:val="left"/>
                    <w:rPr>
                      <w:sz w:val="12"/>
                    </w:rPr>
                  </w:pPr>
                  <w:r>
                    <w:rPr>
                      <w:color w:val="58595B"/>
                      <w:sz w:val="12"/>
                    </w:rPr>
                    <w:t>27</w:t>
                  </w:r>
                </w:p>
              </w:txbxContent>
            </v:textbox>
            <w10:wrap type="none"/>
          </v:shape>
        </w:pict>
      </w:r>
      <w:r>
        <w:rPr/>
        <w:pict>
          <v:shape style="position:absolute;margin-left:69.866096pt;margin-top:606.587036pt;width:8.75pt;height:8pt;mso-position-horizontal-relative:page;mso-position-vertical-relative:page;z-index:-208120" type="#_x0000_t202" filled="false" stroked="false">
            <v:textbox inset="0,0,0,0">
              <w:txbxContent>
                <w:p>
                  <w:pPr>
                    <w:spacing w:before="4"/>
                    <w:ind w:left="20" w:right="0" w:firstLine="0"/>
                    <w:jc w:val="left"/>
                    <w:rPr>
                      <w:sz w:val="12"/>
                    </w:rPr>
                  </w:pPr>
                  <w:r>
                    <w:rPr>
                      <w:color w:val="58595B"/>
                      <w:sz w:val="12"/>
                    </w:rPr>
                    <w:t>28</w:t>
                  </w:r>
                </w:p>
              </w:txbxContent>
            </v:textbox>
            <w10:wrap type="none"/>
          </v:shape>
        </w:pict>
      </w:r>
      <w:r>
        <w:rPr/>
        <w:pict>
          <v:shape style="position:absolute;margin-left:69.872101pt;margin-top:650.015015pt;width:8.8pt;height:8pt;mso-position-horizontal-relative:page;mso-position-vertical-relative:page;z-index:-208096" type="#_x0000_t202" filled="false" stroked="false">
            <v:textbox inset="0,0,0,0">
              <w:txbxContent>
                <w:p>
                  <w:pPr>
                    <w:spacing w:before="4"/>
                    <w:ind w:left="20" w:right="0" w:firstLine="0"/>
                    <w:jc w:val="left"/>
                    <w:rPr>
                      <w:sz w:val="12"/>
                    </w:rPr>
                  </w:pPr>
                  <w:r>
                    <w:rPr>
                      <w:color w:val="58595B"/>
                      <w:sz w:val="12"/>
                    </w:rPr>
                    <w:t>29</w:t>
                  </w:r>
                </w:p>
              </w:txbxContent>
            </v:textbox>
            <w10:wrap type="none"/>
          </v:shape>
        </w:pict>
      </w:r>
      <w:r>
        <w:rPr/>
        <w:pict>
          <v:shape style="position:absolute;margin-left:69.872101pt;margin-top:665.434998pt;width:8.85pt;height:8pt;mso-position-horizontal-relative:page;mso-position-vertical-relative:page;z-index:-208072" type="#_x0000_t202" filled="false" stroked="false">
            <v:textbox inset="0,0,0,0">
              <w:txbxContent>
                <w:p>
                  <w:pPr>
                    <w:spacing w:before="4"/>
                    <w:ind w:left="20" w:right="0" w:firstLine="0"/>
                    <w:jc w:val="left"/>
                    <w:rPr>
                      <w:sz w:val="12"/>
                    </w:rPr>
                  </w:pPr>
                  <w:r>
                    <w:rPr>
                      <w:color w:val="58595B"/>
                      <w:sz w:val="12"/>
                    </w:rPr>
                    <w:t>30</w:t>
                  </w:r>
                </w:p>
              </w:txbxContent>
            </v:textbox>
            <w10:wrap type="none"/>
          </v:shape>
        </w:pict>
      </w:r>
      <w:r>
        <w:rPr/>
        <w:pict>
          <v:shape style="position:absolute;margin-left:69.872101pt;margin-top:694.859009pt;width:8.75pt;height:16.45pt;mso-position-horizontal-relative:page;mso-position-vertical-relative:page;z-index:-208048" type="#_x0000_t202" filled="false" stroked="false">
            <v:textbox inset="0,0,0,0">
              <w:txbxContent>
                <w:p>
                  <w:pPr>
                    <w:spacing w:before="4"/>
                    <w:ind w:left="20" w:right="0" w:firstLine="0"/>
                    <w:jc w:val="left"/>
                    <w:rPr>
                      <w:sz w:val="12"/>
                    </w:rPr>
                  </w:pPr>
                  <w:r>
                    <w:rPr>
                      <w:color w:val="58595B"/>
                      <w:sz w:val="12"/>
                    </w:rPr>
                    <w:t>31</w:t>
                  </w:r>
                </w:p>
                <w:p>
                  <w:pPr>
                    <w:spacing w:before="30"/>
                    <w:ind w:left="20" w:right="0" w:firstLine="0"/>
                    <w:jc w:val="left"/>
                    <w:rPr>
                      <w:sz w:val="12"/>
                    </w:rPr>
                  </w:pPr>
                  <w:r>
                    <w:rPr>
                      <w:color w:val="58595B"/>
                      <w:sz w:val="12"/>
                    </w:rPr>
                    <w:t>32</w:t>
                  </w:r>
                </w:p>
              </w:txbxContent>
            </v:textbox>
            <w10:wrap type="none"/>
          </v:shape>
        </w:pict>
      </w:r>
      <w:r>
        <w:rPr/>
        <w:pict>
          <v:shape style="position:absolute;margin-left:69.872101pt;margin-top:725.699036pt;width:8.85pt;height:8pt;mso-position-horizontal-relative:page;mso-position-vertical-relative:page;z-index:-208024" type="#_x0000_t202" filled="false" stroked="false">
            <v:textbox inset="0,0,0,0">
              <w:txbxContent>
                <w:p>
                  <w:pPr>
                    <w:spacing w:before="4"/>
                    <w:ind w:left="20" w:right="0" w:firstLine="0"/>
                    <w:jc w:val="left"/>
                    <w:rPr>
                      <w:sz w:val="12"/>
                    </w:rPr>
                  </w:pPr>
                  <w:r>
                    <w:rPr>
                      <w:color w:val="58595B"/>
                      <w:sz w:val="12"/>
                    </w:rPr>
                    <w:t>33</w:t>
                  </w:r>
                </w:p>
              </w:txbxContent>
            </v:textbox>
            <w10:wrap type="none"/>
          </v:shape>
        </w:pict>
      </w:r>
      <w:r>
        <w:rPr/>
        <w:pict>
          <v:shape style="position:absolute;margin-left:69.866096pt;margin-top:741.119019pt;width:8.9pt;height:8pt;mso-position-horizontal-relative:page;mso-position-vertical-relative:page;z-index:-208000" type="#_x0000_t202" filled="false" stroked="false">
            <v:textbox inset="0,0,0,0">
              <w:txbxContent>
                <w:p>
                  <w:pPr>
                    <w:spacing w:before="4"/>
                    <w:ind w:left="20" w:right="0" w:firstLine="0"/>
                    <w:jc w:val="left"/>
                    <w:rPr>
                      <w:sz w:val="12"/>
                    </w:rPr>
                  </w:pPr>
                  <w:r>
                    <w:rPr>
                      <w:color w:val="58595B"/>
                      <w:sz w:val="12"/>
                    </w:rPr>
                    <w:t>34</w:t>
                  </w:r>
                </w:p>
              </w:txbxContent>
            </v:textbox>
            <w10:wrap type="none"/>
          </v:shape>
        </w:pict>
      </w:r>
      <w:r>
        <w:rPr/>
        <w:pict>
          <v:shape style="position:absolute;margin-left:.0pt;margin-top:44.090015pt;width:60.3pt;height:5.25pt;mso-position-horizontal-relative:page;mso-position-vertical-relative:page;z-index:-207976"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07952" type="#_x0000_t202" filled="false" stroked="false">
            <v:textbox inset="0,0,0,0">
              <w:txbxContent/>
            </v:textbox>
            <w10:wrap type="none"/>
          </v:shape>
        </w:pict>
      </w:r>
      <w:r>
        <w:rPr/>
        <w:pict>
          <v:shape style="position:absolute;margin-left:70.866096pt;margin-top:92.331017pt;width:433.7pt;height:12pt;mso-position-horizontal-relative:page;mso-position-vertical-relative:page;z-index:-207928" type="#_x0000_t202" filled="false" stroked="false">
            <v:textbox inset="0,0,0,0">
              <w:txbxContent>
                <w:p>
                  <w:pPr>
                    <w:pStyle w:val="BodyText"/>
                    <w:spacing w:before="4"/>
                    <w:ind w:left="40"/>
                    <w:rPr>
                      <w:rFonts w:ascii="Times New Roman"/>
                      <w:sz w:val="17"/>
                    </w:rPr>
                  </w:pPr>
                </w:p>
              </w:txbxContent>
            </v:textbox>
            <w10:wrap type="none"/>
          </v:shape>
        </w:pict>
      </w:r>
    </w:p>
    <w:p>
      <w:pPr>
        <w:spacing w:after="0"/>
        <w:rPr>
          <w:sz w:val="2"/>
          <w:szCs w:val="2"/>
        </w:rPr>
        <w:sectPr>
          <w:pgSz w:w="11910" w:h="16840"/>
          <w:pgMar w:top="800" w:bottom="280" w:left="0" w:right="1680"/>
        </w:sectPr>
      </w:pPr>
    </w:p>
    <w:p>
      <w:pPr>
        <w:rPr>
          <w:sz w:val="2"/>
          <w:szCs w:val="2"/>
        </w:rPr>
      </w:pPr>
      <w:r>
        <w:rPr/>
        <w:pict>
          <v:group style="position:absolute;margin-left:.038pt;margin-top:.000015pt;width:598.75pt;height:841.9pt;mso-position-horizontal-relative:page;mso-position-vertical-relative:page;z-index:-207904" coordorigin="1,0" coordsize="11975,16838">
            <v:shape style="position:absolute;left:1;top:0;width:11904;height:16838" type="#_x0000_t75" stroked="false">
              <v:imagedata r:id="rId14" o:title=""/>
            </v:shape>
            <v:line style="position:absolute" from="10700,917" to="11906,917" stroked="true" strokeweight="7pt" strokecolor="#0095a7"/>
            <w10:wrap type="none"/>
          </v:group>
        </w:pict>
      </w:r>
      <w:r>
        <w:rPr/>
        <w:pict>
          <v:shape style="position:absolute;margin-left:269.196899pt;margin-top:40.902756pt;width:230.7pt;height:9.5pt;mso-position-horizontal-relative:page;mso-position-vertical-relative:page;z-index:-207880" type="#_x0000_t202" filled="false" stroked="false">
            <v:textbox inset="0,0,0,0">
              <w:txbxContent>
                <w:p>
                  <w:pPr>
                    <w:spacing w:before="1"/>
                    <w:ind w:left="20" w:right="0" w:firstLine="0"/>
                    <w:jc w:val="left"/>
                    <w:rPr>
                      <w:sz w:val="15"/>
                    </w:rPr>
                  </w:pPr>
                  <w:r>
                    <w:rPr>
                      <w:color w:val="FFFFFF"/>
                      <w:sz w:val="15"/>
                    </w:rPr>
                    <w:t>CHAPTER 4    WHY WE NEED ENVIRONMENTAL REGULATION</w:t>
                  </w:r>
                </w:p>
              </w:txbxContent>
            </v:textbox>
            <w10:wrap type="none"/>
          </v:shape>
        </w:pict>
      </w:r>
      <w:r>
        <w:rPr/>
        <w:pict>
          <v:shape style="position:absolute;margin-left:515.129395pt;margin-top:40.902756pt;width:10.2pt;height:9.5pt;mso-position-horizontal-relative:page;mso-position-vertical-relative:page;z-index:-207856" type="#_x0000_t202" filled="false" stroked="false">
            <v:textbox inset="0,0,0,0">
              <w:txbxContent>
                <w:p>
                  <w:pPr>
                    <w:spacing w:before="1"/>
                    <w:ind w:left="20" w:right="-3" w:firstLine="0"/>
                    <w:jc w:val="left"/>
                    <w:rPr>
                      <w:sz w:val="15"/>
                    </w:rPr>
                  </w:pPr>
                  <w:r>
                    <w:rPr>
                      <w:color w:val="FFFFFF"/>
                      <w:sz w:val="15"/>
                    </w:rPr>
                    <w:t>75</w:t>
                  </w:r>
                </w:p>
              </w:txbxContent>
            </v:textbox>
            <w10:wrap type="none"/>
          </v:shape>
        </w:pict>
      </w:r>
      <w:r>
        <w:rPr/>
        <w:pict>
          <v:shape style="position:absolute;margin-left:534.996094pt;margin-top:44.090015pt;width:60.3pt;height:5.25pt;mso-position-horizontal-relative:page;mso-position-vertical-relative:page;z-index:-20783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7808" type="#_x0000_t202" filled="false" stroked="false">
            <v:textbox inset="0,0,0,0">
              <w:txbxContent/>
            </v:textbox>
            <w10:wrap type="none"/>
          </v:shape>
        </w:pict>
      </w:r>
    </w:p>
    <w:p>
      <w:pPr>
        <w:spacing w:after="0"/>
        <w:rPr>
          <w:sz w:val="2"/>
          <w:szCs w:val="2"/>
        </w:rPr>
        <w:sectPr>
          <w:pgSz w:w="11910" w:h="16840"/>
          <w:pgMar w:top="800" w:bottom="280" w:left="1680" w:right="1280"/>
        </w:sectPr>
      </w:pPr>
    </w:p>
    <w:p>
      <w:pPr>
        <w:rPr>
          <w:sz w:val="2"/>
          <w:szCs w:val="2"/>
        </w:rPr>
      </w:pPr>
      <w:r>
        <w:rPr/>
        <w:drawing>
          <wp:anchor distT="0" distB="0" distL="0" distR="0" allowOverlap="1" layoutInCell="1" locked="0" behindDoc="1" simplePos="0" relativeHeight="268227671">
            <wp:simplePos x="0" y="0"/>
            <wp:positionH relativeFrom="page">
              <wp:posOffset>0</wp:posOffset>
            </wp:positionH>
            <wp:positionV relativeFrom="page">
              <wp:posOffset>0</wp:posOffset>
            </wp:positionV>
            <wp:extent cx="7559999" cy="10692003"/>
            <wp:effectExtent l="0" t="0" r="0" b="0"/>
            <wp:wrapNone/>
            <wp:docPr id="5" name="image7.png" descr=""/>
            <wp:cNvGraphicFramePr>
              <a:graphicFrameLocks noChangeAspect="1"/>
            </wp:cNvGraphicFramePr>
            <a:graphic>
              <a:graphicData uri="http://schemas.openxmlformats.org/drawingml/2006/picture">
                <pic:pic>
                  <pic:nvPicPr>
                    <pic:cNvPr id="6" name="image7.png"/>
                    <pic:cNvPicPr/>
                  </pic:nvPicPr>
                  <pic:blipFill>
                    <a:blip r:embed="rId15" cstate="print"/>
                    <a:stretch>
                      <a:fillRect/>
                    </a:stretch>
                  </pic:blipFill>
                  <pic:spPr>
                    <a:xfrm>
                      <a:off x="0" y="0"/>
                      <a:ext cx="7559999" cy="10692003"/>
                    </a:xfrm>
                    <a:prstGeom prst="rect">
                      <a:avLst/>
                    </a:prstGeom>
                  </pic:spPr>
                </pic:pic>
              </a:graphicData>
            </a:graphic>
          </wp:anchor>
        </w:drawing>
      </w:r>
    </w:p>
    <w:p>
      <w:pPr>
        <w:spacing w:after="0"/>
        <w:rPr>
          <w:sz w:val="2"/>
          <w:szCs w:val="2"/>
        </w:rPr>
        <w:sectPr>
          <w:pgSz w:w="11910" w:h="16840"/>
          <w:pgMar w:top="1580" w:bottom="280" w:left="1680" w:right="1680"/>
        </w:sectPr>
      </w:pPr>
    </w:p>
    <w:p>
      <w:pPr>
        <w:rPr>
          <w:sz w:val="2"/>
          <w:szCs w:val="2"/>
        </w:rPr>
      </w:pPr>
      <w:r>
        <w:rPr/>
        <w:pict>
          <v:group style="position:absolute;margin-left:0pt;margin-top:.000244pt;width:598.8pt;height:841.9pt;mso-position-horizontal-relative:page;mso-position-vertical-relative:page;z-index:-207760" coordorigin="0,0" coordsize="11976,16838">
            <v:shape style="position:absolute;left:0;top:0;width:11906;height:16838" type="#_x0000_t75" stroked="false">
              <v:imagedata r:id="rId16" o:title=""/>
            </v:shape>
            <v:line style="position:absolute" from="10700,917" to="11906,917" stroked="true" strokeweight="7pt" strokecolor="#0095a7"/>
            <w10:wrap type="none"/>
          </v:group>
        </w:pict>
      </w:r>
      <w:r>
        <w:rPr/>
        <w:pict>
          <v:shape style="position:absolute;margin-left:514.9104pt;margin-top:40.902756pt;width:10.65pt;height:9.5pt;mso-position-horizontal-relative:page;mso-position-vertical-relative:page;z-index:-207736" type="#_x0000_t202" filled="false" stroked="false">
            <v:textbox inset="0,0,0,0">
              <w:txbxContent>
                <w:p>
                  <w:pPr>
                    <w:spacing w:before="1"/>
                    <w:ind w:left="20" w:right="0" w:firstLine="0"/>
                    <w:jc w:val="left"/>
                    <w:rPr>
                      <w:sz w:val="15"/>
                    </w:rPr>
                  </w:pPr>
                  <w:r>
                    <w:rPr>
                      <w:color w:val="58595B"/>
                      <w:sz w:val="15"/>
                    </w:rPr>
                    <w:t>77</w:t>
                  </w:r>
                </w:p>
              </w:txbxContent>
            </v:textbox>
            <w10:wrap type="none"/>
          </v:shape>
        </w:pict>
      </w:r>
      <w:r>
        <w:rPr/>
        <w:pict>
          <v:shape style="position:absolute;margin-left:89.708702pt;margin-top:105.893967pt;width:348.15pt;height:60.75pt;mso-position-horizontal-relative:page;mso-position-vertical-relative:page;z-index:-207712" type="#_x0000_t202" filled="false" stroked="false">
            <v:textbox inset="0,0,0,0">
              <w:txbxContent>
                <w:p>
                  <w:pPr>
                    <w:spacing w:line="224" w:lineRule="exact" w:before="0"/>
                    <w:ind w:left="20" w:right="16" w:firstLine="0"/>
                    <w:jc w:val="left"/>
                    <w:rPr>
                      <w:b/>
                      <w:sz w:val="20"/>
                    </w:rPr>
                  </w:pPr>
                  <w:r>
                    <w:rPr>
                      <w:b/>
                      <w:color w:val="0095A7"/>
                      <w:sz w:val="20"/>
                    </w:rPr>
                    <w:t>CHAPTER 5</w:t>
                  </w:r>
                </w:p>
                <w:p>
                  <w:pPr>
                    <w:spacing w:line="440" w:lineRule="exact" w:before="102"/>
                    <w:ind w:left="20" w:right="16" w:firstLine="0"/>
                    <w:jc w:val="left"/>
                    <w:rPr>
                      <w:sz w:val="40"/>
                    </w:rPr>
                  </w:pPr>
                  <w:r>
                    <w:rPr>
                      <w:color w:val="58595B"/>
                      <w:spacing w:val="-5"/>
                      <w:sz w:val="40"/>
                    </w:rPr>
                    <w:t>CLARIFYING THE </w:t>
                  </w:r>
                  <w:r>
                    <w:rPr>
                      <w:color w:val="58595B"/>
                      <w:spacing w:val="-18"/>
                      <w:sz w:val="40"/>
                    </w:rPr>
                    <w:t>EPA’S </w:t>
                  </w:r>
                  <w:r>
                    <w:rPr>
                      <w:color w:val="58595B"/>
                      <w:spacing w:val="-9"/>
                      <w:sz w:val="40"/>
                    </w:rPr>
                    <w:t>OBJECTIVES </w:t>
                  </w:r>
                  <w:r>
                    <w:rPr>
                      <w:color w:val="58595B"/>
                      <w:spacing w:val="-3"/>
                      <w:sz w:val="40"/>
                    </w:rPr>
                    <w:t>AND </w:t>
                  </w:r>
                  <w:r>
                    <w:rPr>
                      <w:color w:val="58595B"/>
                      <w:spacing w:val="-8"/>
                      <w:sz w:val="40"/>
                    </w:rPr>
                    <w:t>FUNCTIONS</w:t>
                  </w:r>
                </w:p>
              </w:txbxContent>
            </v:textbox>
            <w10:wrap type="none"/>
          </v:shape>
        </w:pict>
      </w:r>
      <w:r>
        <w:rPr/>
        <w:pict>
          <v:shape style="position:absolute;margin-left:534.996094pt;margin-top:44.090015pt;width:60.3pt;height:5.25pt;mso-position-horizontal-relative:page;mso-position-vertical-relative:page;z-index:-20768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7664" type="#_x0000_t202" filled="false" stroked="false">
            <v:textbox inset="0,0,0,0">
              <w:txbxContent/>
            </v:textbox>
            <w10:wrap type="none"/>
          </v:shape>
        </w:pict>
      </w:r>
    </w:p>
    <w:p>
      <w:pPr>
        <w:spacing w:after="0"/>
        <w:rPr>
          <w:sz w:val="2"/>
          <w:szCs w:val="2"/>
        </w:rPr>
        <w:sectPr>
          <w:pgSz w:w="11910" w:h="16840"/>
          <w:pgMar w:top="800" w:bottom="280" w:left="1680" w:right="1280"/>
        </w:sectPr>
      </w:pPr>
    </w:p>
    <w:p>
      <w:pPr>
        <w:rPr>
          <w:sz w:val="2"/>
          <w:szCs w:val="2"/>
        </w:rPr>
      </w:pPr>
      <w:r>
        <w:rPr/>
        <w:pict>
          <v:line style="position:absolute;mso-position-horizontal-relative:page;mso-position-vertical-relative:page;z-index:-207640" from=".0pt,45.840015pt" to="60.2791pt,45.840015pt" stroked="true" strokeweight="7pt" strokecolor="#0095a7">
            <w10:wrap type="none"/>
          </v:line>
        </w:pict>
      </w:r>
      <w:r>
        <w:rPr/>
        <w:pict>
          <v:rect style="position:absolute;margin-left:70.865997pt;margin-top:143.421021pt;width:432.701pt;height:225.973pt;mso-position-horizontal-relative:page;mso-position-vertical-relative:page;z-index:-207616" filled="true" fillcolor="#eff6f0" stroked="false">
            <v:fill type="solid"/>
            <w10:wrap type="none"/>
          </v:rect>
        </w:pict>
      </w:r>
      <w:r>
        <w:rPr/>
        <w:pict>
          <v:shape style="position:absolute;margin-left:69.866096pt;margin-top:40.902756pt;width:10.35pt;height:9.5pt;mso-position-horizontal-relative:page;mso-position-vertical-relative:page;z-index:-207592" type="#_x0000_t202" filled="false" stroked="false">
            <v:textbox inset="0,0,0,0">
              <w:txbxContent>
                <w:p>
                  <w:pPr>
                    <w:spacing w:before="1"/>
                    <w:ind w:left="20" w:right="0" w:firstLine="0"/>
                    <w:jc w:val="left"/>
                    <w:rPr>
                      <w:sz w:val="15"/>
                    </w:rPr>
                  </w:pPr>
                  <w:r>
                    <w:rPr>
                      <w:color w:val="58595B"/>
                      <w:sz w:val="15"/>
                    </w:rPr>
                    <w:t>78</w:t>
                  </w:r>
                </w:p>
              </w:txbxContent>
            </v:textbox>
            <w10:wrap type="none"/>
          </v:shape>
        </w:pict>
      </w:r>
      <w:r>
        <w:rPr/>
        <w:pict>
          <v:shape style="position:absolute;margin-left:95.377899pt;margin-top:40.902756pt;width:147.75pt;height:9.5pt;mso-position-horizontal-relative:page;mso-position-vertical-relative:page;z-index:-207568"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564812pt;width:369.35pt;height:16pt;mso-position-horizontal-relative:page;mso-position-vertical-relative:page;z-index:-207544" type="#_x0000_t202" filled="false" stroked="false">
            <v:textbox inset="0,0,0,0">
              <w:txbxContent>
                <w:p>
                  <w:pPr>
                    <w:spacing w:line="306" w:lineRule="exact" w:before="0"/>
                    <w:ind w:left="20" w:right="0" w:firstLine="0"/>
                    <w:jc w:val="left"/>
                    <w:rPr>
                      <w:sz w:val="28"/>
                    </w:rPr>
                  </w:pPr>
                  <w:r>
                    <w:rPr>
                      <w:color w:val="0095A7"/>
                      <w:sz w:val="28"/>
                    </w:rPr>
                    <w:t>CLARIFYING THE </w:t>
                  </w:r>
                  <w:r>
                    <w:rPr>
                      <w:color w:val="0095A7"/>
                      <w:spacing w:val="-9"/>
                      <w:sz w:val="28"/>
                    </w:rPr>
                    <w:t>EPA’S </w:t>
                  </w:r>
                  <w:r>
                    <w:rPr>
                      <w:color w:val="0095A7"/>
                      <w:spacing w:val="-3"/>
                      <w:sz w:val="28"/>
                    </w:rPr>
                    <w:t>OBJECTIVES </w:t>
                  </w:r>
                  <w:r>
                    <w:rPr>
                      <w:color w:val="0095A7"/>
                      <w:sz w:val="28"/>
                    </w:rPr>
                    <w:t>AND FUNCTIONS</w:t>
                  </w:r>
                </w:p>
              </w:txbxContent>
            </v:textbox>
            <w10:wrap type="none"/>
          </v:shape>
        </w:pict>
      </w:r>
      <w:r>
        <w:rPr/>
        <w:pict>
          <v:shape style="position:absolute;margin-left:69.866096pt;margin-top:390.595642pt;width:425.8pt;height:100.3pt;mso-position-horizontal-relative:page;mso-position-vertical-relative:page;z-index:-207520" type="#_x0000_t202" filled="false" stroked="false">
            <v:textbox inset="0,0,0,0">
              <w:txbxContent>
                <w:p>
                  <w:pPr>
                    <w:spacing w:line="265" w:lineRule="exact" w:before="0"/>
                    <w:ind w:left="20" w:right="5" w:firstLine="0"/>
                    <w:jc w:val="left"/>
                    <w:rPr>
                      <w:sz w:val="24"/>
                    </w:rPr>
                  </w:pPr>
                  <w:r>
                    <w:rPr>
                      <w:color w:val="0095A7"/>
                      <w:sz w:val="24"/>
                    </w:rPr>
                    <w:t>5.1  Introduction</w:t>
                  </w:r>
                </w:p>
                <w:p>
                  <w:pPr>
                    <w:pStyle w:val="BodyText"/>
                    <w:spacing w:line="280" w:lineRule="auto" w:before="145"/>
                    <w:ind w:right="5"/>
                  </w:pPr>
                  <w:r>
                    <w:rPr>
                      <w:color w:val="58595B"/>
                    </w:rPr>
                    <w:t>Throughout our consultations, stakeholders and regulatory experts emphasised the importance of role clarity. Indeed, a key component of the inquiry’s terms of reference is to examine the appropriate roles of the EPA – both in specific areas of regulation (including air quality, water quality, asbestos, chemicals, and site contamination) and, more generally, in terms of protecting the environment (terms of reference 1 and 2). Role clarity is important for the EPA, for those it works with and alongside in government, and for duty holders and the general community.</w:t>
                  </w:r>
                </w:p>
              </w:txbxContent>
            </v:textbox>
            <w10:wrap type="none"/>
          </v:shape>
        </w:pict>
      </w:r>
      <w:r>
        <w:rPr/>
        <w:pict>
          <v:shape style="position:absolute;margin-left:69.866096pt;margin-top:500.885559pt;width:424pt;height:52.55pt;mso-position-horizontal-relative:page;mso-position-vertical-relative:page;z-index:-207496" type="#_x0000_t202" filled="false" stroked="false">
            <v:textbox inset="0,0,0,0">
              <w:txbxContent>
                <w:p>
                  <w:pPr>
                    <w:pStyle w:val="BodyText"/>
                    <w:spacing w:line="280" w:lineRule="auto"/>
                  </w:pPr>
                  <w:r>
                    <w:rPr>
                      <w:color w:val="58595B"/>
                    </w:rPr>
                    <w:t>Regulatory experts, and those charged with oversight of regulation, nominate role clarity as critically important: ‘Clear regulatory roles are critical to regulator accountability and focus, compliance by regulated firms, predictable decisions and enforcement, and regime legitimacy’.</w:t>
                  </w:r>
                  <w:r>
                    <w:rPr>
                      <w:color w:val="58595B"/>
                      <w:position w:val="7"/>
                      <w:sz w:val="11"/>
                    </w:rPr>
                    <w:t>1 </w:t>
                  </w:r>
                  <w:r>
                    <w:rPr>
                      <w:color w:val="58595B"/>
                    </w:rPr>
                    <w:t>In an extensive inquiry into regulators across a range of sectors, the UK House of Lords found:</w:t>
                  </w:r>
                </w:p>
              </w:txbxContent>
            </v:textbox>
            <w10:wrap type="none"/>
          </v:shape>
        </w:pict>
      </w:r>
      <w:r>
        <w:rPr/>
        <w:pict>
          <v:shape style="position:absolute;margin-left:98.216103pt;margin-top:563.389465pt;width:376.9pt;height:154.75pt;mso-position-horizontal-relative:page;mso-position-vertical-relative:page;z-index:-207472" type="#_x0000_t202" filled="false" stroked="false">
            <v:textbox inset="0,0,0,0">
              <w:txbxContent>
                <w:p>
                  <w:pPr>
                    <w:spacing w:line="280" w:lineRule="auto" w:before="0"/>
                    <w:ind w:left="20" w:right="178" w:firstLine="0"/>
                    <w:jc w:val="left"/>
                    <w:rPr>
                      <w:i/>
                      <w:sz w:val="20"/>
                    </w:rPr>
                  </w:pPr>
                  <w:r>
                    <w:rPr>
                      <w:i/>
                      <w:color w:val="231F20"/>
                      <w:sz w:val="20"/>
                    </w:rPr>
                    <w:t>Clarity enabled regulators to readily understand their purpose ‘so that [they] do not march off, wandering around trying to work out what [they] are for’ and to focus their mind quickly on the work in hand. In addition, clarity in a remit brought other major benefits:</w:t>
                  </w:r>
                </w:p>
                <w:p>
                  <w:pPr>
                    <w:pStyle w:val="ListParagraph"/>
                    <w:numPr>
                      <w:ilvl w:val="0"/>
                      <w:numId w:val="6"/>
                    </w:numPr>
                    <w:tabs>
                      <w:tab w:pos="190" w:val="left" w:leader="none"/>
                    </w:tabs>
                    <w:spacing w:line="240" w:lineRule="auto" w:before="87" w:after="0"/>
                    <w:ind w:left="190" w:right="0" w:hanging="170"/>
                    <w:jc w:val="left"/>
                    <w:rPr>
                      <w:i/>
                      <w:sz w:val="20"/>
                    </w:rPr>
                  </w:pPr>
                  <w:r>
                    <w:rPr>
                      <w:i/>
                      <w:color w:val="231F20"/>
                      <w:sz w:val="20"/>
                    </w:rPr>
                    <w:t>Increased legitimacy for the</w:t>
                  </w:r>
                  <w:r>
                    <w:rPr>
                      <w:i/>
                      <w:color w:val="231F20"/>
                      <w:spacing w:val="2"/>
                      <w:sz w:val="20"/>
                    </w:rPr>
                    <w:t> </w:t>
                  </w:r>
                  <w:r>
                    <w:rPr>
                      <w:i/>
                      <w:color w:val="231F20"/>
                      <w:sz w:val="20"/>
                    </w:rPr>
                    <w:t>regulator</w:t>
                  </w:r>
                </w:p>
                <w:p>
                  <w:pPr>
                    <w:pStyle w:val="ListParagraph"/>
                    <w:numPr>
                      <w:ilvl w:val="0"/>
                      <w:numId w:val="6"/>
                    </w:numPr>
                    <w:tabs>
                      <w:tab w:pos="190" w:val="left" w:leader="none"/>
                    </w:tabs>
                    <w:spacing w:line="240" w:lineRule="auto" w:before="125" w:after="0"/>
                    <w:ind w:left="190" w:right="0" w:hanging="170"/>
                    <w:jc w:val="left"/>
                    <w:rPr>
                      <w:i/>
                      <w:sz w:val="20"/>
                    </w:rPr>
                  </w:pPr>
                  <w:r>
                    <w:rPr>
                      <w:i/>
                      <w:color w:val="231F20"/>
                      <w:sz w:val="20"/>
                    </w:rPr>
                    <w:t>Greater consistency in regulators’ decision</w:t>
                  </w:r>
                  <w:r>
                    <w:rPr>
                      <w:i/>
                      <w:color w:val="231F20"/>
                      <w:spacing w:val="-1"/>
                      <w:sz w:val="20"/>
                    </w:rPr>
                    <w:t> </w:t>
                  </w:r>
                  <w:r>
                    <w:rPr>
                      <w:i/>
                      <w:color w:val="231F20"/>
                      <w:sz w:val="20"/>
                    </w:rPr>
                    <w:t>making</w:t>
                  </w:r>
                </w:p>
                <w:p>
                  <w:pPr>
                    <w:pStyle w:val="ListParagraph"/>
                    <w:numPr>
                      <w:ilvl w:val="0"/>
                      <w:numId w:val="6"/>
                    </w:numPr>
                    <w:tabs>
                      <w:tab w:pos="190" w:val="left" w:leader="none"/>
                    </w:tabs>
                    <w:spacing w:line="240" w:lineRule="auto" w:before="125" w:after="0"/>
                    <w:ind w:left="190" w:right="0" w:hanging="170"/>
                    <w:jc w:val="left"/>
                    <w:rPr>
                      <w:i/>
                      <w:sz w:val="20"/>
                    </w:rPr>
                  </w:pPr>
                  <w:r>
                    <w:rPr>
                      <w:i/>
                      <w:color w:val="231F20"/>
                      <w:sz w:val="20"/>
                    </w:rPr>
                    <w:t>A greater likelihood of an internally well-organised, well-run</w:t>
                  </w:r>
                  <w:r>
                    <w:rPr>
                      <w:i/>
                      <w:color w:val="231F20"/>
                      <w:spacing w:val="20"/>
                      <w:sz w:val="20"/>
                    </w:rPr>
                    <w:t> </w:t>
                  </w:r>
                  <w:r>
                    <w:rPr>
                      <w:i/>
                      <w:color w:val="231F20"/>
                      <w:sz w:val="20"/>
                    </w:rPr>
                    <w:t>regulator</w:t>
                  </w:r>
                </w:p>
                <w:p>
                  <w:pPr>
                    <w:pStyle w:val="ListParagraph"/>
                    <w:numPr>
                      <w:ilvl w:val="0"/>
                      <w:numId w:val="6"/>
                    </w:numPr>
                    <w:tabs>
                      <w:tab w:pos="190" w:val="left" w:leader="none"/>
                    </w:tabs>
                    <w:spacing w:line="240" w:lineRule="auto" w:before="125" w:after="0"/>
                    <w:ind w:left="190" w:right="0" w:hanging="170"/>
                    <w:jc w:val="left"/>
                    <w:rPr>
                      <w:i/>
                      <w:sz w:val="20"/>
                    </w:rPr>
                  </w:pPr>
                  <w:r>
                    <w:rPr>
                      <w:i/>
                      <w:color w:val="231F20"/>
                      <w:sz w:val="20"/>
                    </w:rPr>
                    <w:t>Greater opportunities to monitor regulatory performance</w:t>
                  </w:r>
                  <w:r>
                    <w:rPr>
                      <w:i/>
                      <w:color w:val="231F20"/>
                      <w:spacing w:val="26"/>
                      <w:sz w:val="20"/>
                    </w:rPr>
                    <w:t> </w:t>
                  </w:r>
                  <w:r>
                    <w:rPr>
                      <w:i/>
                      <w:color w:val="231F20"/>
                      <w:sz w:val="20"/>
                    </w:rPr>
                    <w:t>successfully</w:t>
                  </w:r>
                </w:p>
                <w:p>
                  <w:pPr>
                    <w:pStyle w:val="ListParagraph"/>
                    <w:numPr>
                      <w:ilvl w:val="0"/>
                      <w:numId w:val="6"/>
                    </w:numPr>
                    <w:tabs>
                      <w:tab w:pos="190" w:val="left" w:leader="none"/>
                    </w:tabs>
                    <w:spacing w:line="280" w:lineRule="auto" w:before="125" w:after="0"/>
                    <w:ind w:left="190" w:right="17" w:hanging="170"/>
                    <w:jc w:val="left"/>
                    <w:rPr>
                      <w:sz w:val="11"/>
                    </w:rPr>
                  </w:pPr>
                  <w:r>
                    <w:rPr>
                      <w:i/>
                      <w:color w:val="231F20"/>
                      <w:sz w:val="20"/>
                    </w:rPr>
                    <w:t>An increased ability for regulated industries and consumers to judge the legitimacy and appropriateness of regulatory policies and</w:t>
                  </w:r>
                  <w:r>
                    <w:rPr>
                      <w:i/>
                      <w:color w:val="231F20"/>
                      <w:spacing w:val="13"/>
                      <w:sz w:val="20"/>
                    </w:rPr>
                    <w:t> </w:t>
                  </w:r>
                  <w:r>
                    <w:rPr>
                      <w:i/>
                      <w:color w:val="231F20"/>
                      <w:sz w:val="20"/>
                    </w:rPr>
                    <w:t>actions.</w:t>
                  </w:r>
                  <w:r>
                    <w:rPr>
                      <w:color w:val="231F20"/>
                      <w:position w:val="7"/>
                      <w:sz w:val="11"/>
                    </w:rPr>
                    <w:t>2</w:t>
                  </w:r>
                </w:p>
              </w:txbxContent>
            </v:textbox>
            <w10:wrap type="none"/>
          </v:shape>
        </w:pict>
      </w:r>
      <w:r>
        <w:rPr/>
        <w:pict>
          <v:shape style="position:absolute;margin-left:70.865997pt;margin-top:143.421021pt;width:432.7pt;height:226pt;mso-position-horizontal-relative:page;mso-position-vertical-relative:page;z-index:-207448" type="#_x0000_t202" filled="false" stroked="false">
            <v:textbox inset="0,0,0,0">
              <w:txbxContent>
                <w:p>
                  <w:pPr>
                    <w:spacing w:before="128"/>
                    <w:ind w:left="170" w:right="277" w:firstLine="0"/>
                    <w:jc w:val="left"/>
                    <w:rPr>
                      <w:b/>
                      <w:sz w:val="20"/>
                    </w:rPr>
                  </w:pPr>
                  <w:r>
                    <w:rPr>
                      <w:b/>
                      <w:color w:val="0095A7"/>
                      <w:sz w:val="20"/>
                    </w:rPr>
                    <w:t>KEY MESSAGES</w:t>
                  </w:r>
                </w:p>
                <w:p>
                  <w:pPr>
                    <w:pStyle w:val="BodyText"/>
                    <w:spacing w:line="280" w:lineRule="auto" w:before="153"/>
                    <w:ind w:left="170" w:right="277"/>
                  </w:pPr>
                  <w:r>
                    <w:rPr>
                      <w:color w:val="58595B"/>
                    </w:rPr>
                    <w:t>Confusion about the EPA’s role, and what it should be accountable for, undermines community confidence and reduces its authority and influence.</w:t>
                  </w:r>
                </w:p>
                <w:p>
                  <w:pPr>
                    <w:pStyle w:val="BodyText"/>
                    <w:spacing w:line="280" w:lineRule="auto" w:before="172"/>
                    <w:ind w:left="170" w:right="277"/>
                  </w:pPr>
                  <w:r>
                    <w:rPr>
                      <w:color w:val="58595B"/>
                    </w:rPr>
                    <w:t>The EPA has a critically important role in protecting the health and wellbeing of Victorians – this role must be clearly expressed in legislation.</w:t>
                  </w:r>
                </w:p>
                <w:p>
                  <w:pPr>
                    <w:pStyle w:val="BodyText"/>
                    <w:spacing w:line="280" w:lineRule="auto" w:before="172"/>
                    <w:ind w:left="170" w:right="189"/>
                  </w:pPr>
                  <w:r>
                    <w:rPr>
                      <w:color w:val="58595B"/>
                    </w:rPr>
                    <w:t>Modern legislation, with legislated objectives and reframed principles and functions, will  clarify the </w:t>
                  </w:r>
                  <w:r>
                    <w:rPr>
                      <w:color w:val="58595B"/>
                      <w:spacing w:val="-7"/>
                    </w:rPr>
                    <w:t>EPA’s </w:t>
                  </w:r>
                  <w:r>
                    <w:rPr>
                      <w:color w:val="58595B"/>
                    </w:rPr>
                    <w:t>role and strengthen its mandate. Early action to create this legislation sends a clear signal to stakeholders and the broader community, and provides early certainty on the role and focus of the </w:t>
                  </w:r>
                  <w:r>
                    <w:rPr>
                      <w:color w:val="58595B"/>
                      <w:spacing w:val="-4"/>
                    </w:rPr>
                    <w:t>EPA </w:t>
                  </w:r>
                  <w:r>
                    <w:rPr>
                      <w:color w:val="58595B"/>
                    </w:rPr>
                    <w:t>of the</w:t>
                  </w:r>
                  <w:r>
                    <w:rPr>
                      <w:color w:val="58595B"/>
                      <w:spacing w:val="5"/>
                    </w:rPr>
                    <w:t> </w:t>
                  </w:r>
                  <w:r>
                    <w:rPr>
                      <w:color w:val="58595B"/>
                    </w:rPr>
                    <w:t>future.</w:t>
                  </w:r>
                </w:p>
                <w:p>
                  <w:pPr>
                    <w:pStyle w:val="BodyText"/>
                    <w:spacing w:line="280" w:lineRule="auto" w:before="172"/>
                    <w:ind w:left="170" w:right="426"/>
                  </w:pPr>
                  <w:r>
                    <w:rPr>
                      <w:color w:val="58595B"/>
                    </w:rPr>
                    <w:t>The EPA of the future will have a broad range of functions to ensure it is proactive, focuses on prevention and targets the biggest harms.</w:t>
                  </w:r>
                </w:p>
                <w:p>
                  <w:pPr>
                    <w:pStyle w:val="BodyText"/>
                    <w:spacing w:line="280" w:lineRule="auto" w:before="172"/>
                    <w:ind w:left="170" w:right="1718"/>
                  </w:pPr>
                  <w:r>
                    <w:rPr>
                      <w:color w:val="58595B"/>
                    </w:rPr>
                    <w:t>The EPA must be accountable for the effectiveness and currency of its regulatory instruments.</w:t>
                  </w:r>
                </w:p>
              </w:txbxContent>
            </v:textbox>
            <w10:wrap type="none"/>
          </v:shape>
        </w:pict>
      </w:r>
      <w:r>
        <w:rPr/>
        <w:pict>
          <v:shape style="position:absolute;margin-left:.0pt;margin-top:44.090015pt;width:60.3pt;height:5.25pt;mso-position-horizontal-relative:page;mso-position-vertical-relative:page;z-index:-207424"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07400"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07376" from="534.996094pt,45.840015pt" to="595.276001pt,45.840015pt" stroked="true" strokeweight="7pt" strokecolor="#0095a7">
            <w10:wrap type="none"/>
          </v:line>
        </w:pict>
      </w:r>
      <w:r>
        <w:rPr/>
        <w:pict>
          <v:shape style="position:absolute;margin-left:240.987198pt;margin-top:40.902756pt;width:258.9pt;height:9.5pt;mso-position-horizontal-relative:page;mso-position-vertical-relative:page;z-index:-207352" type="#_x0000_t202" filled="false" stroked="false">
            <v:textbox inset="0,0,0,0">
              <w:txbxContent>
                <w:p>
                  <w:pPr>
                    <w:spacing w:before="1"/>
                    <w:ind w:left="20" w:right="0" w:firstLine="0"/>
                    <w:jc w:val="left"/>
                    <w:rPr>
                      <w:sz w:val="15"/>
                    </w:rPr>
                  </w:pPr>
                  <w:r>
                    <w:rPr>
                      <w:color w:val="58595B"/>
                      <w:sz w:val="15"/>
                    </w:rPr>
                    <w:t>CHAPTER 5    CLARIFYING THE EPA’S OBJECTIVES AND FUNCTIONS</w:t>
                  </w:r>
                </w:p>
              </w:txbxContent>
            </v:textbox>
            <w10:wrap type="none"/>
          </v:shape>
        </w:pict>
      </w:r>
      <w:r>
        <w:rPr/>
        <w:pict>
          <v:shape style="position:absolute;margin-left:515.022217pt;margin-top:40.902756pt;width:10.4pt;height:9.5pt;mso-position-horizontal-relative:page;mso-position-vertical-relative:page;z-index:-207328" type="#_x0000_t202" filled="false" stroked="false">
            <v:textbox inset="0,0,0,0">
              <w:txbxContent>
                <w:p>
                  <w:pPr>
                    <w:spacing w:before="1"/>
                    <w:ind w:left="20" w:right="0" w:firstLine="0"/>
                    <w:jc w:val="left"/>
                    <w:rPr>
                      <w:sz w:val="15"/>
                    </w:rPr>
                  </w:pPr>
                  <w:r>
                    <w:rPr>
                      <w:color w:val="58595B"/>
                      <w:sz w:val="15"/>
                    </w:rPr>
                    <w:t>79</w:t>
                  </w:r>
                </w:p>
              </w:txbxContent>
            </v:textbox>
            <w10:wrap type="none"/>
          </v:shape>
        </w:pict>
      </w:r>
      <w:r>
        <w:rPr/>
        <w:pict>
          <v:shape style="position:absolute;margin-left:89.708603pt;margin-top:105.893967pt;width:403.3pt;height:12pt;mso-position-horizontal-relative:page;mso-position-vertical-relative:page;z-index:-207304" type="#_x0000_t202" filled="false" stroked="false">
            <v:textbox inset="0,0,0,0">
              <w:txbxContent>
                <w:p>
                  <w:pPr>
                    <w:pStyle w:val="BodyText"/>
                    <w:spacing w:line="224" w:lineRule="exact"/>
                  </w:pPr>
                  <w:r>
                    <w:rPr>
                      <w:color w:val="58595B"/>
                    </w:rPr>
                    <w:t>Stakeholders are clearly confused about the EPA’s remit – its objective, role and functions:</w:t>
                  </w:r>
                </w:p>
              </w:txbxContent>
            </v:textbox>
            <w10:wrap type="none"/>
          </v:shape>
        </w:pict>
      </w:r>
      <w:r>
        <w:rPr/>
        <w:pict>
          <v:shape style="position:absolute;margin-left:118.058601pt;margin-top:127.893967pt;width:311.650pt;height:12pt;mso-position-horizontal-relative:page;mso-position-vertical-relative:page;z-index:-207280" type="#_x0000_t202" filled="false" stroked="false">
            <v:textbox inset="0,0,0,0">
              <w:txbxContent>
                <w:p>
                  <w:pPr>
                    <w:spacing w:line="224" w:lineRule="exact" w:before="0"/>
                    <w:ind w:left="20" w:right="0" w:firstLine="0"/>
                    <w:jc w:val="left"/>
                    <w:rPr>
                      <w:sz w:val="20"/>
                    </w:rPr>
                  </w:pPr>
                  <w:r>
                    <w:rPr>
                      <w:i/>
                      <w:color w:val="231F20"/>
                      <w:sz w:val="20"/>
                    </w:rPr>
                    <w:t>The </w:t>
                  </w:r>
                  <w:r>
                    <w:rPr>
                      <w:i/>
                      <w:color w:val="231F20"/>
                      <w:spacing w:val="-3"/>
                      <w:sz w:val="20"/>
                    </w:rPr>
                    <w:t>‘EPA’ </w:t>
                  </w:r>
                  <w:r>
                    <w:rPr>
                      <w:i/>
                      <w:color w:val="231F20"/>
                      <w:sz w:val="20"/>
                    </w:rPr>
                    <w:t>brand/remit is not clear. </w:t>
                  </w:r>
                  <w:r>
                    <w:rPr>
                      <w:color w:val="231F20"/>
                      <w:sz w:val="20"/>
                    </w:rPr>
                    <w:t>(Gippsland Water submission, p. </w:t>
                  </w:r>
                  <w:r>
                    <w:rPr>
                      <w:color w:val="231F20"/>
                      <w:spacing w:val="-5"/>
                      <w:sz w:val="20"/>
                    </w:rPr>
                    <w:t>4)</w:t>
                  </w:r>
                </w:p>
              </w:txbxContent>
            </v:textbox>
            <w10:wrap type="none"/>
          </v:shape>
        </w:pict>
      </w:r>
      <w:r>
        <w:rPr/>
        <w:pict>
          <v:shape style="position:absolute;margin-left:118.058601pt;margin-top:149.893967pt;width:368.4pt;height:25.5pt;mso-position-horizontal-relative:page;mso-position-vertical-relative:page;z-index:-207256" type="#_x0000_t202" filled="false" stroked="false">
            <v:textbox inset="0,0,0,0">
              <w:txbxContent>
                <w:p>
                  <w:pPr>
                    <w:spacing w:line="280" w:lineRule="auto" w:before="0"/>
                    <w:ind w:left="20" w:right="0" w:firstLine="0"/>
                    <w:jc w:val="left"/>
                    <w:rPr>
                      <w:sz w:val="20"/>
                    </w:rPr>
                  </w:pPr>
                  <w:r>
                    <w:rPr>
                      <w:i/>
                      <w:color w:val="231F20"/>
                      <w:sz w:val="20"/>
                    </w:rPr>
                    <w:t>Currently</w:t>
                  </w:r>
                  <w:r>
                    <w:rPr>
                      <w:i/>
                      <w:color w:val="231F20"/>
                      <w:spacing w:val="-6"/>
                      <w:sz w:val="20"/>
                    </w:rPr>
                    <w:t> </w:t>
                  </w:r>
                  <w:r>
                    <w:rPr>
                      <w:i/>
                      <w:color w:val="231F20"/>
                      <w:sz w:val="20"/>
                    </w:rPr>
                    <w:t>it</w:t>
                  </w:r>
                  <w:r>
                    <w:rPr>
                      <w:i/>
                      <w:color w:val="231F20"/>
                      <w:spacing w:val="-6"/>
                      <w:sz w:val="20"/>
                    </w:rPr>
                    <w:t> </w:t>
                  </w:r>
                  <w:r>
                    <w:rPr>
                      <w:i/>
                      <w:color w:val="231F20"/>
                      <w:sz w:val="20"/>
                    </w:rPr>
                    <w:t>is</w:t>
                  </w:r>
                  <w:r>
                    <w:rPr>
                      <w:i/>
                      <w:color w:val="231F20"/>
                      <w:spacing w:val="-6"/>
                      <w:sz w:val="20"/>
                    </w:rPr>
                    <w:t> </w:t>
                  </w:r>
                  <w:r>
                    <w:rPr>
                      <w:i/>
                      <w:color w:val="231F20"/>
                      <w:sz w:val="20"/>
                    </w:rPr>
                    <w:t>difficult</w:t>
                  </w:r>
                  <w:r>
                    <w:rPr>
                      <w:i/>
                      <w:color w:val="231F20"/>
                      <w:spacing w:val="-6"/>
                      <w:sz w:val="20"/>
                    </w:rPr>
                    <w:t> </w:t>
                  </w:r>
                  <w:r>
                    <w:rPr>
                      <w:i/>
                      <w:color w:val="231F20"/>
                      <w:sz w:val="20"/>
                    </w:rPr>
                    <w:t>to</w:t>
                  </w:r>
                  <w:r>
                    <w:rPr>
                      <w:i/>
                      <w:color w:val="231F20"/>
                      <w:spacing w:val="-6"/>
                      <w:sz w:val="20"/>
                    </w:rPr>
                    <w:t> </w:t>
                  </w:r>
                  <w:r>
                    <w:rPr>
                      <w:i/>
                      <w:color w:val="231F20"/>
                      <w:sz w:val="20"/>
                    </w:rPr>
                    <w:t>know</w:t>
                  </w:r>
                  <w:r>
                    <w:rPr>
                      <w:i/>
                      <w:color w:val="231F20"/>
                      <w:spacing w:val="-6"/>
                      <w:sz w:val="20"/>
                    </w:rPr>
                    <w:t> </w:t>
                  </w:r>
                  <w:r>
                    <w:rPr>
                      <w:i/>
                      <w:color w:val="231F20"/>
                      <w:spacing w:val="-3"/>
                      <w:sz w:val="20"/>
                    </w:rPr>
                    <w:t>whether</w:t>
                  </w:r>
                  <w:r>
                    <w:rPr>
                      <w:i/>
                      <w:color w:val="231F20"/>
                      <w:spacing w:val="-6"/>
                      <w:sz w:val="20"/>
                    </w:rPr>
                    <w:t> </w:t>
                  </w:r>
                  <w:r>
                    <w:rPr>
                      <w:i/>
                      <w:color w:val="231F20"/>
                      <w:sz w:val="20"/>
                    </w:rPr>
                    <w:t>the</w:t>
                  </w:r>
                  <w:r>
                    <w:rPr>
                      <w:i/>
                      <w:color w:val="231F20"/>
                      <w:spacing w:val="-6"/>
                      <w:sz w:val="20"/>
                    </w:rPr>
                    <w:t> </w:t>
                  </w:r>
                  <w:r>
                    <w:rPr>
                      <w:i/>
                      <w:color w:val="231F20"/>
                      <w:spacing w:val="-3"/>
                      <w:sz w:val="20"/>
                    </w:rPr>
                    <w:t>EPA</w:t>
                  </w:r>
                  <w:r>
                    <w:rPr>
                      <w:i/>
                      <w:color w:val="231F20"/>
                      <w:spacing w:val="-6"/>
                      <w:sz w:val="20"/>
                    </w:rPr>
                    <w:t> </w:t>
                  </w:r>
                  <w:r>
                    <w:rPr>
                      <w:i/>
                      <w:color w:val="231F20"/>
                      <w:sz w:val="20"/>
                    </w:rPr>
                    <w:t>is</w:t>
                  </w:r>
                  <w:r>
                    <w:rPr>
                      <w:i/>
                      <w:color w:val="231F20"/>
                      <w:spacing w:val="-6"/>
                      <w:sz w:val="20"/>
                    </w:rPr>
                    <w:t> </w:t>
                  </w:r>
                  <w:r>
                    <w:rPr>
                      <w:i/>
                      <w:color w:val="231F20"/>
                      <w:sz w:val="20"/>
                    </w:rPr>
                    <w:t>a</w:t>
                  </w:r>
                  <w:r>
                    <w:rPr>
                      <w:i/>
                      <w:color w:val="231F20"/>
                      <w:spacing w:val="-6"/>
                      <w:sz w:val="20"/>
                    </w:rPr>
                    <w:t> </w:t>
                  </w:r>
                  <w:r>
                    <w:rPr>
                      <w:i/>
                      <w:color w:val="231F20"/>
                      <w:spacing w:val="-3"/>
                      <w:sz w:val="20"/>
                    </w:rPr>
                    <w:t>regulator,</w:t>
                  </w:r>
                  <w:r>
                    <w:rPr>
                      <w:i/>
                      <w:color w:val="231F20"/>
                      <w:spacing w:val="-6"/>
                      <w:sz w:val="20"/>
                    </w:rPr>
                    <w:t> </w:t>
                  </w:r>
                  <w:r>
                    <w:rPr>
                      <w:i/>
                      <w:color w:val="231F20"/>
                      <w:spacing w:val="-3"/>
                      <w:sz w:val="20"/>
                    </w:rPr>
                    <w:t>advisor,</w:t>
                  </w:r>
                  <w:r>
                    <w:rPr>
                      <w:i/>
                      <w:color w:val="231F20"/>
                      <w:spacing w:val="-6"/>
                      <w:sz w:val="20"/>
                    </w:rPr>
                    <w:t> </w:t>
                  </w:r>
                  <w:r>
                    <w:rPr>
                      <w:i/>
                      <w:color w:val="231F20"/>
                      <w:spacing w:val="-4"/>
                      <w:sz w:val="20"/>
                    </w:rPr>
                    <w:t>engager,</w:t>
                  </w:r>
                  <w:r>
                    <w:rPr>
                      <w:i/>
                      <w:color w:val="231F20"/>
                      <w:spacing w:val="-6"/>
                      <w:sz w:val="20"/>
                    </w:rPr>
                    <w:t> </w:t>
                  </w:r>
                  <w:r>
                    <w:rPr>
                      <w:i/>
                      <w:color w:val="231F20"/>
                      <w:sz w:val="20"/>
                    </w:rPr>
                    <w:t>or</w:t>
                  </w:r>
                  <w:r>
                    <w:rPr>
                      <w:i/>
                      <w:color w:val="231F20"/>
                      <w:spacing w:val="-6"/>
                      <w:sz w:val="20"/>
                    </w:rPr>
                    <w:t> </w:t>
                  </w:r>
                  <w:r>
                    <w:rPr>
                      <w:i/>
                      <w:color w:val="231F20"/>
                      <w:sz w:val="20"/>
                    </w:rPr>
                    <w:t>all of </w:t>
                  </w:r>
                  <w:r>
                    <w:rPr>
                      <w:i/>
                      <w:color w:val="231F20"/>
                      <w:spacing w:val="-3"/>
                      <w:sz w:val="20"/>
                    </w:rPr>
                    <w:t>these. </w:t>
                  </w:r>
                  <w:r>
                    <w:rPr>
                      <w:color w:val="231F20"/>
                      <w:sz w:val="20"/>
                    </w:rPr>
                    <w:t>(Shire of Campaspe submission, p.</w:t>
                  </w:r>
                  <w:r>
                    <w:rPr>
                      <w:color w:val="231F20"/>
                      <w:spacing w:val="-14"/>
                      <w:sz w:val="20"/>
                    </w:rPr>
                    <w:t> </w:t>
                  </w:r>
                  <w:r>
                    <w:rPr>
                      <w:color w:val="231F20"/>
                      <w:spacing w:val="-4"/>
                      <w:sz w:val="20"/>
                    </w:rPr>
                    <w:t>2)</w:t>
                  </w:r>
                </w:p>
              </w:txbxContent>
            </v:textbox>
            <w10:wrap type="none"/>
          </v:shape>
        </w:pict>
      </w:r>
      <w:r>
        <w:rPr/>
        <w:pict>
          <v:shape style="position:absolute;margin-left:118.058601pt;margin-top:185.393967pt;width:376.4pt;height:39pt;mso-position-horizontal-relative:page;mso-position-vertical-relative:page;z-index:-207232" type="#_x0000_t202" filled="false" stroked="false">
            <v:textbox inset="0,0,0,0">
              <w:txbxContent>
                <w:p>
                  <w:pPr>
                    <w:spacing w:line="280" w:lineRule="auto" w:before="0"/>
                    <w:ind w:left="20" w:right="7" w:firstLine="0"/>
                    <w:jc w:val="left"/>
                    <w:rPr>
                      <w:sz w:val="20"/>
                    </w:rPr>
                  </w:pPr>
                  <w:r>
                    <w:rPr>
                      <w:i/>
                      <w:color w:val="231F20"/>
                      <w:sz w:val="20"/>
                    </w:rPr>
                    <w:t>A major component of EPA’s effectiveness (or otherwise) comes down to community and industry knowing what the EPA’s role is, when to call them, and what to expect when EPA arrives. </w:t>
                  </w:r>
                  <w:r>
                    <w:rPr>
                      <w:color w:val="231F20"/>
                      <w:sz w:val="20"/>
                    </w:rPr>
                    <w:t>(Community and Public Sector Union Victoria submission, p. 31)</w:t>
                  </w:r>
                </w:p>
              </w:txbxContent>
            </v:textbox>
            <w10:wrap type="none"/>
          </v:shape>
        </w:pict>
      </w:r>
      <w:r>
        <w:rPr/>
        <w:pict>
          <v:shape style="position:absolute;margin-left:89.708603pt;margin-top:234.393967pt;width:407.25pt;height:25.5pt;mso-position-horizontal-relative:page;mso-position-vertical-relative:page;z-index:-207208" type="#_x0000_t202" filled="false" stroked="false">
            <v:textbox inset="0,0,0,0">
              <w:txbxContent>
                <w:p>
                  <w:pPr>
                    <w:pStyle w:val="BodyText"/>
                    <w:spacing w:line="280" w:lineRule="auto"/>
                  </w:pPr>
                  <w:r>
                    <w:rPr>
                      <w:color w:val="58595B"/>
                    </w:rPr>
                    <w:t>We find the EP Act contributes to this lack of clarity: it contains no objective for the EPA nor a definition of environmental protection more generally.</w:t>
                  </w:r>
                </w:p>
              </w:txbxContent>
            </v:textbox>
            <w10:wrap type="none"/>
          </v:shape>
        </w:pict>
      </w:r>
      <w:r>
        <w:rPr/>
        <w:pict>
          <v:shape style="position:absolute;margin-left:89.708603pt;margin-top:272.544952pt;width:435.4pt;height:59.8pt;mso-position-horizontal-relative:page;mso-position-vertical-relative:page;z-index:-207184" type="#_x0000_t202" filled="false" stroked="false">
            <v:textbox inset="0,0,0,0">
              <w:txbxContent>
                <w:p>
                  <w:pPr>
                    <w:spacing w:line="265" w:lineRule="exact" w:before="0"/>
                    <w:ind w:left="20" w:right="3" w:firstLine="0"/>
                    <w:jc w:val="left"/>
                    <w:rPr>
                      <w:sz w:val="24"/>
                    </w:rPr>
                  </w:pPr>
                  <w:r>
                    <w:rPr>
                      <w:color w:val="0095A7"/>
                      <w:sz w:val="24"/>
                    </w:rPr>
                    <w:t>5.2  Problems with role clarity</w:t>
                  </w:r>
                </w:p>
                <w:p>
                  <w:pPr>
                    <w:pStyle w:val="BodyText"/>
                    <w:spacing w:line="280" w:lineRule="auto" w:before="145"/>
                    <w:ind w:right="3"/>
                  </w:pPr>
                  <w:r>
                    <w:rPr>
                      <w:color w:val="58595B"/>
                    </w:rPr>
                    <w:t>We recommend a new legislative framework for the EPA, that clarifies its objective, principles and functions. Role clarity is fundamental to the effectiveness and good governance of any regulator, as recognised in the OECD governance principles:</w:t>
                  </w:r>
                </w:p>
              </w:txbxContent>
            </v:textbox>
            <w10:wrap type="none"/>
          </v:shape>
        </w:pict>
      </w:r>
      <w:r>
        <w:rPr/>
        <w:pict>
          <v:shape style="position:absolute;margin-left:118.058601pt;margin-top:342.334869pt;width:378.35pt;height:52.5pt;mso-position-horizontal-relative:page;mso-position-vertical-relative:page;z-index:-207160" type="#_x0000_t202" filled="false" stroked="false">
            <v:textbox inset="0,0,0,0">
              <w:txbxContent>
                <w:p>
                  <w:pPr>
                    <w:spacing w:line="280" w:lineRule="auto" w:before="0"/>
                    <w:ind w:left="20" w:right="34" w:firstLine="0"/>
                    <w:jc w:val="left"/>
                    <w:rPr>
                      <w:sz w:val="11"/>
                    </w:rPr>
                  </w:pPr>
                  <w:r>
                    <w:rPr>
                      <w:i/>
                      <w:color w:val="231F20"/>
                      <w:sz w:val="20"/>
                    </w:rPr>
                    <w:t>Role clarity is essential for a regulator to understand and fulfil its role effectively. This requires the regulator’s objectives, functions and scope to be clear, a mandate that  is not conflicting (or provides for resolution of conflict), the nature of the policy role to be defined, and the power to cooperate transparently with other</w:t>
                  </w:r>
                  <w:r>
                    <w:rPr>
                      <w:i/>
                      <w:color w:val="231F20"/>
                      <w:spacing w:val="-1"/>
                      <w:sz w:val="20"/>
                    </w:rPr>
                    <w:t> </w:t>
                  </w:r>
                  <w:r>
                    <w:rPr>
                      <w:i/>
                      <w:color w:val="231F20"/>
                      <w:sz w:val="20"/>
                    </w:rPr>
                    <w:t>bodies.</w:t>
                  </w:r>
                  <w:r>
                    <w:rPr>
                      <w:color w:val="231F20"/>
                      <w:position w:val="7"/>
                      <w:sz w:val="11"/>
                    </w:rPr>
                    <w:t>3</w:t>
                  </w:r>
                </w:p>
              </w:txbxContent>
            </v:textbox>
            <w10:wrap type="none"/>
          </v:shape>
        </w:pict>
      </w:r>
      <w:r>
        <w:rPr/>
        <w:pict>
          <v:shape style="position:absolute;margin-left:89.708603pt;margin-top:404.842773pt;width:427.05pt;height:79.5pt;mso-position-horizontal-relative:page;mso-position-vertical-relative:page;z-index:-207136" type="#_x0000_t202" filled="false" stroked="false">
            <v:textbox inset="0,0,0,0">
              <w:txbxContent>
                <w:p>
                  <w:pPr>
                    <w:pStyle w:val="BodyText"/>
                    <w:spacing w:line="280" w:lineRule="auto"/>
                    <w:ind w:right="17"/>
                  </w:pPr>
                  <w:r>
                    <w:rPr>
                      <w:color w:val="58595B"/>
                    </w:rPr>
                    <w:t>A range of stakeholders raised the </w:t>
                  </w:r>
                  <w:r>
                    <w:rPr>
                      <w:color w:val="58595B"/>
                      <w:spacing w:val="-7"/>
                    </w:rPr>
                    <w:t>EPA’s </w:t>
                  </w:r>
                  <w:r>
                    <w:rPr>
                      <w:color w:val="58595B"/>
                    </w:rPr>
                    <w:t>lack of role clarity as a problem, especially in regard  to its task as distinct from other parts of government, in particular DELWP and Sustainability Victoria. The general community is confused about the span of the </w:t>
                  </w:r>
                  <w:r>
                    <w:rPr>
                      <w:color w:val="58595B"/>
                      <w:spacing w:val="-7"/>
                    </w:rPr>
                    <w:t>EPA’s </w:t>
                  </w:r>
                  <w:r>
                    <w:rPr>
                      <w:color w:val="58595B"/>
                    </w:rPr>
                    <w:t>responsibility for public health and the environment, and how it prioritises issues. Based on its name alone, many assume the </w:t>
                  </w:r>
                  <w:r>
                    <w:rPr>
                      <w:color w:val="58595B"/>
                      <w:spacing w:val="-4"/>
                    </w:rPr>
                    <w:t>EPA </w:t>
                  </w:r>
                  <w:r>
                    <w:rPr>
                      <w:color w:val="58595B"/>
                    </w:rPr>
                    <w:t>manages all matters relating to the environment. Further, the EP Act includes little explicit reference to protecting human</w:t>
                  </w:r>
                  <w:r>
                    <w:rPr>
                      <w:color w:val="58595B"/>
                      <w:spacing w:val="-1"/>
                    </w:rPr>
                    <w:t> </w:t>
                  </w:r>
                  <w:r>
                    <w:rPr>
                      <w:color w:val="58595B"/>
                    </w:rPr>
                    <w:t>health.</w:t>
                  </w:r>
                </w:p>
              </w:txbxContent>
            </v:textbox>
            <w10:wrap type="none"/>
          </v:shape>
        </w:pict>
      </w:r>
      <w:r>
        <w:rPr/>
        <w:pict>
          <v:shape style="position:absolute;margin-left:89.708603pt;margin-top:494.342773pt;width:428pt;height:25.5pt;mso-position-horizontal-relative:page;mso-position-vertical-relative:page;z-index:-207112" type="#_x0000_t202" filled="false" stroked="false">
            <v:textbox inset="0,0,0,0">
              <w:txbxContent>
                <w:p>
                  <w:pPr>
                    <w:pStyle w:val="BodyText"/>
                    <w:spacing w:line="280" w:lineRule="auto"/>
                    <w:rPr>
                      <w:sz w:val="11"/>
                    </w:rPr>
                  </w:pPr>
                  <w:r>
                    <w:rPr>
                      <w:color w:val="58595B"/>
                    </w:rPr>
                    <w:t>Many submissions raised the issue of overlapping roles or unclear boundaries between the EPA and other parts of government.</w:t>
                  </w:r>
                  <w:r>
                    <w:rPr>
                      <w:color w:val="58595B"/>
                      <w:position w:val="7"/>
                      <w:sz w:val="11"/>
                    </w:rPr>
                    <w:t>4</w:t>
                  </w:r>
                </w:p>
              </w:txbxContent>
            </v:textbox>
            <w10:wrap type="none"/>
          </v:shape>
        </w:pict>
      </w:r>
      <w:r>
        <w:rPr/>
        <w:pict>
          <v:shape style="position:absolute;margin-left:118.055099pt;margin-top:529.850647pt;width:377.45pt;height:52.5pt;mso-position-horizontal-relative:page;mso-position-vertical-relative:page;z-index:-207088" type="#_x0000_t202" filled="false" stroked="false">
            <v:textbox inset="0,0,0,0">
              <w:txbxContent>
                <w:p>
                  <w:pPr>
                    <w:spacing w:line="280" w:lineRule="auto" w:before="0"/>
                    <w:ind w:left="20" w:right="0" w:firstLine="0"/>
                    <w:jc w:val="left"/>
                    <w:rPr>
                      <w:sz w:val="20"/>
                    </w:rPr>
                  </w:pPr>
                  <w:r>
                    <w:rPr>
                      <w:i/>
                      <w:color w:val="231F20"/>
                      <w:sz w:val="20"/>
                    </w:rPr>
                    <w:t>Role clarity is </w:t>
                  </w:r>
                  <w:r>
                    <w:rPr>
                      <w:i/>
                      <w:color w:val="231F20"/>
                      <w:spacing w:val="-3"/>
                      <w:sz w:val="20"/>
                    </w:rPr>
                    <w:t>essential </w:t>
                  </w:r>
                  <w:r>
                    <w:rPr>
                      <w:i/>
                      <w:color w:val="231F20"/>
                      <w:sz w:val="20"/>
                    </w:rPr>
                    <w:t>for </w:t>
                  </w:r>
                  <w:r>
                    <w:rPr>
                      <w:i/>
                      <w:color w:val="231F20"/>
                      <w:spacing w:val="-3"/>
                      <w:sz w:val="20"/>
                    </w:rPr>
                    <w:t>any regulator, </w:t>
                  </w:r>
                  <w:r>
                    <w:rPr>
                      <w:i/>
                      <w:color w:val="231F20"/>
                      <w:sz w:val="20"/>
                    </w:rPr>
                    <w:t>but especially for one whose </w:t>
                  </w:r>
                  <w:r>
                    <w:rPr>
                      <w:i/>
                      <w:color w:val="231F20"/>
                      <w:spacing w:val="-4"/>
                      <w:sz w:val="20"/>
                    </w:rPr>
                    <w:t>key </w:t>
                  </w:r>
                  <w:r>
                    <w:rPr>
                      <w:i/>
                      <w:color w:val="231F20"/>
                      <w:spacing w:val="-3"/>
                      <w:sz w:val="20"/>
                    </w:rPr>
                    <w:t>stakeholders </w:t>
                  </w:r>
                  <w:r>
                    <w:rPr>
                      <w:i/>
                      <w:color w:val="231F20"/>
                      <w:sz w:val="20"/>
                    </w:rPr>
                    <w:t>hold different and sometimes conflicting </w:t>
                  </w:r>
                  <w:r>
                    <w:rPr>
                      <w:i/>
                      <w:color w:val="231F20"/>
                      <w:spacing w:val="-3"/>
                      <w:sz w:val="20"/>
                    </w:rPr>
                    <w:t>expectations. </w:t>
                  </w:r>
                  <w:r>
                    <w:rPr>
                      <w:i/>
                      <w:color w:val="231F20"/>
                      <w:sz w:val="20"/>
                    </w:rPr>
                    <w:t>The Inquiry </w:t>
                  </w:r>
                  <w:r>
                    <w:rPr>
                      <w:i/>
                      <w:color w:val="231F20"/>
                      <w:spacing w:val="-5"/>
                      <w:sz w:val="20"/>
                    </w:rPr>
                    <w:t>(and </w:t>
                  </w:r>
                  <w:r>
                    <w:rPr>
                      <w:i/>
                      <w:color w:val="231F20"/>
                      <w:spacing w:val="-3"/>
                      <w:sz w:val="20"/>
                    </w:rPr>
                    <w:t>Government’s</w:t>
                  </w:r>
                  <w:r>
                    <w:rPr>
                      <w:i/>
                      <w:color w:val="231F20"/>
                      <w:spacing w:val="-8"/>
                      <w:sz w:val="20"/>
                    </w:rPr>
                    <w:t> </w:t>
                  </w:r>
                  <w:r>
                    <w:rPr>
                      <w:i/>
                      <w:color w:val="231F20"/>
                      <w:sz w:val="20"/>
                    </w:rPr>
                    <w:t>response</w:t>
                  </w:r>
                  <w:r>
                    <w:rPr>
                      <w:i/>
                      <w:color w:val="231F20"/>
                      <w:spacing w:val="-8"/>
                      <w:sz w:val="20"/>
                    </w:rPr>
                    <w:t> </w:t>
                  </w:r>
                  <w:r>
                    <w:rPr>
                      <w:i/>
                      <w:color w:val="231F20"/>
                      <w:sz w:val="20"/>
                    </w:rPr>
                    <w:t>to</w:t>
                  </w:r>
                  <w:r>
                    <w:rPr>
                      <w:i/>
                      <w:color w:val="231F20"/>
                      <w:spacing w:val="-8"/>
                      <w:sz w:val="20"/>
                    </w:rPr>
                    <w:t> </w:t>
                  </w:r>
                  <w:r>
                    <w:rPr>
                      <w:i/>
                      <w:color w:val="231F20"/>
                      <w:sz w:val="20"/>
                    </w:rPr>
                    <w:t>the</w:t>
                  </w:r>
                  <w:r>
                    <w:rPr>
                      <w:i/>
                      <w:color w:val="231F20"/>
                      <w:spacing w:val="-8"/>
                      <w:sz w:val="20"/>
                    </w:rPr>
                    <w:t> </w:t>
                  </w:r>
                  <w:r>
                    <w:rPr>
                      <w:i/>
                      <w:color w:val="231F20"/>
                      <w:sz w:val="20"/>
                    </w:rPr>
                    <w:t>Inquiry)</w:t>
                  </w:r>
                  <w:r>
                    <w:rPr>
                      <w:i/>
                      <w:color w:val="231F20"/>
                      <w:spacing w:val="-8"/>
                      <w:sz w:val="20"/>
                    </w:rPr>
                    <w:t> </w:t>
                  </w:r>
                  <w:r>
                    <w:rPr>
                      <w:i/>
                      <w:color w:val="231F20"/>
                      <w:sz w:val="20"/>
                    </w:rPr>
                    <w:t>is</w:t>
                  </w:r>
                  <w:r>
                    <w:rPr>
                      <w:i/>
                      <w:color w:val="231F20"/>
                      <w:spacing w:val="-8"/>
                      <w:sz w:val="20"/>
                    </w:rPr>
                    <w:t> </w:t>
                  </w:r>
                  <w:r>
                    <w:rPr>
                      <w:i/>
                      <w:color w:val="231F20"/>
                      <w:sz w:val="20"/>
                    </w:rPr>
                    <w:t>an</w:t>
                  </w:r>
                  <w:r>
                    <w:rPr>
                      <w:i/>
                      <w:color w:val="231F20"/>
                      <w:spacing w:val="-8"/>
                      <w:sz w:val="20"/>
                    </w:rPr>
                    <w:t> </w:t>
                  </w:r>
                  <w:r>
                    <w:rPr>
                      <w:i/>
                      <w:color w:val="231F20"/>
                      <w:sz w:val="20"/>
                    </w:rPr>
                    <w:t>opportunity</w:t>
                  </w:r>
                  <w:r>
                    <w:rPr>
                      <w:i/>
                      <w:color w:val="231F20"/>
                      <w:spacing w:val="-8"/>
                      <w:sz w:val="20"/>
                    </w:rPr>
                    <w:t> </w:t>
                  </w:r>
                  <w:r>
                    <w:rPr>
                      <w:i/>
                      <w:color w:val="231F20"/>
                      <w:sz w:val="20"/>
                    </w:rPr>
                    <w:t>to</w:t>
                  </w:r>
                  <w:r>
                    <w:rPr>
                      <w:i/>
                      <w:color w:val="231F20"/>
                      <w:spacing w:val="-8"/>
                      <w:sz w:val="20"/>
                    </w:rPr>
                    <w:t> </w:t>
                  </w:r>
                  <w:r>
                    <w:rPr>
                      <w:i/>
                      <w:color w:val="231F20"/>
                      <w:sz w:val="20"/>
                    </w:rPr>
                    <w:t>clarify</w:t>
                  </w:r>
                  <w:r>
                    <w:rPr>
                      <w:i/>
                      <w:color w:val="231F20"/>
                      <w:spacing w:val="-8"/>
                      <w:sz w:val="20"/>
                    </w:rPr>
                    <w:t> </w:t>
                  </w:r>
                  <w:r>
                    <w:rPr>
                      <w:i/>
                      <w:color w:val="231F20"/>
                      <w:sz w:val="20"/>
                    </w:rPr>
                    <w:t>and</w:t>
                  </w:r>
                  <w:r>
                    <w:rPr>
                      <w:i/>
                      <w:color w:val="231F20"/>
                      <w:spacing w:val="-8"/>
                      <w:sz w:val="20"/>
                    </w:rPr>
                    <w:t> </w:t>
                  </w:r>
                  <w:r>
                    <w:rPr>
                      <w:i/>
                      <w:color w:val="231F20"/>
                      <w:sz w:val="20"/>
                    </w:rPr>
                    <w:t>affirm</w:t>
                  </w:r>
                  <w:r>
                    <w:rPr>
                      <w:i/>
                      <w:color w:val="231F20"/>
                      <w:spacing w:val="-8"/>
                      <w:sz w:val="20"/>
                    </w:rPr>
                    <w:t> </w:t>
                  </w:r>
                  <w:r>
                    <w:rPr>
                      <w:i/>
                      <w:color w:val="231F20"/>
                      <w:sz w:val="20"/>
                    </w:rPr>
                    <w:t>the</w:t>
                  </w:r>
                  <w:r>
                    <w:rPr>
                      <w:i/>
                      <w:color w:val="231F20"/>
                      <w:spacing w:val="-8"/>
                      <w:sz w:val="20"/>
                    </w:rPr>
                    <w:t> </w:t>
                  </w:r>
                  <w:r>
                    <w:rPr>
                      <w:i/>
                      <w:color w:val="231F20"/>
                      <w:spacing w:val="-6"/>
                      <w:sz w:val="20"/>
                    </w:rPr>
                    <w:t>EPA’s </w:t>
                  </w:r>
                  <w:r>
                    <w:rPr>
                      <w:i/>
                      <w:color w:val="231F20"/>
                      <w:sz w:val="20"/>
                    </w:rPr>
                    <w:t>role,</w:t>
                  </w:r>
                  <w:r>
                    <w:rPr>
                      <w:i/>
                      <w:color w:val="231F20"/>
                      <w:spacing w:val="-16"/>
                      <w:sz w:val="20"/>
                    </w:rPr>
                    <w:t> </w:t>
                  </w:r>
                  <w:r>
                    <w:rPr>
                      <w:i/>
                      <w:color w:val="231F20"/>
                      <w:sz w:val="20"/>
                    </w:rPr>
                    <w:t>purpose</w:t>
                  </w:r>
                  <w:r>
                    <w:rPr>
                      <w:i/>
                      <w:color w:val="231F20"/>
                      <w:spacing w:val="-16"/>
                      <w:sz w:val="20"/>
                    </w:rPr>
                    <w:t> </w:t>
                  </w:r>
                  <w:r>
                    <w:rPr>
                      <w:i/>
                      <w:color w:val="231F20"/>
                      <w:sz w:val="20"/>
                    </w:rPr>
                    <w:t>and</w:t>
                  </w:r>
                  <w:r>
                    <w:rPr>
                      <w:i/>
                      <w:color w:val="231F20"/>
                      <w:spacing w:val="-16"/>
                      <w:sz w:val="20"/>
                    </w:rPr>
                    <w:t> </w:t>
                  </w:r>
                  <w:r>
                    <w:rPr>
                      <w:i/>
                      <w:color w:val="231F20"/>
                      <w:sz w:val="20"/>
                    </w:rPr>
                    <w:t>responsibilities.</w:t>
                  </w:r>
                  <w:r>
                    <w:rPr>
                      <w:i/>
                      <w:color w:val="231F20"/>
                      <w:spacing w:val="-17"/>
                      <w:sz w:val="20"/>
                    </w:rPr>
                    <w:t> </w:t>
                  </w:r>
                  <w:r>
                    <w:rPr>
                      <w:color w:val="231F20"/>
                      <w:sz w:val="20"/>
                    </w:rPr>
                    <w:t>(Eric</w:t>
                  </w:r>
                  <w:r>
                    <w:rPr>
                      <w:color w:val="231F20"/>
                      <w:spacing w:val="-16"/>
                      <w:sz w:val="20"/>
                    </w:rPr>
                    <w:t> </w:t>
                  </w:r>
                  <w:r>
                    <w:rPr>
                      <w:color w:val="231F20"/>
                      <w:sz w:val="20"/>
                    </w:rPr>
                    <w:t>Windholz,</w:t>
                  </w:r>
                  <w:r>
                    <w:rPr>
                      <w:color w:val="231F20"/>
                      <w:spacing w:val="-16"/>
                      <w:sz w:val="20"/>
                    </w:rPr>
                    <w:t> </w:t>
                  </w:r>
                  <w:r>
                    <w:rPr>
                      <w:color w:val="231F20"/>
                      <w:sz w:val="20"/>
                    </w:rPr>
                    <w:t>Monash</w:t>
                  </w:r>
                  <w:r>
                    <w:rPr>
                      <w:color w:val="231F20"/>
                      <w:spacing w:val="-16"/>
                      <w:sz w:val="20"/>
                    </w:rPr>
                    <w:t> </w:t>
                  </w:r>
                  <w:r>
                    <w:rPr>
                      <w:color w:val="231F20"/>
                      <w:sz w:val="20"/>
                    </w:rPr>
                    <w:t>University</w:t>
                  </w:r>
                  <w:r>
                    <w:rPr>
                      <w:color w:val="231F20"/>
                      <w:spacing w:val="-16"/>
                      <w:sz w:val="20"/>
                    </w:rPr>
                    <w:t> </w:t>
                  </w:r>
                  <w:r>
                    <w:rPr>
                      <w:color w:val="231F20"/>
                      <w:sz w:val="20"/>
                    </w:rPr>
                    <w:t>submission,</w:t>
                  </w:r>
                  <w:r>
                    <w:rPr>
                      <w:color w:val="231F20"/>
                      <w:spacing w:val="-16"/>
                      <w:sz w:val="20"/>
                    </w:rPr>
                    <w:t> </w:t>
                  </w:r>
                  <w:r>
                    <w:rPr>
                      <w:color w:val="231F20"/>
                      <w:spacing w:val="-3"/>
                      <w:sz w:val="20"/>
                    </w:rPr>
                    <w:t>p.</w:t>
                  </w:r>
                  <w:r>
                    <w:rPr>
                      <w:color w:val="231F20"/>
                      <w:spacing w:val="-16"/>
                      <w:sz w:val="20"/>
                    </w:rPr>
                    <w:t> </w:t>
                  </w:r>
                  <w:r>
                    <w:rPr>
                      <w:color w:val="231F20"/>
                      <w:spacing w:val="-5"/>
                      <w:sz w:val="20"/>
                    </w:rPr>
                    <w:t>3)</w:t>
                  </w:r>
                </w:p>
              </w:txbxContent>
            </v:textbox>
            <w10:wrap type="none"/>
          </v:shape>
        </w:pict>
      </w:r>
      <w:r>
        <w:rPr/>
        <w:pict>
          <v:shape style="position:absolute;margin-left:89.705101pt;margin-top:592.350647pt;width:428.35pt;height:79.5pt;mso-position-horizontal-relative:page;mso-position-vertical-relative:page;z-index:-207064" type="#_x0000_t202" filled="false" stroked="false">
            <v:textbox inset="0,0,0,0">
              <w:txbxContent>
                <w:p>
                  <w:pPr>
                    <w:pStyle w:val="BodyText"/>
                    <w:spacing w:line="280" w:lineRule="auto"/>
                  </w:pPr>
                  <w:r>
                    <w:rPr>
                      <w:color w:val="58595B"/>
                    </w:rPr>
                    <w:t>Role clarity is important for formal accountability and to set appropriate community expectations about ‘who does what’. It also underpins internal decision making on priorities and scope of responsibility. It is essential for effective regulation, and for establishing the arrangements</w:t>
                  </w:r>
                </w:p>
                <w:p>
                  <w:pPr>
                    <w:pStyle w:val="BodyText"/>
                    <w:spacing w:before="2"/>
                  </w:pPr>
                  <w:r>
                    <w:rPr>
                      <w:color w:val="58595B"/>
                    </w:rPr>
                    <w:t>and relationships for joint regulation, cooperation and coordination that are necessary in</w:t>
                  </w:r>
                </w:p>
                <w:p>
                  <w:pPr>
                    <w:pStyle w:val="BodyText"/>
                    <w:spacing w:line="280" w:lineRule="auto" w:before="40"/>
                  </w:pPr>
                  <w:r>
                    <w:rPr>
                      <w:color w:val="58595B"/>
                    </w:rPr>
                    <w:t>a complex operating environment, such as Victoria’s broader regime of environmental regulation and management.</w:t>
                  </w:r>
                </w:p>
              </w:txbxContent>
            </v:textbox>
            <w10:wrap type="none"/>
          </v:shape>
        </w:pict>
      </w:r>
      <w:r>
        <w:rPr/>
        <w:pict>
          <v:shape style="position:absolute;margin-left:118.045097pt;margin-top:681.850647pt;width:374.15pt;height:39pt;mso-position-horizontal-relative:page;mso-position-vertical-relative:page;z-index:-207040" type="#_x0000_t202" filled="false" stroked="false">
            <v:textbox inset="0,0,0,0">
              <w:txbxContent>
                <w:p>
                  <w:pPr>
                    <w:spacing w:line="280" w:lineRule="auto" w:before="0"/>
                    <w:ind w:left="20" w:right="17" w:firstLine="0"/>
                    <w:jc w:val="left"/>
                    <w:rPr>
                      <w:sz w:val="20"/>
                    </w:rPr>
                  </w:pPr>
                  <w:r>
                    <w:rPr>
                      <w:i/>
                      <w:color w:val="231F20"/>
                      <w:sz w:val="20"/>
                    </w:rPr>
                    <w:t>Local government and other government agencies and EPA continually and currently buck pass issues thus ignoring community concerns and issues. </w:t>
                  </w:r>
                  <w:r>
                    <w:rPr>
                      <w:color w:val="231F20"/>
                      <w:sz w:val="20"/>
                    </w:rPr>
                    <w:t>(Brooklyn Residents Action Group submission, p. 3)</w:t>
                  </w:r>
                </w:p>
              </w:txbxContent>
            </v:textbox>
            <w10:wrap type="none"/>
          </v:shape>
        </w:pict>
      </w:r>
      <w:r>
        <w:rPr/>
        <w:pict>
          <v:shape style="position:absolute;margin-left:118.045097pt;margin-top:730.850647pt;width:368.15pt;height:52.5pt;mso-position-horizontal-relative:page;mso-position-vertical-relative:page;z-index:-207016" type="#_x0000_t202" filled="false" stroked="false">
            <v:textbox inset="0,0,0,0">
              <w:txbxContent>
                <w:p>
                  <w:pPr>
                    <w:spacing w:line="280" w:lineRule="auto" w:before="0"/>
                    <w:ind w:left="20" w:right="0" w:firstLine="0"/>
                    <w:jc w:val="left"/>
                    <w:rPr>
                      <w:sz w:val="20"/>
                    </w:rPr>
                  </w:pPr>
                  <w:r>
                    <w:rPr>
                      <w:i/>
                      <w:color w:val="231F20"/>
                      <w:sz w:val="20"/>
                    </w:rPr>
                    <w:t>There is ongoing confusion between the roles and functions of the EPA and (Sustainability Victoria) in the areas of environmental justice, community education and ownership, waste stewardship and the environment citizenship strategy. </w:t>
                  </w:r>
                  <w:r>
                    <w:rPr>
                      <w:color w:val="231F20"/>
                      <w:sz w:val="20"/>
                    </w:rPr>
                    <w:t>(Municipal Association of Victoria submission, p. 9)</w:t>
                  </w:r>
                </w:p>
              </w:txbxContent>
            </v:textbox>
            <w10:wrap type="none"/>
          </v:shape>
        </w:pict>
      </w:r>
      <w:r>
        <w:rPr/>
        <w:pict>
          <v:shape style="position:absolute;margin-left:534.996094pt;margin-top:44.090015pt;width:60.3pt;height:5.25pt;mso-position-horizontal-relative:page;mso-position-vertical-relative:page;z-index:-20699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696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06944" from=".0pt,45.840015pt" to="60.2791pt,45.840015pt" stroked="true" strokeweight="7pt" strokecolor="#0095a7">
            <w10:wrap type="none"/>
          </v:line>
        </w:pict>
      </w:r>
      <w:r>
        <w:rPr/>
        <w:pict>
          <v:shape style="position:absolute;margin-left:69.866096pt;margin-top:40.902756pt;width:10.75pt;height:9.5pt;mso-position-horizontal-relative:page;mso-position-vertical-relative:page;z-index:-206920" type="#_x0000_t202" filled="false" stroked="false">
            <v:textbox inset="0,0,0,0">
              <w:txbxContent>
                <w:p>
                  <w:pPr>
                    <w:spacing w:before="1"/>
                    <w:ind w:left="20" w:right="0" w:firstLine="0"/>
                    <w:jc w:val="left"/>
                    <w:rPr>
                      <w:sz w:val="15"/>
                    </w:rPr>
                  </w:pPr>
                  <w:r>
                    <w:rPr>
                      <w:color w:val="58595B"/>
                      <w:sz w:val="15"/>
                    </w:rPr>
                    <w:t>80</w:t>
                  </w:r>
                </w:p>
              </w:txbxContent>
            </v:textbox>
            <w10:wrap type="none"/>
          </v:shape>
        </w:pict>
      </w:r>
      <w:r>
        <w:rPr/>
        <w:pict>
          <v:shape style="position:absolute;margin-left:95.377899pt;margin-top:40.902756pt;width:147.75pt;height:9.5pt;mso-position-horizontal-relative:page;mso-position-vertical-relative:page;z-index:-206896"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5.65pt;height:183.2pt;mso-position-horizontal-relative:page;mso-position-vertical-relative:page;z-index:-206872" type="#_x0000_t202" filled="false" stroked="false">
            <v:textbox inset="0,0,0,0">
              <w:txbxContent>
                <w:p>
                  <w:pPr>
                    <w:pStyle w:val="BodyText"/>
                    <w:spacing w:line="280" w:lineRule="auto"/>
                    <w:ind w:right="17"/>
                    <w:jc w:val="both"/>
                  </w:pPr>
                  <w:r>
                    <w:rPr>
                      <w:color w:val="58595B"/>
                      <w:spacing w:val="-8"/>
                    </w:rPr>
                    <w:t>To </w:t>
                  </w:r>
                  <w:r>
                    <w:rPr>
                      <w:color w:val="58595B"/>
                    </w:rPr>
                    <w:t>be most effective, role clarity should be entrenched in the legislative framework established for the EPA. </w:t>
                  </w:r>
                  <w:r>
                    <w:rPr>
                      <w:color w:val="58595B"/>
                      <w:spacing w:val="-8"/>
                    </w:rPr>
                    <w:t>To </w:t>
                  </w:r>
                  <w:r>
                    <w:rPr>
                      <w:color w:val="58595B"/>
                    </w:rPr>
                    <w:t>achieve this, we recommend a new legislative architecture for the EPA, and Victoria’s environmental protection regime more generally. In particular, we propose the following changes:</w:t>
                  </w:r>
                </w:p>
                <w:p>
                  <w:pPr>
                    <w:pStyle w:val="ListParagraph"/>
                    <w:numPr>
                      <w:ilvl w:val="0"/>
                      <w:numId w:val="7"/>
                    </w:numPr>
                    <w:tabs>
                      <w:tab w:pos="190" w:val="left" w:leader="none"/>
                    </w:tabs>
                    <w:spacing w:line="280" w:lineRule="auto" w:before="115" w:after="0"/>
                    <w:ind w:left="190" w:right="656" w:hanging="170"/>
                    <w:jc w:val="left"/>
                    <w:rPr>
                      <w:sz w:val="20"/>
                    </w:rPr>
                  </w:pPr>
                  <w:r>
                    <w:rPr>
                      <w:color w:val="58595B"/>
                      <w:sz w:val="20"/>
                    </w:rPr>
                    <w:t>a new Act that establishes the </w:t>
                  </w:r>
                  <w:r>
                    <w:rPr>
                      <w:color w:val="58595B"/>
                      <w:spacing w:val="-4"/>
                      <w:sz w:val="20"/>
                    </w:rPr>
                    <w:t>EPA </w:t>
                  </w:r>
                  <w:r>
                    <w:rPr>
                      <w:color w:val="58595B"/>
                      <w:sz w:val="20"/>
                    </w:rPr>
                    <w:t>– as part of a comprehensive overhaul of the EP Act, to clarify powers and incorporate new</w:t>
                  </w:r>
                  <w:r>
                    <w:rPr>
                      <w:color w:val="58595B"/>
                      <w:spacing w:val="15"/>
                      <w:sz w:val="20"/>
                    </w:rPr>
                    <w:t> </w:t>
                  </w:r>
                  <w:r>
                    <w:rPr>
                      <w:color w:val="58595B"/>
                      <w:sz w:val="20"/>
                    </w:rPr>
                    <w:t>instruments</w:t>
                  </w:r>
                </w:p>
                <w:p>
                  <w:pPr>
                    <w:pStyle w:val="ListParagraph"/>
                    <w:numPr>
                      <w:ilvl w:val="0"/>
                      <w:numId w:val="7"/>
                    </w:numPr>
                    <w:tabs>
                      <w:tab w:pos="190" w:val="left" w:leader="none"/>
                    </w:tabs>
                    <w:spacing w:line="280" w:lineRule="auto" w:before="115" w:after="0"/>
                    <w:ind w:left="190" w:right="531" w:hanging="170"/>
                    <w:jc w:val="both"/>
                    <w:rPr>
                      <w:sz w:val="20"/>
                    </w:rPr>
                  </w:pPr>
                  <w:r>
                    <w:rPr>
                      <w:color w:val="58595B"/>
                      <w:sz w:val="20"/>
                    </w:rPr>
                    <w:t>a clear, legislated objective for the </w:t>
                  </w:r>
                  <w:r>
                    <w:rPr>
                      <w:color w:val="58595B"/>
                      <w:spacing w:val="-4"/>
                      <w:sz w:val="20"/>
                    </w:rPr>
                    <w:t>EPA </w:t>
                  </w:r>
                  <w:r>
                    <w:rPr>
                      <w:color w:val="58595B"/>
                      <w:sz w:val="20"/>
                    </w:rPr>
                    <w:t>that focuses on reducing harms from pollution and waste and protecting both human health and the environment, as an important first step in defining the future role of the</w:t>
                  </w:r>
                  <w:r>
                    <w:rPr>
                      <w:color w:val="58595B"/>
                      <w:spacing w:val="5"/>
                      <w:sz w:val="20"/>
                    </w:rPr>
                    <w:t> </w:t>
                  </w:r>
                  <w:r>
                    <w:rPr>
                      <w:color w:val="58595B"/>
                      <w:spacing w:val="-4"/>
                      <w:sz w:val="20"/>
                    </w:rPr>
                    <w:t>EPA</w:t>
                  </w:r>
                </w:p>
                <w:p>
                  <w:pPr>
                    <w:pStyle w:val="ListParagraph"/>
                    <w:numPr>
                      <w:ilvl w:val="0"/>
                      <w:numId w:val="7"/>
                    </w:numPr>
                    <w:tabs>
                      <w:tab w:pos="190" w:val="left" w:leader="none"/>
                    </w:tabs>
                    <w:spacing w:line="280" w:lineRule="auto" w:before="115" w:after="0"/>
                    <w:ind w:left="190" w:right="404" w:hanging="170"/>
                    <w:jc w:val="left"/>
                    <w:rPr>
                      <w:sz w:val="20"/>
                    </w:rPr>
                  </w:pPr>
                  <w:r>
                    <w:rPr>
                      <w:color w:val="58595B"/>
                      <w:sz w:val="20"/>
                    </w:rPr>
                    <w:t>a refreshed set of decision making principles for the </w:t>
                  </w:r>
                  <w:r>
                    <w:rPr>
                      <w:color w:val="58595B"/>
                      <w:spacing w:val="-4"/>
                      <w:sz w:val="20"/>
                    </w:rPr>
                    <w:t>EPA </w:t>
                  </w:r>
                  <w:r>
                    <w:rPr>
                      <w:color w:val="58595B"/>
                      <w:sz w:val="20"/>
                    </w:rPr>
                    <w:t>that support its statutory functions and provide greater transparency to duty holders and the</w:t>
                  </w:r>
                  <w:r>
                    <w:rPr>
                      <w:color w:val="58595B"/>
                      <w:spacing w:val="7"/>
                      <w:sz w:val="20"/>
                    </w:rPr>
                    <w:t> </w:t>
                  </w:r>
                  <w:r>
                    <w:rPr>
                      <w:color w:val="58595B"/>
                      <w:sz w:val="20"/>
                    </w:rPr>
                    <w:t>community</w:t>
                  </w:r>
                </w:p>
                <w:p>
                  <w:pPr>
                    <w:pStyle w:val="ListParagraph"/>
                    <w:numPr>
                      <w:ilvl w:val="0"/>
                      <w:numId w:val="7"/>
                    </w:numPr>
                    <w:tabs>
                      <w:tab w:pos="190" w:val="left" w:leader="none"/>
                    </w:tabs>
                    <w:spacing w:line="280" w:lineRule="auto" w:before="115" w:after="0"/>
                    <w:ind w:left="190" w:right="710" w:hanging="170"/>
                    <w:jc w:val="left"/>
                    <w:rPr>
                      <w:sz w:val="20"/>
                    </w:rPr>
                  </w:pPr>
                  <w:r>
                    <w:rPr>
                      <w:color w:val="58595B"/>
                      <w:sz w:val="20"/>
                    </w:rPr>
                    <w:t>a simplified set of legislated functions, consistent with the requirements of a modernised and more proactive focus for the </w:t>
                  </w:r>
                  <w:r>
                    <w:rPr>
                      <w:color w:val="58595B"/>
                      <w:spacing w:val="-4"/>
                      <w:sz w:val="20"/>
                    </w:rPr>
                    <w:t>EPA </w:t>
                  </w:r>
                  <w:r>
                    <w:rPr>
                      <w:color w:val="58595B"/>
                      <w:sz w:val="20"/>
                    </w:rPr>
                    <w:t>of the</w:t>
                  </w:r>
                  <w:r>
                    <w:rPr>
                      <w:color w:val="58595B"/>
                      <w:spacing w:val="7"/>
                      <w:sz w:val="20"/>
                    </w:rPr>
                    <w:t> </w:t>
                  </w:r>
                  <w:r>
                    <w:rPr>
                      <w:color w:val="58595B"/>
                      <w:sz w:val="20"/>
                    </w:rPr>
                    <w:t>future.</w:t>
                  </w:r>
                </w:p>
              </w:txbxContent>
            </v:textbox>
            <w10:wrap type="none"/>
          </v:shape>
        </w:pict>
      </w:r>
      <w:r>
        <w:rPr/>
        <w:pict>
          <v:shape style="position:absolute;margin-left:69.866096pt;margin-top:301.706451pt;width:401.15pt;height:59.8pt;mso-position-horizontal-relative:page;mso-position-vertical-relative:page;z-index:-206848" type="#_x0000_t202" filled="false" stroked="false">
            <v:textbox inset="0,0,0,0">
              <w:txbxContent>
                <w:p>
                  <w:pPr>
                    <w:spacing w:line="265" w:lineRule="exact" w:before="0"/>
                    <w:ind w:left="20" w:right="0" w:firstLine="0"/>
                    <w:jc w:val="left"/>
                    <w:rPr>
                      <w:sz w:val="24"/>
                    </w:rPr>
                  </w:pPr>
                  <w:r>
                    <w:rPr>
                      <w:color w:val="0095A7"/>
                      <w:sz w:val="24"/>
                    </w:rPr>
                    <w:t>5.3  A new Act to establish the EPA</w:t>
                  </w:r>
                </w:p>
                <w:p>
                  <w:pPr>
                    <w:pStyle w:val="BodyText"/>
                    <w:spacing w:line="280" w:lineRule="auto" w:before="145"/>
                  </w:pPr>
                  <w:r>
                    <w:rPr>
                      <w:color w:val="58595B"/>
                    </w:rPr>
                    <w:t>Role clarity for the </w:t>
                  </w:r>
                  <w:r>
                    <w:rPr>
                      <w:color w:val="58595B"/>
                      <w:spacing w:val="-4"/>
                    </w:rPr>
                    <w:t>EPA </w:t>
                  </w:r>
                  <w:r>
                    <w:rPr>
                      <w:color w:val="58595B"/>
                    </w:rPr>
                    <w:t>starts with a separate </w:t>
                  </w:r>
                  <w:r>
                    <w:rPr>
                      <w:color w:val="58595B"/>
                      <w:spacing w:val="-4"/>
                    </w:rPr>
                    <w:t>EPA </w:t>
                  </w:r>
                  <w:r>
                    <w:rPr>
                      <w:color w:val="58595B"/>
                    </w:rPr>
                    <w:t>(Establishment) Act, to sit alongside a modernised EP Act. The </w:t>
                  </w:r>
                  <w:r>
                    <w:rPr>
                      <w:color w:val="58595B"/>
                      <w:spacing w:val="-4"/>
                    </w:rPr>
                    <w:t>EPA </w:t>
                  </w:r>
                  <w:r>
                    <w:rPr>
                      <w:color w:val="58595B"/>
                    </w:rPr>
                    <w:t>(Establishment) Act should define, as a minimum, the </w:t>
                  </w:r>
                  <w:r>
                    <w:rPr>
                      <w:color w:val="58595B"/>
                      <w:spacing w:val="-7"/>
                    </w:rPr>
                    <w:t>EPA’s </w:t>
                  </w:r>
                  <w:r>
                    <w:rPr>
                      <w:color w:val="58595B"/>
                    </w:rPr>
                    <w:t>objective, decision making principles, functions and governance structure.</w:t>
                  </w:r>
                </w:p>
              </w:txbxContent>
            </v:textbox>
            <w10:wrap type="none"/>
          </v:shape>
        </w:pict>
      </w:r>
      <w:r>
        <w:rPr/>
        <w:pict>
          <v:shape style="position:absolute;margin-left:69.866096pt;margin-top:371.496277pt;width:418.95pt;height:39pt;mso-position-horizontal-relative:page;mso-position-vertical-relative:page;z-index:-206824" type="#_x0000_t202" filled="false" stroked="false">
            <v:textbox inset="0,0,0,0">
              <w:txbxContent>
                <w:p>
                  <w:pPr>
                    <w:pStyle w:val="BodyText"/>
                    <w:spacing w:line="280" w:lineRule="auto"/>
                  </w:pPr>
                  <w:r>
                    <w:rPr>
                      <w:color w:val="58595B"/>
                    </w:rPr>
                    <w:t>The current EP Act includes establishment elements for the EPA alongside specific provisions for regulatory tools, operated by the EPA and other entities. In itself, the Act’s broad ranging nature is confusing. It is also now a very complex and cumbersome piece of legislation.</w:t>
                  </w:r>
                </w:p>
              </w:txbxContent>
            </v:textbox>
            <w10:wrap type="none"/>
          </v:shape>
        </w:pict>
      </w:r>
      <w:r>
        <w:rPr/>
        <w:pict>
          <v:shape style="position:absolute;margin-left:69.866096pt;margin-top:420.496277pt;width:426.95pt;height:52.5pt;mso-position-horizontal-relative:page;mso-position-vertical-relative:page;z-index:-206800" type="#_x0000_t202" filled="false" stroked="false">
            <v:textbox inset="0,0,0,0">
              <w:txbxContent>
                <w:p>
                  <w:pPr>
                    <w:pStyle w:val="BodyText"/>
                    <w:spacing w:line="280" w:lineRule="auto"/>
                    <w:ind w:right="17"/>
                  </w:pPr>
                  <w:r>
                    <w:rPr>
                      <w:color w:val="58595B"/>
                    </w:rPr>
                    <w:t>Victoria’s EP Act was the first such legislation in Australia, but it is now the oldest state environment protection act not to have been comprehensively reviewed and re-enacted, despite being amended more than 80 times in its 40 year history. The 2011 Krpan review flagged problems with the complexity of the EP Act:</w:t>
                  </w:r>
                </w:p>
              </w:txbxContent>
            </v:textbox>
            <w10:wrap type="none"/>
          </v:shape>
        </w:pict>
      </w:r>
      <w:r>
        <w:rPr/>
        <w:pict>
          <v:shape style="position:absolute;margin-left:98.216103pt;margin-top:482.996277pt;width:363.1pt;height:39pt;mso-position-horizontal-relative:page;mso-position-vertical-relative:page;z-index:-206776" type="#_x0000_t202" filled="false" stroked="false">
            <v:textbox inset="0,0,0,0">
              <w:txbxContent>
                <w:p>
                  <w:pPr>
                    <w:spacing w:line="280" w:lineRule="auto" w:before="0"/>
                    <w:ind w:left="20" w:right="0" w:firstLine="0"/>
                    <w:jc w:val="left"/>
                    <w:rPr>
                      <w:sz w:val="11"/>
                    </w:rPr>
                  </w:pPr>
                  <w:r>
                    <w:rPr>
                      <w:i/>
                      <w:color w:val="231F20"/>
                      <w:sz w:val="20"/>
                    </w:rPr>
                    <w:t>[The EP Act] is now complex and difficult to navigate, and contains drafting which is convoluted and does not meet the principles that apply to modern legislation, including that it be accessible and easy to comply with.</w:t>
                  </w:r>
                  <w:r>
                    <w:rPr>
                      <w:color w:val="231F20"/>
                      <w:position w:val="7"/>
                      <w:sz w:val="11"/>
                    </w:rPr>
                    <w:t>5</w:t>
                  </w:r>
                </w:p>
              </w:txbxContent>
            </v:textbox>
            <w10:wrap type="none"/>
          </v:shape>
        </w:pict>
      </w:r>
      <w:r>
        <w:rPr/>
        <w:pict>
          <v:shape style="position:absolute;margin-left:69.866096pt;margin-top:532.012085pt;width:435.7pt;height:79.5pt;mso-position-horizontal-relative:page;mso-position-vertical-relative:page;z-index:-206752" type="#_x0000_t202" filled="false" stroked="false">
            <v:textbox inset="0,0,0,0">
              <w:txbxContent>
                <w:p>
                  <w:pPr>
                    <w:pStyle w:val="BodyText"/>
                    <w:spacing w:line="280" w:lineRule="auto"/>
                    <w:ind w:right="17"/>
                  </w:pPr>
                  <w:r>
                    <w:rPr>
                      <w:color w:val="58595B"/>
                    </w:rPr>
                    <w:t>Many participants to our inquiry had similar views – the EP Act is tired, out of date and confusing. The </w:t>
                  </w:r>
                  <w:r>
                    <w:rPr>
                      <w:i/>
                      <w:color w:val="58595B"/>
                    </w:rPr>
                    <w:t>Report on Submissions to the 2015 EPA Inquiry </w:t>
                  </w:r>
                  <w:r>
                    <w:rPr>
                      <w:color w:val="58595B"/>
                    </w:rPr>
                    <w:t>highlighted a ‘… general consensus that (the EP Act) is out of date and needs a drastic overhaul. Some argued for a complete rewrite of the Act, others suggested that it could be reviewed and made stronger by a severe upgrade.’</w:t>
                  </w:r>
                  <w:r>
                    <w:rPr>
                      <w:color w:val="58595B"/>
                      <w:position w:val="7"/>
                      <w:sz w:val="11"/>
                    </w:rPr>
                    <w:t>6 </w:t>
                  </w:r>
                  <w:r>
                    <w:rPr>
                      <w:color w:val="58595B"/>
                    </w:rPr>
                    <w:t>Further, participants argued ‘… the government should broaden the statutory and regulatory powers of the EPA with a stronger Act and more effective authority’.</w:t>
                  </w:r>
                  <w:r>
                    <w:rPr>
                      <w:color w:val="58595B"/>
                      <w:position w:val="7"/>
                      <w:sz w:val="11"/>
                    </w:rPr>
                    <w:t>7  </w:t>
                  </w:r>
                  <w:r>
                    <w:rPr>
                      <w:color w:val="58595B"/>
                    </w:rPr>
                    <w:t>For example:</w:t>
                  </w:r>
                </w:p>
              </w:txbxContent>
            </v:textbox>
            <w10:wrap type="none"/>
          </v:shape>
        </w:pict>
      </w:r>
      <w:r>
        <w:rPr/>
        <w:pict>
          <v:shape style="position:absolute;margin-left:98.21080pt;margin-top:621.512085pt;width:371.9pt;height:39pt;mso-position-horizontal-relative:page;mso-position-vertical-relative:page;z-index:-206728" type="#_x0000_t202" filled="false" stroked="false">
            <v:textbox inset="0,0,0,0">
              <w:txbxContent>
                <w:p>
                  <w:pPr>
                    <w:spacing w:line="280" w:lineRule="auto" w:before="0"/>
                    <w:ind w:left="20" w:right="0" w:firstLine="0"/>
                    <w:jc w:val="left"/>
                    <w:rPr>
                      <w:sz w:val="20"/>
                    </w:rPr>
                  </w:pPr>
                  <w:r>
                    <w:rPr>
                      <w:i/>
                      <w:color w:val="231F20"/>
                      <w:sz w:val="20"/>
                    </w:rPr>
                    <w:t>The EP Act has become very difficult for users to navigate, is often repetitive and in some instances redundant, and important principles are obscured in very long and complex provisions. </w:t>
                  </w:r>
                  <w:r>
                    <w:rPr>
                      <w:color w:val="231F20"/>
                      <w:sz w:val="20"/>
                    </w:rPr>
                    <w:t>(Law Institute of Victoria submission, p. 4)</w:t>
                  </w:r>
                </w:p>
              </w:txbxContent>
            </v:textbox>
            <w10:wrap type="none"/>
          </v:shape>
        </w:pict>
      </w:r>
      <w:r>
        <w:rPr/>
        <w:pict>
          <v:shape style="position:absolute;margin-left:98.21080pt;margin-top:670.512085pt;width:370.25pt;height:39pt;mso-position-horizontal-relative:page;mso-position-vertical-relative:page;z-index:-206704" type="#_x0000_t202" filled="false" stroked="false">
            <v:textbox inset="0,0,0,0">
              <w:txbxContent>
                <w:p>
                  <w:pPr>
                    <w:spacing w:line="280" w:lineRule="auto" w:before="0"/>
                    <w:ind w:left="20" w:right="17" w:firstLine="0"/>
                    <w:jc w:val="both"/>
                    <w:rPr>
                      <w:sz w:val="20"/>
                    </w:rPr>
                  </w:pPr>
                  <w:r>
                    <w:rPr>
                      <w:i/>
                      <w:color w:val="231F20"/>
                      <w:sz w:val="20"/>
                    </w:rPr>
                    <w:t>There</w:t>
                  </w:r>
                  <w:r>
                    <w:rPr>
                      <w:i/>
                      <w:color w:val="231F20"/>
                      <w:spacing w:val="-10"/>
                      <w:sz w:val="20"/>
                    </w:rPr>
                    <w:t> </w:t>
                  </w:r>
                  <w:r>
                    <w:rPr>
                      <w:i/>
                      <w:color w:val="231F20"/>
                      <w:sz w:val="20"/>
                    </w:rPr>
                    <w:t>is</w:t>
                  </w:r>
                  <w:r>
                    <w:rPr>
                      <w:i/>
                      <w:color w:val="231F20"/>
                      <w:spacing w:val="-10"/>
                      <w:sz w:val="20"/>
                    </w:rPr>
                    <w:t> </w:t>
                  </w:r>
                  <w:r>
                    <w:rPr>
                      <w:i/>
                      <w:color w:val="231F20"/>
                      <w:sz w:val="20"/>
                    </w:rPr>
                    <w:t>a</w:t>
                  </w:r>
                  <w:r>
                    <w:rPr>
                      <w:i/>
                      <w:color w:val="231F20"/>
                      <w:spacing w:val="-10"/>
                      <w:sz w:val="20"/>
                    </w:rPr>
                    <w:t> </w:t>
                  </w:r>
                  <w:r>
                    <w:rPr>
                      <w:i/>
                      <w:color w:val="231F20"/>
                      <w:sz w:val="20"/>
                    </w:rPr>
                    <w:t>strong</w:t>
                  </w:r>
                  <w:r>
                    <w:rPr>
                      <w:i/>
                      <w:color w:val="231F20"/>
                      <w:spacing w:val="-10"/>
                      <w:sz w:val="20"/>
                    </w:rPr>
                    <w:t> </w:t>
                  </w:r>
                  <w:r>
                    <w:rPr>
                      <w:i/>
                      <w:color w:val="231F20"/>
                      <w:sz w:val="20"/>
                    </w:rPr>
                    <w:t>need</w:t>
                  </w:r>
                  <w:r>
                    <w:rPr>
                      <w:i/>
                      <w:color w:val="231F20"/>
                      <w:spacing w:val="-10"/>
                      <w:sz w:val="20"/>
                    </w:rPr>
                    <w:t> </w:t>
                  </w:r>
                  <w:r>
                    <w:rPr>
                      <w:i/>
                      <w:color w:val="231F20"/>
                      <w:sz w:val="20"/>
                    </w:rPr>
                    <w:t>to</w:t>
                  </w:r>
                  <w:r>
                    <w:rPr>
                      <w:i/>
                      <w:color w:val="231F20"/>
                      <w:spacing w:val="-10"/>
                      <w:sz w:val="20"/>
                    </w:rPr>
                    <w:t> </w:t>
                  </w:r>
                  <w:r>
                    <w:rPr>
                      <w:i/>
                      <w:color w:val="231F20"/>
                      <w:spacing w:val="-3"/>
                      <w:sz w:val="20"/>
                    </w:rPr>
                    <w:t>overhaul,</w:t>
                  </w:r>
                  <w:r>
                    <w:rPr>
                      <w:i/>
                      <w:color w:val="231F20"/>
                      <w:spacing w:val="-10"/>
                      <w:sz w:val="20"/>
                    </w:rPr>
                    <w:t> </w:t>
                  </w:r>
                  <w:r>
                    <w:rPr>
                      <w:i/>
                      <w:color w:val="231F20"/>
                      <w:sz w:val="20"/>
                    </w:rPr>
                    <w:t>rewrite</w:t>
                  </w:r>
                  <w:r>
                    <w:rPr>
                      <w:i/>
                      <w:color w:val="231F20"/>
                      <w:spacing w:val="-10"/>
                      <w:sz w:val="20"/>
                    </w:rPr>
                    <w:t> </w:t>
                  </w:r>
                  <w:r>
                    <w:rPr>
                      <w:i/>
                      <w:color w:val="231F20"/>
                      <w:sz w:val="20"/>
                    </w:rPr>
                    <w:t>and</w:t>
                  </w:r>
                  <w:r>
                    <w:rPr>
                      <w:i/>
                      <w:color w:val="231F20"/>
                      <w:spacing w:val="-10"/>
                      <w:sz w:val="20"/>
                    </w:rPr>
                    <w:t> </w:t>
                  </w:r>
                  <w:r>
                    <w:rPr>
                      <w:i/>
                      <w:color w:val="231F20"/>
                      <w:sz w:val="20"/>
                    </w:rPr>
                    <w:t>streamline</w:t>
                  </w:r>
                  <w:r>
                    <w:rPr>
                      <w:i/>
                      <w:color w:val="231F20"/>
                      <w:spacing w:val="-10"/>
                      <w:sz w:val="20"/>
                    </w:rPr>
                    <w:t> </w:t>
                  </w:r>
                  <w:r>
                    <w:rPr>
                      <w:i/>
                      <w:color w:val="231F20"/>
                      <w:sz w:val="20"/>
                    </w:rPr>
                    <w:t>the</w:t>
                  </w:r>
                  <w:r>
                    <w:rPr>
                      <w:i/>
                      <w:color w:val="231F20"/>
                      <w:spacing w:val="-10"/>
                      <w:sz w:val="20"/>
                    </w:rPr>
                    <w:t> </w:t>
                  </w:r>
                  <w:r>
                    <w:rPr>
                      <w:i/>
                      <w:color w:val="231F20"/>
                      <w:sz w:val="20"/>
                    </w:rPr>
                    <w:t>Act</w:t>
                  </w:r>
                  <w:r>
                    <w:rPr>
                      <w:i/>
                      <w:color w:val="231F20"/>
                      <w:spacing w:val="-10"/>
                      <w:sz w:val="20"/>
                    </w:rPr>
                    <w:t> </w:t>
                  </w:r>
                  <w:r>
                    <w:rPr>
                      <w:i/>
                      <w:color w:val="231F20"/>
                      <w:sz w:val="20"/>
                    </w:rPr>
                    <w:t>to</w:t>
                  </w:r>
                  <w:r>
                    <w:rPr>
                      <w:i/>
                      <w:color w:val="231F20"/>
                      <w:spacing w:val="-10"/>
                      <w:sz w:val="20"/>
                    </w:rPr>
                    <w:t> </w:t>
                  </w:r>
                  <w:r>
                    <w:rPr>
                      <w:i/>
                      <w:color w:val="231F20"/>
                      <w:sz w:val="20"/>
                    </w:rPr>
                    <w:t>help</w:t>
                  </w:r>
                  <w:r>
                    <w:rPr>
                      <w:i/>
                      <w:color w:val="231F20"/>
                      <w:spacing w:val="-10"/>
                      <w:sz w:val="20"/>
                    </w:rPr>
                    <w:t> </w:t>
                  </w:r>
                  <w:r>
                    <w:rPr>
                      <w:i/>
                      <w:color w:val="231F20"/>
                      <w:spacing w:val="-2"/>
                      <w:sz w:val="20"/>
                    </w:rPr>
                    <w:t>ensure</w:t>
                  </w:r>
                  <w:r>
                    <w:rPr>
                      <w:i/>
                      <w:color w:val="231F20"/>
                      <w:spacing w:val="-10"/>
                      <w:sz w:val="20"/>
                    </w:rPr>
                    <w:t> </w:t>
                  </w:r>
                  <w:r>
                    <w:rPr>
                      <w:i/>
                      <w:color w:val="231F20"/>
                      <w:sz w:val="20"/>
                    </w:rPr>
                    <w:t>that the </w:t>
                  </w:r>
                  <w:r>
                    <w:rPr>
                      <w:i/>
                      <w:color w:val="231F20"/>
                      <w:spacing w:val="-3"/>
                      <w:sz w:val="20"/>
                    </w:rPr>
                    <w:t>EPA </w:t>
                  </w:r>
                  <w:r>
                    <w:rPr>
                      <w:i/>
                      <w:color w:val="231F20"/>
                      <w:sz w:val="20"/>
                    </w:rPr>
                    <w:t>is current, innovative, adaptive and responsive. </w:t>
                  </w:r>
                  <w:r>
                    <w:rPr>
                      <w:color w:val="231F20"/>
                      <w:sz w:val="20"/>
                    </w:rPr>
                    <w:t>(Australian Industry Group submission, p.</w:t>
                  </w:r>
                  <w:r>
                    <w:rPr>
                      <w:color w:val="231F20"/>
                      <w:spacing w:val="-5"/>
                      <w:sz w:val="20"/>
                    </w:rPr>
                    <w:t> </w:t>
                  </w:r>
                  <w:r>
                    <w:rPr>
                      <w:color w:val="231F20"/>
                      <w:spacing w:val="-4"/>
                      <w:sz w:val="20"/>
                    </w:rPr>
                    <w:t>6)</w:t>
                  </w:r>
                </w:p>
              </w:txbxContent>
            </v:textbox>
            <w10:wrap type="none"/>
          </v:shape>
        </w:pict>
      </w:r>
      <w:r>
        <w:rPr/>
        <w:pict>
          <v:shape style="position:absolute;margin-left:98.21080pt;margin-top:719.512085pt;width:375.35pt;height:39pt;mso-position-horizontal-relative:page;mso-position-vertical-relative:page;z-index:-206680" type="#_x0000_t202" filled="false" stroked="false">
            <v:textbox inset="0,0,0,0">
              <w:txbxContent>
                <w:p>
                  <w:pPr>
                    <w:spacing w:line="280" w:lineRule="auto" w:before="0"/>
                    <w:ind w:left="20" w:right="17" w:firstLine="0"/>
                    <w:jc w:val="both"/>
                    <w:rPr>
                      <w:sz w:val="20"/>
                    </w:rPr>
                  </w:pPr>
                  <w:r>
                    <w:rPr>
                      <w:i/>
                      <w:color w:val="231F20"/>
                      <w:sz w:val="20"/>
                    </w:rPr>
                    <w:t>We note that the relevant act relating to the </w:t>
                  </w:r>
                  <w:r>
                    <w:rPr>
                      <w:i/>
                      <w:color w:val="231F20"/>
                      <w:spacing w:val="-5"/>
                      <w:sz w:val="20"/>
                    </w:rPr>
                    <w:t>EPA’s </w:t>
                  </w:r>
                  <w:r>
                    <w:rPr>
                      <w:i/>
                      <w:color w:val="231F20"/>
                      <w:sz w:val="20"/>
                    </w:rPr>
                    <w:t>establishment has been amended numerous times, leaving a document that is unwieldy and without clarity of purpose. </w:t>
                  </w:r>
                  <w:r>
                    <w:rPr>
                      <w:color w:val="231F20"/>
                      <w:sz w:val="20"/>
                    </w:rPr>
                    <w:t>(Victorian </w:t>
                  </w:r>
                  <w:r>
                    <w:rPr>
                      <w:color w:val="231F20"/>
                      <w:spacing w:val="-3"/>
                      <w:sz w:val="20"/>
                    </w:rPr>
                    <w:t>Trades </w:t>
                  </w:r>
                  <w:r>
                    <w:rPr>
                      <w:color w:val="231F20"/>
                      <w:sz w:val="20"/>
                    </w:rPr>
                    <w:t>Hall Council submission, p. </w:t>
                  </w:r>
                  <w:r>
                    <w:rPr>
                      <w:color w:val="231F20"/>
                      <w:spacing w:val="-4"/>
                      <w:sz w:val="20"/>
                    </w:rPr>
                    <w:t>2)</w:t>
                  </w:r>
                </w:p>
              </w:txbxContent>
            </v:textbox>
            <w10:wrap type="none"/>
          </v:shape>
        </w:pict>
      </w:r>
      <w:r>
        <w:rPr/>
        <w:pict>
          <v:shape style="position:absolute;margin-left:.0pt;margin-top:44.090015pt;width:60.3pt;height:5.25pt;mso-position-horizontal-relative:page;mso-position-vertical-relative:page;z-index:-206656"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06632"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06608" from="534.996094pt,45.840015pt" to="595.276001pt,45.840015pt" stroked="true" strokeweight="7pt" strokecolor="#0095a7">
            <w10:wrap type="none"/>
          </v:line>
        </w:pict>
      </w:r>
      <w:r>
        <w:rPr/>
        <w:pict>
          <v:shape style="position:absolute;margin-left:240.989395pt;margin-top:40.902756pt;width:258.9pt;height:9.5pt;mso-position-horizontal-relative:page;mso-position-vertical-relative:page;z-index:-206584" type="#_x0000_t202" filled="false" stroked="false">
            <v:textbox inset="0,0,0,0">
              <w:txbxContent>
                <w:p>
                  <w:pPr>
                    <w:spacing w:before="1"/>
                    <w:ind w:left="20" w:right="0" w:firstLine="0"/>
                    <w:jc w:val="left"/>
                    <w:rPr>
                      <w:sz w:val="15"/>
                    </w:rPr>
                  </w:pPr>
                  <w:r>
                    <w:rPr>
                      <w:color w:val="58595B"/>
                      <w:sz w:val="15"/>
                    </w:rPr>
                    <w:t>CHAPTER 5    CLARIFYING THE EPA’S OBJECTIVES AND FUNCTIONS</w:t>
                  </w:r>
                </w:p>
              </w:txbxContent>
            </v:textbox>
            <w10:wrap type="none"/>
          </v:shape>
        </w:pict>
      </w:r>
      <w:r>
        <w:rPr/>
        <w:pict>
          <v:shape style="position:absolute;margin-left:515.219421pt;margin-top:40.902756pt;width:10pt;height:9.5pt;mso-position-horizontal-relative:page;mso-position-vertical-relative:page;z-index:-206560" type="#_x0000_t202" filled="false" stroked="false">
            <v:textbox inset="0,0,0,0">
              <w:txbxContent>
                <w:p>
                  <w:pPr>
                    <w:spacing w:before="1"/>
                    <w:ind w:left="20" w:right="-7" w:firstLine="0"/>
                    <w:jc w:val="left"/>
                    <w:rPr>
                      <w:sz w:val="15"/>
                    </w:rPr>
                  </w:pPr>
                  <w:r>
                    <w:rPr>
                      <w:color w:val="58595B"/>
                      <w:sz w:val="15"/>
                    </w:rPr>
                    <w:t>81</w:t>
                  </w:r>
                </w:p>
              </w:txbxContent>
            </v:textbox>
            <w10:wrap type="none"/>
          </v:shape>
        </w:pict>
      </w:r>
      <w:r>
        <w:rPr/>
        <w:pict>
          <v:shape style="position:absolute;margin-left:89.704399pt;margin-top:105.893967pt;width:426.85pt;height:52.5pt;mso-position-horizontal-relative:page;mso-position-vertical-relative:page;z-index:-206536" type="#_x0000_t202" filled="false" stroked="false">
            <v:textbox inset="0,0,0,0">
              <w:txbxContent>
                <w:p>
                  <w:pPr>
                    <w:pStyle w:val="BodyText"/>
                    <w:spacing w:line="280" w:lineRule="auto"/>
                    <w:ind w:right="17"/>
                  </w:pPr>
                  <w:r>
                    <w:rPr>
                      <w:color w:val="58595B"/>
                    </w:rPr>
                    <w:t>In its current state, the EP Act’s guidance on the </w:t>
                  </w:r>
                  <w:r>
                    <w:rPr>
                      <w:color w:val="58595B"/>
                      <w:spacing w:val="-7"/>
                    </w:rPr>
                    <w:t>EPA’s </w:t>
                  </w:r>
                  <w:r>
                    <w:rPr>
                      <w:color w:val="58595B"/>
                    </w:rPr>
                    <w:t>role, powers and functions is confusing. It provides powers and statutory functions to a number of different agencies, not just the EPA.</w:t>
                  </w:r>
                  <w:r>
                    <w:rPr>
                      <w:color w:val="58595B"/>
                      <w:position w:val="7"/>
                      <w:sz w:val="11"/>
                    </w:rPr>
                    <w:t>8 </w:t>
                  </w:r>
                  <w:r>
                    <w:rPr>
                      <w:color w:val="58595B"/>
                    </w:rPr>
                    <w:t>And the principles apply to any agency administering the Act – not just the </w:t>
                  </w:r>
                  <w:r>
                    <w:rPr>
                      <w:color w:val="58595B"/>
                      <w:spacing w:val="-4"/>
                    </w:rPr>
                    <w:t>EPA </w:t>
                  </w:r>
                  <w:r>
                    <w:rPr>
                      <w:color w:val="58595B"/>
                    </w:rPr>
                    <w:t>– so they do not support the </w:t>
                  </w:r>
                  <w:r>
                    <w:rPr>
                      <w:color w:val="58595B"/>
                      <w:spacing w:val="-7"/>
                    </w:rPr>
                    <w:t>EPA’s </w:t>
                  </w:r>
                  <w:r>
                    <w:rPr>
                      <w:color w:val="58595B"/>
                    </w:rPr>
                    <w:t>specific decision making</w:t>
                  </w:r>
                  <w:r>
                    <w:rPr>
                      <w:color w:val="58595B"/>
                      <w:spacing w:val="28"/>
                    </w:rPr>
                    <w:t> </w:t>
                  </w:r>
                  <w:r>
                    <w:rPr>
                      <w:color w:val="58595B"/>
                    </w:rPr>
                    <w:t>requirements.</w:t>
                  </w:r>
                </w:p>
              </w:txbxContent>
            </v:textbox>
            <w10:wrap type="none"/>
          </v:shape>
        </w:pict>
      </w:r>
      <w:r>
        <w:rPr/>
        <w:pict>
          <v:shape style="position:absolute;margin-left:118.054398pt;margin-top:168.393967pt;width:368.25pt;height:66pt;mso-position-horizontal-relative:page;mso-position-vertical-relative:page;z-index:-206512" type="#_x0000_t202" filled="false" stroked="false">
            <v:textbox inset="0,0,0,0">
              <w:txbxContent>
                <w:p>
                  <w:pPr>
                    <w:spacing w:line="280" w:lineRule="auto" w:before="0"/>
                    <w:ind w:left="20" w:right="9" w:firstLine="0"/>
                    <w:jc w:val="left"/>
                    <w:rPr>
                      <w:i/>
                      <w:sz w:val="20"/>
                    </w:rPr>
                  </w:pPr>
                  <w:r>
                    <w:rPr>
                      <w:i/>
                      <w:color w:val="231F20"/>
                      <w:sz w:val="20"/>
                    </w:rPr>
                    <w:t>The inquiry should review the EPA Act 1970, EPA policies and examine how they can be amended so that they better achieve their objectives... The outcome should be a reduction in costly retrofitting by industry, an increase in public confidence</w:t>
                  </w:r>
                </w:p>
                <w:p>
                  <w:pPr>
                    <w:spacing w:line="280" w:lineRule="auto" w:before="2"/>
                    <w:ind w:left="20" w:right="9" w:firstLine="0"/>
                    <w:jc w:val="left"/>
                    <w:rPr>
                      <w:sz w:val="20"/>
                    </w:rPr>
                  </w:pPr>
                  <w:r>
                    <w:rPr>
                      <w:i/>
                      <w:color w:val="231F20"/>
                      <w:sz w:val="20"/>
                    </w:rPr>
                    <w:t>in the EPA and a greater clarity for the EPA in performing its role. </w:t>
                  </w:r>
                  <w:r>
                    <w:rPr>
                      <w:color w:val="231F20"/>
                      <w:sz w:val="20"/>
                    </w:rPr>
                    <w:t>(Alan Just submission, p. 4)</w:t>
                  </w:r>
                </w:p>
              </w:txbxContent>
            </v:textbox>
            <w10:wrap type="none"/>
          </v:shape>
        </w:pict>
      </w:r>
      <w:r>
        <w:rPr/>
        <w:pict>
          <v:shape style="position:absolute;margin-left:89.714401pt;margin-top:244.393967pt;width:431.7pt;height:66pt;mso-position-horizontal-relative:page;mso-position-vertical-relative:page;z-index:-206488" type="#_x0000_t202" filled="false" stroked="false">
            <v:textbox inset="0,0,0,0">
              <w:txbxContent>
                <w:p>
                  <w:pPr>
                    <w:spacing w:line="280" w:lineRule="auto" w:before="0"/>
                    <w:ind w:left="20" w:right="7" w:firstLine="0"/>
                    <w:jc w:val="left"/>
                    <w:rPr>
                      <w:sz w:val="20"/>
                    </w:rPr>
                  </w:pPr>
                  <w:r>
                    <w:rPr>
                      <w:color w:val="58595B"/>
                      <w:sz w:val="20"/>
                    </w:rPr>
                    <w:t>Other jurisdictions address the complexity of roles and responsibilities through a more sophisticated legislative framework. New South Wales has two acts, for example: the </w:t>
                  </w:r>
                  <w:r>
                    <w:rPr>
                      <w:i/>
                      <w:color w:val="58595B"/>
                      <w:sz w:val="20"/>
                    </w:rPr>
                    <w:t>Protection of the Environment Administration Act 1991 </w:t>
                  </w:r>
                  <w:r>
                    <w:rPr>
                      <w:color w:val="58595B"/>
                      <w:sz w:val="20"/>
                    </w:rPr>
                    <w:t>covers the administration of the NSW EPA, while the </w:t>
                  </w:r>
                  <w:r>
                    <w:rPr>
                      <w:i/>
                      <w:color w:val="58595B"/>
                      <w:sz w:val="20"/>
                    </w:rPr>
                    <w:t>Protection of the Environment Operations Act 1997 </w:t>
                  </w:r>
                  <w:r>
                    <w:rPr>
                      <w:color w:val="58595B"/>
                      <w:sz w:val="20"/>
                    </w:rPr>
                    <w:t>covers the subject matter of environment and health. Inquiry participants supported this approach:</w:t>
                  </w:r>
                </w:p>
              </w:txbxContent>
            </v:textbox>
            <w10:wrap type="none"/>
          </v:shape>
        </w:pict>
      </w:r>
      <w:r>
        <w:rPr/>
        <w:pict>
          <v:shape style="position:absolute;margin-left:118.0644pt;margin-top:320.393982pt;width:368.05pt;height:39pt;mso-position-horizontal-relative:page;mso-position-vertical-relative:page;z-index:-206464" type="#_x0000_t202" filled="false" stroked="false">
            <v:textbox inset="0,0,0,0">
              <w:txbxContent>
                <w:p>
                  <w:pPr>
                    <w:spacing w:line="280" w:lineRule="auto" w:before="0"/>
                    <w:ind w:left="20" w:right="0" w:firstLine="0"/>
                    <w:jc w:val="left"/>
                    <w:rPr>
                      <w:sz w:val="20"/>
                    </w:rPr>
                  </w:pPr>
                  <w:r>
                    <w:rPr>
                      <w:i/>
                      <w:color w:val="231F20"/>
                      <w:sz w:val="20"/>
                    </w:rPr>
                    <w:t>[T]he NSW model serves as an appropriate blueprint for what is widely considered a world-class regulatory and legislative framework for environmental protection. </w:t>
                  </w:r>
                  <w:r>
                    <w:rPr>
                      <w:color w:val="231F20"/>
                      <w:sz w:val="20"/>
                    </w:rPr>
                    <w:t>(Law Institute of Victoria submission, p. 3)</w:t>
                  </w:r>
                </w:p>
              </w:txbxContent>
            </v:textbox>
            <w10:wrap type="none"/>
          </v:shape>
        </w:pict>
      </w:r>
      <w:r>
        <w:rPr/>
        <w:pict>
          <v:shape style="position:absolute;margin-left:89.714401pt;margin-top:369.393982pt;width:429.95pt;height:25.5pt;mso-position-horizontal-relative:page;mso-position-vertical-relative:page;z-index:-206440" type="#_x0000_t202" filled="false" stroked="false">
            <v:textbox inset="0,0,0,0">
              <w:txbxContent>
                <w:p>
                  <w:pPr>
                    <w:pStyle w:val="BodyText"/>
                    <w:spacing w:line="280" w:lineRule="auto"/>
                  </w:pPr>
                  <w:r>
                    <w:rPr>
                      <w:color w:val="58595B"/>
                    </w:rPr>
                    <w:t>Overhauling</w:t>
                  </w:r>
                  <w:r>
                    <w:rPr>
                      <w:color w:val="58595B"/>
                      <w:spacing w:val="-10"/>
                    </w:rPr>
                    <w:t> </w:t>
                  </w:r>
                  <w:r>
                    <w:rPr>
                      <w:color w:val="58595B"/>
                    </w:rPr>
                    <w:t>the</w:t>
                  </w:r>
                  <w:r>
                    <w:rPr>
                      <w:color w:val="58595B"/>
                      <w:spacing w:val="-10"/>
                    </w:rPr>
                    <w:t> </w:t>
                  </w:r>
                  <w:r>
                    <w:rPr>
                      <w:color w:val="58595B"/>
                    </w:rPr>
                    <w:t>EP</w:t>
                  </w:r>
                  <w:r>
                    <w:rPr>
                      <w:color w:val="58595B"/>
                      <w:spacing w:val="-10"/>
                    </w:rPr>
                    <w:t> </w:t>
                  </w:r>
                  <w:r>
                    <w:rPr>
                      <w:color w:val="58595B"/>
                    </w:rPr>
                    <w:t>Act</w:t>
                  </w:r>
                  <w:r>
                    <w:rPr>
                      <w:color w:val="58595B"/>
                      <w:spacing w:val="-10"/>
                    </w:rPr>
                    <w:t> </w:t>
                  </w:r>
                  <w:r>
                    <w:rPr>
                      <w:color w:val="58595B"/>
                    </w:rPr>
                    <w:t>will</w:t>
                  </w:r>
                  <w:r>
                    <w:rPr>
                      <w:color w:val="58595B"/>
                      <w:spacing w:val="-10"/>
                    </w:rPr>
                    <w:t> </w:t>
                  </w:r>
                  <w:r>
                    <w:rPr>
                      <w:color w:val="58595B"/>
                    </w:rPr>
                    <w:t>require</w:t>
                  </w:r>
                  <w:r>
                    <w:rPr>
                      <w:color w:val="58595B"/>
                      <w:spacing w:val="-10"/>
                    </w:rPr>
                    <w:t> </w:t>
                  </w:r>
                  <w:r>
                    <w:rPr>
                      <w:color w:val="58595B"/>
                    </w:rPr>
                    <w:t>significant</w:t>
                  </w:r>
                  <w:r>
                    <w:rPr>
                      <w:color w:val="58595B"/>
                      <w:spacing w:val="-10"/>
                    </w:rPr>
                    <w:t> </w:t>
                  </w:r>
                  <w:r>
                    <w:rPr>
                      <w:color w:val="58595B"/>
                    </w:rPr>
                    <w:t>resources</w:t>
                  </w:r>
                  <w:r>
                    <w:rPr>
                      <w:color w:val="58595B"/>
                      <w:spacing w:val="-10"/>
                    </w:rPr>
                    <w:t> </w:t>
                  </w:r>
                  <w:r>
                    <w:rPr>
                      <w:color w:val="58595B"/>
                    </w:rPr>
                    <w:t>from</w:t>
                  </w:r>
                  <w:r>
                    <w:rPr>
                      <w:color w:val="58595B"/>
                      <w:spacing w:val="-10"/>
                    </w:rPr>
                    <w:t> </w:t>
                  </w:r>
                  <w:r>
                    <w:rPr>
                      <w:color w:val="58595B"/>
                    </w:rPr>
                    <w:t>both</w:t>
                  </w:r>
                  <w:r>
                    <w:rPr>
                      <w:color w:val="58595B"/>
                      <w:spacing w:val="-10"/>
                    </w:rPr>
                    <w:t> </w:t>
                  </w:r>
                  <w:r>
                    <w:rPr>
                      <w:color w:val="58595B"/>
                      <w:spacing w:val="-4"/>
                    </w:rPr>
                    <w:t>DELWP</w:t>
                  </w:r>
                  <w:r>
                    <w:rPr>
                      <w:color w:val="58595B"/>
                      <w:spacing w:val="-10"/>
                    </w:rPr>
                    <w:t> </w:t>
                  </w:r>
                  <w:r>
                    <w:rPr>
                      <w:color w:val="58595B"/>
                    </w:rPr>
                    <w:t>and</w:t>
                  </w:r>
                  <w:r>
                    <w:rPr>
                      <w:color w:val="58595B"/>
                      <w:spacing w:val="-10"/>
                    </w:rPr>
                    <w:t> </w:t>
                  </w:r>
                  <w:r>
                    <w:rPr>
                      <w:color w:val="58595B"/>
                    </w:rPr>
                    <w:t>the</w:t>
                  </w:r>
                  <w:r>
                    <w:rPr>
                      <w:color w:val="58595B"/>
                      <w:spacing w:val="-10"/>
                    </w:rPr>
                    <w:t> </w:t>
                  </w:r>
                  <w:r>
                    <w:rPr>
                      <w:color w:val="58595B"/>
                      <w:spacing w:val="-3"/>
                    </w:rPr>
                    <w:t>EPA.</w:t>
                  </w:r>
                  <w:r>
                    <w:rPr>
                      <w:color w:val="58595B"/>
                      <w:spacing w:val="-10"/>
                    </w:rPr>
                    <w:t> </w:t>
                  </w:r>
                  <w:r>
                    <w:rPr>
                      <w:color w:val="58595B"/>
                    </w:rPr>
                    <w:t>The</w:t>
                  </w:r>
                  <w:r>
                    <w:rPr>
                      <w:color w:val="58595B"/>
                      <w:spacing w:val="-10"/>
                    </w:rPr>
                    <w:t> </w:t>
                  </w:r>
                  <w:r>
                    <w:rPr>
                      <w:color w:val="58595B"/>
                      <w:spacing w:val="-5"/>
                    </w:rPr>
                    <w:t>EPA </w:t>
                  </w:r>
                  <w:r>
                    <w:rPr>
                      <w:color w:val="58595B"/>
                    </w:rPr>
                    <w:t>needs</w:t>
                  </w:r>
                  <w:r>
                    <w:rPr>
                      <w:color w:val="58595B"/>
                      <w:spacing w:val="-10"/>
                    </w:rPr>
                    <w:t> </w:t>
                  </w:r>
                  <w:r>
                    <w:rPr>
                      <w:color w:val="58595B"/>
                    </w:rPr>
                    <w:t>a</w:t>
                  </w:r>
                  <w:r>
                    <w:rPr>
                      <w:color w:val="58595B"/>
                      <w:spacing w:val="-10"/>
                    </w:rPr>
                    <w:t> </w:t>
                  </w:r>
                  <w:r>
                    <w:rPr>
                      <w:color w:val="58595B"/>
                    </w:rPr>
                    <w:t>clear</w:t>
                  </w:r>
                  <w:r>
                    <w:rPr>
                      <w:color w:val="58595B"/>
                      <w:spacing w:val="-10"/>
                    </w:rPr>
                    <w:t> </w:t>
                  </w:r>
                  <w:r>
                    <w:rPr>
                      <w:color w:val="58595B"/>
                    </w:rPr>
                    <w:t>plan</w:t>
                  </w:r>
                  <w:r>
                    <w:rPr>
                      <w:color w:val="58595B"/>
                      <w:spacing w:val="-10"/>
                    </w:rPr>
                    <w:t> </w:t>
                  </w:r>
                  <w:r>
                    <w:rPr>
                      <w:color w:val="58595B"/>
                    </w:rPr>
                    <w:t>for</w:t>
                  </w:r>
                  <w:r>
                    <w:rPr>
                      <w:color w:val="58595B"/>
                      <w:spacing w:val="-10"/>
                    </w:rPr>
                    <w:t> </w:t>
                  </w:r>
                  <w:r>
                    <w:rPr>
                      <w:color w:val="58595B"/>
                    </w:rPr>
                    <w:t>transition,</w:t>
                  </w:r>
                  <w:r>
                    <w:rPr>
                      <w:color w:val="58595B"/>
                      <w:spacing w:val="-10"/>
                    </w:rPr>
                    <w:t> </w:t>
                  </w:r>
                  <w:r>
                    <w:rPr>
                      <w:color w:val="58595B"/>
                    </w:rPr>
                    <w:t>so</w:t>
                  </w:r>
                  <w:r>
                    <w:rPr>
                      <w:color w:val="58595B"/>
                      <w:spacing w:val="-10"/>
                    </w:rPr>
                    <w:t> </w:t>
                  </w:r>
                  <w:r>
                    <w:rPr>
                      <w:color w:val="58595B"/>
                    </w:rPr>
                    <w:t>its</w:t>
                  </w:r>
                  <w:r>
                    <w:rPr>
                      <w:color w:val="58595B"/>
                      <w:spacing w:val="-10"/>
                    </w:rPr>
                    <w:t> </w:t>
                  </w:r>
                  <w:r>
                    <w:rPr>
                      <w:color w:val="58595B"/>
                    </w:rPr>
                    <w:t>important</w:t>
                  </w:r>
                  <w:r>
                    <w:rPr>
                      <w:color w:val="58595B"/>
                      <w:spacing w:val="-10"/>
                    </w:rPr>
                    <w:t> </w:t>
                  </w:r>
                  <w:r>
                    <w:rPr>
                      <w:color w:val="58595B"/>
                    </w:rPr>
                    <w:t>work</w:t>
                  </w:r>
                  <w:r>
                    <w:rPr>
                      <w:color w:val="58595B"/>
                      <w:spacing w:val="-10"/>
                    </w:rPr>
                    <w:t> </w:t>
                  </w:r>
                  <w:r>
                    <w:rPr>
                      <w:color w:val="58595B"/>
                    </w:rPr>
                    <w:t>continues</w:t>
                  </w:r>
                  <w:r>
                    <w:rPr>
                      <w:color w:val="58595B"/>
                      <w:spacing w:val="-10"/>
                    </w:rPr>
                    <w:t> </w:t>
                  </w:r>
                  <w:r>
                    <w:rPr>
                      <w:color w:val="58595B"/>
                    </w:rPr>
                    <w:t>while</w:t>
                  </w:r>
                  <w:r>
                    <w:rPr>
                      <w:color w:val="58595B"/>
                      <w:spacing w:val="-10"/>
                    </w:rPr>
                    <w:t> </w:t>
                  </w:r>
                  <w:r>
                    <w:rPr>
                      <w:color w:val="58595B"/>
                    </w:rPr>
                    <w:t>reforms</w:t>
                  </w:r>
                  <w:r>
                    <w:rPr>
                      <w:color w:val="58595B"/>
                      <w:spacing w:val="-10"/>
                    </w:rPr>
                    <w:t> </w:t>
                  </w:r>
                  <w:r>
                    <w:rPr>
                      <w:color w:val="58595B"/>
                    </w:rPr>
                    <w:t>are</w:t>
                  </w:r>
                  <w:r>
                    <w:rPr>
                      <w:color w:val="58595B"/>
                      <w:spacing w:val="-10"/>
                    </w:rPr>
                    <w:t> </w:t>
                  </w:r>
                  <w:r>
                    <w:rPr>
                      <w:color w:val="58595B"/>
                      <w:spacing w:val="-3"/>
                    </w:rPr>
                    <w:t>implemented.</w:t>
                  </w:r>
                </w:p>
              </w:txbxContent>
            </v:textbox>
            <w10:wrap type="none"/>
          </v:shape>
        </w:pict>
      </w:r>
      <w:r>
        <w:rPr/>
        <w:pict>
          <v:shape style="position:absolute;margin-left:89.714401pt;margin-top:404.893982pt;width:431.75pt;height:25.5pt;mso-position-horizontal-relative:page;mso-position-vertical-relative:page;z-index:-206416" type="#_x0000_t202" filled="false" stroked="false">
            <v:textbox inset="0,0,0,0">
              <w:txbxContent>
                <w:p>
                  <w:pPr>
                    <w:pStyle w:val="BodyText"/>
                    <w:spacing w:line="280" w:lineRule="auto"/>
                    <w:ind w:right="-9"/>
                  </w:pPr>
                  <w:r>
                    <w:rPr>
                      <w:color w:val="58595B"/>
                    </w:rPr>
                    <w:t>Our proposed EPA (Establishment) Act allows the government to prioritise framing the EPA’s role and new governance arrangements, as part of a staged process of legislative reform.</w:t>
                  </w:r>
                </w:p>
              </w:txbxContent>
            </v:textbox>
            <w10:wrap type="none"/>
          </v:shape>
        </w:pict>
      </w:r>
      <w:r>
        <w:rPr/>
        <w:pict>
          <v:shape style="position:absolute;margin-left:89.708603pt;margin-top:443.04895pt;width:434.55pt;height:86.8pt;mso-position-horizontal-relative:page;mso-position-vertical-relative:page;z-index:-206392" type="#_x0000_t202" filled="false" stroked="false">
            <v:textbox inset="0,0,0,0">
              <w:txbxContent>
                <w:p>
                  <w:pPr>
                    <w:spacing w:line="265" w:lineRule="exact" w:before="0"/>
                    <w:ind w:left="20" w:right="17" w:firstLine="0"/>
                    <w:jc w:val="left"/>
                    <w:rPr>
                      <w:sz w:val="24"/>
                    </w:rPr>
                  </w:pPr>
                  <w:r>
                    <w:rPr>
                      <w:color w:val="0095A7"/>
                      <w:sz w:val="24"/>
                    </w:rPr>
                    <w:t>5.4  Setting clear and workable objectives and principles for the  EPA</w:t>
                  </w:r>
                </w:p>
                <w:p>
                  <w:pPr>
                    <w:pStyle w:val="BodyText"/>
                    <w:spacing w:line="280" w:lineRule="auto" w:before="145"/>
                    <w:ind w:right="17"/>
                  </w:pPr>
                  <w:r>
                    <w:rPr>
                      <w:color w:val="58595B"/>
                    </w:rPr>
                    <w:t>In considering objectives and principles for the EPA, we recognised that the EPA is not solely responsible for environmental protection; it works with, and alongside, other areas of government. So the EPA’s objective should be clear and distinct, to distinguish its role from the roles of others. But the principles for decision making should be consistent across government. These principles should represent ‘shared’ values and allow for joint regulation.</w:t>
                  </w:r>
                </w:p>
              </w:txbxContent>
            </v:textbox>
            <w10:wrap type="none"/>
          </v:shape>
        </w:pict>
      </w:r>
      <w:r>
        <w:rPr/>
        <w:pict>
          <v:shape style="position:absolute;margin-left:89.708603pt;margin-top:544.098755pt;width:275.55pt;height:31.2pt;mso-position-horizontal-relative:page;mso-position-vertical-relative:page;z-index:-206368" type="#_x0000_t202" filled="false" stroked="false">
            <v:textbox inset="0,0,0,0">
              <w:txbxContent>
                <w:p>
                  <w:pPr>
                    <w:pStyle w:val="BodyText"/>
                    <w:spacing w:line="224" w:lineRule="exact"/>
                  </w:pPr>
                  <w:r>
                    <w:rPr>
                      <w:color w:val="0095A7"/>
                    </w:rPr>
                    <w:t>5.4.1  Establishing a legislated objective for the EPA</w:t>
                  </w:r>
                </w:p>
                <w:p>
                  <w:pPr>
                    <w:pStyle w:val="BodyText"/>
                    <w:spacing w:before="153"/>
                  </w:pPr>
                  <w:r>
                    <w:rPr>
                      <w:color w:val="58595B"/>
                    </w:rPr>
                    <w:t>We recommend the following legislated objective for the EPA:</w:t>
                  </w:r>
                </w:p>
              </w:txbxContent>
            </v:textbox>
            <w10:wrap type="none"/>
          </v:shape>
        </w:pict>
      </w:r>
      <w:r>
        <w:rPr/>
        <w:pict>
          <v:shape style="position:absolute;margin-left:89.708603pt;margin-top:585.268738pt;width:433.55pt;height:25.5pt;mso-position-horizontal-relative:page;mso-position-vertical-relative:page;z-index:-206344" type="#_x0000_t202" filled="false" stroked="false">
            <v:textbox inset="0,0,0,0">
              <w:txbxContent>
                <w:p>
                  <w:pPr>
                    <w:spacing w:line="280" w:lineRule="auto" w:before="0"/>
                    <w:ind w:left="20" w:right="0" w:firstLine="0"/>
                    <w:jc w:val="left"/>
                    <w:rPr>
                      <w:b/>
                      <w:sz w:val="20"/>
                    </w:rPr>
                  </w:pPr>
                  <w:r>
                    <w:rPr>
                      <w:b/>
                      <w:color w:val="58595B"/>
                      <w:sz w:val="20"/>
                    </w:rPr>
                    <w:t>To protect human health and the environment by reducing the harmful effects of pollution and waste.</w:t>
                  </w:r>
                </w:p>
              </w:txbxContent>
            </v:textbox>
            <w10:wrap type="none"/>
          </v:shape>
        </w:pict>
      </w:r>
      <w:r>
        <w:rPr/>
        <w:pict>
          <v:shape style="position:absolute;margin-left:89.708603pt;margin-top:620.768738pt;width:435pt;height:52.55pt;mso-position-horizontal-relative:page;mso-position-vertical-relative:page;z-index:-206320" type="#_x0000_t202" filled="false" stroked="false">
            <v:textbox inset="0,0,0,0">
              <w:txbxContent>
                <w:p>
                  <w:pPr>
                    <w:pStyle w:val="BodyText"/>
                    <w:spacing w:line="280" w:lineRule="auto"/>
                    <w:ind w:right="185"/>
                  </w:pPr>
                  <w:r>
                    <w:rPr>
                      <w:color w:val="58595B"/>
                    </w:rPr>
                    <w:t>The current EP Act does not provide the </w:t>
                  </w:r>
                  <w:r>
                    <w:rPr>
                      <w:color w:val="58595B"/>
                      <w:spacing w:val="-4"/>
                    </w:rPr>
                    <w:t>EPA </w:t>
                  </w:r>
                  <w:r>
                    <w:rPr>
                      <w:color w:val="58595B"/>
                    </w:rPr>
                    <w:t>with a legislated objective. A legislated objective is consistent with good legislative practice and a foundation for role clarity: ‘the statement</w:t>
                  </w:r>
                  <w:r>
                    <w:rPr>
                      <w:color w:val="58595B"/>
                      <w:spacing w:val="22"/>
                    </w:rPr>
                    <w:t> </w:t>
                  </w:r>
                  <w:r>
                    <w:rPr>
                      <w:color w:val="58595B"/>
                    </w:rPr>
                    <w:t>within</w:t>
                  </w:r>
                </w:p>
                <w:p>
                  <w:pPr>
                    <w:pStyle w:val="BodyText"/>
                    <w:spacing w:line="280" w:lineRule="auto" w:before="2"/>
                  </w:pPr>
                  <w:r>
                    <w:rPr>
                      <w:color w:val="58595B"/>
                    </w:rPr>
                    <w:t>an Act establishing a statutory corporation of ‘the purposes, objects, functions, powers and duties of the corporation’ is of </w:t>
                  </w:r>
                  <w:r>
                    <w:rPr>
                      <w:i/>
                      <w:color w:val="58595B"/>
                    </w:rPr>
                    <w:t>utmost importance</w:t>
                  </w:r>
                  <w:r>
                    <w:rPr>
                      <w:color w:val="58595B"/>
                    </w:rPr>
                    <w:t>’</w:t>
                  </w:r>
                  <w:r>
                    <w:rPr>
                      <w:color w:val="58595B"/>
                      <w:position w:val="7"/>
                      <w:sz w:val="11"/>
                    </w:rPr>
                    <w:t>9  </w:t>
                  </w:r>
                  <w:r>
                    <w:rPr>
                      <w:color w:val="58595B"/>
                    </w:rPr>
                    <w:t>(emphasis added).</w:t>
                  </w:r>
                </w:p>
              </w:txbxContent>
            </v:textbox>
            <w10:wrap type="none"/>
          </v:shape>
        </w:pict>
      </w:r>
      <w:r>
        <w:rPr/>
        <w:pict>
          <v:shape style="position:absolute;margin-left:89.705101pt;margin-top:683.271851pt;width:412.75pt;height:52.55pt;mso-position-horizontal-relative:page;mso-position-vertical-relative:page;z-index:-206296" type="#_x0000_t202" filled="false" stroked="false">
            <v:textbox inset="0,0,0,0">
              <w:txbxContent>
                <w:p>
                  <w:pPr>
                    <w:pStyle w:val="BodyText"/>
                    <w:spacing w:line="280" w:lineRule="auto"/>
                    <w:ind w:right="17"/>
                    <w:jc w:val="both"/>
                  </w:pPr>
                  <w:r>
                    <w:rPr>
                      <w:color w:val="58595B"/>
                    </w:rPr>
                    <w:t>The Victorian Competition and Efficiency Commission identified the need for role clarity and differentiation and recommended that this should be instituted through legislation in its 2009 inquiry into environmental regulation.</w:t>
                  </w:r>
                  <w:r>
                    <w:rPr>
                      <w:color w:val="58595B"/>
                      <w:position w:val="7"/>
                      <w:sz w:val="11"/>
                    </w:rPr>
                    <w:t>10 </w:t>
                  </w:r>
                  <w:r>
                    <w:rPr>
                      <w:color w:val="58595B"/>
                    </w:rPr>
                    <w:t>The OECD also highlighted this as a general principle of regulatory governance:</w:t>
                  </w:r>
                </w:p>
              </w:txbxContent>
            </v:textbox>
            <w10:wrap type="none"/>
          </v:shape>
        </w:pict>
      </w:r>
      <w:r>
        <w:rPr/>
        <w:pict>
          <v:shape style="position:absolute;margin-left:118.045097pt;margin-top:745.775879pt;width:370.85pt;height:39pt;mso-position-horizontal-relative:page;mso-position-vertical-relative:page;z-index:-206272" type="#_x0000_t202" filled="false" stroked="false">
            <v:textbox inset="0,0,0,0">
              <w:txbxContent>
                <w:p>
                  <w:pPr>
                    <w:spacing w:line="280" w:lineRule="auto" w:before="0"/>
                    <w:ind w:left="20" w:right="0" w:firstLine="0"/>
                    <w:jc w:val="left"/>
                    <w:rPr>
                      <w:sz w:val="11"/>
                    </w:rPr>
                  </w:pPr>
                  <w:r>
                    <w:rPr>
                      <w:i/>
                      <w:color w:val="231F20"/>
                      <w:sz w:val="20"/>
                    </w:rPr>
                    <w:t>The legislation establishing a regulatory scheme or framework should be written so that the purpose of the regulator and the objectives of the regulatory scheme are clear to the regulator’s staff, regulated entities and citizens.</w:t>
                  </w:r>
                  <w:r>
                    <w:rPr>
                      <w:color w:val="231F20"/>
                      <w:position w:val="7"/>
                      <w:sz w:val="11"/>
                    </w:rPr>
                    <w:t>11</w:t>
                  </w:r>
                </w:p>
              </w:txbxContent>
            </v:textbox>
            <w10:wrap type="none"/>
          </v:shape>
        </w:pict>
      </w:r>
      <w:r>
        <w:rPr/>
        <w:pict>
          <v:shape style="position:absolute;margin-left:534.996094pt;margin-top:44.090015pt;width:60.3pt;height:5.25pt;mso-position-horizontal-relative:page;mso-position-vertical-relative:page;z-index:-20624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6224"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06200" from=".0pt,45.840015pt" to="60.2791pt,45.840015pt" stroked="true" strokeweight="7pt" strokecolor="#0095a7">
            <w10:wrap type="none"/>
          </v:line>
        </w:pict>
      </w:r>
      <w:r>
        <w:rPr/>
        <w:pict>
          <v:shape style="position:absolute;margin-left:69.866096pt;margin-top:40.902756pt;width:10.4pt;height:9.5pt;mso-position-horizontal-relative:page;mso-position-vertical-relative:page;z-index:-206176" type="#_x0000_t202" filled="false" stroked="false">
            <v:textbox inset="0,0,0,0">
              <w:txbxContent>
                <w:p>
                  <w:pPr>
                    <w:spacing w:before="1"/>
                    <w:ind w:left="20" w:right="0" w:firstLine="0"/>
                    <w:jc w:val="left"/>
                    <w:rPr>
                      <w:sz w:val="15"/>
                    </w:rPr>
                  </w:pPr>
                  <w:r>
                    <w:rPr>
                      <w:color w:val="58595B"/>
                      <w:sz w:val="15"/>
                    </w:rPr>
                    <w:t>82</w:t>
                  </w:r>
                </w:p>
              </w:txbxContent>
            </v:textbox>
            <w10:wrap type="none"/>
          </v:shape>
        </w:pict>
      </w:r>
      <w:r>
        <w:rPr/>
        <w:pict>
          <v:shape style="position:absolute;margin-left:95.377899pt;margin-top:40.902756pt;width:147.75pt;height:9.5pt;mso-position-horizontal-relative:page;mso-position-vertical-relative:page;z-index:-20615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26.15pt;height:66pt;mso-position-horizontal-relative:page;mso-position-vertical-relative:page;z-index:-206128" type="#_x0000_t202" filled="false" stroked="false">
            <v:textbox inset="0,0,0,0">
              <w:txbxContent>
                <w:p>
                  <w:pPr>
                    <w:pStyle w:val="BodyText"/>
                    <w:spacing w:line="280" w:lineRule="auto"/>
                  </w:pPr>
                  <w:r>
                    <w:rPr>
                      <w:color w:val="58595B"/>
                    </w:rPr>
                    <w:t>Our proposed legislated objective provides this clarity both through its statutory form and its specific focus. It is one part of our overall approach to addressing the </w:t>
                  </w:r>
                  <w:r>
                    <w:rPr>
                      <w:color w:val="58595B"/>
                      <w:spacing w:val="-7"/>
                    </w:rPr>
                    <w:t>EPA’s </w:t>
                  </w:r>
                  <w:r>
                    <w:rPr>
                      <w:color w:val="58595B"/>
                    </w:rPr>
                    <w:t>role </w:t>
                  </w:r>
                  <w:r>
                    <w:rPr>
                      <w:color w:val="58595B"/>
                      <w:spacing w:val="-4"/>
                    </w:rPr>
                    <w:t>(as </w:t>
                  </w:r>
                  <w:r>
                    <w:rPr>
                      <w:color w:val="58595B"/>
                    </w:rPr>
                    <w:t>required by our terms of reference). The objective defines, at a high level, our view of the </w:t>
                  </w:r>
                  <w:r>
                    <w:rPr>
                      <w:color w:val="58595B"/>
                      <w:spacing w:val="-7"/>
                    </w:rPr>
                    <w:t>EPA’s </w:t>
                  </w:r>
                  <w:r>
                    <w:rPr>
                      <w:color w:val="58595B"/>
                    </w:rPr>
                    <w:t>‘appropriate role in relation to public health issues’ and ‘in protecting the environment’. It is also our starting point as we considered the </w:t>
                  </w:r>
                  <w:r>
                    <w:rPr>
                      <w:color w:val="58595B"/>
                      <w:spacing w:val="-7"/>
                    </w:rPr>
                    <w:t>EPA’s </w:t>
                  </w:r>
                  <w:r>
                    <w:rPr>
                      <w:color w:val="58595B"/>
                    </w:rPr>
                    <w:t>functions, tools, capabilities and resourcing.</w:t>
                  </w:r>
                </w:p>
              </w:txbxContent>
            </v:textbox>
            <w10:wrap type="none"/>
          </v:shape>
        </w:pict>
      </w:r>
      <w:r>
        <w:rPr/>
        <w:pict>
          <v:shape style="position:absolute;margin-left:69.866096pt;margin-top:181.893967pt;width:327.150pt;height:12pt;mso-position-horizontal-relative:page;mso-position-vertical-relative:page;z-index:-206104" type="#_x0000_t202" filled="false" stroked="false">
            <v:textbox inset="0,0,0,0">
              <w:txbxContent>
                <w:p>
                  <w:pPr>
                    <w:pStyle w:val="BodyText"/>
                    <w:spacing w:line="224" w:lineRule="exact"/>
                  </w:pPr>
                  <w:r>
                    <w:rPr>
                      <w:color w:val="58595B"/>
                    </w:rPr>
                    <w:t>There are several key elements to the recommended legislated objective:</w:t>
                  </w:r>
                </w:p>
              </w:txbxContent>
            </v:textbox>
            <w10:wrap type="none"/>
          </v:shape>
        </w:pict>
      </w:r>
      <w:r>
        <w:rPr/>
        <w:pict>
          <v:shape style="position:absolute;margin-left:69.876099pt;margin-top:201.063965pt;width:5.5pt;height:12pt;mso-position-horizontal-relative:page;mso-position-vertical-relative:page;z-index:-20608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78.376099pt;margin-top:201.063965pt;width:421pt;height:171.85pt;mso-position-horizontal-relative:page;mso-position-vertical-relative:page;z-index:-206056" type="#_x0000_t202" filled="false" stroked="false">
            <v:textbox inset="0,0,0,0">
              <w:txbxContent>
                <w:p>
                  <w:pPr>
                    <w:pStyle w:val="BodyText"/>
                    <w:spacing w:line="280" w:lineRule="auto"/>
                    <w:ind w:right="330"/>
                  </w:pPr>
                  <w:r>
                    <w:rPr>
                      <w:color w:val="58595B"/>
                    </w:rPr>
                    <w:t>It specifies </w:t>
                  </w:r>
                  <w:r>
                    <w:rPr>
                      <w:b/>
                      <w:color w:val="58595B"/>
                    </w:rPr>
                    <w:t>pollution and waste </w:t>
                  </w:r>
                  <w:r>
                    <w:rPr>
                      <w:color w:val="58595B"/>
                    </w:rPr>
                    <w:t>as the broad types of activities/environmental impacts to be managed or regulated by the EPA. This element defines the EPA’s scope of activity and differentiates it from other environmental and public health regulators.</w:t>
                  </w:r>
                </w:p>
                <w:p>
                  <w:pPr>
                    <w:pStyle w:val="BodyText"/>
                    <w:spacing w:line="280" w:lineRule="auto" w:before="115"/>
                  </w:pPr>
                  <w:r>
                    <w:rPr>
                      <w:color w:val="58595B"/>
                    </w:rPr>
                    <w:t>It is framed in terms of </w:t>
                  </w:r>
                  <w:r>
                    <w:rPr>
                      <w:b/>
                      <w:color w:val="58595B"/>
                    </w:rPr>
                    <w:t>harm reduction </w:t>
                  </w:r>
                  <w:r>
                    <w:rPr>
                      <w:color w:val="58595B"/>
                    </w:rPr>
                    <w:t>because this best represents the EPA’s task, which is to reduce and manage the harms associated with certain activities. It is intended as a dynamic concept that will be responsive to: improvements in understanding of harms; emerging risks; and evolving technologies and approaches for reducing harms.</w:t>
                  </w:r>
                </w:p>
                <w:p>
                  <w:pPr>
                    <w:pStyle w:val="BodyText"/>
                    <w:spacing w:line="280" w:lineRule="auto" w:before="115"/>
                    <w:rPr>
                      <w:sz w:val="11"/>
                    </w:rPr>
                  </w:pPr>
                  <w:r>
                    <w:rPr>
                      <w:color w:val="58595B"/>
                    </w:rPr>
                    <w:t>It clarifies that </w:t>
                  </w:r>
                  <w:r>
                    <w:rPr>
                      <w:b/>
                      <w:color w:val="58595B"/>
                    </w:rPr>
                    <w:t>human health </w:t>
                  </w:r>
                  <w:r>
                    <w:rPr>
                      <w:b/>
                      <w:i/>
                      <w:color w:val="58595B"/>
                    </w:rPr>
                    <w:t>and </w:t>
                  </w:r>
                  <w:r>
                    <w:rPr>
                      <w:b/>
                      <w:color w:val="58595B"/>
                    </w:rPr>
                    <w:t>the environment </w:t>
                  </w:r>
                  <w:r>
                    <w:rPr>
                      <w:color w:val="58595B"/>
                    </w:rPr>
                    <w:t>are both the focus of the EPA’s protective responsibility and the broad policy outcomes desired. Including the reference to human health in the objective recognises community expectations and, as identified in the Second Reading Speech for the Environment Protection Bill 1970, the ‘paramount obligation of the State to protect human health’.</w:t>
                  </w:r>
                  <w:r>
                    <w:rPr>
                      <w:color w:val="58595B"/>
                      <w:position w:val="7"/>
                      <w:sz w:val="11"/>
                    </w:rPr>
                    <w:t>12</w:t>
                  </w:r>
                </w:p>
              </w:txbxContent>
            </v:textbox>
            <w10:wrap type="none"/>
          </v:shape>
        </w:pict>
      </w:r>
      <w:r>
        <w:rPr/>
        <w:pict>
          <v:shape style="position:absolute;margin-left:69.876099pt;margin-top:247.233963pt;width:5.5pt;height:12pt;mso-position-horizontal-relative:page;mso-position-vertical-relative:page;z-index:-20603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76099pt;margin-top:306.903961pt;width:5.5pt;height:12pt;mso-position-horizontal-relative:page;mso-position-vertical-relative:page;z-index:-20600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66096pt;margin-top:382.909668pt;width:428.7pt;height:156.2pt;mso-position-horizontal-relative:page;mso-position-vertical-relative:page;z-index:-205984" type="#_x0000_t202" filled="false" stroked="false">
            <v:textbox inset="0,0,0,0">
              <w:txbxContent>
                <w:p>
                  <w:pPr>
                    <w:pStyle w:val="BodyText"/>
                    <w:spacing w:line="224" w:lineRule="exact"/>
                  </w:pPr>
                  <w:r>
                    <w:rPr>
                      <w:color w:val="58595B"/>
                    </w:rPr>
                    <w:t>In framing the objective, we considered the following requirements:</w:t>
                  </w:r>
                </w:p>
                <w:p>
                  <w:pPr>
                    <w:pStyle w:val="ListParagraph"/>
                    <w:numPr>
                      <w:ilvl w:val="0"/>
                      <w:numId w:val="8"/>
                    </w:numPr>
                    <w:tabs>
                      <w:tab w:pos="190" w:val="left" w:leader="none"/>
                    </w:tabs>
                    <w:spacing w:line="280" w:lineRule="auto" w:before="153" w:after="0"/>
                    <w:ind w:left="190" w:right="41" w:hanging="170"/>
                    <w:jc w:val="left"/>
                    <w:rPr>
                      <w:sz w:val="20"/>
                    </w:rPr>
                  </w:pPr>
                  <w:r>
                    <w:rPr>
                      <w:color w:val="58595B"/>
                      <w:sz w:val="20"/>
                    </w:rPr>
                    <w:t>The objective should be closely aligned to the problem(s) that is to be addressed through intervention – in this case, the market failures that arise from pollution – rather than to broader public good environmental conservation</w:t>
                  </w:r>
                  <w:r>
                    <w:rPr>
                      <w:color w:val="58595B"/>
                      <w:spacing w:val="7"/>
                      <w:sz w:val="20"/>
                    </w:rPr>
                    <w:t> </w:t>
                  </w:r>
                  <w:r>
                    <w:rPr>
                      <w:color w:val="58595B"/>
                      <w:sz w:val="20"/>
                    </w:rPr>
                    <w:t>goals.</w:t>
                  </w:r>
                </w:p>
                <w:p>
                  <w:pPr>
                    <w:pStyle w:val="ListParagraph"/>
                    <w:numPr>
                      <w:ilvl w:val="0"/>
                      <w:numId w:val="8"/>
                    </w:numPr>
                    <w:tabs>
                      <w:tab w:pos="190" w:val="left" w:leader="none"/>
                    </w:tabs>
                    <w:spacing w:line="280" w:lineRule="auto" w:before="115" w:after="0"/>
                    <w:ind w:left="190" w:right="252" w:hanging="170"/>
                    <w:jc w:val="left"/>
                    <w:rPr>
                      <w:sz w:val="20"/>
                    </w:rPr>
                  </w:pPr>
                  <w:r>
                    <w:rPr>
                      <w:color w:val="58595B"/>
                      <w:spacing w:val="-8"/>
                      <w:sz w:val="20"/>
                    </w:rPr>
                    <w:t>To </w:t>
                  </w:r>
                  <w:r>
                    <w:rPr>
                      <w:color w:val="58595B"/>
                      <w:sz w:val="20"/>
                    </w:rPr>
                    <w:t>assist with role clarity, the objective should clearly distinguish the </w:t>
                  </w:r>
                  <w:r>
                    <w:rPr>
                      <w:color w:val="58595B"/>
                      <w:spacing w:val="-7"/>
                      <w:sz w:val="20"/>
                    </w:rPr>
                    <w:t>EPA’s </w:t>
                  </w:r>
                  <w:r>
                    <w:rPr>
                      <w:color w:val="58595B"/>
                      <w:sz w:val="20"/>
                    </w:rPr>
                    <w:t>primary purpose from those of other entities operating within the broader environmental regulation</w:t>
                  </w:r>
                  <w:r>
                    <w:rPr>
                      <w:color w:val="58595B"/>
                      <w:spacing w:val="4"/>
                      <w:sz w:val="20"/>
                    </w:rPr>
                    <w:t> </w:t>
                  </w:r>
                  <w:r>
                    <w:rPr>
                      <w:color w:val="58595B"/>
                      <w:sz w:val="20"/>
                    </w:rPr>
                    <w:t>regime.</w:t>
                  </w:r>
                </w:p>
                <w:p>
                  <w:pPr>
                    <w:pStyle w:val="ListParagraph"/>
                    <w:numPr>
                      <w:ilvl w:val="0"/>
                      <w:numId w:val="8"/>
                    </w:numPr>
                    <w:tabs>
                      <w:tab w:pos="190" w:val="left" w:leader="none"/>
                    </w:tabs>
                    <w:spacing w:line="280" w:lineRule="auto" w:before="115" w:after="0"/>
                    <w:ind w:left="190" w:right="17" w:hanging="170"/>
                    <w:jc w:val="left"/>
                    <w:rPr>
                      <w:sz w:val="20"/>
                    </w:rPr>
                  </w:pPr>
                  <w:r>
                    <w:rPr>
                      <w:color w:val="58595B"/>
                      <w:sz w:val="20"/>
                    </w:rPr>
                    <w:t>The objective should articulate the ends to be achieved, or the broad policy outcomes desired, but not the means by which they will be</w:t>
                  </w:r>
                  <w:r>
                    <w:rPr>
                      <w:color w:val="58595B"/>
                      <w:spacing w:val="-13"/>
                      <w:sz w:val="20"/>
                    </w:rPr>
                    <w:t> </w:t>
                  </w:r>
                  <w:r>
                    <w:rPr>
                      <w:color w:val="58595B"/>
                      <w:sz w:val="20"/>
                    </w:rPr>
                    <w:t>achieved.</w:t>
                  </w:r>
                </w:p>
                <w:p>
                  <w:pPr>
                    <w:pStyle w:val="ListParagraph"/>
                    <w:numPr>
                      <w:ilvl w:val="0"/>
                      <w:numId w:val="8"/>
                    </w:numPr>
                    <w:tabs>
                      <w:tab w:pos="190" w:val="left" w:leader="none"/>
                    </w:tabs>
                    <w:spacing w:line="280" w:lineRule="auto" w:before="115" w:after="0"/>
                    <w:ind w:left="190" w:right="206" w:hanging="170"/>
                    <w:jc w:val="left"/>
                    <w:rPr>
                      <w:sz w:val="20"/>
                    </w:rPr>
                  </w:pPr>
                  <w:r>
                    <w:rPr>
                      <w:color w:val="58595B"/>
                      <w:spacing w:val="-8"/>
                      <w:sz w:val="20"/>
                    </w:rPr>
                    <w:t>To </w:t>
                  </w:r>
                  <w:r>
                    <w:rPr>
                      <w:color w:val="58595B"/>
                      <w:sz w:val="20"/>
                    </w:rPr>
                    <w:t>facilitate evaluating the </w:t>
                  </w:r>
                  <w:r>
                    <w:rPr>
                      <w:color w:val="58595B"/>
                      <w:spacing w:val="-7"/>
                      <w:sz w:val="20"/>
                    </w:rPr>
                    <w:t>EPA’s </w:t>
                  </w:r>
                  <w:r>
                    <w:rPr>
                      <w:color w:val="58595B"/>
                      <w:sz w:val="20"/>
                    </w:rPr>
                    <w:t>effectiveness, the objective should be defined in a </w:t>
                  </w:r>
                  <w:r>
                    <w:rPr>
                      <w:color w:val="58595B"/>
                      <w:spacing w:val="-2"/>
                      <w:sz w:val="20"/>
                    </w:rPr>
                    <w:t>way </w:t>
                  </w:r>
                  <w:r>
                    <w:rPr>
                      <w:color w:val="58595B"/>
                      <w:sz w:val="20"/>
                    </w:rPr>
                    <w:t>that creates a framework for accountability.</w:t>
                  </w:r>
                </w:p>
              </w:txbxContent>
            </v:textbox>
            <w10:wrap type="none"/>
          </v:shape>
        </w:pict>
      </w:r>
      <w:r>
        <w:rPr/>
        <w:pict>
          <v:shape style="position:absolute;margin-left:69.866096pt;margin-top:551.929688pt;width:411.25pt;height:97.25pt;mso-position-horizontal-relative:page;mso-position-vertical-relative:page;z-index:-205960" type="#_x0000_t202" filled="false" stroked="false">
            <v:textbox inset="0,0,0,0">
              <w:txbxContent>
                <w:p>
                  <w:pPr>
                    <w:spacing w:line="224" w:lineRule="exact" w:before="0"/>
                    <w:ind w:left="20" w:right="109" w:firstLine="0"/>
                    <w:jc w:val="left"/>
                    <w:rPr>
                      <w:i/>
                      <w:sz w:val="20"/>
                    </w:rPr>
                  </w:pPr>
                  <w:r>
                    <w:rPr>
                      <w:i/>
                      <w:color w:val="6D6E71"/>
                      <w:sz w:val="20"/>
                    </w:rPr>
                    <w:t>Focusing on harm reduction from pollution and waste</w:t>
                  </w:r>
                </w:p>
                <w:p>
                  <w:pPr>
                    <w:pStyle w:val="BodyText"/>
                    <w:spacing w:line="280" w:lineRule="auto" w:before="125"/>
                    <w:ind w:right="109"/>
                  </w:pPr>
                  <w:r>
                    <w:rPr>
                      <w:color w:val="58595B"/>
                    </w:rPr>
                    <w:t>The first question for a regulator is what is to control or manage. For the EPA, we defined controlling harms from pollution and waste. Specifically, we defined EPA’s regulatory task as ‘harm reduction’ rather than ‘harm elimination’ for three reasons. First, it recognises that</w:t>
                  </w:r>
                </w:p>
                <w:p>
                  <w:pPr>
                    <w:pStyle w:val="BodyText"/>
                    <w:spacing w:line="280" w:lineRule="auto" w:before="2"/>
                    <w:ind w:right="9"/>
                  </w:pPr>
                  <w:r>
                    <w:rPr>
                      <w:color w:val="58595B"/>
                    </w:rPr>
                    <w:t>the </w:t>
                  </w:r>
                  <w:r>
                    <w:rPr>
                      <w:color w:val="58595B"/>
                      <w:spacing w:val="-7"/>
                    </w:rPr>
                    <w:t>EPA’s </w:t>
                  </w:r>
                  <w:r>
                    <w:rPr>
                      <w:color w:val="58595B"/>
                    </w:rPr>
                    <w:t>regulatory task involves approving or permitting some level of pollution. The </w:t>
                  </w:r>
                  <w:r>
                    <w:rPr>
                      <w:color w:val="58595B"/>
                      <w:spacing w:val="-7"/>
                    </w:rPr>
                    <w:t>EPA’s </w:t>
                  </w:r>
                  <w:r>
                    <w:rPr>
                      <w:color w:val="58595B"/>
                    </w:rPr>
                    <w:t>regulatory role is founded on the decision of government – and implicitly the community – that we accept some level of pollution as an inevitable byproduct of socially useful activity.</w:t>
                  </w:r>
                </w:p>
              </w:txbxContent>
            </v:textbox>
            <w10:wrap type="none"/>
          </v:shape>
        </w:pict>
      </w:r>
      <w:r>
        <w:rPr/>
        <w:pict>
          <v:shape style="position:absolute;margin-left:69.866096pt;margin-top:659.179688pt;width:435.25pt;height:79.5pt;mso-position-horizontal-relative:page;mso-position-vertical-relative:page;z-index:-205936" type="#_x0000_t202" filled="false" stroked="false">
            <v:textbox inset="0,0,0,0">
              <w:txbxContent>
                <w:p>
                  <w:pPr>
                    <w:pStyle w:val="BodyText"/>
                    <w:spacing w:line="280" w:lineRule="auto"/>
                  </w:pPr>
                  <w:r>
                    <w:rPr>
                      <w:color w:val="58595B"/>
                    </w:rPr>
                    <w:t>Second, it clarifies the EPA’s requirement to actively identify and assess risks of harms. It must consider economic, social and environmental factors (for example, the cost of pollution controls, the benefits of industrial activity, or the requirement for waste disposal) and determine, including through consultations with the community, the appropriate level of risk mitigation and control. This will be done dynamically so that it is responsive to changes in understanding of risks and harms, and emerging risks and improvements in mitigation measures.</w:t>
                  </w:r>
                </w:p>
              </w:txbxContent>
            </v:textbox>
            <w10:wrap type="none"/>
          </v:shape>
        </w:pict>
      </w:r>
      <w:r>
        <w:rPr/>
        <w:pict>
          <v:shape style="position:absolute;margin-left:69.866096pt;margin-top:748.679688pt;width:390.35pt;height:25.5pt;mso-position-horizontal-relative:page;mso-position-vertical-relative:page;z-index:-205912" type="#_x0000_t202" filled="false" stroked="false">
            <v:textbox inset="0,0,0,0">
              <w:txbxContent>
                <w:p>
                  <w:pPr>
                    <w:pStyle w:val="BodyText"/>
                    <w:spacing w:line="280" w:lineRule="auto"/>
                    <w:ind w:right="8"/>
                  </w:pPr>
                  <w:r>
                    <w:rPr>
                      <w:color w:val="58595B"/>
                    </w:rPr>
                    <w:t>Third, it focuses clearly on specific market failures and it distinguishes the EPA’s role as a specialist regulator from that of other regulators:</w:t>
                  </w:r>
                </w:p>
              </w:txbxContent>
            </v:textbox>
            <w10:wrap type="none"/>
          </v:shape>
        </w:pict>
      </w:r>
      <w:r>
        <w:rPr/>
        <w:pict>
          <v:shape style="position:absolute;margin-left:.0pt;margin-top:44.090015pt;width:60.3pt;height:5.25pt;mso-position-horizontal-relative:page;mso-position-vertical-relative:page;z-index:-205888"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05864"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05840" from="534.996094pt,45.840015pt" to="595.276001pt,45.840015pt" stroked="true" strokeweight="7pt" strokecolor="#0095a7">
            <w10:wrap type="none"/>
          </v:line>
        </w:pict>
      </w:r>
      <w:r>
        <w:rPr/>
        <w:pict>
          <v:shape style="position:absolute;margin-left:240.990097pt;margin-top:40.902756pt;width:284.6pt;height:9.5pt;mso-position-horizontal-relative:page;mso-position-vertical-relative:page;z-index:-205816" type="#_x0000_t202" filled="false" stroked="false">
            <v:textbox inset="0,0,0,0">
              <w:txbxContent>
                <w:p>
                  <w:pPr>
                    <w:tabs>
                      <w:tab w:pos="5672" w:val="right" w:leader="none"/>
                    </w:tabs>
                    <w:spacing w:before="1"/>
                    <w:ind w:left="20" w:right="0" w:firstLine="0"/>
                    <w:jc w:val="left"/>
                    <w:rPr>
                      <w:sz w:val="15"/>
                    </w:rPr>
                  </w:pPr>
                  <w:r>
                    <w:rPr>
                      <w:color w:val="58595B"/>
                      <w:spacing w:val="3"/>
                      <w:sz w:val="15"/>
                    </w:rPr>
                    <w:t>CHAPTER </w:t>
                  </w:r>
                  <w:r>
                    <w:rPr>
                      <w:color w:val="58595B"/>
                      <w:sz w:val="15"/>
                    </w:rPr>
                    <w:t>5    </w:t>
                  </w:r>
                  <w:r>
                    <w:rPr>
                      <w:color w:val="58595B"/>
                      <w:spacing w:val="4"/>
                      <w:sz w:val="15"/>
                    </w:rPr>
                    <w:t>CLARIFYING </w:t>
                  </w:r>
                  <w:r>
                    <w:rPr>
                      <w:color w:val="58595B"/>
                      <w:spacing w:val="3"/>
                      <w:sz w:val="15"/>
                    </w:rPr>
                    <w:t>THE </w:t>
                  </w:r>
                  <w:r>
                    <w:rPr>
                      <w:color w:val="58595B"/>
                      <w:sz w:val="15"/>
                    </w:rPr>
                    <w:t>EPA’S </w:t>
                  </w:r>
                  <w:r>
                    <w:rPr>
                      <w:color w:val="58595B"/>
                      <w:spacing w:val="3"/>
                      <w:sz w:val="15"/>
                    </w:rPr>
                    <w:t>OBJECTIVES</w:t>
                  </w:r>
                  <w:r>
                    <w:rPr>
                      <w:color w:val="58595B"/>
                      <w:spacing w:val="-7"/>
                      <w:sz w:val="15"/>
                    </w:rPr>
                    <w:t> </w:t>
                  </w:r>
                  <w:r>
                    <w:rPr>
                      <w:color w:val="58595B"/>
                      <w:spacing w:val="3"/>
                      <w:sz w:val="15"/>
                    </w:rPr>
                    <w:t>AND FUNCTIONS</w:t>
                    <w:tab/>
                    <w:t>83</w:t>
                  </w:r>
                </w:p>
              </w:txbxContent>
            </v:textbox>
            <w10:wrap type="none"/>
          </v:shape>
        </w:pict>
      </w:r>
      <w:r>
        <w:rPr/>
        <w:pict>
          <v:shape style="position:absolute;margin-left:118.055099pt;margin-top:105.893967pt;width:390.35pt;height:39pt;mso-position-horizontal-relative:page;mso-position-vertical-relative:page;z-index:-205792" type="#_x0000_t202" filled="false" stroked="false">
            <v:textbox inset="0,0,0,0">
              <w:txbxContent>
                <w:p>
                  <w:pPr>
                    <w:spacing w:line="280" w:lineRule="auto" w:before="0"/>
                    <w:ind w:left="20" w:right="8" w:firstLine="0"/>
                    <w:jc w:val="left"/>
                    <w:rPr>
                      <w:sz w:val="20"/>
                    </w:rPr>
                  </w:pPr>
                  <w:r>
                    <w:rPr>
                      <w:i/>
                      <w:color w:val="231F20"/>
                      <w:sz w:val="20"/>
                    </w:rPr>
                    <w:t>Rather</w:t>
                  </w:r>
                  <w:r>
                    <w:rPr>
                      <w:i/>
                      <w:color w:val="231F20"/>
                      <w:spacing w:val="-11"/>
                      <w:sz w:val="20"/>
                    </w:rPr>
                    <w:t> </w:t>
                  </w:r>
                  <w:r>
                    <w:rPr>
                      <w:i/>
                      <w:color w:val="231F20"/>
                      <w:sz w:val="20"/>
                    </w:rPr>
                    <w:t>than</w:t>
                  </w:r>
                  <w:r>
                    <w:rPr>
                      <w:i/>
                      <w:color w:val="231F20"/>
                      <w:spacing w:val="-11"/>
                      <w:sz w:val="20"/>
                    </w:rPr>
                    <w:t> </w:t>
                  </w:r>
                  <w:r>
                    <w:rPr>
                      <w:i/>
                      <w:color w:val="231F20"/>
                      <w:sz w:val="20"/>
                    </w:rPr>
                    <w:t>broadening</w:t>
                  </w:r>
                  <w:r>
                    <w:rPr>
                      <w:i/>
                      <w:color w:val="231F20"/>
                      <w:spacing w:val="-11"/>
                      <w:sz w:val="20"/>
                    </w:rPr>
                    <w:t> </w:t>
                  </w:r>
                  <w:r>
                    <w:rPr>
                      <w:i/>
                      <w:color w:val="231F20"/>
                      <w:sz w:val="20"/>
                    </w:rPr>
                    <w:t>and</w:t>
                  </w:r>
                  <w:r>
                    <w:rPr>
                      <w:i/>
                      <w:color w:val="231F20"/>
                      <w:spacing w:val="-11"/>
                      <w:sz w:val="20"/>
                    </w:rPr>
                    <w:t> </w:t>
                  </w:r>
                  <w:r>
                    <w:rPr>
                      <w:i/>
                      <w:color w:val="231F20"/>
                      <w:sz w:val="20"/>
                    </w:rPr>
                    <w:t>diversifying,</w:t>
                  </w:r>
                  <w:r>
                    <w:rPr>
                      <w:i/>
                      <w:color w:val="231F20"/>
                      <w:spacing w:val="-11"/>
                      <w:sz w:val="20"/>
                    </w:rPr>
                    <w:t> </w:t>
                  </w:r>
                  <w:r>
                    <w:rPr>
                      <w:i/>
                      <w:color w:val="231F20"/>
                      <w:sz w:val="20"/>
                    </w:rPr>
                    <w:t>the</w:t>
                  </w:r>
                  <w:r>
                    <w:rPr>
                      <w:i/>
                      <w:color w:val="231F20"/>
                      <w:spacing w:val="-11"/>
                      <w:sz w:val="20"/>
                    </w:rPr>
                    <w:t> </w:t>
                  </w:r>
                  <w:r>
                    <w:rPr>
                      <w:i/>
                      <w:color w:val="231F20"/>
                      <w:spacing w:val="-3"/>
                      <w:sz w:val="20"/>
                    </w:rPr>
                    <w:t>EPA</w:t>
                  </w:r>
                  <w:r>
                    <w:rPr>
                      <w:i/>
                      <w:color w:val="231F20"/>
                      <w:spacing w:val="-11"/>
                      <w:sz w:val="20"/>
                    </w:rPr>
                    <w:t> </w:t>
                  </w:r>
                  <w:r>
                    <w:rPr>
                      <w:i/>
                      <w:color w:val="231F20"/>
                      <w:sz w:val="20"/>
                    </w:rPr>
                    <w:t>should</w:t>
                  </w:r>
                  <w:r>
                    <w:rPr>
                      <w:i/>
                      <w:color w:val="231F20"/>
                      <w:spacing w:val="-11"/>
                      <w:sz w:val="20"/>
                    </w:rPr>
                    <w:t> </w:t>
                  </w:r>
                  <w:r>
                    <w:rPr>
                      <w:i/>
                      <w:color w:val="231F20"/>
                      <w:sz w:val="20"/>
                    </w:rPr>
                    <w:t>focus</w:t>
                  </w:r>
                  <w:r>
                    <w:rPr>
                      <w:i/>
                      <w:color w:val="231F20"/>
                      <w:spacing w:val="-11"/>
                      <w:sz w:val="20"/>
                    </w:rPr>
                    <w:t> </w:t>
                  </w:r>
                  <w:r>
                    <w:rPr>
                      <w:i/>
                      <w:color w:val="231F20"/>
                      <w:sz w:val="20"/>
                    </w:rPr>
                    <w:t>on</w:t>
                  </w:r>
                  <w:r>
                    <w:rPr>
                      <w:i/>
                      <w:color w:val="231F20"/>
                      <w:spacing w:val="-11"/>
                      <w:sz w:val="20"/>
                    </w:rPr>
                    <w:t> </w:t>
                  </w:r>
                  <w:r>
                    <w:rPr>
                      <w:i/>
                      <w:color w:val="231F20"/>
                      <w:sz w:val="20"/>
                    </w:rPr>
                    <w:t>a</w:t>
                  </w:r>
                  <w:r>
                    <w:rPr>
                      <w:i/>
                      <w:color w:val="231F20"/>
                      <w:spacing w:val="-11"/>
                      <w:sz w:val="20"/>
                    </w:rPr>
                    <w:t> </w:t>
                  </w:r>
                  <w:r>
                    <w:rPr>
                      <w:i/>
                      <w:color w:val="231F20"/>
                      <w:spacing w:val="-3"/>
                      <w:sz w:val="20"/>
                    </w:rPr>
                    <w:t>few</w:t>
                  </w:r>
                  <w:r>
                    <w:rPr>
                      <w:i/>
                      <w:color w:val="231F20"/>
                      <w:spacing w:val="-11"/>
                      <w:sz w:val="20"/>
                    </w:rPr>
                    <w:t> </w:t>
                  </w:r>
                  <w:r>
                    <w:rPr>
                      <w:i/>
                      <w:color w:val="231F20"/>
                      <w:spacing w:val="-4"/>
                      <w:sz w:val="20"/>
                    </w:rPr>
                    <w:t>key</w:t>
                  </w:r>
                  <w:r>
                    <w:rPr>
                      <w:i/>
                      <w:color w:val="231F20"/>
                      <w:spacing w:val="-11"/>
                      <w:sz w:val="20"/>
                    </w:rPr>
                    <w:t> </w:t>
                  </w:r>
                  <w:r>
                    <w:rPr>
                      <w:i/>
                      <w:color w:val="231F20"/>
                      <w:sz w:val="20"/>
                    </w:rPr>
                    <w:t>areas</w:t>
                  </w:r>
                  <w:r>
                    <w:rPr>
                      <w:i/>
                      <w:color w:val="231F20"/>
                      <w:spacing w:val="-11"/>
                      <w:sz w:val="20"/>
                    </w:rPr>
                    <w:t> </w:t>
                  </w:r>
                  <w:r>
                    <w:rPr>
                      <w:i/>
                      <w:color w:val="231F20"/>
                      <w:sz w:val="20"/>
                    </w:rPr>
                    <w:t>…</w:t>
                  </w:r>
                  <w:r>
                    <w:rPr>
                      <w:i/>
                      <w:color w:val="231F20"/>
                      <w:spacing w:val="-11"/>
                      <w:sz w:val="20"/>
                    </w:rPr>
                    <w:t> </w:t>
                  </w:r>
                  <w:r>
                    <w:rPr>
                      <w:i/>
                      <w:color w:val="231F20"/>
                      <w:spacing w:val="-3"/>
                      <w:sz w:val="20"/>
                    </w:rPr>
                    <w:t>[so] </w:t>
                  </w:r>
                  <w:r>
                    <w:rPr>
                      <w:i/>
                      <w:color w:val="231F20"/>
                      <w:sz w:val="20"/>
                    </w:rPr>
                    <w:t>it will be clear to all </w:t>
                  </w:r>
                  <w:r>
                    <w:rPr>
                      <w:i/>
                      <w:color w:val="231F20"/>
                      <w:spacing w:val="-3"/>
                      <w:sz w:val="20"/>
                    </w:rPr>
                    <w:t>stakeholders </w:t>
                  </w:r>
                  <w:r>
                    <w:rPr>
                      <w:i/>
                      <w:color w:val="231F20"/>
                      <w:sz w:val="20"/>
                    </w:rPr>
                    <w:t>what the </w:t>
                  </w:r>
                  <w:r>
                    <w:rPr>
                      <w:i/>
                      <w:color w:val="231F20"/>
                      <w:spacing w:val="-6"/>
                      <w:sz w:val="20"/>
                    </w:rPr>
                    <w:t>EPA’s </w:t>
                  </w:r>
                  <w:r>
                    <w:rPr>
                      <w:i/>
                      <w:color w:val="231F20"/>
                      <w:spacing w:val="-3"/>
                      <w:sz w:val="20"/>
                    </w:rPr>
                    <w:t>mandate </w:t>
                  </w:r>
                  <w:r>
                    <w:rPr>
                      <w:i/>
                      <w:color w:val="231F20"/>
                      <w:sz w:val="20"/>
                    </w:rPr>
                    <w:t>is rather than the confusion that</w:t>
                  </w:r>
                  <w:r>
                    <w:rPr>
                      <w:i/>
                      <w:color w:val="231F20"/>
                      <w:spacing w:val="-13"/>
                      <w:sz w:val="20"/>
                    </w:rPr>
                    <w:t> </w:t>
                  </w:r>
                  <w:r>
                    <w:rPr>
                      <w:i/>
                      <w:color w:val="231F20"/>
                      <w:sz w:val="20"/>
                    </w:rPr>
                    <w:t>currently</w:t>
                  </w:r>
                  <w:r>
                    <w:rPr>
                      <w:i/>
                      <w:color w:val="231F20"/>
                      <w:spacing w:val="-13"/>
                      <w:sz w:val="20"/>
                    </w:rPr>
                    <w:t> </w:t>
                  </w:r>
                  <w:r>
                    <w:rPr>
                      <w:i/>
                      <w:color w:val="231F20"/>
                      <w:spacing w:val="-3"/>
                      <w:sz w:val="20"/>
                    </w:rPr>
                    <w:t>prevails.</w:t>
                  </w:r>
                  <w:r>
                    <w:rPr>
                      <w:i/>
                      <w:color w:val="231F20"/>
                      <w:spacing w:val="-13"/>
                      <w:sz w:val="20"/>
                    </w:rPr>
                    <w:t> </w:t>
                  </w:r>
                  <w:r>
                    <w:rPr>
                      <w:color w:val="231F20"/>
                      <w:sz w:val="20"/>
                    </w:rPr>
                    <w:t>(Minerals</w:t>
                  </w:r>
                  <w:r>
                    <w:rPr>
                      <w:color w:val="231F20"/>
                      <w:spacing w:val="-13"/>
                      <w:sz w:val="20"/>
                    </w:rPr>
                    <w:t> </w:t>
                  </w:r>
                  <w:r>
                    <w:rPr>
                      <w:color w:val="231F20"/>
                      <w:sz w:val="20"/>
                    </w:rPr>
                    <w:t>Council</w:t>
                  </w:r>
                  <w:r>
                    <w:rPr>
                      <w:color w:val="231F20"/>
                      <w:spacing w:val="-13"/>
                      <w:sz w:val="20"/>
                    </w:rPr>
                    <w:t> </w:t>
                  </w:r>
                  <w:r>
                    <w:rPr>
                      <w:color w:val="231F20"/>
                      <w:sz w:val="20"/>
                    </w:rPr>
                    <w:t>of</w:t>
                  </w:r>
                  <w:r>
                    <w:rPr>
                      <w:color w:val="231F20"/>
                      <w:spacing w:val="-13"/>
                      <w:sz w:val="20"/>
                    </w:rPr>
                    <w:t> </w:t>
                  </w:r>
                  <w:r>
                    <w:rPr>
                      <w:color w:val="231F20"/>
                      <w:sz w:val="20"/>
                    </w:rPr>
                    <w:t>Australia</w:t>
                  </w:r>
                  <w:r>
                    <w:rPr>
                      <w:color w:val="231F20"/>
                      <w:spacing w:val="-13"/>
                      <w:sz w:val="20"/>
                    </w:rPr>
                    <w:t> </w:t>
                  </w:r>
                  <w:r>
                    <w:rPr>
                      <w:color w:val="231F20"/>
                      <w:sz w:val="20"/>
                    </w:rPr>
                    <w:t>–</w:t>
                  </w:r>
                  <w:r>
                    <w:rPr>
                      <w:color w:val="231F20"/>
                      <w:spacing w:val="-13"/>
                      <w:sz w:val="20"/>
                    </w:rPr>
                    <w:t> </w:t>
                  </w:r>
                  <w:r>
                    <w:rPr>
                      <w:color w:val="231F20"/>
                      <w:sz w:val="20"/>
                    </w:rPr>
                    <w:t>Victoria</w:t>
                  </w:r>
                  <w:r>
                    <w:rPr>
                      <w:color w:val="231F20"/>
                      <w:spacing w:val="-13"/>
                      <w:sz w:val="20"/>
                    </w:rPr>
                    <w:t> </w:t>
                  </w:r>
                  <w:r>
                    <w:rPr>
                      <w:color w:val="231F20"/>
                      <w:sz w:val="20"/>
                    </w:rPr>
                    <w:t>submission,</w:t>
                  </w:r>
                  <w:r>
                    <w:rPr>
                      <w:color w:val="231F20"/>
                      <w:spacing w:val="-13"/>
                      <w:sz w:val="20"/>
                    </w:rPr>
                    <w:t> </w:t>
                  </w:r>
                  <w:r>
                    <w:rPr>
                      <w:color w:val="231F20"/>
                      <w:spacing w:val="-3"/>
                      <w:sz w:val="20"/>
                    </w:rPr>
                    <w:t>p.</w:t>
                  </w:r>
                  <w:r>
                    <w:rPr>
                      <w:color w:val="231F20"/>
                      <w:spacing w:val="-13"/>
                      <w:sz w:val="20"/>
                    </w:rPr>
                    <w:t> </w:t>
                  </w:r>
                  <w:r>
                    <w:rPr>
                      <w:color w:val="231F20"/>
                      <w:spacing w:val="-8"/>
                      <w:sz w:val="20"/>
                    </w:rPr>
                    <w:t>1)</w:t>
                  </w:r>
                </w:p>
              </w:txbxContent>
            </v:textbox>
            <w10:wrap type="none"/>
          </v:shape>
        </w:pict>
      </w:r>
      <w:r>
        <w:rPr/>
        <w:pict>
          <v:shape style="position:absolute;margin-left:89.705101pt;margin-top:154.893967pt;width:434.7pt;height:79.5pt;mso-position-horizontal-relative:page;mso-position-vertical-relative:page;z-index:-205768" type="#_x0000_t202" filled="false" stroked="false">
            <v:textbox inset="0,0,0,0">
              <w:txbxContent>
                <w:p>
                  <w:pPr>
                    <w:pStyle w:val="BodyText"/>
                    <w:spacing w:line="280" w:lineRule="auto"/>
                    <w:ind w:right="411"/>
                  </w:pPr>
                  <w:r>
                    <w:rPr>
                      <w:color w:val="58595B"/>
                    </w:rPr>
                    <w:t>It addresses the general community’s confusion about the EPA’s role, and the role of other parts of government responsible for managing threats or harms posed by pests and weeds, reduced stream flows or native vegetation clearing (box 5.1). The focus on pollution and waste recognises the continuing importance of these issues as critical risks to the Victorian</w:t>
                  </w:r>
                </w:p>
                <w:p>
                  <w:pPr>
                    <w:pStyle w:val="BodyText"/>
                    <w:spacing w:line="280" w:lineRule="auto" w:before="2"/>
                    <w:ind w:right="11"/>
                  </w:pPr>
                  <w:r>
                    <w:rPr>
                      <w:color w:val="58595B"/>
                    </w:rPr>
                    <w:t>environment and community, and the requirement for specialised scientific expertise and targeted regulatory interventions.</w:t>
                  </w:r>
                </w:p>
              </w:txbxContent>
            </v:textbox>
            <w10:wrap type="none"/>
          </v:shape>
        </w:pict>
      </w:r>
      <w:r>
        <w:rPr/>
        <w:pict>
          <v:shape style="position:absolute;margin-left:89.705101pt;margin-top:244.393967pt;width:424.5pt;height:39pt;mso-position-horizontal-relative:page;mso-position-vertical-relative:page;z-index:-205744" type="#_x0000_t202" filled="false" stroked="false">
            <v:textbox inset="0,0,0,0">
              <w:txbxContent>
                <w:p>
                  <w:pPr>
                    <w:pStyle w:val="BodyText"/>
                    <w:spacing w:line="280" w:lineRule="auto"/>
                  </w:pPr>
                  <w:r>
                    <w:rPr>
                      <w:color w:val="58595B"/>
                    </w:rPr>
                    <w:t>In our consultations, we heard from some stakeholders that the EPA should be the regulator for ‘all the environment’ or for all things relating to the environment. This would involve a major reframing of Victoria’s current system of environment protection.</w:t>
                  </w:r>
                </w:p>
              </w:txbxContent>
            </v:textbox>
            <w10:wrap type="none"/>
          </v:shape>
        </w:pict>
      </w:r>
      <w:r>
        <w:rPr/>
        <w:pict>
          <v:shape style="position:absolute;margin-left:118.055099pt;margin-top:293.393982pt;width:377.9pt;height:39pt;mso-position-horizontal-relative:page;mso-position-vertical-relative:page;z-index:-205720" type="#_x0000_t202" filled="false" stroked="false">
            <v:textbox inset="0,0,0,0">
              <w:txbxContent>
                <w:p>
                  <w:pPr>
                    <w:spacing w:line="280" w:lineRule="auto" w:before="0"/>
                    <w:ind w:left="20" w:right="8" w:firstLine="0"/>
                    <w:jc w:val="left"/>
                    <w:rPr>
                      <w:sz w:val="20"/>
                    </w:rPr>
                  </w:pPr>
                  <w:r>
                    <w:rPr>
                      <w:i/>
                      <w:color w:val="231F20"/>
                      <w:sz w:val="20"/>
                    </w:rPr>
                    <w:t>[W]e </w:t>
                  </w:r>
                  <w:r>
                    <w:rPr>
                      <w:i/>
                      <w:color w:val="231F20"/>
                      <w:spacing w:val="-4"/>
                      <w:sz w:val="20"/>
                    </w:rPr>
                    <w:t>see </w:t>
                  </w:r>
                  <w:r>
                    <w:rPr>
                      <w:i/>
                      <w:color w:val="231F20"/>
                      <w:sz w:val="20"/>
                    </w:rPr>
                    <w:t>a </w:t>
                  </w:r>
                  <w:r>
                    <w:rPr>
                      <w:i/>
                      <w:color w:val="231F20"/>
                      <w:spacing w:val="-5"/>
                      <w:sz w:val="20"/>
                    </w:rPr>
                    <w:t>need </w:t>
                  </w:r>
                  <w:r>
                    <w:rPr>
                      <w:i/>
                      <w:color w:val="231F20"/>
                      <w:spacing w:val="-4"/>
                      <w:sz w:val="20"/>
                    </w:rPr>
                    <w:t>for </w:t>
                  </w:r>
                  <w:r>
                    <w:rPr>
                      <w:i/>
                      <w:color w:val="231F20"/>
                      <w:spacing w:val="-5"/>
                      <w:sz w:val="20"/>
                    </w:rPr>
                    <w:t>the </w:t>
                  </w:r>
                  <w:r>
                    <w:rPr>
                      <w:i/>
                      <w:color w:val="231F20"/>
                      <w:spacing w:val="-6"/>
                      <w:sz w:val="20"/>
                    </w:rPr>
                    <w:t>EPA </w:t>
                  </w:r>
                  <w:r>
                    <w:rPr>
                      <w:i/>
                      <w:color w:val="231F20"/>
                      <w:spacing w:val="-4"/>
                      <w:sz w:val="20"/>
                    </w:rPr>
                    <w:t>to </w:t>
                  </w:r>
                  <w:r>
                    <w:rPr>
                      <w:i/>
                      <w:color w:val="231F20"/>
                      <w:spacing w:val="-6"/>
                      <w:sz w:val="20"/>
                    </w:rPr>
                    <w:t>expand </w:t>
                  </w:r>
                  <w:r>
                    <w:rPr>
                      <w:i/>
                      <w:color w:val="231F20"/>
                      <w:spacing w:val="-5"/>
                      <w:sz w:val="20"/>
                    </w:rPr>
                    <w:t>its </w:t>
                  </w:r>
                  <w:r>
                    <w:rPr>
                      <w:i/>
                      <w:color w:val="231F20"/>
                      <w:spacing w:val="-4"/>
                      <w:sz w:val="20"/>
                    </w:rPr>
                    <w:t>role </w:t>
                  </w:r>
                  <w:r>
                    <w:rPr>
                      <w:i/>
                      <w:color w:val="231F20"/>
                      <w:spacing w:val="-5"/>
                      <w:sz w:val="20"/>
                    </w:rPr>
                    <w:t>into </w:t>
                  </w:r>
                  <w:r>
                    <w:rPr>
                      <w:i/>
                      <w:color w:val="231F20"/>
                      <w:spacing w:val="-4"/>
                      <w:sz w:val="20"/>
                    </w:rPr>
                    <w:t>more </w:t>
                  </w:r>
                  <w:r>
                    <w:rPr>
                      <w:i/>
                      <w:color w:val="231F20"/>
                      <w:spacing w:val="-5"/>
                      <w:sz w:val="20"/>
                    </w:rPr>
                    <w:t>broadly </w:t>
                  </w:r>
                  <w:r>
                    <w:rPr>
                      <w:i/>
                      <w:color w:val="231F20"/>
                      <w:spacing w:val="-6"/>
                      <w:sz w:val="20"/>
                    </w:rPr>
                    <w:t>protecting </w:t>
                  </w:r>
                  <w:r>
                    <w:rPr>
                      <w:i/>
                      <w:color w:val="231F20"/>
                      <w:spacing w:val="-5"/>
                      <w:sz w:val="20"/>
                    </w:rPr>
                    <w:t>the </w:t>
                  </w:r>
                  <w:r>
                    <w:rPr>
                      <w:i/>
                      <w:color w:val="231F20"/>
                      <w:spacing w:val="-6"/>
                      <w:sz w:val="20"/>
                    </w:rPr>
                    <w:t>natural environment, including native vegetation </w:t>
                  </w:r>
                  <w:r>
                    <w:rPr>
                      <w:i/>
                      <w:color w:val="231F20"/>
                      <w:spacing w:val="-4"/>
                      <w:sz w:val="20"/>
                    </w:rPr>
                    <w:t>as </w:t>
                  </w:r>
                  <w:r>
                    <w:rPr>
                      <w:i/>
                      <w:color w:val="231F20"/>
                      <w:spacing w:val="-5"/>
                      <w:sz w:val="20"/>
                    </w:rPr>
                    <w:t>well </w:t>
                  </w:r>
                  <w:r>
                    <w:rPr>
                      <w:i/>
                      <w:color w:val="231F20"/>
                      <w:spacing w:val="-4"/>
                      <w:sz w:val="20"/>
                    </w:rPr>
                    <w:t>as </w:t>
                  </w:r>
                  <w:r>
                    <w:rPr>
                      <w:i/>
                      <w:color w:val="231F20"/>
                      <w:spacing w:val="-6"/>
                      <w:sz w:val="20"/>
                    </w:rPr>
                    <w:t>considering greenhouse </w:t>
                  </w:r>
                  <w:r>
                    <w:rPr>
                      <w:i/>
                      <w:color w:val="231F20"/>
                      <w:spacing w:val="-5"/>
                      <w:sz w:val="20"/>
                    </w:rPr>
                    <w:t>gas </w:t>
                  </w:r>
                  <w:r>
                    <w:rPr>
                      <w:i/>
                      <w:color w:val="231F20"/>
                      <w:spacing w:val="-6"/>
                      <w:sz w:val="20"/>
                    </w:rPr>
                    <w:t>emissions including methane </w:t>
                  </w:r>
                  <w:r>
                    <w:rPr>
                      <w:i/>
                      <w:color w:val="231F20"/>
                      <w:spacing w:val="-4"/>
                      <w:sz w:val="20"/>
                    </w:rPr>
                    <w:t>as </w:t>
                  </w:r>
                  <w:r>
                    <w:rPr>
                      <w:i/>
                      <w:color w:val="231F20"/>
                      <w:spacing w:val="-5"/>
                      <w:sz w:val="20"/>
                    </w:rPr>
                    <w:t>well </w:t>
                  </w:r>
                  <w:r>
                    <w:rPr>
                      <w:i/>
                      <w:color w:val="231F20"/>
                      <w:spacing w:val="-4"/>
                      <w:sz w:val="20"/>
                    </w:rPr>
                    <w:t>as </w:t>
                  </w:r>
                  <w:r>
                    <w:rPr>
                      <w:i/>
                      <w:color w:val="231F20"/>
                      <w:spacing w:val="-5"/>
                      <w:sz w:val="20"/>
                    </w:rPr>
                    <w:t>carbon </w:t>
                  </w:r>
                  <w:r>
                    <w:rPr>
                      <w:i/>
                      <w:color w:val="231F20"/>
                      <w:spacing w:val="-6"/>
                      <w:sz w:val="20"/>
                    </w:rPr>
                    <w:t>dioxide. </w:t>
                  </w:r>
                  <w:r>
                    <w:rPr>
                      <w:color w:val="231F20"/>
                      <w:spacing w:val="-6"/>
                      <w:sz w:val="20"/>
                    </w:rPr>
                    <w:t>(Green Wedges </w:t>
                  </w:r>
                  <w:r>
                    <w:rPr>
                      <w:color w:val="231F20"/>
                      <w:spacing w:val="-5"/>
                      <w:sz w:val="20"/>
                    </w:rPr>
                    <w:t>Coalition </w:t>
                  </w:r>
                  <w:r>
                    <w:rPr>
                      <w:color w:val="231F20"/>
                      <w:spacing w:val="-6"/>
                      <w:sz w:val="20"/>
                    </w:rPr>
                    <w:t>submission, </w:t>
                  </w:r>
                  <w:r>
                    <w:rPr>
                      <w:color w:val="231F20"/>
                      <w:spacing w:val="-5"/>
                      <w:sz w:val="20"/>
                    </w:rPr>
                    <w:t>p.</w:t>
                  </w:r>
                  <w:r>
                    <w:rPr>
                      <w:color w:val="231F20"/>
                      <w:spacing w:val="-10"/>
                      <w:sz w:val="20"/>
                    </w:rPr>
                    <w:t> 1)</w:t>
                  </w:r>
                </w:p>
              </w:txbxContent>
            </v:textbox>
            <w10:wrap type="none"/>
          </v:shape>
        </w:pict>
      </w:r>
      <w:r>
        <w:rPr/>
        <w:pict>
          <v:shape style="position:absolute;margin-left:118.055099pt;margin-top:342.393982pt;width:371.9pt;height:52.5pt;mso-position-horizontal-relative:page;mso-position-vertical-relative:page;z-index:-205696" type="#_x0000_t202" filled="false" stroked="false">
            <v:textbox inset="0,0,0,0">
              <w:txbxContent>
                <w:p>
                  <w:pPr>
                    <w:spacing w:line="280" w:lineRule="auto" w:before="0"/>
                    <w:ind w:left="20" w:right="0" w:firstLine="0"/>
                    <w:jc w:val="left"/>
                    <w:rPr>
                      <w:sz w:val="20"/>
                    </w:rPr>
                  </w:pPr>
                  <w:r>
                    <w:rPr>
                      <w:i/>
                      <w:color w:val="231F20"/>
                      <w:sz w:val="20"/>
                    </w:rPr>
                    <w:t>The Trust recommends that private land conservation and protection be recognised and supported by the future legislative and administrative arrangements supporting the EPA as one of the key components to achieving its statutory objectives and responsibilities. </w:t>
                  </w:r>
                  <w:r>
                    <w:rPr>
                      <w:color w:val="231F20"/>
                      <w:sz w:val="20"/>
                    </w:rPr>
                    <w:t>(Trust for Nature submission, p. 5)</w:t>
                  </w:r>
                </w:p>
              </w:txbxContent>
            </v:textbox>
            <w10:wrap type="none"/>
          </v:shape>
        </w:pict>
      </w:r>
      <w:r>
        <w:rPr/>
        <w:pict>
          <v:shape style="position:absolute;margin-left:118.065102pt;margin-top:404.893982pt;width:389.8pt;height:25.5pt;mso-position-horizontal-relative:page;mso-position-vertical-relative:page;z-index:-205672" type="#_x0000_t202" filled="false" stroked="false">
            <v:textbox inset="0,0,0,0">
              <w:txbxContent>
                <w:p>
                  <w:pPr>
                    <w:spacing w:line="280" w:lineRule="auto" w:before="0"/>
                    <w:ind w:left="20" w:right="0" w:firstLine="0"/>
                    <w:jc w:val="left"/>
                    <w:rPr>
                      <w:sz w:val="20"/>
                    </w:rPr>
                  </w:pPr>
                  <w:r>
                    <w:rPr>
                      <w:i/>
                      <w:color w:val="231F20"/>
                      <w:sz w:val="20"/>
                    </w:rPr>
                    <w:t>I see a need for the </w:t>
                  </w:r>
                  <w:r>
                    <w:rPr>
                      <w:i/>
                      <w:color w:val="231F20"/>
                      <w:spacing w:val="-3"/>
                      <w:sz w:val="20"/>
                    </w:rPr>
                    <w:t>EPA </w:t>
                  </w:r>
                  <w:r>
                    <w:rPr>
                      <w:i/>
                      <w:color w:val="231F20"/>
                      <w:sz w:val="20"/>
                    </w:rPr>
                    <w:t>to </w:t>
                  </w:r>
                  <w:r>
                    <w:rPr>
                      <w:i/>
                      <w:color w:val="231F20"/>
                      <w:spacing w:val="-3"/>
                      <w:sz w:val="20"/>
                    </w:rPr>
                    <w:t>expand </w:t>
                  </w:r>
                  <w:r>
                    <w:rPr>
                      <w:i/>
                      <w:color w:val="231F20"/>
                      <w:sz w:val="20"/>
                    </w:rPr>
                    <w:t>its role into protecting the </w:t>
                  </w:r>
                  <w:r>
                    <w:rPr>
                      <w:i/>
                      <w:color w:val="231F20"/>
                      <w:spacing w:val="-3"/>
                      <w:sz w:val="20"/>
                    </w:rPr>
                    <w:t>environment </w:t>
                  </w:r>
                  <w:r>
                    <w:rPr>
                      <w:i/>
                      <w:color w:val="231F20"/>
                      <w:sz w:val="20"/>
                    </w:rPr>
                    <w:t>for </w:t>
                  </w:r>
                  <w:r>
                    <w:rPr>
                      <w:i/>
                      <w:color w:val="231F20"/>
                      <w:spacing w:val="-2"/>
                      <w:sz w:val="20"/>
                    </w:rPr>
                    <w:t>nature </w:t>
                  </w:r>
                  <w:r>
                    <w:rPr>
                      <w:i/>
                      <w:color w:val="231F20"/>
                      <w:sz w:val="20"/>
                    </w:rPr>
                    <w:t>because</w:t>
                  </w:r>
                  <w:r>
                    <w:rPr>
                      <w:i/>
                      <w:color w:val="231F20"/>
                      <w:spacing w:val="-9"/>
                      <w:sz w:val="20"/>
                    </w:rPr>
                    <w:t> </w:t>
                  </w:r>
                  <w:r>
                    <w:rPr>
                      <w:i/>
                      <w:color w:val="231F20"/>
                      <w:sz w:val="20"/>
                    </w:rPr>
                    <w:t>all</w:t>
                  </w:r>
                  <w:r>
                    <w:rPr>
                      <w:i/>
                      <w:color w:val="231F20"/>
                      <w:spacing w:val="-9"/>
                      <w:sz w:val="20"/>
                    </w:rPr>
                    <w:t> </w:t>
                  </w:r>
                  <w:r>
                    <w:rPr>
                      <w:i/>
                      <w:color w:val="231F20"/>
                      <w:sz w:val="20"/>
                    </w:rPr>
                    <w:t>living</w:t>
                  </w:r>
                  <w:r>
                    <w:rPr>
                      <w:i/>
                      <w:color w:val="231F20"/>
                      <w:spacing w:val="-9"/>
                      <w:sz w:val="20"/>
                    </w:rPr>
                    <w:t> </w:t>
                  </w:r>
                  <w:r>
                    <w:rPr>
                      <w:i/>
                      <w:color w:val="231F20"/>
                      <w:sz w:val="20"/>
                    </w:rPr>
                    <w:t>things</w:t>
                  </w:r>
                  <w:r>
                    <w:rPr>
                      <w:i/>
                      <w:color w:val="231F20"/>
                      <w:spacing w:val="-9"/>
                      <w:sz w:val="20"/>
                    </w:rPr>
                    <w:t> </w:t>
                  </w:r>
                  <w:r>
                    <w:rPr>
                      <w:i/>
                      <w:color w:val="231F20"/>
                      <w:spacing w:val="-3"/>
                      <w:sz w:val="20"/>
                    </w:rPr>
                    <w:t>depend</w:t>
                  </w:r>
                  <w:r>
                    <w:rPr>
                      <w:i/>
                      <w:color w:val="231F20"/>
                      <w:spacing w:val="-9"/>
                      <w:sz w:val="20"/>
                    </w:rPr>
                    <w:t> </w:t>
                  </w:r>
                  <w:r>
                    <w:rPr>
                      <w:i/>
                      <w:color w:val="231F20"/>
                      <w:sz w:val="20"/>
                    </w:rPr>
                    <w:t>upon</w:t>
                  </w:r>
                  <w:r>
                    <w:rPr>
                      <w:i/>
                      <w:color w:val="231F20"/>
                      <w:spacing w:val="-9"/>
                      <w:sz w:val="20"/>
                    </w:rPr>
                    <w:t> </w:t>
                  </w:r>
                  <w:r>
                    <w:rPr>
                      <w:i/>
                      <w:color w:val="231F20"/>
                      <w:sz w:val="20"/>
                    </w:rPr>
                    <w:t>a</w:t>
                  </w:r>
                  <w:r>
                    <w:rPr>
                      <w:i/>
                      <w:color w:val="231F20"/>
                      <w:spacing w:val="-9"/>
                      <w:sz w:val="20"/>
                    </w:rPr>
                    <w:t> </w:t>
                  </w:r>
                  <w:r>
                    <w:rPr>
                      <w:i/>
                      <w:color w:val="231F20"/>
                      <w:spacing w:val="-3"/>
                      <w:sz w:val="20"/>
                    </w:rPr>
                    <w:t>healthy</w:t>
                  </w:r>
                  <w:r>
                    <w:rPr>
                      <w:i/>
                      <w:color w:val="231F20"/>
                      <w:spacing w:val="-9"/>
                      <w:sz w:val="20"/>
                    </w:rPr>
                    <w:t> </w:t>
                  </w:r>
                  <w:r>
                    <w:rPr>
                      <w:i/>
                      <w:color w:val="231F20"/>
                      <w:spacing w:val="-3"/>
                      <w:sz w:val="20"/>
                    </w:rPr>
                    <w:t>environment.</w:t>
                  </w:r>
                  <w:r>
                    <w:rPr>
                      <w:i/>
                      <w:color w:val="231F20"/>
                      <w:spacing w:val="-10"/>
                      <w:sz w:val="20"/>
                    </w:rPr>
                    <w:t> </w:t>
                  </w:r>
                  <w:r>
                    <w:rPr>
                      <w:color w:val="231F20"/>
                      <w:sz w:val="20"/>
                    </w:rPr>
                    <w:t>(Nina</w:t>
                  </w:r>
                  <w:r>
                    <w:rPr>
                      <w:color w:val="231F20"/>
                      <w:spacing w:val="-9"/>
                      <w:sz w:val="20"/>
                    </w:rPr>
                    <w:t> </w:t>
                  </w:r>
                  <w:r>
                    <w:rPr>
                      <w:color w:val="231F20"/>
                      <w:sz w:val="20"/>
                    </w:rPr>
                    <w:t>Earl</w:t>
                  </w:r>
                  <w:r>
                    <w:rPr>
                      <w:color w:val="231F20"/>
                      <w:spacing w:val="-9"/>
                      <w:sz w:val="20"/>
                    </w:rPr>
                    <w:t> </w:t>
                  </w:r>
                  <w:r>
                    <w:rPr>
                      <w:color w:val="231F20"/>
                      <w:sz w:val="20"/>
                    </w:rPr>
                    <w:t>submission,</w:t>
                  </w:r>
                  <w:r>
                    <w:rPr>
                      <w:color w:val="231F20"/>
                      <w:spacing w:val="-9"/>
                      <w:sz w:val="20"/>
                    </w:rPr>
                    <w:t> </w:t>
                  </w:r>
                  <w:r>
                    <w:rPr>
                      <w:color w:val="231F20"/>
                      <w:spacing w:val="-3"/>
                      <w:sz w:val="20"/>
                    </w:rPr>
                    <w:t>p.</w:t>
                  </w:r>
                  <w:r>
                    <w:rPr>
                      <w:color w:val="231F20"/>
                      <w:spacing w:val="-9"/>
                      <w:sz w:val="20"/>
                    </w:rPr>
                    <w:t> </w:t>
                  </w:r>
                  <w:r>
                    <w:rPr>
                      <w:color w:val="231F20"/>
                      <w:spacing w:val="-8"/>
                      <w:sz w:val="20"/>
                    </w:rPr>
                    <w:t>1)</w:t>
                  </w:r>
                </w:p>
              </w:txbxContent>
            </v:textbox>
            <w10:wrap type="none"/>
          </v:shape>
        </w:pict>
      </w:r>
      <w:r>
        <w:rPr/>
        <w:pict>
          <v:shape style="position:absolute;margin-left:89.715103pt;margin-top:440.393982pt;width:435.65pt;height:66pt;mso-position-horizontal-relative:page;mso-position-vertical-relative:page;z-index:-205648" type="#_x0000_t202" filled="false" stroked="false">
            <v:textbox inset="0,0,0,0">
              <w:txbxContent>
                <w:p>
                  <w:pPr>
                    <w:pStyle w:val="BodyText"/>
                    <w:spacing w:line="280" w:lineRule="auto"/>
                    <w:ind w:right="-10"/>
                  </w:pPr>
                  <w:r>
                    <w:rPr>
                      <w:color w:val="58595B"/>
                    </w:rPr>
                    <w:t>However, we do not support this expanded approach. Instead, we have sought to confirm the EPA as a ‘specialist regulator’ and to ensure that it is clearly defined as such and appropriately equipped and resourced to perform its specific tasks. We did this after considering the inherent complexity of the EPA’s existing core task and the demands of meeting future challenges and community expectations. This task requires specialist knowledge and understanding.</w:t>
                  </w:r>
                </w:p>
              </w:txbxContent>
            </v:textbox>
            <w10:wrap type="none"/>
          </v:shape>
        </w:pict>
      </w:r>
      <w:r>
        <w:rPr/>
        <w:pict>
          <v:shape style="position:absolute;margin-left:89.715103pt;margin-top:516.393982pt;width:431.05pt;height:39pt;mso-position-horizontal-relative:page;mso-position-vertical-relative:page;z-index:-205624" type="#_x0000_t202" filled="false" stroked="false">
            <v:textbox inset="0,0,0,0">
              <w:txbxContent>
                <w:p>
                  <w:pPr>
                    <w:pStyle w:val="BodyText"/>
                    <w:spacing w:line="280" w:lineRule="auto"/>
                  </w:pPr>
                  <w:r>
                    <w:rPr>
                      <w:color w:val="58595B"/>
                    </w:rPr>
                    <w:t>The EPA also needs to operate in the interface between the environment and human health issues. As such, the EPA has a fundamentally different orientation than a regulator charged with, for example, biodiversity protection.</w:t>
                  </w:r>
                </w:p>
              </w:txbxContent>
            </v:textbox>
            <w10:wrap type="none"/>
          </v:shape>
        </w:pict>
      </w:r>
      <w:r>
        <w:rPr/>
        <w:pict>
          <v:shape style="position:absolute;margin-left:89.715103pt;margin-top:565.393982pt;width:432.5pt;height:39pt;mso-position-horizontal-relative:page;mso-position-vertical-relative:page;z-index:-205600" type="#_x0000_t202" filled="false" stroked="false">
            <v:textbox inset="0,0,0,0">
              <w:txbxContent>
                <w:p>
                  <w:pPr>
                    <w:pStyle w:val="BodyText"/>
                    <w:spacing w:line="280" w:lineRule="auto"/>
                    <w:ind w:right="18"/>
                  </w:pPr>
                  <w:r>
                    <w:rPr>
                      <w:color w:val="58595B"/>
                    </w:rPr>
                    <w:t>The benefits of a more focused regulator have been recognised in other review processes, but we note that this must be accompanied by effective mechanisms for collaboration and integration with other regulatory</w:t>
                  </w:r>
                  <w:r>
                    <w:rPr>
                      <w:color w:val="58595B"/>
                      <w:spacing w:val="8"/>
                    </w:rPr>
                    <w:t> </w:t>
                  </w:r>
                  <w:r>
                    <w:rPr>
                      <w:color w:val="58595B"/>
                    </w:rPr>
                    <w:t>frameworks.</w:t>
                  </w:r>
                </w:p>
              </w:txbxContent>
            </v:textbox>
            <w10:wrap type="none"/>
          </v:shape>
        </w:pict>
      </w:r>
      <w:r>
        <w:rPr/>
        <w:pict>
          <v:shape style="position:absolute;margin-left:118.065102pt;margin-top:614.393982pt;width:362.55pt;height:25.5pt;mso-position-horizontal-relative:page;mso-position-vertical-relative:page;z-index:-205576" type="#_x0000_t202" filled="false" stroked="false">
            <v:textbox inset="0,0,0,0">
              <w:txbxContent>
                <w:p>
                  <w:pPr>
                    <w:spacing w:line="280" w:lineRule="auto" w:before="0"/>
                    <w:ind w:left="20" w:right="0" w:firstLine="0"/>
                    <w:jc w:val="left"/>
                    <w:rPr>
                      <w:sz w:val="11"/>
                    </w:rPr>
                  </w:pPr>
                  <w:r>
                    <w:rPr>
                      <w:i/>
                      <w:color w:val="231F20"/>
                      <w:sz w:val="20"/>
                    </w:rPr>
                    <w:t>Regulators were most likely to be effective when they are working towards limited and relatively narrowly defined duties and objectives.</w:t>
                  </w:r>
                  <w:r>
                    <w:rPr>
                      <w:color w:val="231F20"/>
                      <w:position w:val="7"/>
                      <w:sz w:val="11"/>
                    </w:rPr>
                    <w:t>13</w:t>
                  </w:r>
                </w:p>
              </w:txbxContent>
            </v:textbox>
            <w10:wrap type="none"/>
          </v:shape>
        </w:pict>
      </w:r>
      <w:r>
        <w:rPr/>
        <w:pict>
          <v:shape style="position:absolute;margin-left:89.708603pt;margin-top:649.933289pt;width:435.15pt;height:79.5pt;mso-position-horizontal-relative:page;mso-position-vertical-relative:page;z-index:-205552" type="#_x0000_t202" filled="false" stroked="false">
            <v:textbox inset="0,0,0,0">
              <w:txbxContent>
                <w:p>
                  <w:pPr>
                    <w:pStyle w:val="BodyText"/>
                    <w:spacing w:line="280" w:lineRule="auto"/>
                    <w:ind w:right="136"/>
                  </w:pPr>
                  <w:r>
                    <w:rPr>
                      <w:color w:val="58595B"/>
                    </w:rPr>
                    <w:t>As part </w:t>
                  </w:r>
                  <w:r>
                    <w:rPr>
                      <w:color w:val="58595B"/>
                      <w:spacing w:val="-3"/>
                    </w:rPr>
                    <w:t>of its </w:t>
                  </w:r>
                  <w:r>
                    <w:rPr>
                      <w:color w:val="58595B"/>
                      <w:spacing w:val="-4"/>
                    </w:rPr>
                    <w:t>remit, </w:t>
                  </w:r>
                  <w:r>
                    <w:rPr>
                      <w:color w:val="58595B"/>
                      <w:spacing w:val="-3"/>
                    </w:rPr>
                    <w:t>the </w:t>
                  </w:r>
                  <w:r>
                    <w:rPr>
                      <w:color w:val="58595B"/>
                      <w:spacing w:val="-7"/>
                    </w:rPr>
                    <w:t>EPA </w:t>
                  </w:r>
                  <w:r>
                    <w:rPr>
                      <w:color w:val="58595B"/>
                      <w:spacing w:val="-4"/>
                    </w:rPr>
                    <w:t>must monitor </w:t>
                  </w:r>
                  <w:r>
                    <w:rPr>
                      <w:color w:val="58595B"/>
                      <w:spacing w:val="-3"/>
                    </w:rPr>
                    <w:t>and </w:t>
                  </w:r>
                  <w:r>
                    <w:rPr>
                      <w:color w:val="58595B"/>
                      <w:spacing w:val="-4"/>
                    </w:rPr>
                    <w:t>manage </w:t>
                  </w:r>
                  <w:r>
                    <w:rPr>
                      <w:color w:val="58595B"/>
                      <w:spacing w:val="-3"/>
                    </w:rPr>
                    <w:t>the condition of </w:t>
                  </w:r>
                  <w:r>
                    <w:rPr>
                      <w:color w:val="58595B"/>
                      <w:spacing w:val="-6"/>
                    </w:rPr>
                    <w:t>key </w:t>
                  </w:r>
                  <w:r>
                    <w:rPr>
                      <w:color w:val="58595B"/>
                      <w:spacing w:val="-4"/>
                    </w:rPr>
                    <w:t>elements </w:t>
                  </w:r>
                  <w:r>
                    <w:rPr>
                      <w:color w:val="58595B"/>
                      <w:spacing w:val="-3"/>
                    </w:rPr>
                    <w:t>of the </w:t>
                  </w:r>
                  <w:r>
                    <w:rPr>
                      <w:color w:val="58595B"/>
                      <w:spacing w:val="-5"/>
                    </w:rPr>
                    <w:t>environment </w:t>
                  </w:r>
                  <w:r>
                    <w:rPr>
                      <w:color w:val="58595B"/>
                    </w:rPr>
                    <w:t>– </w:t>
                  </w:r>
                  <w:r>
                    <w:rPr>
                      <w:color w:val="58595B"/>
                      <w:spacing w:val="-4"/>
                    </w:rPr>
                    <w:t>land, </w:t>
                  </w:r>
                  <w:r>
                    <w:rPr>
                      <w:color w:val="58595B"/>
                      <w:spacing w:val="-3"/>
                    </w:rPr>
                    <w:t>air and </w:t>
                  </w:r>
                  <w:r>
                    <w:rPr>
                      <w:color w:val="58595B"/>
                      <w:spacing w:val="-4"/>
                    </w:rPr>
                    <w:t>water quality </w:t>
                  </w:r>
                  <w:r>
                    <w:rPr>
                      <w:color w:val="58595B"/>
                    </w:rPr>
                    <w:t>– </w:t>
                  </w:r>
                  <w:r>
                    <w:rPr>
                      <w:color w:val="58595B"/>
                      <w:spacing w:val="-3"/>
                    </w:rPr>
                    <w:t>and </w:t>
                  </w:r>
                  <w:r>
                    <w:rPr>
                      <w:color w:val="58595B"/>
                    </w:rPr>
                    <w:t>be </w:t>
                  </w:r>
                  <w:r>
                    <w:rPr>
                      <w:color w:val="58595B"/>
                      <w:spacing w:val="-4"/>
                    </w:rPr>
                    <w:t>mindful </w:t>
                  </w:r>
                  <w:r>
                    <w:rPr>
                      <w:color w:val="58595B"/>
                      <w:spacing w:val="-3"/>
                    </w:rPr>
                    <w:t>of the </w:t>
                  </w:r>
                  <w:r>
                    <w:rPr>
                      <w:color w:val="58595B"/>
                      <w:spacing w:val="-4"/>
                    </w:rPr>
                    <w:t>health </w:t>
                  </w:r>
                  <w:r>
                    <w:rPr>
                      <w:color w:val="58595B"/>
                      <w:spacing w:val="-3"/>
                    </w:rPr>
                    <w:t>of </w:t>
                  </w:r>
                  <w:r>
                    <w:rPr>
                      <w:color w:val="58595B"/>
                      <w:spacing w:val="-4"/>
                    </w:rPr>
                    <w:t>natural </w:t>
                  </w:r>
                  <w:r>
                    <w:rPr>
                      <w:color w:val="58595B"/>
                      <w:spacing w:val="-5"/>
                    </w:rPr>
                    <w:t>systems.</w:t>
                  </w:r>
                  <w:r>
                    <w:rPr>
                      <w:color w:val="58595B"/>
                      <w:spacing w:val="-6"/>
                    </w:rPr>
                    <w:t> However, </w:t>
                  </w:r>
                  <w:r>
                    <w:rPr>
                      <w:color w:val="58595B"/>
                      <w:spacing w:val="-3"/>
                    </w:rPr>
                    <w:t>the </w:t>
                  </w:r>
                  <w:r>
                    <w:rPr>
                      <w:color w:val="58595B"/>
                      <w:spacing w:val="-7"/>
                    </w:rPr>
                    <w:t>EPA </w:t>
                  </w:r>
                  <w:r>
                    <w:rPr>
                      <w:color w:val="58595B"/>
                    </w:rPr>
                    <w:t>is a </w:t>
                  </w:r>
                  <w:r>
                    <w:rPr>
                      <w:color w:val="58595B"/>
                      <w:spacing w:val="-4"/>
                    </w:rPr>
                    <w:t>‘specialist regulator’ </w:t>
                  </w:r>
                  <w:r>
                    <w:rPr>
                      <w:color w:val="58595B"/>
                      <w:spacing w:val="-3"/>
                    </w:rPr>
                    <w:t>and the task of </w:t>
                  </w:r>
                  <w:r>
                    <w:rPr>
                      <w:color w:val="58595B"/>
                      <w:spacing w:val="-4"/>
                    </w:rPr>
                    <w:t>biodiversity protection requires </w:t>
                  </w:r>
                  <w:r>
                    <w:rPr>
                      <w:color w:val="58595B"/>
                    </w:rPr>
                    <w:t>a very </w:t>
                  </w:r>
                  <w:r>
                    <w:rPr>
                      <w:color w:val="58595B"/>
                      <w:spacing w:val="-4"/>
                    </w:rPr>
                    <w:t>different set </w:t>
                  </w:r>
                  <w:r>
                    <w:rPr>
                      <w:color w:val="58595B"/>
                      <w:spacing w:val="-3"/>
                    </w:rPr>
                    <w:t>of tools and </w:t>
                  </w:r>
                  <w:r>
                    <w:rPr>
                      <w:color w:val="58595B"/>
                      <w:spacing w:val="-4"/>
                    </w:rPr>
                    <w:t>capabilities. For </w:t>
                  </w:r>
                  <w:r>
                    <w:rPr>
                      <w:color w:val="58595B"/>
                      <w:spacing w:val="-5"/>
                    </w:rPr>
                    <w:t>example, </w:t>
                  </w:r>
                  <w:r>
                    <w:rPr>
                      <w:color w:val="58595B"/>
                      <w:spacing w:val="-4"/>
                    </w:rPr>
                    <w:t>developing threatened </w:t>
                  </w:r>
                  <w:r>
                    <w:rPr>
                      <w:color w:val="58595B"/>
                      <w:spacing w:val="-3"/>
                    </w:rPr>
                    <w:t>species conservation and recovery </w:t>
                  </w:r>
                  <w:r>
                    <w:rPr>
                      <w:color w:val="58595B"/>
                      <w:spacing w:val="-4"/>
                    </w:rPr>
                    <w:t>strategies </w:t>
                  </w:r>
                  <w:r>
                    <w:rPr>
                      <w:color w:val="58595B"/>
                      <w:spacing w:val="-3"/>
                    </w:rPr>
                    <w:t>and </w:t>
                  </w:r>
                  <w:r>
                    <w:rPr>
                      <w:color w:val="58595B"/>
                      <w:spacing w:val="-4"/>
                    </w:rPr>
                    <w:t>other elements </w:t>
                  </w:r>
                  <w:r>
                    <w:rPr>
                      <w:color w:val="58595B"/>
                      <w:spacing w:val="-3"/>
                    </w:rPr>
                    <w:t>of </w:t>
                  </w:r>
                  <w:r>
                    <w:rPr>
                      <w:color w:val="58595B"/>
                      <w:spacing w:val="-4"/>
                    </w:rPr>
                    <w:t>biodiversity </w:t>
                  </w:r>
                  <w:r>
                    <w:rPr>
                      <w:color w:val="58595B"/>
                      <w:spacing w:val="-3"/>
                    </w:rPr>
                    <w:t>conservation </w:t>
                  </w:r>
                  <w:r>
                    <w:rPr>
                      <w:color w:val="58595B"/>
                      <w:spacing w:val="-5"/>
                    </w:rPr>
                    <w:t>have </w:t>
                  </w:r>
                  <w:r>
                    <w:rPr>
                      <w:color w:val="58595B"/>
                      <w:spacing w:val="-4"/>
                    </w:rPr>
                    <w:t>highly </w:t>
                  </w:r>
                  <w:r>
                    <w:rPr>
                      <w:color w:val="58595B"/>
                      <w:spacing w:val="-3"/>
                    </w:rPr>
                    <w:t>specific </w:t>
                  </w:r>
                  <w:r>
                    <w:rPr>
                      <w:color w:val="58595B"/>
                      <w:spacing w:val="-4"/>
                    </w:rPr>
                    <w:t>requirements </w:t>
                  </w:r>
                  <w:r>
                    <w:rPr>
                      <w:color w:val="58595B"/>
                      <w:spacing w:val="-3"/>
                    </w:rPr>
                    <w:t>for</w:t>
                  </w:r>
                </w:p>
                <w:p>
                  <w:pPr>
                    <w:pStyle w:val="BodyText"/>
                    <w:spacing w:before="2"/>
                    <w:rPr>
                      <w:sz w:val="11"/>
                    </w:rPr>
                  </w:pPr>
                  <w:r>
                    <w:rPr>
                      <w:color w:val="58595B"/>
                      <w:spacing w:val="-4"/>
                    </w:rPr>
                    <w:t>information </w:t>
                  </w:r>
                  <w:r>
                    <w:rPr>
                      <w:color w:val="58595B"/>
                      <w:spacing w:val="-3"/>
                    </w:rPr>
                    <w:t>and scientific expertise and </w:t>
                  </w:r>
                  <w:r>
                    <w:rPr>
                      <w:color w:val="58595B"/>
                      <w:spacing w:val="-5"/>
                    </w:rPr>
                    <w:t>involve </w:t>
                  </w:r>
                  <w:r>
                    <w:rPr>
                      <w:color w:val="58595B"/>
                    </w:rPr>
                    <w:t>an </w:t>
                  </w:r>
                  <w:r>
                    <w:rPr>
                      <w:color w:val="58595B"/>
                      <w:spacing w:val="-4"/>
                    </w:rPr>
                    <w:t>array </w:t>
                  </w:r>
                  <w:r>
                    <w:rPr>
                      <w:color w:val="58595B"/>
                      <w:spacing w:val="-3"/>
                    </w:rPr>
                    <w:t>of </w:t>
                  </w:r>
                  <w:r>
                    <w:rPr>
                      <w:color w:val="58595B"/>
                      <w:spacing w:val="-4"/>
                    </w:rPr>
                    <w:t>targeted </w:t>
                  </w:r>
                  <w:r>
                    <w:rPr>
                      <w:color w:val="58595B"/>
                      <w:spacing w:val="-3"/>
                    </w:rPr>
                    <w:t>regulatory and </w:t>
                  </w:r>
                  <w:r>
                    <w:rPr>
                      <w:color w:val="58595B"/>
                      <w:spacing w:val="-4"/>
                    </w:rPr>
                    <w:t>other </w:t>
                  </w:r>
                  <w:r>
                    <w:rPr>
                      <w:color w:val="58595B"/>
                      <w:spacing w:val="-6"/>
                    </w:rPr>
                    <w:t>instruments.</w:t>
                  </w:r>
                  <w:r>
                    <w:rPr>
                      <w:color w:val="58595B"/>
                      <w:spacing w:val="-6"/>
                      <w:position w:val="7"/>
                      <w:sz w:val="11"/>
                    </w:rPr>
                    <w:t>14</w:t>
                  </w:r>
                </w:p>
              </w:txbxContent>
            </v:textbox>
            <w10:wrap type="none"/>
          </v:shape>
        </w:pict>
      </w:r>
      <w:r>
        <w:rPr/>
        <w:pict>
          <v:shape style="position:absolute;margin-left:118.055099pt;margin-top:739.437256pt;width:376.65pt;height:52.5pt;mso-position-horizontal-relative:page;mso-position-vertical-relative:page;z-index:-205528" type="#_x0000_t202" filled="false" stroked="false">
            <v:textbox inset="0,0,0,0">
              <w:txbxContent>
                <w:p>
                  <w:pPr>
                    <w:spacing w:line="280" w:lineRule="auto" w:before="0"/>
                    <w:ind w:left="20" w:right="21" w:firstLine="0"/>
                    <w:jc w:val="left"/>
                    <w:rPr>
                      <w:sz w:val="11"/>
                    </w:rPr>
                  </w:pPr>
                  <w:r>
                    <w:rPr>
                      <w:i/>
                      <w:color w:val="231F20"/>
                      <w:sz w:val="20"/>
                    </w:rPr>
                    <w:t>[P])aramount to the implementation and operation of any regulatory regime is having a well-developed understanding of the operating environment and risks being addressed. Regulation is not a one-size-fits-all approach, and different strategies and approaches are required to address different</w:t>
                  </w:r>
                  <w:r>
                    <w:rPr>
                      <w:i/>
                      <w:color w:val="231F20"/>
                      <w:spacing w:val="2"/>
                      <w:sz w:val="20"/>
                    </w:rPr>
                    <w:t> </w:t>
                  </w:r>
                  <w:r>
                    <w:rPr>
                      <w:i/>
                      <w:color w:val="231F20"/>
                      <w:sz w:val="20"/>
                    </w:rPr>
                    <w:t>risks.</w:t>
                  </w:r>
                  <w:r>
                    <w:rPr>
                      <w:color w:val="231F20"/>
                      <w:position w:val="7"/>
                      <w:sz w:val="11"/>
                    </w:rPr>
                    <w:t>15</w:t>
                  </w:r>
                </w:p>
              </w:txbxContent>
            </v:textbox>
            <w10:wrap type="none"/>
          </v:shape>
        </w:pict>
      </w:r>
      <w:r>
        <w:rPr/>
        <w:pict>
          <v:shape style="position:absolute;margin-left:534.996094pt;margin-top:44.090015pt;width:60.3pt;height:5.25pt;mso-position-horizontal-relative:page;mso-position-vertical-relative:page;z-index:-20550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5480"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05456" from=".0pt,45.840015pt" to="60.2791pt,45.840015pt" stroked="true" strokeweight="7pt" strokecolor="#0095a7">
            <w10:wrap type="none"/>
          </v:line>
        </w:pict>
      </w:r>
      <w:r>
        <w:rPr/>
        <w:pict>
          <v:rect style="position:absolute;margin-left:70.865997pt;margin-top:166.836014pt;width:432.701pt;height:507.312pt;mso-position-horizontal-relative:page;mso-position-vertical-relative:page;z-index:-205432" filled="true" fillcolor="#eaf2f3" stroked="false">
            <v:fill type="solid"/>
            <w10:wrap type="none"/>
          </v:rect>
        </w:pict>
      </w:r>
      <w:r>
        <w:rPr/>
        <w:pict>
          <v:shape style="position:absolute;margin-left:69.866096pt;margin-top:40.902756pt;width:10.9pt;height:9.5pt;mso-position-horizontal-relative:page;mso-position-vertical-relative:page;z-index:-205408" type="#_x0000_t202" filled="false" stroked="false">
            <v:textbox inset="0,0,0,0">
              <w:txbxContent>
                <w:p>
                  <w:pPr>
                    <w:spacing w:before="1"/>
                    <w:ind w:left="20" w:right="0" w:firstLine="0"/>
                    <w:jc w:val="left"/>
                    <w:rPr>
                      <w:sz w:val="15"/>
                    </w:rPr>
                  </w:pPr>
                  <w:r>
                    <w:rPr>
                      <w:color w:val="58595B"/>
                      <w:sz w:val="15"/>
                    </w:rPr>
                    <w:t>84</w:t>
                  </w:r>
                </w:p>
              </w:txbxContent>
            </v:textbox>
            <w10:wrap type="none"/>
          </v:shape>
        </w:pict>
      </w:r>
      <w:r>
        <w:rPr/>
        <w:pict>
          <v:shape style="position:absolute;margin-left:95.377899pt;margin-top:40.902756pt;width:147.75pt;height:9.5pt;mso-position-horizontal-relative:page;mso-position-vertical-relative:page;z-index:-205384"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27.25pt;height:52.5pt;mso-position-horizontal-relative:page;mso-position-vertical-relative:page;z-index:-205360" type="#_x0000_t202" filled="false" stroked="false">
            <v:textbox inset="0,0,0,0">
              <w:txbxContent>
                <w:p>
                  <w:pPr>
                    <w:pStyle w:val="BodyText"/>
                    <w:spacing w:line="280" w:lineRule="auto"/>
                  </w:pPr>
                  <w:r>
                    <w:rPr>
                      <w:color w:val="58595B"/>
                    </w:rPr>
                    <w:t>We recognise that pollution and waste must be defined carefully in the legislation. This will need to capture pollution of the air, land and waterways by emissions, discharges and the production of waste of various kinds, and also of greenhouse gas emissions (noting that greenhouse gas emissions are currently defined as waste in the EP Act).</w:t>
                  </w:r>
                </w:p>
              </w:txbxContent>
            </v:textbox>
            <w10:wrap type="none"/>
          </v:shape>
        </w:pict>
      </w:r>
      <w:r>
        <w:rPr/>
        <w:pict>
          <v:shape style="position:absolute;margin-left:70.865997pt;margin-top:166.836014pt;width:432.7pt;height:507.35pt;mso-position-horizontal-relative:page;mso-position-vertical-relative:page;z-index:-205336" type="#_x0000_t202" filled="false" stroked="false">
            <v:textbox inset="0,0,0,0">
              <w:txbxContent>
                <w:p>
                  <w:pPr>
                    <w:pStyle w:val="BodyText"/>
                    <w:spacing w:line="280" w:lineRule="auto" w:before="128"/>
                    <w:ind w:left="170" w:right="1718"/>
                  </w:pPr>
                  <w:r>
                    <w:rPr>
                      <w:b/>
                      <w:color w:val="0095A7"/>
                    </w:rPr>
                    <w:t>BOX 5.1 </w:t>
                  </w:r>
                  <w:r>
                    <w:rPr>
                      <w:color w:val="0095A7"/>
                    </w:rPr>
                    <w:t>THE EPA’S ROLE IN WHOLE-OF-ENVIRONMENT REGULATION AND MANAGEMENT</w:t>
                  </w:r>
                </w:p>
                <w:p>
                  <w:pPr>
                    <w:spacing w:line="280" w:lineRule="auto" w:before="172"/>
                    <w:ind w:left="737" w:right="1039" w:firstLine="0"/>
                    <w:jc w:val="left"/>
                    <w:rPr>
                      <w:sz w:val="11"/>
                    </w:rPr>
                  </w:pPr>
                  <w:r>
                    <w:rPr>
                      <w:i/>
                      <w:color w:val="231F20"/>
                      <w:sz w:val="20"/>
                    </w:rPr>
                    <w:t>Environmental issues arise from interactions between human and natural systems, both of which are characterised by considerable complexity and uncertainty. Attempts to achieve desirable outcomes through policy or management interventions in these systems are rarely simple tasks with clear cause-and-effect linkages or single impacts.</w:t>
                  </w:r>
                  <w:r>
                    <w:rPr>
                      <w:color w:val="231F20"/>
                      <w:position w:val="7"/>
                      <w:sz w:val="11"/>
                    </w:rPr>
                    <w:t>16</w:t>
                  </w:r>
                </w:p>
                <w:p>
                  <w:pPr>
                    <w:pStyle w:val="BodyText"/>
                    <w:spacing w:line="280" w:lineRule="auto" w:before="172"/>
                    <w:ind w:left="170" w:right="491"/>
                  </w:pPr>
                  <w:r>
                    <w:rPr>
                      <w:color w:val="58595B"/>
                    </w:rPr>
                    <w:t>The complexity of the environment, and our interactions and potential impacts on it, provides the strongest argument for why its management and protection is best devolved across government – providing for specialist expertise and targeted interventions, and also for consideration of the environment to be integrated into a wide range of government processes and decision making. Alongside the EP Act, separate legislation </w:t>
                  </w:r>
                  <w:r>
                    <w:rPr>
                      <w:color w:val="58595B"/>
                      <w:spacing w:val="16"/>
                    </w:rPr>
                    <w:t> </w:t>
                  </w:r>
                  <w:r>
                    <w:rPr>
                      <w:color w:val="58595B"/>
                    </w:rPr>
                    <w:t>addresses</w:t>
                  </w:r>
                </w:p>
                <w:p>
                  <w:pPr>
                    <w:pStyle w:val="BodyText"/>
                    <w:spacing w:line="280" w:lineRule="auto" w:before="2"/>
                    <w:ind w:left="170" w:right="277"/>
                  </w:pPr>
                  <w:r>
                    <w:rPr>
                      <w:color w:val="58595B"/>
                    </w:rPr>
                    <w:t>specific environmental segments and problems, including: the </w:t>
                  </w:r>
                  <w:r>
                    <w:rPr>
                      <w:i/>
                      <w:color w:val="58595B"/>
                    </w:rPr>
                    <w:t>Flora and Fauna Guarantee Act 1988</w:t>
                  </w:r>
                  <w:r>
                    <w:rPr>
                      <w:color w:val="58595B"/>
                    </w:rPr>
                    <w:t>; native vegetation regulations under the </w:t>
                  </w:r>
                  <w:r>
                    <w:rPr>
                      <w:i/>
                      <w:color w:val="58595B"/>
                    </w:rPr>
                    <w:t>Planning and Environment Act 1987</w:t>
                  </w:r>
                  <w:r>
                    <w:rPr>
                      <w:color w:val="58595B"/>
                    </w:rPr>
                    <w:t>; the </w:t>
                  </w:r>
                  <w:r>
                    <w:rPr>
                      <w:i/>
                      <w:color w:val="58595B"/>
                    </w:rPr>
                    <w:t>Fisheries Management Act 1991 </w:t>
                  </w:r>
                  <w:r>
                    <w:rPr>
                      <w:color w:val="58595B"/>
                    </w:rPr>
                    <w:t>and the </w:t>
                  </w:r>
                  <w:r>
                    <w:rPr>
                      <w:i/>
                      <w:color w:val="58595B"/>
                    </w:rPr>
                    <w:t>Coastal Management Act 1995</w:t>
                  </w:r>
                  <w:r>
                    <w:rPr>
                      <w:color w:val="58595B"/>
                    </w:rPr>
                    <w:t>. Other parts of government are also responsible for protecting the environment as part of their roles in land use planning,</w:t>
                  </w:r>
                  <w:r>
                    <w:rPr>
                      <w:color w:val="58595B"/>
                      <w:position w:val="7"/>
                      <w:sz w:val="11"/>
                    </w:rPr>
                    <w:t>17 </w:t>
                  </w:r>
                  <w:r>
                    <w:rPr>
                      <w:color w:val="58595B"/>
                    </w:rPr>
                    <w:t>water supply,</w:t>
                  </w:r>
                  <w:r>
                    <w:rPr>
                      <w:color w:val="58595B"/>
                      <w:position w:val="7"/>
                      <w:sz w:val="11"/>
                    </w:rPr>
                    <w:t>18 </w:t>
                  </w:r>
                  <w:r>
                    <w:rPr>
                      <w:color w:val="58595B"/>
                    </w:rPr>
                    <w:t>forestry,</w:t>
                  </w:r>
                  <w:r>
                    <w:rPr>
                      <w:color w:val="58595B"/>
                      <w:position w:val="7"/>
                      <w:sz w:val="11"/>
                    </w:rPr>
                    <w:t>19 </w:t>
                  </w:r>
                  <w:r>
                    <w:rPr>
                      <w:color w:val="58595B"/>
                    </w:rPr>
                    <w:t>mining,</w:t>
                  </w:r>
                  <w:r>
                    <w:rPr>
                      <w:color w:val="58595B"/>
                      <w:position w:val="7"/>
                      <w:sz w:val="11"/>
                    </w:rPr>
                    <w:t>20 </w:t>
                  </w:r>
                  <w:r>
                    <w:rPr>
                      <w:color w:val="58595B"/>
                    </w:rPr>
                    <w:t>and provision of transport.</w:t>
                  </w:r>
                  <w:r>
                    <w:rPr>
                      <w:color w:val="58595B"/>
                      <w:position w:val="7"/>
                      <w:sz w:val="11"/>
                    </w:rPr>
                    <w:t>21 </w:t>
                  </w:r>
                  <w:r>
                    <w:rPr>
                      <w:color w:val="58595B"/>
                    </w:rPr>
                    <w:t>Protecting the environment is complex, reflecting the complexity of natural systems and their interactions with human activities. We better understand this complexity now than when the EP Act was enacted 40 years ago, and Victoria’s extensive environment protection framework reflects this understanding.</w:t>
                  </w:r>
                </w:p>
                <w:p>
                  <w:pPr>
                    <w:pStyle w:val="BodyText"/>
                    <w:spacing w:before="172"/>
                    <w:ind w:left="170" w:right="277"/>
                  </w:pPr>
                  <w:r>
                    <w:rPr>
                      <w:color w:val="58595B"/>
                    </w:rPr>
                    <w:t>Retaining this multi-agency approach ensures that:</w:t>
                  </w:r>
                </w:p>
                <w:p>
                  <w:pPr>
                    <w:pStyle w:val="ListParagraph"/>
                    <w:numPr>
                      <w:ilvl w:val="0"/>
                      <w:numId w:val="9"/>
                    </w:numPr>
                    <w:tabs>
                      <w:tab w:pos="341" w:val="left" w:leader="none"/>
                    </w:tabs>
                    <w:spacing w:line="280" w:lineRule="auto" w:before="153" w:after="0"/>
                    <w:ind w:left="340" w:right="196" w:hanging="170"/>
                    <w:jc w:val="left"/>
                    <w:rPr>
                      <w:sz w:val="20"/>
                    </w:rPr>
                  </w:pPr>
                  <w:r>
                    <w:rPr>
                      <w:color w:val="58595B"/>
                      <w:sz w:val="20"/>
                    </w:rPr>
                    <w:t>the </w:t>
                  </w:r>
                  <w:r>
                    <w:rPr>
                      <w:color w:val="58595B"/>
                      <w:spacing w:val="-4"/>
                      <w:sz w:val="20"/>
                    </w:rPr>
                    <w:t>EPA </w:t>
                  </w:r>
                  <w:r>
                    <w:rPr>
                      <w:color w:val="58595B"/>
                      <w:sz w:val="20"/>
                    </w:rPr>
                    <w:t>and other </w:t>
                  </w:r>
                  <w:r>
                    <w:rPr>
                      <w:color w:val="58595B"/>
                      <w:spacing w:val="-3"/>
                      <w:sz w:val="20"/>
                    </w:rPr>
                    <w:t>key </w:t>
                  </w:r>
                  <w:r>
                    <w:rPr>
                      <w:color w:val="58595B"/>
                      <w:sz w:val="20"/>
                    </w:rPr>
                    <w:t>environment regulators, such as </w:t>
                  </w:r>
                  <w:r>
                    <w:rPr>
                      <w:color w:val="58595B"/>
                      <w:spacing w:val="-6"/>
                      <w:sz w:val="20"/>
                    </w:rPr>
                    <w:t>DELWP, </w:t>
                  </w:r>
                  <w:r>
                    <w:rPr>
                      <w:color w:val="58595B"/>
                      <w:sz w:val="20"/>
                    </w:rPr>
                    <w:t>can bring to their respective tasks the required specialist knowledge and understanding of the market failures and risk, and specifically designed and targeted regulatory</w:t>
                  </w:r>
                  <w:r>
                    <w:rPr>
                      <w:color w:val="58595B"/>
                      <w:spacing w:val="21"/>
                      <w:sz w:val="20"/>
                    </w:rPr>
                    <w:t> </w:t>
                  </w:r>
                  <w:r>
                    <w:rPr>
                      <w:color w:val="58595B"/>
                      <w:sz w:val="20"/>
                    </w:rPr>
                    <w:t>tools</w:t>
                  </w:r>
                </w:p>
                <w:p>
                  <w:pPr>
                    <w:pStyle w:val="ListParagraph"/>
                    <w:numPr>
                      <w:ilvl w:val="0"/>
                      <w:numId w:val="9"/>
                    </w:numPr>
                    <w:tabs>
                      <w:tab w:pos="341" w:val="left" w:leader="none"/>
                    </w:tabs>
                    <w:spacing w:line="280" w:lineRule="auto" w:before="115" w:after="0"/>
                    <w:ind w:left="340" w:right="515" w:hanging="170"/>
                    <w:jc w:val="left"/>
                    <w:rPr>
                      <w:sz w:val="20"/>
                    </w:rPr>
                  </w:pPr>
                  <w:r>
                    <w:rPr>
                      <w:color w:val="58595B"/>
                      <w:sz w:val="20"/>
                    </w:rPr>
                    <w:t>other parts of government bear responsibility for environment protection and continue to integrate environmental considerations into their decision</w:t>
                  </w:r>
                  <w:r>
                    <w:rPr>
                      <w:color w:val="58595B"/>
                      <w:spacing w:val="2"/>
                      <w:sz w:val="20"/>
                    </w:rPr>
                    <w:t> </w:t>
                  </w:r>
                  <w:r>
                    <w:rPr>
                      <w:color w:val="58595B"/>
                      <w:sz w:val="20"/>
                    </w:rPr>
                    <w:t>making</w:t>
                  </w:r>
                </w:p>
                <w:p>
                  <w:pPr>
                    <w:pStyle w:val="ListParagraph"/>
                    <w:numPr>
                      <w:ilvl w:val="0"/>
                      <w:numId w:val="9"/>
                    </w:numPr>
                    <w:tabs>
                      <w:tab w:pos="341" w:val="left" w:leader="none"/>
                    </w:tabs>
                    <w:spacing w:line="280" w:lineRule="auto" w:before="115" w:after="0"/>
                    <w:ind w:left="340" w:right="179" w:hanging="170"/>
                    <w:jc w:val="left"/>
                    <w:rPr>
                      <w:sz w:val="20"/>
                    </w:rPr>
                  </w:pPr>
                  <w:r>
                    <w:rPr>
                      <w:color w:val="58595B"/>
                      <w:sz w:val="20"/>
                    </w:rPr>
                    <w:t>a range of regulatory and other interventions are available to protect the environment, some of which lie in the hands of other regulators, such as land use</w:t>
                  </w:r>
                  <w:r>
                    <w:rPr>
                      <w:color w:val="58595B"/>
                      <w:spacing w:val="-1"/>
                      <w:sz w:val="20"/>
                    </w:rPr>
                    <w:t> </w:t>
                  </w:r>
                  <w:r>
                    <w:rPr>
                      <w:color w:val="58595B"/>
                      <w:sz w:val="20"/>
                    </w:rPr>
                    <w:t>planners.</w:t>
                  </w:r>
                </w:p>
                <w:p>
                  <w:pPr>
                    <w:pStyle w:val="BodyText"/>
                    <w:spacing w:line="280" w:lineRule="auto" w:before="172"/>
                    <w:ind w:left="170" w:right="466"/>
                  </w:pPr>
                  <w:r>
                    <w:rPr>
                      <w:color w:val="58595B"/>
                      <w:spacing w:val="-8"/>
                    </w:rPr>
                    <w:t>To </w:t>
                  </w:r>
                  <w:r>
                    <w:rPr>
                      <w:color w:val="58595B"/>
                    </w:rPr>
                    <w:t>maximise these benefits, the current disaggregated system requires leadership from DELWP and established mechanisms for coordination and collaboration. These issues  are important for the effectiveness of the </w:t>
                  </w:r>
                  <w:r>
                    <w:rPr>
                      <w:color w:val="58595B"/>
                      <w:spacing w:val="-4"/>
                    </w:rPr>
                    <w:t>EPA </w:t>
                  </w:r>
                  <w:r>
                    <w:rPr>
                      <w:color w:val="58595B"/>
                    </w:rPr>
                    <w:t>as well as for other parts of the environment protection system. Chapter 7 outlines our proposals for these issues.</w:t>
                  </w:r>
                </w:p>
              </w:txbxContent>
            </v:textbox>
            <w10:wrap type="none"/>
          </v:shape>
        </w:pict>
      </w:r>
      <w:r>
        <w:rPr/>
        <w:pict>
          <v:shape style="position:absolute;margin-left:.0pt;margin-top:44.090015pt;width:60.3pt;height:5.25pt;mso-position-horizontal-relative:page;mso-position-vertical-relative:page;z-index:-20531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05288"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05264" from="534.996094pt,45.840015pt" to="595.276001pt,45.840015pt" stroked="true" strokeweight="7pt" strokecolor="#0095a7">
            <w10:wrap type="none"/>
          </v:line>
        </w:pict>
      </w:r>
      <w:r>
        <w:rPr/>
        <w:pict>
          <v:shape style="position:absolute;margin-left:240.990097pt;margin-top:40.902756pt;width:258.9pt;height:9.5pt;mso-position-horizontal-relative:page;mso-position-vertical-relative:page;z-index:-205240" type="#_x0000_t202" filled="false" stroked="false">
            <v:textbox inset="0,0,0,0">
              <w:txbxContent>
                <w:p>
                  <w:pPr>
                    <w:spacing w:before="1"/>
                    <w:ind w:left="20" w:right="0" w:firstLine="0"/>
                    <w:jc w:val="left"/>
                    <w:rPr>
                      <w:sz w:val="15"/>
                    </w:rPr>
                  </w:pPr>
                  <w:r>
                    <w:rPr>
                      <w:color w:val="58595B"/>
                      <w:sz w:val="15"/>
                    </w:rPr>
                    <w:t>CHAPTER 5    CLARIFYING THE EPA’S OBJECTIVES AND FUNCTIONS</w:t>
                  </w:r>
                </w:p>
              </w:txbxContent>
            </v:textbox>
            <w10:wrap type="none"/>
          </v:shape>
        </w:pict>
      </w:r>
      <w:r>
        <w:rPr/>
        <w:pict>
          <v:shape style="position:absolute;margin-left:514.882629pt;margin-top:40.902756pt;width:10.7pt;height:9.5pt;mso-position-horizontal-relative:page;mso-position-vertical-relative:page;z-index:-205216" type="#_x0000_t202" filled="false" stroked="false">
            <v:textbox inset="0,0,0,0">
              <w:txbxContent>
                <w:p>
                  <w:pPr>
                    <w:spacing w:before="1"/>
                    <w:ind w:left="20" w:right="0" w:firstLine="0"/>
                    <w:jc w:val="left"/>
                    <w:rPr>
                      <w:sz w:val="15"/>
                    </w:rPr>
                  </w:pPr>
                  <w:r>
                    <w:rPr>
                      <w:color w:val="58595B"/>
                      <w:sz w:val="15"/>
                    </w:rPr>
                    <w:t>85</w:t>
                  </w:r>
                </w:p>
              </w:txbxContent>
            </v:textbox>
            <w10:wrap type="none"/>
          </v:shape>
        </w:pict>
      </w:r>
      <w:r>
        <w:rPr/>
        <w:pict>
          <v:shape style="position:absolute;margin-left:89.708603pt;margin-top:105.893967pt;width:399.4pt;height:56.75pt;mso-position-horizontal-relative:page;mso-position-vertical-relative:page;z-index:-205192" type="#_x0000_t202" filled="false" stroked="false">
            <v:textbox inset="0,0,0,0">
              <w:txbxContent>
                <w:p>
                  <w:pPr>
                    <w:spacing w:line="224" w:lineRule="exact" w:before="0"/>
                    <w:ind w:left="20" w:right="0" w:firstLine="0"/>
                    <w:jc w:val="left"/>
                    <w:rPr>
                      <w:i/>
                      <w:sz w:val="20"/>
                    </w:rPr>
                  </w:pPr>
                  <w:r>
                    <w:rPr>
                      <w:i/>
                      <w:color w:val="6D6E71"/>
                      <w:sz w:val="20"/>
                    </w:rPr>
                    <w:t>Clarifying accountability for environmental risks to human health</w:t>
                  </w:r>
                </w:p>
                <w:p>
                  <w:pPr>
                    <w:spacing w:line="280" w:lineRule="auto" w:before="125"/>
                    <w:ind w:left="587" w:right="17" w:firstLine="0"/>
                    <w:jc w:val="both"/>
                    <w:rPr>
                      <w:sz w:val="11"/>
                    </w:rPr>
                  </w:pPr>
                  <w:r>
                    <w:rPr>
                      <w:i/>
                      <w:color w:val="231F20"/>
                      <w:sz w:val="20"/>
                    </w:rPr>
                    <w:t>Australians are suffering ill health and Australia is incurring economic loss because of grossly inadequate assessment and management of the health harms caused by resource and other major developments.</w:t>
                  </w:r>
                  <w:r>
                    <w:rPr>
                      <w:color w:val="231F20"/>
                      <w:position w:val="7"/>
                      <w:sz w:val="11"/>
                    </w:rPr>
                    <w:t>22</w:t>
                  </w:r>
                </w:p>
              </w:txbxContent>
            </v:textbox>
            <w10:wrap type="none"/>
          </v:shape>
        </w:pict>
      </w:r>
      <w:r>
        <w:rPr/>
        <w:pict>
          <v:shape style="position:absolute;margin-left:118.055099pt;margin-top:172.649872pt;width:370.9pt;height:66pt;mso-position-horizontal-relative:page;mso-position-vertical-relative:page;z-index:-205168" type="#_x0000_t202" filled="false" stroked="false">
            <v:textbox inset="0,0,0,0">
              <w:txbxContent>
                <w:p>
                  <w:pPr>
                    <w:spacing w:line="280" w:lineRule="auto" w:before="0"/>
                    <w:ind w:left="20" w:right="7" w:firstLine="0"/>
                    <w:jc w:val="left"/>
                    <w:rPr>
                      <w:sz w:val="20"/>
                    </w:rPr>
                  </w:pPr>
                  <w:r>
                    <w:rPr>
                      <w:i/>
                      <w:color w:val="231F20"/>
                      <w:sz w:val="20"/>
                    </w:rPr>
                    <w:t>Victoria needs an Environment Protection Authority that does exactly that: protects Victoria’s environment with respect to matters that have potential public health consequences, whether today, in the near or long term future, across impact issues such as air quality, water quality, contaminated land and waste. </w:t>
                  </w:r>
                  <w:r>
                    <w:rPr>
                      <w:color w:val="231F20"/>
                      <w:sz w:val="20"/>
                    </w:rPr>
                    <w:t>(Professor John Stanley submission, p. 3)</w:t>
                  </w:r>
                </w:p>
              </w:txbxContent>
            </v:textbox>
            <w10:wrap type="none"/>
          </v:shape>
        </w:pict>
      </w:r>
      <w:r>
        <w:rPr/>
        <w:pict>
          <v:shape style="position:absolute;margin-left:89.705101pt;margin-top:248.649872pt;width:434.95pt;height:79.5pt;mso-position-horizontal-relative:page;mso-position-vertical-relative:page;z-index:-205144" type="#_x0000_t202" filled="false" stroked="false">
            <v:textbox inset="0,0,0,0">
              <w:txbxContent>
                <w:p>
                  <w:pPr>
                    <w:pStyle w:val="BodyText"/>
                    <w:spacing w:line="280" w:lineRule="auto"/>
                    <w:ind w:right="18"/>
                  </w:pPr>
                  <w:r>
                    <w:rPr>
                      <w:color w:val="58595B"/>
                    </w:rPr>
                    <w:t>Next, we need to ask </w:t>
                  </w:r>
                  <w:r>
                    <w:rPr>
                      <w:i/>
                      <w:color w:val="58595B"/>
                    </w:rPr>
                    <w:t>why </w:t>
                  </w:r>
                  <w:r>
                    <w:rPr>
                      <w:color w:val="58595B"/>
                    </w:rPr>
                    <w:t>should the EPA control pollution and waste. The clear message from the analysis and advice (from experts, in public consultation discussions and submissions, and in discussions within government) is the primacy of the EPA’s role as a protector of human health. We consider the legislation should recognise explicitly this role; the current EP Act does not.</w:t>
                  </w:r>
                </w:p>
                <w:p>
                  <w:pPr>
                    <w:pStyle w:val="BodyText"/>
                    <w:spacing w:line="280" w:lineRule="auto" w:before="2"/>
                    <w:ind w:right="-12"/>
                  </w:pPr>
                  <w:r>
                    <w:rPr>
                      <w:color w:val="58595B"/>
                    </w:rPr>
                    <w:t>Specifically, the EPA’s key task is to manage risks of harm to human health as a result of pollution and waste.</w:t>
                  </w:r>
                </w:p>
              </w:txbxContent>
            </v:textbox>
            <w10:wrap type="none"/>
          </v:shape>
        </w:pict>
      </w:r>
      <w:r>
        <w:rPr/>
        <w:pict>
          <v:shape style="position:absolute;margin-left:89.705101pt;margin-top:338.149872pt;width:419.55pt;height:39pt;mso-position-horizontal-relative:page;mso-position-vertical-relative:page;z-index:-205120" type="#_x0000_t202" filled="false" stroked="false">
            <v:textbox inset="0,0,0,0">
              <w:txbxContent>
                <w:p>
                  <w:pPr>
                    <w:pStyle w:val="BodyText"/>
                    <w:spacing w:line="280" w:lineRule="auto"/>
                    <w:ind w:right="17"/>
                    <w:jc w:val="both"/>
                  </w:pPr>
                  <w:r>
                    <w:rPr>
                      <w:color w:val="58595B"/>
                    </w:rPr>
                    <w:t>Clearly, human health and the health of the environment are very closely linked, but the EPA’s primary focus should be on the risk of harm to people. Environmental health, properly defined, is at the core of the EPA task, comprising:</w:t>
                  </w:r>
                </w:p>
              </w:txbxContent>
            </v:textbox>
            <w10:wrap type="none"/>
          </v:shape>
        </w:pict>
      </w:r>
      <w:r>
        <w:rPr/>
        <w:pict>
          <v:shape style="position:absolute;margin-left:118.055099pt;margin-top:387.149872pt;width:378.85pt;height:66pt;mso-position-horizontal-relative:page;mso-position-vertical-relative:page;z-index:-205096" type="#_x0000_t202" filled="false" stroked="false">
            <v:textbox inset="0,0,0,0">
              <w:txbxContent>
                <w:p>
                  <w:pPr>
                    <w:spacing w:line="280" w:lineRule="auto" w:before="0"/>
                    <w:ind w:left="20" w:right="0" w:firstLine="0"/>
                    <w:jc w:val="left"/>
                    <w:rPr>
                      <w:sz w:val="11"/>
                    </w:rPr>
                  </w:pPr>
                  <w:r>
                    <w:rPr>
                      <w:i/>
                      <w:color w:val="231F20"/>
                      <w:sz w:val="20"/>
                    </w:rPr>
                    <w:t>… those aspects of human health and disease that are determined by factors in the environment including both the direct pathological effects of chemicals, radiation and some biological agents, and the effects (often indirect) on health and wellbeing of the broad physical, psychological, social and aesthetic environment (including housing, urban development, land use and transport).</w:t>
                  </w:r>
                  <w:r>
                    <w:rPr>
                      <w:color w:val="231F20"/>
                      <w:position w:val="7"/>
                      <w:sz w:val="11"/>
                    </w:rPr>
                    <w:t>23</w:t>
                  </w:r>
                </w:p>
              </w:txbxContent>
            </v:textbox>
            <w10:wrap type="none"/>
          </v:shape>
        </w:pict>
      </w:r>
      <w:r>
        <w:rPr/>
        <w:pict>
          <v:shape style="position:absolute;margin-left:89.708603pt;margin-top:463.165558pt;width:429.4pt;height:52.5pt;mso-position-horizontal-relative:page;mso-position-vertical-relative:page;z-index:-205072" type="#_x0000_t202" filled="false" stroked="false">
            <v:textbox inset="0,0,0,0">
              <w:txbxContent>
                <w:p>
                  <w:pPr>
                    <w:pStyle w:val="BodyText"/>
                    <w:spacing w:line="280" w:lineRule="auto"/>
                  </w:pPr>
                  <w:r>
                    <w:rPr>
                      <w:color w:val="58595B"/>
                    </w:rPr>
                    <w:t>The fields of environmental health and environmental protection overlap, given the intrinsic links between environmental sustainability, ecosystem health and human health outcomes. These fields must be brought together in much of the </w:t>
                  </w:r>
                  <w:r>
                    <w:rPr>
                      <w:color w:val="58595B"/>
                      <w:spacing w:val="-7"/>
                    </w:rPr>
                    <w:t>EPA’s </w:t>
                  </w:r>
                  <w:r>
                    <w:rPr>
                      <w:color w:val="58595B"/>
                    </w:rPr>
                    <w:t>work, but the </w:t>
                  </w:r>
                  <w:r>
                    <w:rPr>
                      <w:color w:val="58595B"/>
                      <w:spacing w:val="-7"/>
                    </w:rPr>
                    <w:t>EPA’s </w:t>
                  </w:r>
                  <w:r>
                    <w:rPr>
                      <w:color w:val="58595B"/>
                    </w:rPr>
                    <w:t>formal objective should have ‘people’ as a primary focus.</w:t>
                  </w:r>
                </w:p>
              </w:txbxContent>
            </v:textbox>
            <w10:wrap type="none"/>
          </v:shape>
        </w:pict>
      </w:r>
      <w:r>
        <w:rPr/>
        <w:pict>
          <v:shape style="position:absolute;margin-left:89.708603pt;margin-top:525.665588pt;width:398.8pt;height:39pt;mso-position-horizontal-relative:page;mso-position-vertical-relative:page;z-index:-205048" type="#_x0000_t202" filled="false" stroked="false">
            <v:textbox inset="0,0,0,0">
              <w:txbxContent>
                <w:p>
                  <w:pPr>
                    <w:pStyle w:val="BodyText"/>
                    <w:spacing w:line="280" w:lineRule="auto"/>
                  </w:pPr>
                  <w:r>
                    <w:rPr>
                      <w:color w:val="58595B"/>
                    </w:rPr>
                    <w:t>In its submission to the inquiry, Doctors for the Environment Australia supported formally recognising human health outcomes in the objective of the EPA, noting that this brings an important and different perspective to the consideration of risk.</w:t>
                  </w:r>
                </w:p>
              </w:txbxContent>
            </v:textbox>
            <w10:wrap type="none"/>
          </v:shape>
        </w:pict>
      </w:r>
      <w:r>
        <w:rPr/>
        <w:pict>
          <v:shape style="position:absolute;margin-left:118.058601pt;margin-top:574.665588pt;width:377.2pt;height:66pt;mso-position-horizontal-relative:page;mso-position-vertical-relative:page;z-index:-205024" type="#_x0000_t202" filled="false" stroked="false">
            <v:textbox inset="0,0,0,0">
              <w:txbxContent>
                <w:p>
                  <w:pPr>
                    <w:spacing w:line="280" w:lineRule="auto" w:before="0"/>
                    <w:ind w:left="20" w:right="10" w:firstLine="0"/>
                    <w:jc w:val="left"/>
                    <w:rPr>
                      <w:sz w:val="20"/>
                    </w:rPr>
                  </w:pPr>
                  <w:r>
                    <w:rPr>
                      <w:i/>
                      <w:color w:val="231F20"/>
                      <w:sz w:val="20"/>
                    </w:rPr>
                    <w:t>The work of the Victorian EPA has focused primarily on the preservation of the environment itself – an inarguably valid undertaking … However, within the existing framework, health outcomes are viewed as a secondary measure and experience tells us that environmental values are often traded for development; health outcomes should not be traded so easily. </w:t>
                  </w:r>
                  <w:r>
                    <w:rPr>
                      <w:color w:val="231F20"/>
                      <w:sz w:val="20"/>
                    </w:rPr>
                    <w:t>(submission, p. 5)</w:t>
                  </w:r>
                </w:p>
              </w:txbxContent>
            </v:textbox>
            <w10:wrap type="none"/>
          </v:shape>
        </w:pict>
      </w:r>
      <w:r>
        <w:rPr/>
        <w:pict>
          <v:shape style="position:absolute;margin-left:89.718597pt;margin-top:650.665588pt;width:423.8pt;height:25.5pt;mso-position-horizontal-relative:page;mso-position-vertical-relative:page;z-index:-205000" type="#_x0000_t202" filled="false" stroked="false">
            <v:textbox inset="0,0,0,0">
              <w:txbxContent>
                <w:p>
                  <w:pPr>
                    <w:pStyle w:val="BodyText"/>
                    <w:spacing w:line="280" w:lineRule="auto"/>
                    <w:rPr>
                      <w:sz w:val="11"/>
                    </w:rPr>
                  </w:pPr>
                  <w:r>
                    <w:rPr>
                      <w:color w:val="58595B"/>
                    </w:rPr>
                    <w:t>Human health is also central to the task of environmental regulators in many other jurisdictions, including in other Australian states and territories and overseas.</w:t>
                  </w:r>
                  <w:r>
                    <w:rPr>
                      <w:color w:val="58595B"/>
                      <w:position w:val="7"/>
                      <w:sz w:val="11"/>
                    </w:rPr>
                    <w:t>24</w:t>
                  </w:r>
                </w:p>
              </w:txbxContent>
            </v:textbox>
            <w10:wrap type="none"/>
          </v:shape>
        </w:pict>
      </w:r>
      <w:r>
        <w:rPr/>
        <w:pict>
          <v:shape style="position:absolute;margin-left:89.706497pt;margin-top:686.181396pt;width:432.85pt;height:79.5pt;mso-position-horizontal-relative:page;mso-position-vertical-relative:page;z-index:-204976" type="#_x0000_t202" filled="false" stroked="false">
            <v:textbox inset="0,0,0,0">
              <w:txbxContent>
                <w:p>
                  <w:pPr>
                    <w:pStyle w:val="BodyText"/>
                    <w:spacing w:line="280" w:lineRule="auto"/>
                    <w:ind w:right="227"/>
                  </w:pPr>
                  <w:r>
                    <w:rPr>
                      <w:color w:val="58595B"/>
                    </w:rPr>
                    <w:t>The Second Reading Speech for the Environment Protection Bill </w:t>
                  </w:r>
                  <w:r>
                    <w:rPr>
                      <w:color w:val="58595B"/>
                      <w:spacing w:val="-4"/>
                    </w:rPr>
                    <w:t>1970 </w:t>
                  </w:r>
                  <w:r>
                    <w:rPr>
                      <w:color w:val="58595B"/>
                    </w:rPr>
                    <w:t>conceived the </w:t>
                  </w:r>
                  <w:r>
                    <w:rPr>
                      <w:color w:val="58595B"/>
                      <w:spacing w:val="-4"/>
                    </w:rPr>
                    <w:t>EPA </w:t>
                  </w:r>
                  <w:r>
                    <w:rPr>
                      <w:color w:val="58595B"/>
                    </w:rPr>
                    <w:t>in  an era of obvious environmental threats to human health and amenity.</w:t>
                  </w:r>
                  <w:r>
                    <w:rPr>
                      <w:color w:val="58595B"/>
                      <w:position w:val="7"/>
                      <w:sz w:val="11"/>
                    </w:rPr>
                    <w:t>25  </w:t>
                  </w:r>
                  <w:r>
                    <w:rPr>
                      <w:color w:val="58595B"/>
                    </w:rPr>
                    <w:t>While there have</w:t>
                  </w:r>
                  <w:r>
                    <w:rPr>
                      <w:color w:val="58595B"/>
                      <w:spacing w:val="-15"/>
                    </w:rPr>
                    <w:t> </w:t>
                  </w:r>
                  <w:r>
                    <w:rPr>
                      <w:color w:val="58595B"/>
                    </w:rPr>
                    <w:t>been</w:t>
                  </w:r>
                </w:p>
                <w:p>
                  <w:pPr>
                    <w:pStyle w:val="BodyText"/>
                    <w:spacing w:line="280" w:lineRule="auto" w:before="2"/>
                    <w:ind w:right="13"/>
                  </w:pPr>
                  <w:r>
                    <w:rPr>
                      <w:color w:val="58595B"/>
                    </w:rPr>
                    <w:t>some significant improvements in areas such as air quality, environmental protection still requires a focus on risks to public health and to liveability. This focus is reflected in the ‘beneficial uses’ protected under the EP Act which include health of humans, for example, and lack of noise to allow sleep and household activities/conversation.</w:t>
                  </w:r>
                </w:p>
              </w:txbxContent>
            </v:textbox>
            <w10:wrap type="none"/>
          </v:shape>
        </w:pict>
      </w:r>
      <w:r>
        <w:rPr/>
        <w:pict>
          <v:shape style="position:absolute;margin-left:534.996094pt;margin-top:44.090015pt;width:60.3pt;height:5.25pt;mso-position-horizontal-relative:page;mso-position-vertical-relative:page;z-index:-20495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492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04904" from=".0pt,45.840015pt" to="60.2791pt,45.840015pt" stroked="true" strokeweight="7pt" strokecolor="#0095a7">
            <w10:wrap type="none"/>
          </v:line>
        </w:pict>
      </w:r>
      <w:r>
        <w:rPr/>
        <w:pict>
          <v:shape style="position:absolute;margin-left:69.866096pt;margin-top:40.902756pt;width:10.8pt;height:9.5pt;mso-position-horizontal-relative:page;mso-position-vertical-relative:page;z-index:-204880" type="#_x0000_t202" filled="false" stroked="false">
            <v:textbox inset="0,0,0,0">
              <w:txbxContent>
                <w:p>
                  <w:pPr>
                    <w:spacing w:before="1"/>
                    <w:ind w:left="20" w:right="0" w:firstLine="0"/>
                    <w:jc w:val="left"/>
                    <w:rPr>
                      <w:sz w:val="15"/>
                    </w:rPr>
                  </w:pPr>
                  <w:r>
                    <w:rPr>
                      <w:color w:val="58595B"/>
                      <w:sz w:val="15"/>
                    </w:rPr>
                    <w:t>86</w:t>
                  </w:r>
                </w:p>
              </w:txbxContent>
            </v:textbox>
            <w10:wrap type="none"/>
          </v:shape>
        </w:pict>
      </w:r>
      <w:r>
        <w:rPr/>
        <w:pict>
          <v:shape style="position:absolute;margin-left:95.377899pt;margin-top:40.902756pt;width:147.75pt;height:9.5pt;mso-position-horizontal-relative:page;mso-position-vertical-relative:page;z-index:-204856"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361.3pt;height:25.5pt;mso-position-horizontal-relative:page;mso-position-vertical-relative:page;z-index:-204832" type="#_x0000_t202" filled="false" stroked="false">
            <v:textbox inset="0,0,0,0">
              <w:txbxContent>
                <w:p>
                  <w:pPr>
                    <w:pStyle w:val="BodyText"/>
                    <w:spacing w:line="280" w:lineRule="auto"/>
                    <w:ind w:right="5"/>
                  </w:pPr>
                  <w:r>
                    <w:rPr>
                      <w:color w:val="58595B"/>
                    </w:rPr>
                    <w:t>We consider that protecting human health will remain the EPA’s primary focus for several reasons:</w:t>
                  </w:r>
                </w:p>
              </w:txbxContent>
            </v:textbox>
            <w10:wrap type="none"/>
          </v:shape>
        </w:pict>
      </w:r>
      <w:r>
        <w:rPr/>
        <w:pict>
          <v:shape style="position:absolute;margin-left:69.866096pt;margin-top:138.563965pt;width:5.5pt;height:12pt;mso-position-horizontal-relative:page;mso-position-vertical-relative:page;z-index:-20480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78.356102pt;margin-top:138.563965pt;width:405.1pt;height:188.85pt;mso-position-horizontal-relative:page;mso-position-vertical-relative:page;z-index:-204784" type="#_x0000_t202" filled="false" stroked="false">
            <v:textbox inset="0,0,0,0">
              <w:txbxContent>
                <w:p>
                  <w:pPr>
                    <w:pStyle w:val="BodyText"/>
                    <w:spacing w:line="280" w:lineRule="auto"/>
                    <w:ind w:right="253"/>
                  </w:pPr>
                  <w:r>
                    <w:rPr>
                      <w:color w:val="58595B"/>
                    </w:rPr>
                    <w:t>ongoing advances in scientific knowledge that provide a better understanding of risks, even of substances previously thought to be harmless</w:t>
                  </w:r>
                </w:p>
                <w:p>
                  <w:pPr>
                    <w:pStyle w:val="BodyText"/>
                    <w:spacing w:line="280" w:lineRule="auto" w:before="115"/>
                    <w:ind w:right="253"/>
                  </w:pPr>
                  <w:r>
                    <w:rPr>
                      <w:color w:val="58595B"/>
                    </w:rPr>
                    <w:t>ongoing urbanisation and population growth, which brings human settlement into closer proximity to hazards associated with economic activity and disposal of waste</w:t>
                  </w:r>
                </w:p>
                <w:p>
                  <w:pPr>
                    <w:pStyle w:val="BodyText"/>
                    <w:spacing w:line="280" w:lineRule="auto" w:before="115"/>
                    <w:ind w:right="253"/>
                  </w:pPr>
                  <w:r>
                    <w:rPr>
                      <w:color w:val="58595B"/>
                    </w:rPr>
                    <w:t>the increasing impact of small scale and diffuse sources often with cumulative impacts, making them more challenging to track, monitor and manage</w:t>
                  </w:r>
                </w:p>
                <w:p>
                  <w:pPr>
                    <w:pStyle w:val="BodyText"/>
                    <w:spacing w:line="280" w:lineRule="auto" w:before="115"/>
                  </w:pPr>
                  <w:r>
                    <w:rPr>
                      <w:color w:val="58595B"/>
                    </w:rPr>
                    <w:t>exponential increases in the development of new chemicals and materials with potential for harms to human health</w:t>
                  </w:r>
                </w:p>
                <w:p>
                  <w:pPr>
                    <w:pStyle w:val="BodyText"/>
                    <w:spacing w:line="280" w:lineRule="auto" w:before="115"/>
                  </w:pPr>
                  <w:r>
                    <w:rPr>
                      <w:color w:val="58595B"/>
                    </w:rPr>
                    <w:t>the increasing incidence of extreme events, such as bushfires and floods creating pollution and waste hazards and risks to human health</w:t>
                  </w:r>
                </w:p>
                <w:p>
                  <w:pPr>
                    <w:pStyle w:val="BodyText"/>
                    <w:spacing w:line="280" w:lineRule="auto" w:before="115"/>
                    <w:ind w:right="253"/>
                  </w:pPr>
                  <w:r>
                    <w:rPr>
                      <w:color w:val="58595B"/>
                    </w:rPr>
                    <w:t>growing community expectations for risk management, both for better information on, and protection against, environmental hazards.</w:t>
                  </w:r>
                </w:p>
              </w:txbxContent>
            </v:textbox>
            <w10:wrap type="none"/>
          </v:shape>
        </w:pict>
      </w:r>
      <w:r>
        <w:rPr/>
        <w:pict>
          <v:shape style="position:absolute;margin-left:69.866096pt;margin-top:171.233963pt;width:5.5pt;height:12pt;mso-position-horizontal-relative:page;mso-position-vertical-relative:page;z-index:-20476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66096pt;margin-top:203.903961pt;width:5.5pt;height:12pt;mso-position-horizontal-relative:page;mso-position-vertical-relative:page;z-index:-20473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66096pt;margin-top:236.573975pt;width:5.5pt;height:12pt;mso-position-horizontal-relative:page;mso-position-vertical-relative:page;z-index:-20471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56102pt;margin-top:269.243958pt;width:5.5pt;height:12pt;mso-position-horizontal-relative:page;mso-position-vertical-relative:page;z-index:-20468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56102pt;margin-top:301.913971pt;width:5.5pt;height:12pt;mso-position-horizontal-relative:page;mso-position-vertical-relative:page;z-index:-204664"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56102pt;margin-top:340.253967pt;width:435.6pt;height:83.75pt;mso-position-horizontal-relative:page;mso-position-vertical-relative:page;z-index:-204640" type="#_x0000_t202" filled="false" stroked="false">
            <v:textbox inset="0,0,0,0">
              <w:txbxContent>
                <w:p>
                  <w:pPr>
                    <w:spacing w:line="224" w:lineRule="exact" w:before="0"/>
                    <w:ind w:left="20" w:right="11" w:firstLine="0"/>
                    <w:jc w:val="left"/>
                    <w:rPr>
                      <w:i/>
                      <w:sz w:val="20"/>
                    </w:rPr>
                  </w:pPr>
                  <w:r>
                    <w:rPr>
                      <w:i/>
                      <w:color w:val="6D6E71"/>
                      <w:sz w:val="20"/>
                    </w:rPr>
                    <w:t>Recognising the importance of protecting the natural environment</w:t>
                  </w:r>
                </w:p>
                <w:p>
                  <w:pPr>
                    <w:pStyle w:val="BodyText"/>
                    <w:spacing w:line="280" w:lineRule="auto" w:before="125"/>
                    <w:ind w:right="11"/>
                  </w:pPr>
                  <w:r>
                    <w:rPr>
                      <w:color w:val="58595B"/>
                    </w:rPr>
                    <w:t>The focus on public health does not mean that there is an implicit devaluing of the natural environment. Indeed, the natural environment – the condition of the air, water and land – is the basis of protective measures and ecological values, which are well recognised within the current system. Further, the ongoing sustainability of the natural environment is essential to human health and liveability, particularly in the context of intergenerational equity.</w:t>
                  </w:r>
                </w:p>
              </w:txbxContent>
            </v:textbox>
            <w10:wrap type="none"/>
          </v:shape>
        </w:pict>
      </w:r>
      <w:r>
        <w:rPr/>
        <w:pict>
          <v:shape style="position:absolute;margin-left:69.856102pt;margin-top:434.003967pt;width:432.6pt;height:66pt;mso-position-horizontal-relative:page;mso-position-vertical-relative:page;z-index:-204616" type="#_x0000_t202" filled="false" stroked="false">
            <v:textbox inset="0,0,0,0">
              <w:txbxContent>
                <w:p>
                  <w:pPr>
                    <w:pStyle w:val="BodyText"/>
                    <w:spacing w:line="280" w:lineRule="auto"/>
                  </w:pPr>
                  <w:r>
                    <w:rPr>
                      <w:color w:val="58595B"/>
                    </w:rPr>
                    <w:t>The EP Act defines ‘environment’ as meaning the physical factors of the surroundings of human beings including the land, waters, atmosphere, climate, sound, odours, tastes, the biological factors of animals and plants and the social factor of aesthetics. Defined in this manner, including ‘environment’ in the objective covers odour and noise issues, as well as broader environmental issues that may be significant but have a less tangible impact on health.</w:t>
                  </w:r>
                </w:p>
              </w:txbxContent>
            </v:textbox>
            <w10:wrap type="none"/>
          </v:shape>
        </w:pict>
      </w:r>
      <w:r>
        <w:rPr/>
        <w:pict>
          <v:shape style="position:absolute;margin-left:69.856102pt;margin-top:510.003967pt;width:426.05pt;height:66pt;mso-position-horizontal-relative:page;mso-position-vertical-relative:page;z-index:-204592" type="#_x0000_t202" filled="false" stroked="false">
            <v:textbox inset="0,0,0,0">
              <w:txbxContent>
                <w:p>
                  <w:pPr>
                    <w:pStyle w:val="BodyText"/>
                    <w:spacing w:line="280" w:lineRule="auto"/>
                  </w:pPr>
                  <w:r>
                    <w:rPr>
                      <w:color w:val="58595B"/>
                    </w:rPr>
                    <w:t>Environmental management often involves activities that have social and environmental outcomes. For example, reducing pollution into a river can have recreational benefits, economic benefits (by improving the river’s productive capacity and by reducing the need for potable treatments), aesthetic benefits, and environmental benefits (making the river more resilient to other threats, such as climate change) (box 5.2).</w:t>
                  </w:r>
                </w:p>
              </w:txbxContent>
            </v:textbox>
            <w10:wrap type="none"/>
          </v:shape>
        </w:pict>
      </w:r>
      <w:r>
        <w:rPr/>
        <w:pict>
          <v:shape style="position:absolute;margin-left:.0pt;margin-top:44.090015pt;width:60.3pt;height:5.25pt;mso-position-horizontal-relative:page;mso-position-vertical-relative:page;z-index:-204568"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04544"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04520" from="534.996094pt,45.840015pt" to="595.276001pt,45.840015pt" stroked="true" strokeweight="7pt" strokecolor="#0095a7">
            <w10:wrap type="none"/>
          </v:line>
        </w:pict>
      </w:r>
      <w:r>
        <w:rPr/>
        <w:pict>
          <v:rect style="position:absolute;margin-left:90.709pt;margin-top:107.717018pt;width:432.701pt;height:311.969pt;mso-position-horizontal-relative:page;mso-position-vertical-relative:page;z-index:-204496" filled="true" fillcolor="#eaf2f3" stroked="false">
            <v:fill type="solid"/>
            <w10:wrap type="none"/>
          </v:rect>
        </w:pict>
      </w:r>
      <w:r>
        <w:rPr/>
        <w:pict>
          <v:shape style="position:absolute;margin-left:240.986404pt;margin-top:40.902756pt;width:45.55pt;height:9.5pt;mso-position-horizontal-relative:page;mso-position-vertical-relative:page;z-index:-204472" type="#_x0000_t202" filled="false" stroked="false">
            <v:textbox inset="0,0,0,0">
              <w:txbxContent>
                <w:p>
                  <w:pPr>
                    <w:spacing w:before="1"/>
                    <w:ind w:left="20" w:right="0" w:firstLine="0"/>
                    <w:jc w:val="left"/>
                    <w:rPr>
                      <w:sz w:val="15"/>
                    </w:rPr>
                  </w:pPr>
                  <w:r>
                    <w:rPr>
                      <w:color w:val="58595B"/>
                      <w:sz w:val="15"/>
                    </w:rPr>
                    <w:t>CHAPTER 5</w:t>
                  </w:r>
                </w:p>
              </w:txbxContent>
            </v:textbox>
            <w10:wrap type="none"/>
          </v:shape>
        </w:pict>
      </w:r>
      <w:r>
        <w:rPr/>
        <w:pict>
          <v:shape style="position:absolute;margin-left:292.218903pt;margin-top:40.902756pt;width:207.65pt;height:9.5pt;mso-position-horizontal-relative:page;mso-position-vertical-relative:page;z-index:-204448" type="#_x0000_t202" filled="false" stroked="false">
            <v:textbox inset="0,0,0,0">
              <w:txbxContent>
                <w:p>
                  <w:pPr>
                    <w:spacing w:before="1"/>
                    <w:ind w:left="20" w:right="0" w:firstLine="0"/>
                    <w:jc w:val="left"/>
                    <w:rPr>
                      <w:sz w:val="15"/>
                    </w:rPr>
                  </w:pPr>
                  <w:r>
                    <w:rPr>
                      <w:color w:val="58595B"/>
                      <w:sz w:val="15"/>
                    </w:rPr>
                    <w:t>CLARIFYING THE EPA’S OBJECTIVES AND FUNCTIONS</w:t>
                  </w:r>
                </w:p>
              </w:txbxContent>
            </v:textbox>
            <w10:wrap type="none"/>
          </v:shape>
        </w:pict>
      </w:r>
      <w:r>
        <w:rPr/>
        <w:pict>
          <v:shape style="position:absolute;margin-left:515.066406pt;margin-top:40.902756pt;width:10.3pt;height:9.5pt;mso-position-horizontal-relative:page;mso-position-vertical-relative:page;z-index:-204424" type="#_x0000_t202" filled="false" stroked="false">
            <v:textbox inset="0,0,0,0">
              <w:txbxContent>
                <w:p>
                  <w:pPr>
                    <w:spacing w:before="1"/>
                    <w:ind w:left="20" w:right="-1" w:firstLine="0"/>
                    <w:jc w:val="left"/>
                    <w:rPr>
                      <w:sz w:val="15"/>
                    </w:rPr>
                  </w:pPr>
                  <w:r>
                    <w:rPr>
                      <w:color w:val="58595B"/>
                      <w:sz w:val="15"/>
                    </w:rPr>
                    <w:t>87</w:t>
                  </w:r>
                </w:p>
              </w:txbxContent>
            </v:textbox>
            <w10:wrap type="none"/>
          </v:shape>
        </w:pict>
      </w:r>
      <w:r>
        <w:rPr/>
        <w:pict>
          <v:shape style="position:absolute;margin-left:89.712502pt;margin-top:438.251068pt;width:429.55pt;height:52.5pt;mso-position-horizontal-relative:page;mso-position-vertical-relative:page;z-index:-204400" type="#_x0000_t202" filled="false" stroked="false">
            <v:textbox inset="0,0,0,0">
              <w:txbxContent>
                <w:p>
                  <w:pPr>
                    <w:pStyle w:val="BodyText"/>
                    <w:spacing w:line="280" w:lineRule="auto"/>
                  </w:pPr>
                  <w:r>
                    <w:rPr>
                      <w:color w:val="58595B"/>
                    </w:rPr>
                    <w:t>This broad and varied range of outcomes is currently given statutory definition through the ‘beneficial uses’ that the EPA must protect. These are set out in state environmental protection policies. The relationship between the condition of the natural environment and human uses and benefits is apparent in these, as follows:</w:t>
                  </w:r>
                </w:p>
              </w:txbxContent>
            </v:textbox>
            <w10:wrap type="none"/>
          </v:shape>
        </w:pict>
      </w:r>
      <w:r>
        <w:rPr/>
        <w:pict>
          <v:shape style="position:absolute;margin-left:89.712502pt;margin-top:497.921082pt;width:209.7pt;height:102.2pt;mso-position-horizontal-relative:page;mso-position-vertical-relative:page;z-index:-204376" type="#_x0000_t202" filled="false" stroked="false">
            <v:textbox inset="0,0,0,0">
              <w:txbxContent>
                <w:p>
                  <w:pPr>
                    <w:pStyle w:val="ListParagraph"/>
                    <w:numPr>
                      <w:ilvl w:val="0"/>
                      <w:numId w:val="10"/>
                    </w:numPr>
                    <w:tabs>
                      <w:tab w:pos="190" w:val="left" w:leader="none"/>
                    </w:tabs>
                    <w:spacing w:line="280" w:lineRule="auto" w:before="0" w:after="0"/>
                    <w:ind w:left="190" w:right="1080" w:hanging="170"/>
                    <w:jc w:val="left"/>
                    <w:rPr>
                      <w:sz w:val="20"/>
                    </w:rPr>
                  </w:pPr>
                  <w:r>
                    <w:rPr>
                      <w:color w:val="58595B"/>
                      <w:sz w:val="20"/>
                    </w:rPr>
                    <w:t>ecosystem maintenance</w:t>
                  </w:r>
                  <w:r>
                    <w:rPr>
                      <w:color w:val="58595B"/>
                      <w:spacing w:val="-13"/>
                      <w:sz w:val="20"/>
                    </w:rPr>
                    <w:t> </w:t>
                  </w:r>
                  <w:r>
                    <w:rPr>
                      <w:color w:val="58595B"/>
                      <w:sz w:val="20"/>
                    </w:rPr>
                    <w:t>(aquatic and</w:t>
                  </w:r>
                  <w:r>
                    <w:rPr>
                      <w:color w:val="58595B"/>
                      <w:spacing w:val="2"/>
                      <w:sz w:val="20"/>
                    </w:rPr>
                    <w:t> </w:t>
                  </w:r>
                  <w:r>
                    <w:rPr>
                      <w:color w:val="58595B"/>
                      <w:sz w:val="20"/>
                    </w:rPr>
                    <w:t>terrestrial)</w:t>
                  </w:r>
                </w:p>
                <w:p>
                  <w:pPr>
                    <w:pStyle w:val="ListParagraph"/>
                    <w:numPr>
                      <w:ilvl w:val="0"/>
                      <w:numId w:val="10"/>
                    </w:numPr>
                    <w:tabs>
                      <w:tab w:pos="190" w:val="left" w:leader="none"/>
                    </w:tabs>
                    <w:spacing w:line="240" w:lineRule="auto" w:before="115" w:after="0"/>
                    <w:ind w:left="190" w:right="0" w:hanging="170"/>
                    <w:jc w:val="left"/>
                    <w:rPr>
                      <w:sz w:val="20"/>
                    </w:rPr>
                  </w:pPr>
                  <w:r>
                    <w:rPr>
                      <w:color w:val="58595B"/>
                      <w:sz w:val="20"/>
                    </w:rPr>
                    <w:t>health of other (non-human) forms of</w:t>
                  </w:r>
                  <w:r>
                    <w:rPr>
                      <w:color w:val="58595B"/>
                      <w:spacing w:val="-12"/>
                      <w:sz w:val="20"/>
                    </w:rPr>
                    <w:t> </w:t>
                  </w:r>
                  <w:r>
                    <w:rPr>
                      <w:color w:val="58595B"/>
                      <w:sz w:val="20"/>
                    </w:rPr>
                    <w:t>life</w:t>
                  </w:r>
                </w:p>
                <w:p>
                  <w:pPr>
                    <w:pStyle w:val="ListParagraph"/>
                    <w:numPr>
                      <w:ilvl w:val="0"/>
                      <w:numId w:val="10"/>
                    </w:numPr>
                    <w:tabs>
                      <w:tab w:pos="190" w:val="left" w:leader="none"/>
                    </w:tabs>
                    <w:spacing w:line="240" w:lineRule="auto" w:before="153" w:after="0"/>
                    <w:ind w:left="190" w:right="0" w:hanging="170"/>
                    <w:jc w:val="left"/>
                    <w:rPr>
                      <w:sz w:val="20"/>
                    </w:rPr>
                  </w:pPr>
                  <w:r>
                    <w:rPr>
                      <w:color w:val="58595B"/>
                      <w:sz w:val="20"/>
                    </w:rPr>
                    <w:t>potable water</w:t>
                  </w:r>
                  <w:r>
                    <w:rPr>
                      <w:color w:val="58595B"/>
                      <w:spacing w:val="-4"/>
                      <w:sz w:val="20"/>
                    </w:rPr>
                    <w:t> </w:t>
                  </w:r>
                  <w:r>
                    <w:rPr>
                      <w:color w:val="58595B"/>
                      <w:sz w:val="20"/>
                    </w:rPr>
                    <w:t>supply</w:t>
                  </w:r>
                </w:p>
                <w:p>
                  <w:pPr>
                    <w:pStyle w:val="ListParagraph"/>
                    <w:numPr>
                      <w:ilvl w:val="0"/>
                      <w:numId w:val="10"/>
                    </w:numPr>
                    <w:tabs>
                      <w:tab w:pos="190" w:val="left" w:leader="none"/>
                    </w:tabs>
                    <w:spacing w:line="240" w:lineRule="auto" w:before="153" w:after="0"/>
                    <w:ind w:left="190" w:right="0" w:hanging="170"/>
                    <w:jc w:val="left"/>
                    <w:rPr>
                      <w:sz w:val="20"/>
                    </w:rPr>
                  </w:pPr>
                  <w:r>
                    <w:rPr>
                      <w:color w:val="58595B"/>
                      <w:sz w:val="20"/>
                    </w:rPr>
                    <w:t>stock watering</w:t>
                  </w:r>
                </w:p>
                <w:p>
                  <w:pPr>
                    <w:pStyle w:val="ListParagraph"/>
                    <w:numPr>
                      <w:ilvl w:val="0"/>
                      <w:numId w:val="10"/>
                    </w:numPr>
                    <w:tabs>
                      <w:tab w:pos="190" w:val="left" w:leader="none"/>
                    </w:tabs>
                    <w:spacing w:line="240" w:lineRule="auto" w:before="153" w:after="0"/>
                    <w:ind w:left="190" w:right="0" w:hanging="170"/>
                    <w:jc w:val="left"/>
                    <w:rPr>
                      <w:sz w:val="20"/>
                    </w:rPr>
                  </w:pPr>
                  <w:r>
                    <w:rPr>
                      <w:color w:val="58595B"/>
                      <w:sz w:val="20"/>
                    </w:rPr>
                    <w:t>agriculture</w:t>
                  </w:r>
                  <w:r>
                    <w:rPr>
                      <w:color w:val="58595B"/>
                      <w:spacing w:val="-15"/>
                      <w:sz w:val="20"/>
                    </w:rPr>
                    <w:t> </w:t>
                  </w:r>
                  <w:r>
                    <w:rPr>
                      <w:color w:val="58595B"/>
                      <w:sz w:val="20"/>
                    </w:rPr>
                    <w:t>(production</w:t>
                  </w:r>
                  <w:r>
                    <w:rPr>
                      <w:color w:val="58595B"/>
                      <w:spacing w:val="-15"/>
                      <w:sz w:val="20"/>
                    </w:rPr>
                    <w:t> </w:t>
                  </w:r>
                  <w:r>
                    <w:rPr>
                      <w:color w:val="58595B"/>
                      <w:sz w:val="20"/>
                    </w:rPr>
                    <w:t>of</w:t>
                  </w:r>
                  <w:r>
                    <w:rPr>
                      <w:color w:val="58595B"/>
                      <w:spacing w:val="-15"/>
                      <w:sz w:val="20"/>
                    </w:rPr>
                    <w:t> </w:t>
                  </w:r>
                  <w:r>
                    <w:rPr>
                      <w:color w:val="58595B"/>
                      <w:sz w:val="20"/>
                    </w:rPr>
                    <w:t>food</w:t>
                  </w:r>
                  <w:r>
                    <w:rPr>
                      <w:color w:val="58595B"/>
                      <w:spacing w:val="-15"/>
                      <w:sz w:val="20"/>
                    </w:rPr>
                    <w:t> </w:t>
                  </w:r>
                  <w:r>
                    <w:rPr>
                      <w:color w:val="58595B"/>
                      <w:sz w:val="20"/>
                    </w:rPr>
                    <w:t>and</w:t>
                  </w:r>
                  <w:r>
                    <w:rPr>
                      <w:color w:val="58595B"/>
                      <w:spacing w:val="-15"/>
                      <w:sz w:val="20"/>
                    </w:rPr>
                    <w:t> </w:t>
                  </w:r>
                  <w:r>
                    <w:rPr>
                      <w:color w:val="58595B"/>
                      <w:sz w:val="20"/>
                    </w:rPr>
                    <w:t>fibre,</w:t>
                  </w:r>
                  <w:r>
                    <w:rPr>
                      <w:color w:val="58595B"/>
                      <w:spacing w:val="-15"/>
                      <w:sz w:val="20"/>
                    </w:rPr>
                    <w:t> </w:t>
                  </w:r>
                  <w:r>
                    <w:rPr>
                      <w:color w:val="58595B"/>
                      <w:sz w:val="20"/>
                    </w:rPr>
                    <w:t>flora)</w:t>
                  </w:r>
                </w:p>
              </w:txbxContent>
            </v:textbox>
            <w10:wrap type="none"/>
          </v:shape>
        </w:pict>
      </w:r>
      <w:r>
        <w:rPr/>
        <w:pict>
          <v:shape style="position:absolute;margin-left:312.222504pt;margin-top:497.921082pt;width:131.550pt;height:88.7pt;mso-position-horizontal-relative:page;mso-position-vertical-relative:page;z-index:-204352" type="#_x0000_t202" filled="false" stroked="false">
            <v:textbox inset="0,0,0,0">
              <w:txbxContent>
                <w:p>
                  <w:pPr>
                    <w:pStyle w:val="ListParagraph"/>
                    <w:numPr>
                      <w:ilvl w:val="0"/>
                      <w:numId w:val="11"/>
                    </w:numPr>
                    <w:tabs>
                      <w:tab w:pos="191" w:val="left" w:leader="none"/>
                    </w:tabs>
                    <w:spacing w:line="224" w:lineRule="exact" w:before="0" w:after="0"/>
                    <w:ind w:left="190" w:right="0" w:hanging="170"/>
                    <w:jc w:val="left"/>
                    <w:rPr>
                      <w:sz w:val="20"/>
                    </w:rPr>
                  </w:pPr>
                  <w:r>
                    <w:rPr>
                      <w:color w:val="58595B"/>
                      <w:sz w:val="20"/>
                    </w:rPr>
                    <w:t>parks and</w:t>
                  </w:r>
                  <w:r>
                    <w:rPr>
                      <w:color w:val="58595B"/>
                      <w:spacing w:val="1"/>
                      <w:sz w:val="20"/>
                    </w:rPr>
                    <w:t> </w:t>
                  </w:r>
                  <w:r>
                    <w:rPr>
                      <w:color w:val="58595B"/>
                      <w:sz w:val="20"/>
                    </w:rPr>
                    <w:t>gardens</w:t>
                  </w:r>
                </w:p>
                <w:p>
                  <w:pPr>
                    <w:pStyle w:val="ListParagraph"/>
                    <w:numPr>
                      <w:ilvl w:val="0"/>
                      <w:numId w:val="11"/>
                    </w:numPr>
                    <w:tabs>
                      <w:tab w:pos="191" w:val="left" w:leader="none"/>
                    </w:tabs>
                    <w:spacing w:line="240" w:lineRule="auto" w:before="153" w:after="0"/>
                    <w:ind w:left="190" w:right="0" w:hanging="170"/>
                    <w:jc w:val="left"/>
                    <w:rPr>
                      <w:sz w:val="20"/>
                    </w:rPr>
                  </w:pPr>
                  <w:r>
                    <w:rPr>
                      <w:color w:val="58595B"/>
                      <w:sz w:val="20"/>
                    </w:rPr>
                    <w:t>recreation</w:t>
                  </w:r>
                </w:p>
                <w:p>
                  <w:pPr>
                    <w:pStyle w:val="ListParagraph"/>
                    <w:numPr>
                      <w:ilvl w:val="0"/>
                      <w:numId w:val="11"/>
                    </w:numPr>
                    <w:tabs>
                      <w:tab w:pos="191" w:val="left" w:leader="none"/>
                    </w:tabs>
                    <w:spacing w:line="240" w:lineRule="auto" w:before="153" w:after="0"/>
                    <w:ind w:left="190" w:right="0" w:hanging="170"/>
                    <w:jc w:val="left"/>
                    <w:rPr>
                      <w:sz w:val="20"/>
                    </w:rPr>
                  </w:pPr>
                  <w:r>
                    <w:rPr>
                      <w:color w:val="58595B"/>
                      <w:sz w:val="20"/>
                    </w:rPr>
                    <w:t>buildings and</w:t>
                  </w:r>
                  <w:r>
                    <w:rPr>
                      <w:color w:val="58595B"/>
                      <w:spacing w:val="3"/>
                      <w:sz w:val="20"/>
                    </w:rPr>
                    <w:t> </w:t>
                  </w:r>
                  <w:r>
                    <w:rPr>
                      <w:color w:val="58595B"/>
                      <w:sz w:val="20"/>
                    </w:rPr>
                    <w:t>structures</w:t>
                  </w:r>
                </w:p>
                <w:p>
                  <w:pPr>
                    <w:pStyle w:val="ListParagraph"/>
                    <w:numPr>
                      <w:ilvl w:val="0"/>
                      <w:numId w:val="11"/>
                    </w:numPr>
                    <w:tabs>
                      <w:tab w:pos="191" w:val="left" w:leader="none"/>
                    </w:tabs>
                    <w:spacing w:line="240" w:lineRule="auto" w:before="153" w:after="0"/>
                    <w:ind w:left="190" w:right="0" w:hanging="170"/>
                    <w:jc w:val="left"/>
                    <w:rPr>
                      <w:sz w:val="20"/>
                    </w:rPr>
                  </w:pPr>
                  <w:r>
                    <w:rPr>
                      <w:color w:val="58595B"/>
                      <w:sz w:val="20"/>
                    </w:rPr>
                    <w:t>cultural and spiritual values</w:t>
                  </w:r>
                </w:p>
                <w:p>
                  <w:pPr>
                    <w:pStyle w:val="ListParagraph"/>
                    <w:numPr>
                      <w:ilvl w:val="0"/>
                      <w:numId w:val="11"/>
                    </w:numPr>
                    <w:tabs>
                      <w:tab w:pos="190" w:val="left" w:leader="none"/>
                    </w:tabs>
                    <w:spacing w:line="240" w:lineRule="auto" w:before="153" w:after="0"/>
                    <w:ind w:left="190" w:right="0" w:hanging="170"/>
                    <w:jc w:val="left"/>
                    <w:rPr>
                      <w:sz w:val="20"/>
                    </w:rPr>
                  </w:pPr>
                  <w:r>
                    <w:rPr>
                      <w:color w:val="58595B"/>
                      <w:sz w:val="20"/>
                    </w:rPr>
                    <w:t>industrial water</w:t>
                  </w:r>
                  <w:r>
                    <w:rPr>
                      <w:color w:val="58595B"/>
                      <w:spacing w:val="-7"/>
                      <w:sz w:val="20"/>
                    </w:rPr>
                    <w:t> </w:t>
                  </w:r>
                  <w:r>
                    <w:rPr>
                      <w:color w:val="58595B"/>
                      <w:sz w:val="20"/>
                    </w:rPr>
                    <w:t>use.</w:t>
                  </w:r>
                </w:p>
              </w:txbxContent>
            </v:textbox>
            <w10:wrap type="none"/>
          </v:shape>
        </w:pict>
      </w:r>
      <w:r>
        <w:rPr/>
        <w:pict>
          <v:shape style="position:absolute;margin-left:89.702499pt;margin-top:610.101074pt;width:429.15pt;height:106.55pt;mso-position-horizontal-relative:page;mso-position-vertical-relative:page;z-index:-204328" type="#_x0000_t202" filled="false" stroked="false">
            <v:textbox inset="0,0,0,0">
              <w:txbxContent>
                <w:p>
                  <w:pPr>
                    <w:pStyle w:val="BodyText"/>
                    <w:spacing w:line="280" w:lineRule="auto"/>
                    <w:ind w:right="17"/>
                  </w:pPr>
                  <w:r>
                    <w:rPr>
                      <w:color w:val="58595B"/>
                    </w:rPr>
                    <w:t>In chapter 4 we summarise these beneficial uses as health and safety, wellbeing, productive  and environmental outcomes. These outcomes are also often protected or significantly affected by other agencies, so the </w:t>
                  </w:r>
                  <w:r>
                    <w:rPr>
                      <w:color w:val="58595B"/>
                      <w:spacing w:val="-4"/>
                    </w:rPr>
                    <w:t>EPA </w:t>
                  </w:r>
                  <w:r>
                    <w:rPr>
                      <w:color w:val="58595B"/>
                    </w:rPr>
                    <w:t>must cooperate with other parts of government on how best to ‘protect’. Currently, the </w:t>
                  </w:r>
                  <w:r>
                    <w:rPr>
                      <w:color w:val="58595B"/>
                      <w:spacing w:val="-7"/>
                    </w:rPr>
                    <w:t>EPA’s </w:t>
                  </w:r>
                  <w:r>
                    <w:rPr>
                      <w:color w:val="58595B"/>
                    </w:rPr>
                    <w:t>role is to research and monitor the natural environment to inform policy and management across government. Better knowledge about complex human – natural system interactions will likely produce better ways of managing issues.</w:t>
                  </w:r>
                  <w:r>
                    <w:rPr>
                      <w:color w:val="58595B"/>
                      <w:position w:val="7"/>
                      <w:sz w:val="11"/>
                    </w:rPr>
                    <w:t>28 </w:t>
                  </w:r>
                  <w:r>
                    <w:rPr>
                      <w:color w:val="58595B"/>
                    </w:rPr>
                    <w:t>The government can encourage cooperation between agencies by including steps in decision making that account for the multiple impacts and/or ensuring connections between related</w:t>
                  </w:r>
                  <w:r>
                    <w:rPr>
                      <w:color w:val="58595B"/>
                      <w:spacing w:val="13"/>
                    </w:rPr>
                    <w:t> </w:t>
                  </w:r>
                  <w:r>
                    <w:rPr>
                      <w:color w:val="58595B"/>
                    </w:rPr>
                    <w:t>agencies.</w:t>
                  </w:r>
                </w:p>
              </w:txbxContent>
            </v:textbox>
            <w10:wrap type="none"/>
          </v:shape>
        </w:pict>
      </w:r>
      <w:r>
        <w:rPr/>
        <w:pict>
          <v:shape style="position:absolute;margin-left:89.709297pt;margin-top:726.606445pt;width:420.9pt;height:52.55pt;mso-position-horizontal-relative:page;mso-position-vertical-relative:page;z-index:-204304" type="#_x0000_t202" filled="false" stroked="false">
            <v:textbox inset="0,0,0,0">
              <w:txbxContent>
                <w:p>
                  <w:pPr>
                    <w:pStyle w:val="BodyText"/>
                    <w:spacing w:line="280" w:lineRule="auto"/>
                  </w:pPr>
                  <w:r>
                    <w:rPr>
                      <w:color w:val="58595B"/>
                    </w:rPr>
                    <w:t>A focus on outcomes is central to public sector reform.</w:t>
                  </w:r>
                  <w:r>
                    <w:rPr>
                      <w:color w:val="58595B"/>
                      <w:position w:val="7"/>
                      <w:sz w:val="11"/>
                    </w:rPr>
                    <w:t>29  </w:t>
                  </w:r>
                  <w:r>
                    <w:rPr>
                      <w:color w:val="58595B"/>
                    </w:rPr>
                    <w:t>Translating the EPA’s objective and the ‘beneficial uses’ that the EPA seeks to protect into measurable, achievable outcomes is an important step in the EPA adopting an outcome-based approach. We address this by including a legislated function to evaluate the effectiveness of regulatory interventions.</w:t>
                  </w:r>
                </w:p>
              </w:txbxContent>
            </v:textbox>
            <w10:wrap type="none"/>
          </v:shape>
        </w:pict>
      </w:r>
      <w:r>
        <w:rPr/>
        <w:pict>
          <v:shape style="position:absolute;margin-left:90.709pt;margin-top:107.717018pt;width:432.75pt;height:312pt;mso-position-horizontal-relative:page;mso-position-vertical-relative:page;z-index:-204280" type="#_x0000_t202" filled="false" stroked="false">
            <v:textbox inset="0,0,0,0">
              <w:txbxContent>
                <w:p>
                  <w:pPr>
                    <w:pStyle w:val="BodyText"/>
                    <w:spacing w:line="280" w:lineRule="auto" w:before="128"/>
                    <w:ind w:left="170" w:right="2163"/>
                  </w:pPr>
                  <w:r>
                    <w:rPr>
                      <w:b/>
                      <w:color w:val="0095A7"/>
                    </w:rPr>
                    <w:t>BOX 5.2 </w:t>
                  </w:r>
                  <w:r>
                    <w:rPr>
                      <w:color w:val="0095A7"/>
                    </w:rPr>
                    <w:t>ENVIRONMENTAL ASSETS, ECOSYSTEM SERVICES AND ENVIRONMENTAL MANAGEMENT</w:t>
                  </w:r>
                </w:p>
                <w:p>
                  <w:pPr>
                    <w:spacing w:line="280" w:lineRule="auto" w:before="115"/>
                    <w:ind w:left="736" w:right="482" w:firstLine="0"/>
                    <w:jc w:val="left"/>
                    <w:rPr>
                      <w:sz w:val="11"/>
                    </w:rPr>
                  </w:pPr>
                  <w:r>
                    <w:rPr>
                      <w:i/>
                      <w:color w:val="231F20"/>
                      <w:sz w:val="20"/>
                    </w:rPr>
                    <w:t>Ecosystems are a dynamic complex of plant, animal and micro-organism communities and their non-living environment interacting as a functional unit.</w:t>
                  </w:r>
                  <w:r>
                    <w:rPr>
                      <w:color w:val="231F20"/>
                      <w:position w:val="7"/>
                      <w:sz w:val="11"/>
                    </w:rPr>
                    <w:t>26</w:t>
                  </w:r>
                </w:p>
                <w:p>
                  <w:pPr>
                    <w:pStyle w:val="BodyText"/>
                    <w:spacing w:line="280" w:lineRule="auto" w:before="172"/>
                    <w:ind w:left="170" w:right="161"/>
                  </w:pPr>
                  <w:r>
                    <w:rPr>
                      <w:color w:val="58595B"/>
                    </w:rPr>
                    <w:t>The environment is a broad term that encompasses many things including the atmosphere, oceans, forests, waterways, flora, fauna, land, soil and biodiversity. The environment can be thought of as comprising environmental assets. Environmental assets are valuable because they produce ‘ecosystem services’ on which we depend.</w:t>
                  </w:r>
                  <w:r>
                    <w:rPr>
                      <w:color w:val="58595B"/>
                      <w:position w:val="7"/>
                      <w:sz w:val="11"/>
                    </w:rPr>
                    <w:t>27 </w:t>
                  </w:r>
                  <w:r>
                    <w:rPr>
                      <w:color w:val="58595B"/>
                    </w:rPr>
                    <w:t>Ecosystem services include air filtration services by a forest that provide clean air, for example, and water clarification by</w:t>
                  </w:r>
                </w:p>
                <w:p>
                  <w:pPr>
                    <w:pStyle w:val="BodyText"/>
                    <w:spacing w:line="280" w:lineRule="auto" w:before="2"/>
                    <w:ind w:left="170" w:right="161"/>
                  </w:pPr>
                  <w:r>
                    <w:rPr>
                      <w:color w:val="58595B"/>
                    </w:rPr>
                    <w:t>a wetland that benefits production processes and recreational users. The space in which we live can also be conceptualised as an environmental asset.</w:t>
                  </w:r>
                </w:p>
                <w:p>
                  <w:pPr>
                    <w:pStyle w:val="BodyText"/>
                    <w:spacing w:line="280" w:lineRule="auto" w:before="172"/>
                    <w:ind w:left="170" w:right="482"/>
                  </w:pPr>
                  <w:r>
                    <w:rPr>
                      <w:color w:val="58595B"/>
                    </w:rPr>
                    <w:t>An environmental asset’s ability to produce ecosystem services depends on the extent (coverage) of the asset and its condition. Humans can modify the extent and condition of environmental assets positively and negatively; for example, we clear native vegetation for development, introduce invasive species and produce pollution.</w:t>
                  </w:r>
                </w:p>
                <w:p>
                  <w:pPr>
                    <w:pStyle w:val="BodyText"/>
                    <w:spacing w:line="280" w:lineRule="auto" w:before="172"/>
                    <w:ind w:left="170" w:right="371"/>
                  </w:pPr>
                  <w:r>
                    <w:rPr>
                      <w:color w:val="58595B"/>
                    </w:rPr>
                    <w:t>Pollution affects the condition of an environmental asset negatively and reduces the asset’s ability to supply ecosystem services. For example, pollution of waterways and land may affect their ability to support agricultural and fisheries activity, and also affects tourism.</w:t>
                  </w:r>
                </w:p>
                <w:p>
                  <w:pPr>
                    <w:pStyle w:val="BodyText"/>
                    <w:spacing w:line="280" w:lineRule="auto" w:before="2"/>
                    <w:ind w:left="170" w:right="537"/>
                  </w:pPr>
                  <w:r>
                    <w:rPr>
                      <w:color w:val="58595B"/>
                    </w:rPr>
                    <w:t>Environmental management involves managing the condition and extent of environmental assets to mitigate human effects.</w:t>
                  </w:r>
                </w:p>
              </w:txbxContent>
            </v:textbox>
            <w10:wrap type="none"/>
          </v:shape>
        </w:pict>
      </w:r>
      <w:r>
        <w:rPr/>
        <w:pict>
          <v:shape style="position:absolute;margin-left:534.996094pt;margin-top:44.090015pt;width:60.3pt;height:5.25pt;mso-position-horizontal-relative:page;mso-position-vertical-relative:page;z-index:-20425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4232"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04208" from=".0pt,45.840015pt" to="60.2791pt,45.840015pt" stroked="true" strokeweight="7pt" strokecolor="#0095a7">
            <w10:wrap type="none"/>
          </v:line>
        </w:pict>
      </w:r>
      <w:r>
        <w:rPr/>
        <w:pict>
          <v:shape style="position:absolute;margin-left:69.866096pt;margin-top:40.902756pt;width:10.75pt;height:9.5pt;mso-position-horizontal-relative:page;mso-position-vertical-relative:page;z-index:-204184" type="#_x0000_t202" filled="false" stroked="false">
            <v:textbox inset="0,0,0,0">
              <w:txbxContent>
                <w:p>
                  <w:pPr>
                    <w:spacing w:before="1"/>
                    <w:ind w:left="20" w:right="0" w:firstLine="0"/>
                    <w:jc w:val="left"/>
                    <w:rPr>
                      <w:sz w:val="15"/>
                    </w:rPr>
                  </w:pPr>
                  <w:r>
                    <w:rPr>
                      <w:color w:val="58595B"/>
                      <w:sz w:val="15"/>
                    </w:rPr>
                    <w:t>88</w:t>
                  </w:r>
                </w:p>
              </w:txbxContent>
            </v:textbox>
            <w10:wrap type="none"/>
          </v:shape>
        </w:pict>
      </w:r>
      <w:r>
        <w:rPr/>
        <w:pict>
          <v:shape style="position:absolute;margin-left:95.377899pt;margin-top:40.902756pt;width:147.75pt;height:9.5pt;mso-position-horizontal-relative:page;mso-position-vertical-relative:page;z-index:-204160"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2602pt;margin-top:105.893967pt;width:434.55pt;height:98.7pt;mso-position-horizontal-relative:page;mso-position-vertical-relative:page;z-index:-204136" type="#_x0000_t202" filled="false" stroked="false">
            <v:textbox inset="0,0,0,0">
              <w:txbxContent>
                <w:p>
                  <w:pPr>
                    <w:pStyle w:val="BodyText"/>
                    <w:spacing w:line="224" w:lineRule="exact"/>
                    <w:ind w:right="17"/>
                  </w:pPr>
                  <w:r>
                    <w:rPr>
                      <w:color w:val="0095A7"/>
                    </w:rPr>
                    <w:t>5.4.2  Providing the EPA with effective decision making principles</w:t>
                  </w:r>
                </w:p>
                <w:p>
                  <w:pPr>
                    <w:pStyle w:val="BodyText"/>
                    <w:spacing w:line="280" w:lineRule="auto" w:before="153"/>
                    <w:ind w:right="17"/>
                    <w:rPr>
                      <w:sz w:val="11"/>
                    </w:rPr>
                  </w:pPr>
                  <w:r>
                    <w:rPr>
                      <w:color w:val="58595B"/>
                    </w:rPr>
                    <w:t>The EP Act currently contains 11 principles</w:t>
                  </w:r>
                  <w:r>
                    <w:rPr>
                      <w:color w:val="58595B"/>
                      <w:position w:val="7"/>
                      <w:sz w:val="11"/>
                    </w:rPr>
                    <w:t>30 </w:t>
                  </w:r>
                  <w:r>
                    <w:rPr>
                      <w:color w:val="58595B"/>
                    </w:rPr>
                    <w:t>and as stated in the Act: ‘[i]t is the intention of Parliament that in the administration of this Act regard should be given to the principles of environment protection’.</w:t>
                  </w:r>
                  <w:r>
                    <w:rPr>
                      <w:color w:val="58595B"/>
                      <w:position w:val="7"/>
                      <w:sz w:val="11"/>
                    </w:rPr>
                    <w:t>31 </w:t>
                  </w:r>
                  <w:r>
                    <w:rPr>
                      <w:color w:val="58595B"/>
                    </w:rPr>
                    <w:t>The principles were introduced in 2001 as part of a broad commitment to build sustainability principles into decision making processes across government. The intention of the principles was to ‘assist people to understand [the] Act and provide some real guidance to decision makers as to how it should be administered’.</w:t>
                  </w:r>
                  <w:r>
                    <w:rPr>
                      <w:color w:val="58595B"/>
                      <w:position w:val="7"/>
                      <w:sz w:val="11"/>
                    </w:rPr>
                    <w:t>32</w:t>
                  </w:r>
                </w:p>
              </w:txbxContent>
            </v:textbox>
            <w10:wrap type="none"/>
          </v:shape>
        </w:pict>
      </w:r>
      <w:r>
        <w:rPr/>
        <w:pict>
          <v:shape style="position:absolute;margin-left:69.866096pt;margin-top:214.567169pt;width:432.25pt;height:79.5pt;mso-position-horizontal-relative:page;mso-position-vertical-relative:page;z-index:-204112" type="#_x0000_t202" filled="false" stroked="false">
            <v:textbox inset="0,0,0,0">
              <w:txbxContent>
                <w:p>
                  <w:pPr>
                    <w:pStyle w:val="BodyText"/>
                    <w:spacing w:line="280" w:lineRule="auto"/>
                  </w:pPr>
                  <w:r>
                    <w:rPr>
                      <w:color w:val="58595B"/>
                    </w:rPr>
                    <w:t>The EPA’s 2014 guideline details how the principles ‘… inform statutory processes and decisions made pursuant to the Act’, and provides guidance on ‘… how EPA applies the principles when it assesses project proposals and makes decisions on approval applications’.</w:t>
                  </w:r>
                  <w:r>
                    <w:rPr>
                      <w:color w:val="58595B"/>
                      <w:position w:val="7"/>
                      <w:sz w:val="11"/>
                    </w:rPr>
                    <w:t>33 </w:t>
                  </w:r>
                  <w:r>
                    <w:rPr>
                      <w:color w:val="58595B"/>
                    </w:rPr>
                    <w:t>The guideline notes proponents must consider the principles during approvals processes, and also that the principles may be relied on by EPA, the proponent or third parties in their participation in Victorian Civil and Administrative Tribunal reviews or in court appeals.</w:t>
                  </w:r>
                </w:p>
              </w:txbxContent>
            </v:textbox>
            <w10:wrap type="none"/>
          </v:shape>
        </w:pict>
      </w:r>
      <w:r>
        <w:rPr/>
        <w:pict>
          <v:shape style="position:absolute;margin-left:69.869202pt;margin-top:304.067169pt;width:423.5pt;height:52.5pt;mso-position-horizontal-relative:page;mso-position-vertical-relative:page;z-index:-204088" type="#_x0000_t202" filled="false" stroked="false">
            <v:textbox inset="0,0,0,0">
              <w:txbxContent>
                <w:p>
                  <w:pPr>
                    <w:pStyle w:val="BodyText"/>
                    <w:spacing w:line="280" w:lineRule="auto"/>
                    <w:rPr>
                      <w:sz w:val="11"/>
                    </w:rPr>
                  </w:pPr>
                  <w:r>
                    <w:rPr>
                      <w:color w:val="58595B"/>
                    </w:rPr>
                    <w:t>We note that without principles, the EP Act might be read that: ‘as its title suggests, [the EP Act is exclusively concerned] with an unqualified protection of the environment, unqualified in the sense that no consideration is to be given to other desirable goals if they are nevertheless inimical to the environment’.</w:t>
                  </w:r>
                  <w:r>
                    <w:rPr>
                      <w:color w:val="58595B"/>
                      <w:position w:val="7"/>
                      <w:sz w:val="11"/>
                    </w:rPr>
                    <w:t>34</w:t>
                  </w:r>
                </w:p>
              </w:txbxContent>
            </v:textbox>
            <w10:wrap type="none"/>
          </v:shape>
        </w:pict>
      </w:r>
      <w:r>
        <w:rPr/>
        <w:pict>
          <v:shape style="position:absolute;margin-left:69.866096pt;margin-top:366.574982pt;width:416.7pt;height:39pt;mso-position-horizontal-relative:page;mso-position-vertical-relative:page;z-index:-204064" type="#_x0000_t202" filled="false" stroked="false">
            <v:textbox inset="0,0,0,0">
              <w:txbxContent>
                <w:p>
                  <w:pPr>
                    <w:pStyle w:val="BodyText"/>
                    <w:spacing w:line="280" w:lineRule="auto"/>
                    <w:ind w:right="-12"/>
                  </w:pPr>
                  <w:r>
                    <w:rPr>
                      <w:color w:val="58595B"/>
                    </w:rPr>
                    <w:t>The principles are clearly intended to be important both as a means of understanding the intention and values that underpin the EP Act and the EPA’s role – both what it is tasked to do and how it goes about this.</w:t>
                  </w:r>
                </w:p>
              </w:txbxContent>
            </v:textbox>
            <w10:wrap type="none"/>
          </v:shape>
        </w:pict>
      </w:r>
      <w:r>
        <w:rPr/>
        <w:pict>
          <v:shape style="position:absolute;margin-left:69.864098pt;margin-top:418.414978pt;width:430.45pt;height:110.75pt;mso-position-horizontal-relative:page;mso-position-vertical-relative:page;z-index:-204040" type="#_x0000_t202" filled="false" stroked="false">
            <v:textbox inset="0,0,0,0">
              <w:txbxContent>
                <w:p>
                  <w:pPr>
                    <w:spacing w:line="224" w:lineRule="exact" w:before="0"/>
                    <w:ind w:left="20" w:right="0" w:firstLine="0"/>
                    <w:jc w:val="left"/>
                    <w:rPr>
                      <w:i/>
                      <w:sz w:val="20"/>
                    </w:rPr>
                  </w:pPr>
                  <w:r>
                    <w:rPr>
                      <w:i/>
                      <w:color w:val="6D6E71"/>
                      <w:sz w:val="20"/>
                    </w:rPr>
                    <w:t>Reviewing the current EP Act principles</w:t>
                  </w:r>
                </w:p>
                <w:p>
                  <w:pPr>
                    <w:pStyle w:val="BodyText"/>
                    <w:spacing w:line="280" w:lineRule="auto" w:before="125"/>
                    <w:rPr>
                      <w:sz w:val="11"/>
                    </w:rPr>
                  </w:pPr>
                  <w:r>
                    <w:rPr>
                      <w:color w:val="58595B"/>
                    </w:rPr>
                    <w:t>Principles are useful in underlining that regulators are expected to work with a ‘multidimensional set of trade-offs’</w:t>
                  </w:r>
                  <w:r>
                    <w:rPr>
                      <w:color w:val="58595B"/>
                      <w:position w:val="7"/>
                      <w:sz w:val="11"/>
                    </w:rPr>
                    <w:t>35 </w:t>
                  </w:r>
                  <w:r>
                    <w:rPr>
                      <w:color w:val="58595B"/>
                    </w:rPr>
                    <w:t>and that all decision making involves some ‘balancing’ of different values and outcomes. Often, this concept of balancing is about finding some ‘optimal point’ or ‘cluster’ that satisfies various values and outcomes, rather than weighting values against each other.</w:t>
                  </w:r>
                  <w:r>
                    <w:rPr>
                      <w:color w:val="58595B"/>
                      <w:position w:val="7"/>
                      <w:sz w:val="11"/>
                    </w:rPr>
                    <w:t>36 </w:t>
                  </w:r>
                  <w:r>
                    <w:rPr>
                      <w:color w:val="58595B"/>
                    </w:rPr>
                    <w:t>Having principles of different character, as in the current EP Act, makes this task difficult. The legislation should distinguish between principles that decision makers must have regard to and general aspirational statements made by Parliament.</w:t>
                  </w:r>
                  <w:r>
                    <w:rPr>
                      <w:color w:val="58595B"/>
                      <w:position w:val="7"/>
                      <w:sz w:val="11"/>
                    </w:rPr>
                    <w:t>37</w:t>
                  </w:r>
                </w:p>
              </w:txbxContent>
            </v:textbox>
            <w10:wrap type="none"/>
          </v:shape>
        </w:pict>
      </w:r>
      <w:r>
        <w:rPr/>
        <w:pict>
          <v:shape style="position:absolute;margin-left:69.866096pt;margin-top:539.169556pt;width:411.15pt;height:31.2pt;mso-position-horizontal-relative:page;mso-position-vertical-relative:page;z-index:-204016" type="#_x0000_t202" filled="false" stroked="false">
            <v:textbox inset="0,0,0,0">
              <w:txbxContent>
                <w:p>
                  <w:pPr>
                    <w:pStyle w:val="BodyText"/>
                    <w:spacing w:line="224" w:lineRule="exact"/>
                  </w:pPr>
                  <w:r>
                    <w:rPr>
                      <w:color w:val="58595B"/>
                    </w:rPr>
                    <w:t>The current EP Act principles were derived from various sources and are a mixture of:</w:t>
                  </w:r>
                </w:p>
                <w:p>
                  <w:pPr>
                    <w:pStyle w:val="Heading1"/>
                    <w:numPr>
                      <w:ilvl w:val="0"/>
                      <w:numId w:val="12"/>
                    </w:numPr>
                    <w:tabs>
                      <w:tab w:pos="190" w:val="left" w:leader="none"/>
                    </w:tabs>
                    <w:spacing w:line="240" w:lineRule="auto" w:before="153" w:after="0"/>
                    <w:ind w:left="190" w:right="0" w:hanging="170"/>
                    <w:jc w:val="left"/>
                    <w:rPr>
                      <w:b w:val="0"/>
                    </w:rPr>
                  </w:pPr>
                  <w:r>
                    <w:rPr>
                      <w:color w:val="58595B"/>
                    </w:rPr>
                    <w:t>generic decision making principles that represent regulatory best practice</w:t>
                  </w:r>
                  <w:r>
                    <w:rPr>
                      <w:b w:val="0"/>
                      <w:color w:val="58595B"/>
                    </w:rPr>
                    <w:t>, such </w:t>
                  </w:r>
                  <w:r>
                    <w:rPr>
                      <w:b w:val="0"/>
                      <w:color w:val="58595B"/>
                      <w:spacing w:val="24"/>
                    </w:rPr>
                    <w:t> </w:t>
                  </w:r>
                  <w:r>
                    <w:rPr>
                      <w:b w:val="0"/>
                      <w:color w:val="58595B"/>
                    </w:rPr>
                    <w:t>as:</w:t>
                  </w:r>
                </w:p>
              </w:txbxContent>
            </v:textbox>
            <w10:wrap type="none"/>
          </v:shape>
        </w:pict>
      </w:r>
      <w:r>
        <w:rPr/>
        <w:pict>
          <v:shape style="position:absolute;margin-left:78.366096pt;margin-top:580.339539pt;width:417.3pt;height:39pt;mso-position-horizontal-relative:page;mso-position-vertical-relative:page;z-index:-203992" type="#_x0000_t202" filled="false" stroked="false">
            <v:textbox inset="0,0,0,0">
              <w:txbxContent>
                <w:p>
                  <w:pPr>
                    <w:pStyle w:val="BodyText"/>
                    <w:tabs>
                      <w:tab w:pos="360" w:val="left" w:leader="none"/>
                    </w:tabs>
                    <w:spacing w:line="280" w:lineRule="auto"/>
                    <w:ind w:left="360" w:right="17" w:hanging="341"/>
                  </w:pPr>
                  <w:r>
                    <w:rPr>
                      <w:color w:val="58595B"/>
                    </w:rPr>
                    <w:t>i)</w:t>
                    <w:tab/>
                    <w:t>‘effective integration of economic, social and environmental considerations</w:t>
                  </w:r>
                  <w:r>
                    <w:rPr>
                      <w:color w:val="58595B"/>
                      <w:spacing w:val="13"/>
                    </w:rPr>
                    <w:t> </w:t>
                  </w:r>
                  <w:r>
                    <w:rPr>
                      <w:color w:val="58595B"/>
                    </w:rPr>
                    <w:t>in</w:t>
                  </w:r>
                  <w:r>
                    <w:rPr>
                      <w:color w:val="58595B"/>
                      <w:spacing w:val="1"/>
                    </w:rPr>
                    <w:t> </w:t>
                  </w:r>
                  <w:r>
                    <w:rPr>
                      <w:color w:val="58595B"/>
                    </w:rPr>
                    <w:t>decision making processes with the need to improve community wellbeing and the benefit of future generations’</w:t>
                  </w:r>
                </w:p>
              </w:txbxContent>
            </v:textbox>
            <w10:wrap type="none"/>
          </v:shape>
        </w:pict>
      </w:r>
      <w:r>
        <w:rPr/>
        <w:pict>
          <v:shape style="position:absolute;margin-left:69.866997pt;margin-top:629.339539pt;width:432.6pt;height:112.2pt;mso-position-horizontal-relative:page;mso-position-vertical-relative:page;z-index:-203968" type="#_x0000_t202" filled="false" stroked="false">
            <v:textbox inset="0,0,0,0">
              <w:txbxContent>
                <w:p>
                  <w:pPr>
                    <w:pStyle w:val="BodyText"/>
                    <w:spacing w:line="280" w:lineRule="auto"/>
                    <w:ind w:left="530" w:hanging="341"/>
                    <w:rPr>
                      <w:sz w:val="11"/>
                    </w:rPr>
                  </w:pPr>
                  <w:r>
                    <w:rPr>
                      <w:color w:val="58595B"/>
                    </w:rPr>
                    <w:t>ii) that ‘measures adopted should be cost effective and in proportion to the significance of the environmental problems being addressed’.</w:t>
                  </w:r>
                  <w:r>
                    <w:rPr>
                      <w:color w:val="58595B"/>
                      <w:position w:val="7"/>
                      <w:sz w:val="11"/>
                    </w:rPr>
                    <w:t>38</w:t>
                  </w:r>
                </w:p>
                <w:p>
                  <w:pPr>
                    <w:pStyle w:val="ListParagraph"/>
                    <w:numPr>
                      <w:ilvl w:val="0"/>
                      <w:numId w:val="13"/>
                    </w:numPr>
                    <w:tabs>
                      <w:tab w:pos="190" w:val="left" w:leader="none"/>
                    </w:tabs>
                    <w:spacing w:line="280" w:lineRule="auto" w:before="115" w:after="0"/>
                    <w:ind w:left="190" w:right="17" w:hanging="170"/>
                    <w:jc w:val="left"/>
                    <w:rPr>
                      <w:sz w:val="20"/>
                    </w:rPr>
                  </w:pPr>
                  <w:r>
                    <w:rPr>
                      <w:b/>
                      <w:color w:val="58595B"/>
                      <w:sz w:val="20"/>
                    </w:rPr>
                    <w:t>longstanding </w:t>
                  </w:r>
                  <w:r>
                    <w:rPr>
                      <w:b/>
                      <w:color w:val="58595B"/>
                      <w:spacing w:val="-3"/>
                      <w:sz w:val="20"/>
                    </w:rPr>
                    <w:t>‘universal’ </w:t>
                  </w:r>
                  <w:r>
                    <w:rPr>
                      <w:b/>
                      <w:color w:val="58595B"/>
                      <w:spacing w:val="-2"/>
                      <w:sz w:val="20"/>
                    </w:rPr>
                    <w:t>environmental </w:t>
                  </w:r>
                  <w:r>
                    <w:rPr>
                      <w:b/>
                      <w:color w:val="58595B"/>
                      <w:spacing w:val="-3"/>
                      <w:sz w:val="20"/>
                    </w:rPr>
                    <w:t>values</w:t>
                  </w:r>
                  <w:r>
                    <w:rPr>
                      <w:color w:val="58595B"/>
                      <w:spacing w:val="-3"/>
                      <w:sz w:val="20"/>
                    </w:rPr>
                    <w:t>, including elements drawn </w:t>
                  </w:r>
                  <w:r>
                    <w:rPr>
                      <w:color w:val="58595B"/>
                      <w:sz w:val="20"/>
                    </w:rPr>
                    <w:t>from </w:t>
                  </w:r>
                  <w:r>
                    <w:rPr>
                      <w:color w:val="58595B"/>
                      <w:spacing w:val="-3"/>
                      <w:sz w:val="20"/>
                    </w:rPr>
                    <w:t>international commitments </w:t>
                  </w:r>
                  <w:r>
                    <w:rPr>
                      <w:color w:val="58595B"/>
                      <w:sz w:val="20"/>
                    </w:rPr>
                    <w:t>to </w:t>
                  </w:r>
                  <w:r>
                    <w:rPr>
                      <w:color w:val="58595B"/>
                      <w:spacing w:val="-3"/>
                      <w:sz w:val="20"/>
                    </w:rPr>
                    <w:t>ecologically sustainable </w:t>
                  </w:r>
                  <w:r>
                    <w:rPr>
                      <w:color w:val="58595B"/>
                      <w:spacing w:val="-4"/>
                      <w:sz w:val="20"/>
                    </w:rPr>
                    <w:t>development </w:t>
                  </w:r>
                  <w:r>
                    <w:rPr>
                      <w:color w:val="58595B"/>
                      <w:sz w:val="20"/>
                    </w:rPr>
                    <w:t>from the </w:t>
                  </w:r>
                  <w:r>
                    <w:rPr>
                      <w:color w:val="58595B"/>
                      <w:spacing w:val="-3"/>
                      <w:sz w:val="20"/>
                    </w:rPr>
                    <w:t>1980s that were </w:t>
                  </w:r>
                  <w:r>
                    <w:rPr>
                      <w:color w:val="58595B"/>
                      <w:sz w:val="20"/>
                    </w:rPr>
                    <w:t>then </w:t>
                  </w:r>
                  <w:r>
                    <w:rPr>
                      <w:color w:val="58595B"/>
                      <w:spacing w:val="-3"/>
                      <w:sz w:val="20"/>
                    </w:rPr>
                    <w:t>enshrined </w:t>
                  </w:r>
                  <w:r>
                    <w:rPr>
                      <w:color w:val="58595B"/>
                      <w:spacing w:val="-4"/>
                      <w:sz w:val="20"/>
                    </w:rPr>
                    <w:t>by </w:t>
                  </w:r>
                  <w:r>
                    <w:rPr>
                      <w:color w:val="58595B"/>
                      <w:spacing w:val="-3"/>
                      <w:sz w:val="20"/>
                    </w:rPr>
                    <w:t>Australian </w:t>
                  </w:r>
                  <w:r>
                    <w:rPr>
                      <w:color w:val="58595B"/>
                      <w:spacing w:val="-4"/>
                      <w:sz w:val="20"/>
                    </w:rPr>
                    <w:t>governments </w:t>
                  </w:r>
                  <w:r>
                    <w:rPr>
                      <w:color w:val="58595B"/>
                      <w:sz w:val="20"/>
                    </w:rPr>
                    <w:t>in the </w:t>
                  </w:r>
                  <w:r>
                    <w:rPr>
                      <w:color w:val="58595B"/>
                      <w:spacing w:val="-3"/>
                      <w:sz w:val="20"/>
                    </w:rPr>
                    <w:t>1992 </w:t>
                  </w:r>
                  <w:r>
                    <w:rPr>
                      <w:color w:val="58595B"/>
                      <w:spacing w:val="-4"/>
                      <w:sz w:val="20"/>
                    </w:rPr>
                    <w:t>Intergovernmental </w:t>
                  </w:r>
                  <w:r>
                    <w:rPr>
                      <w:color w:val="58595B"/>
                      <w:spacing w:val="-3"/>
                      <w:sz w:val="20"/>
                    </w:rPr>
                    <w:t>Agreement </w:t>
                  </w:r>
                  <w:r>
                    <w:rPr>
                      <w:color w:val="58595B"/>
                      <w:sz w:val="20"/>
                    </w:rPr>
                    <w:t>on the </w:t>
                  </w:r>
                  <w:r>
                    <w:rPr>
                      <w:color w:val="58595B"/>
                      <w:spacing w:val="-4"/>
                      <w:sz w:val="20"/>
                    </w:rPr>
                    <w:t>Environment </w:t>
                  </w:r>
                  <w:r>
                    <w:rPr>
                      <w:color w:val="58595B"/>
                      <w:spacing w:val="-3"/>
                      <w:sz w:val="20"/>
                    </w:rPr>
                    <w:t>(IGAE).</w:t>
                  </w:r>
                  <w:r>
                    <w:rPr>
                      <w:color w:val="58595B"/>
                      <w:spacing w:val="-3"/>
                      <w:position w:val="7"/>
                      <w:sz w:val="11"/>
                    </w:rPr>
                    <w:t>39 </w:t>
                  </w:r>
                  <w:r>
                    <w:rPr>
                      <w:color w:val="58595B"/>
                      <w:spacing w:val="-3"/>
                      <w:sz w:val="20"/>
                    </w:rPr>
                    <w:t>This agreement was </w:t>
                  </w:r>
                  <w:r>
                    <w:rPr>
                      <w:color w:val="58595B"/>
                      <w:sz w:val="20"/>
                    </w:rPr>
                    <w:t>framed as a </w:t>
                  </w:r>
                  <w:r>
                    <w:rPr>
                      <w:color w:val="58595B"/>
                      <w:spacing w:val="-3"/>
                      <w:sz w:val="20"/>
                    </w:rPr>
                    <w:t>broad </w:t>
                  </w:r>
                  <w:r>
                    <w:rPr>
                      <w:color w:val="58595B"/>
                      <w:spacing w:val="-4"/>
                      <w:sz w:val="20"/>
                    </w:rPr>
                    <w:t>environmental </w:t>
                  </w:r>
                  <w:r>
                    <w:rPr>
                      <w:color w:val="58595B"/>
                      <w:spacing w:val="-3"/>
                      <w:sz w:val="20"/>
                    </w:rPr>
                    <w:t>framework </w:t>
                  </w:r>
                  <w:r>
                    <w:rPr>
                      <w:color w:val="58595B"/>
                      <w:sz w:val="20"/>
                    </w:rPr>
                    <w:t>‘to </w:t>
                  </w:r>
                  <w:r>
                    <w:rPr>
                      <w:color w:val="58595B"/>
                      <w:spacing w:val="-3"/>
                      <w:sz w:val="20"/>
                    </w:rPr>
                    <w:t>guide </w:t>
                  </w:r>
                  <w:r>
                    <w:rPr>
                      <w:color w:val="58595B"/>
                      <w:sz w:val="20"/>
                    </w:rPr>
                    <w:t>the </w:t>
                  </w:r>
                  <w:r>
                    <w:rPr>
                      <w:color w:val="58595B"/>
                      <w:spacing w:val="-4"/>
                      <w:sz w:val="20"/>
                    </w:rPr>
                    <w:t>development </w:t>
                  </w:r>
                  <w:r>
                    <w:rPr>
                      <w:color w:val="58595B"/>
                      <w:sz w:val="20"/>
                    </w:rPr>
                    <w:t>and </w:t>
                  </w:r>
                  <w:r>
                    <w:rPr>
                      <w:color w:val="58595B"/>
                      <w:spacing w:val="-3"/>
                      <w:sz w:val="20"/>
                    </w:rPr>
                    <w:t>implementation </w:t>
                  </w:r>
                  <w:r>
                    <w:rPr>
                      <w:color w:val="58595B"/>
                      <w:sz w:val="20"/>
                    </w:rPr>
                    <w:t>of </w:t>
                  </w:r>
                  <w:r>
                    <w:rPr>
                      <w:color w:val="58595B"/>
                      <w:spacing w:val="-4"/>
                      <w:sz w:val="20"/>
                    </w:rPr>
                    <w:t>environmental </w:t>
                  </w:r>
                  <w:r>
                    <w:rPr>
                      <w:color w:val="58595B"/>
                      <w:spacing w:val="-3"/>
                      <w:sz w:val="20"/>
                    </w:rPr>
                    <w:t>policy </w:t>
                  </w:r>
                  <w:r>
                    <w:rPr>
                      <w:color w:val="58595B"/>
                      <w:sz w:val="20"/>
                    </w:rPr>
                    <w:t>and </w:t>
                  </w:r>
                  <w:r>
                    <w:rPr>
                      <w:color w:val="58595B"/>
                      <w:spacing w:val="-3"/>
                      <w:sz w:val="20"/>
                    </w:rPr>
                    <w:t>programs </w:t>
                  </w:r>
                  <w:r>
                    <w:rPr>
                      <w:color w:val="58595B"/>
                      <w:spacing w:val="-4"/>
                      <w:sz w:val="20"/>
                    </w:rPr>
                    <w:t>by </w:t>
                  </w:r>
                  <w:r>
                    <w:rPr>
                      <w:color w:val="58595B"/>
                      <w:sz w:val="20"/>
                    </w:rPr>
                    <w:t>all </w:t>
                  </w:r>
                  <w:r>
                    <w:rPr>
                      <w:color w:val="58595B"/>
                      <w:spacing w:val="-4"/>
                      <w:sz w:val="20"/>
                    </w:rPr>
                    <w:t>levels </w:t>
                  </w:r>
                  <w:r>
                    <w:rPr>
                      <w:color w:val="58595B"/>
                      <w:sz w:val="20"/>
                    </w:rPr>
                    <w:t>of </w:t>
                  </w:r>
                  <w:r>
                    <w:rPr>
                      <w:color w:val="58595B"/>
                      <w:spacing w:val="-4"/>
                      <w:sz w:val="20"/>
                    </w:rPr>
                    <w:t>Government’.</w:t>
                  </w:r>
                  <w:r>
                    <w:rPr>
                      <w:color w:val="58595B"/>
                      <w:spacing w:val="-4"/>
                      <w:position w:val="7"/>
                      <w:sz w:val="11"/>
                    </w:rPr>
                    <w:t>40 </w:t>
                  </w:r>
                  <w:r>
                    <w:rPr>
                      <w:color w:val="58595B"/>
                      <w:sz w:val="20"/>
                    </w:rPr>
                    <w:t>It </w:t>
                  </w:r>
                  <w:r>
                    <w:rPr>
                      <w:color w:val="58595B"/>
                      <w:spacing w:val="-3"/>
                      <w:sz w:val="20"/>
                    </w:rPr>
                    <w:t>was not </w:t>
                  </w:r>
                  <w:r>
                    <w:rPr>
                      <w:color w:val="58595B"/>
                      <w:sz w:val="20"/>
                    </w:rPr>
                    <w:t>specific to </w:t>
                  </w:r>
                  <w:r>
                    <w:rPr>
                      <w:color w:val="58595B"/>
                      <w:spacing w:val="-3"/>
                      <w:sz w:val="20"/>
                    </w:rPr>
                    <w:t>pollution </w:t>
                  </w:r>
                  <w:r>
                    <w:rPr>
                      <w:color w:val="58595B"/>
                      <w:sz w:val="20"/>
                    </w:rPr>
                    <w:t>and </w:t>
                  </w:r>
                  <w:r>
                    <w:rPr>
                      <w:color w:val="58595B"/>
                      <w:spacing w:val="-4"/>
                      <w:sz w:val="20"/>
                    </w:rPr>
                    <w:t>waste</w:t>
                  </w:r>
                  <w:r>
                    <w:rPr>
                      <w:color w:val="58595B"/>
                      <w:spacing w:val="-39"/>
                      <w:sz w:val="20"/>
                    </w:rPr>
                    <w:t> </w:t>
                  </w:r>
                  <w:r>
                    <w:rPr>
                      <w:color w:val="58595B"/>
                      <w:spacing w:val="-3"/>
                      <w:sz w:val="20"/>
                    </w:rPr>
                    <w:t>management.</w:t>
                  </w:r>
                </w:p>
              </w:txbxContent>
            </v:textbox>
            <w10:wrap type="none"/>
          </v:shape>
        </w:pict>
      </w:r>
      <w:r>
        <w:rPr/>
        <w:pict>
          <v:shape style="position:absolute;margin-left:.0pt;margin-top:44.090015pt;width:60.3pt;height:5.25pt;mso-position-horizontal-relative:page;mso-position-vertical-relative:page;z-index:-203944"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03920"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03896" from="534.996094pt,45.840015pt" to="595.276001pt,45.840015pt" stroked="true" strokeweight="7pt" strokecolor="#0095a7">
            <w10:wrap type="none"/>
          </v:line>
        </w:pict>
      </w:r>
      <w:r>
        <w:rPr/>
        <w:pict>
          <v:shape style="position:absolute;margin-left:240.990097pt;margin-top:40.902756pt;width:284.6pt;height:9.5pt;mso-position-horizontal-relative:page;mso-position-vertical-relative:page;z-index:-203872" type="#_x0000_t202" filled="false" stroked="false">
            <v:textbox inset="0,0,0,0">
              <w:txbxContent>
                <w:p>
                  <w:pPr>
                    <w:tabs>
                      <w:tab w:pos="5672" w:val="right" w:leader="none"/>
                    </w:tabs>
                    <w:spacing w:before="1"/>
                    <w:ind w:left="20" w:right="0" w:firstLine="0"/>
                    <w:jc w:val="left"/>
                    <w:rPr>
                      <w:sz w:val="15"/>
                    </w:rPr>
                  </w:pPr>
                  <w:r>
                    <w:rPr>
                      <w:color w:val="58595B"/>
                      <w:spacing w:val="3"/>
                      <w:sz w:val="15"/>
                    </w:rPr>
                    <w:t>CHAPTER </w:t>
                  </w:r>
                  <w:r>
                    <w:rPr>
                      <w:color w:val="58595B"/>
                      <w:sz w:val="15"/>
                    </w:rPr>
                    <w:t>5    </w:t>
                  </w:r>
                  <w:r>
                    <w:rPr>
                      <w:color w:val="58595B"/>
                      <w:spacing w:val="4"/>
                      <w:sz w:val="15"/>
                    </w:rPr>
                    <w:t>CLARIFYING </w:t>
                  </w:r>
                  <w:r>
                    <w:rPr>
                      <w:color w:val="58595B"/>
                      <w:spacing w:val="3"/>
                      <w:sz w:val="15"/>
                    </w:rPr>
                    <w:t>THE </w:t>
                  </w:r>
                  <w:r>
                    <w:rPr>
                      <w:color w:val="58595B"/>
                      <w:sz w:val="15"/>
                    </w:rPr>
                    <w:t>EPA’S </w:t>
                  </w:r>
                  <w:r>
                    <w:rPr>
                      <w:color w:val="58595B"/>
                      <w:spacing w:val="3"/>
                      <w:sz w:val="15"/>
                    </w:rPr>
                    <w:t>OBJECTIVES</w:t>
                  </w:r>
                  <w:r>
                    <w:rPr>
                      <w:color w:val="58595B"/>
                      <w:spacing w:val="-7"/>
                      <w:sz w:val="15"/>
                    </w:rPr>
                    <w:t> </w:t>
                  </w:r>
                  <w:r>
                    <w:rPr>
                      <w:color w:val="58595B"/>
                      <w:spacing w:val="3"/>
                      <w:sz w:val="15"/>
                    </w:rPr>
                    <w:t>AND FUNCTIONS</w:t>
                    <w:tab/>
                    <w:t>89</w:t>
                  </w:r>
                </w:p>
              </w:txbxContent>
            </v:textbox>
            <w10:wrap type="none"/>
          </v:shape>
        </w:pict>
      </w:r>
      <w:r>
        <w:rPr/>
        <w:pict>
          <v:shape style="position:absolute;margin-left:89.709602pt;margin-top:105.893967pt;width:412.9pt;height:98.7pt;mso-position-horizontal-relative:page;mso-position-vertical-relative:page;z-index:-203848" type="#_x0000_t202" filled="false" stroked="false">
            <v:textbox inset="0,0,0,0">
              <w:txbxContent>
                <w:p>
                  <w:pPr>
                    <w:pStyle w:val="ListParagraph"/>
                    <w:numPr>
                      <w:ilvl w:val="0"/>
                      <w:numId w:val="14"/>
                    </w:numPr>
                    <w:tabs>
                      <w:tab w:pos="190" w:val="left" w:leader="none"/>
                    </w:tabs>
                    <w:spacing w:line="280" w:lineRule="auto" w:before="0" w:after="0"/>
                    <w:ind w:left="190" w:right="92" w:hanging="170"/>
                    <w:jc w:val="left"/>
                    <w:rPr>
                      <w:sz w:val="11"/>
                    </w:rPr>
                  </w:pPr>
                  <w:r>
                    <w:rPr>
                      <w:b/>
                      <w:color w:val="58595B"/>
                      <w:sz w:val="20"/>
                    </w:rPr>
                    <w:t>general aspirational statements </w:t>
                  </w:r>
                  <w:r>
                    <w:rPr>
                      <w:color w:val="58595B"/>
                      <w:sz w:val="20"/>
                    </w:rPr>
                    <w:t>with broader application than just the EPA, such as the principle of shared responsibility and community aspirations for environmental</w:t>
                  </w:r>
                  <w:r>
                    <w:rPr>
                      <w:color w:val="58595B"/>
                      <w:spacing w:val="3"/>
                      <w:sz w:val="20"/>
                    </w:rPr>
                    <w:t> </w:t>
                  </w:r>
                  <w:r>
                    <w:rPr>
                      <w:color w:val="58595B"/>
                      <w:sz w:val="20"/>
                    </w:rPr>
                    <w:t>quality.</w:t>
                  </w:r>
                  <w:r>
                    <w:rPr>
                      <w:color w:val="58595B"/>
                      <w:position w:val="7"/>
                      <w:sz w:val="11"/>
                    </w:rPr>
                    <w:t>41</w:t>
                  </w:r>
                </w:p>
                <w:p>
                  <w:pPr>
                    <w:pStyle w:val="ListParagraph"/>
                    <w:numPr>
                      <w:ilvl w:val="0"/>
                      <w:numId w:val="14"/>
                    </w:numPr>
                    <w:tabs>
                      <w:tab w:pos="190" w:val="left" w:leader="none"/>
                    </w:tabs>
                    <w:spacing w:line="280" w:lineRule="auto" w:before="115" w:after="0"/>
                    <w:ind w:left="190" w:right="17" w:hanging="170"/>
                    <w:jc w:val="left"/>
                    <w:rPr>
                      <w:sz w:val="11"/>
                    </w:rPr>
                  </w:pPr>
                  <w:r>
                    <w:rPr>
                      <w:b/>
                      <w:color w:val="58595B"/>
                      <w:sz w:val="20"/>
                    </w:rPr>
                    <w:t>specific statements of </w:t>
                  </w:r>
                  <w:r>
                    <w:rPr>
                      <w:b/>
                      <w:color w:val="58595B"/>
                      <w:spacing w:val="-4"/>
                      <w:sz w:val="20"/>
                    </w:rPr>
                    <w:t>EPA </w:t>
                  </w:r>
                  <w:r>
                    <w:rPr>
                      <w:b/>
                      <w:color w:val="58595B"/>
                      <w:sz w:val="20"/>
                    </w:rPr>
                    <w:t>policy practice and operational considerations</w:t>
                  </w:r>
                  <w:r>
                    <w:rPr>
                      <w:color w:val="58595B"/>
                      <w:sz w:val="20"/>
                    </w:rPr>
                    <w:t>, including reference to the considerations, tools and approaches to be deployed by the EPA, such as integrated environmental management, use of incentive structures, the waste hierarchy, product stewardship, enforcement, access to information and involvement in policy development</w:t>
                  </w:r>
                  <w:r>
                    <w:rPr>
                      <w:color w:val="58595B"/>
                      <w:spacing w:val="7"/>
                      <w:sz w:val="20"/>
                    </w:rPr>
                    <w:t> </w:t>
                  </w:r>
                  <w:r>
                    <w:rPr>
                      <w:color w:val="58595B"/>
                      <w:sz w:val="20"/>
                    </w:rPr>
                    <w:t>processes.</w:t>
                  </w:r>
                  <w:r>
                    <w:rPr>
                      <w:color w:val="58595B"/>
                      <w:position w:val="7"/>
                      <w:sz w:val="11"/>
                    </w:rPr>
                    <w:t>42</w:t>
                  </w:r>
                </w:p>
              </w:txbxContent>
            </v:textbox>
            <w10:wrap type="none"/>
          </v:shape>
        </w:pict>
      </w:r>
      <w:r>
        <w:rPr/>
        <w:pict>
          <v:shape style="position:absolute;margin-left:89.703796pt;margin-top:214.567169pt;width:435.7pt;height:66pt;mso-position-horizontal-relative:page;mso-position-vertical-relative:page;z-index:-203824" type="#_x0000_t202" filled="false" stroked="false">
            <v:textbox inset="0,0,0,0">
              <w:txbxContent>
                <w:p>
                  <w:pPr>
                    <w:pStyle w:val="BodyText"/>
                    <w:spacing w:line="280" w:lineRule="auto"/>
                    <w:ind w:right="55"/>
                    <w:rPr>
                      <w:sz w:val="11"/>
                    </w:rPr>
                  </w:pPr>
                  <w:r>
                    <w:rPr>
                      <w:color w:val="58595B"/>
                    </w:rPr>
                    <w:t>These principles do not provide a consistent and comprehensive framework that supports operational effectiveness. Independent expert advice concluded: ‘[t]he current principles must lead to difficulties in decision making by the </w:t>
                  </w:r>
                  <w:r>
                    <w:rPr>
                      <w:color w:val="58595B"/>
                      <w:spacing w:val="-5"/>
                    </w:rPr>
                    <w:t>EPA’.</w:t>
                  </w:r>
                  <w:r>
                    <w:rPr>
                      <w:color w:val="58595B"/>
                      <w:spacing w:val="-5"/>
                      <w:position w:val="7"/>
                      <w:sz w:val="11"/>
                    </w:rPr>
                    <w:t>43 </w:t>
                  </w:r>
                  <w:r>
                    <w:rPr>
                      <w:color w:val="58595B"/>
                    </w:rPr>
                    <w:t>First, they encompass broad value statements as well as more specific decision making and operational considerations. There is duplication between principles where a single, simplified statement would be more</w:t>
                  </w:r>
                  <w:r>
                    <w:rPr>
                      <w:color w:val="58595B"/>
                      <w:spacing w:val="23"/>
                    </w:rPr>
                    <w:t> </w:t>
                  </w:r>
                  <w:r>
                    <w:rPr>
                      <w:color w:val="58595B"/>
                    </w:rPr>
                    <w:t>useful.</w:t>
                  </w:r>
                  <w:r>
                    <w:rPr>
                      <w:color w:val="58595B"/>
                      <w:position w:val="7"/>
                      <w:sz w:val="11"/>
                    </w:rPr>
                    <w:t>44</w:t>
                  </w:r>
                </w:p>
              </w:txbxContent>
            </v:textbox>
            <w10:wrap type="none"/>
          </v:shape>
        </w:pict>
      </w:r>
      <w:r>
        <w:rPr/>
        <w:pict>
          <v:shape style="position:absolute;margin-left:89.705299pt;margin-top:290.571075pt;width:433.75pt;height:106.5pt;mso-position-horizontal-relative:page;mso-position-vertical-relative:page;z-index:-203800" type="#_x0000_t202" filled="false" stroked="false">
            <v:textbox inset="0,0,0,0">
              <w:txbxContent>
                <w:p>
                  <w:pPr>
                    <w:pStyle w:val="BodyText"/>
                    <w:spacing w:line="280" w:lineRule="auto"/>
                    <w:ind w:right="17"/>
                    <w:rPr>
                      <w:sz w:val="11"/>
                    </w:rPr>
                  </w:pPr>
                  <w:r>
                    <w:rPr>
                      <w:color w:val="58595B"/>
                    </w:rPr>
                    <w:t>Second, the principles do not provide the duty holder or the community with a clear view of how the </w:t>
                  </w:r>
                  <w:r>
                    <w:rPr>
                      <w:color w:val="58595B"/>
                      <w:spacing w:val="-4"/>
                    </w:rPr>
                    <w:t>EPA </w:t>
                  </w:r>
                  <w:r>
                    <w:rPr>
                      <w:color w:val="58595B"/>
                    </w:rPr>
                    <w:t>should assess, weigh and judge issues. It is unclear whether the </w:t>
                  </w:r>
                  <w:r>
                    <w:rPr>
                      <w:color w:val="58595B"/>
                      <w:spacing w:val="-4"/>
                    </w:rPr>
                    <w:t>EPA </w:t>
                  </w:r>
                  <w:r>
                    <w:rPr>
                      <w:color w:val="58595B"/>
                    </w:rPr>
                    <w:t>should account  for all relevant principles equally, or whether some principles are meant to provide direction on specific areas </w:t>
                  </w:r>
                  <w:r>
                    <w:rPr>
                      <w:color w:val="58595B"/>
                      <w:spacing w:val="-3"/>
                    </w:rPr>
                    <w:t>only, </w:t>
                  </w:r>
                  <w:r>
                    <w:rPr>
                      <w:color w:val="58595B"/>
                    </w:rPr>
                    <w:t>for example. Recent case law suggests that one principle ‘has to be balanced against the numerous other stated principles of environment protection’.</w:t>
                  </w:r>
                  <w:r>
                    <w:rPr>
                      <w:color w:val="58595B"/>
                      <w:position w:val="7"/>
                      <w:sz w:val="11"/>
                    </w:rPr>
                    <w:t>45 </w:t>
                  </w:r>
                  <w:r>
                    <w:rPr>
                      <w:color w:val="58595B"/>
                      <w:spacing w:val="-3"/>
                    </w:rPr>
                    <w:t>However, </w:t>
                  </w:r>
                  <w:r>
                    <w:rPr>
                      <w:color w:val="58595B"/>
                    </w:rPr>
                    <w:t>this approach seems to be unworkable with the current principles. Indeed, the </w:t>
                  </w:r>
                  <w:r>
                    <w:rPr>
                      <w:color w:val="58595B"/>
                      <w:spacing w:val="-4"/>
                    </w:rPr>
                    <w:t>EPA </w:t>
                  </w:r>
                  <w:r>
                    <w:rPr>
                      <w:color w:val="58595B"/>
                    </w:rPr>
                    <w:t>itself noted some principles are ‘often directly relevant’ (sections </w:t>
                  </w:r>
                  <w:r>
                    <w:rPr>
                      <w:color w:val="58595B"/>
                      <w:spacing w:val="-3"/>
                    </w:rPr>
                    <w:t>1B, </w:t>
                  </w:r>
                  <w:r>
                    <w:rPr>
                      <w:color w:val="58595B"/>
                      <w:spacing w:val="-5"/>
                    </w:rPr>
                    <w:t>1I </w:t>
                  </w:r>
                  <w:r>
                    <w:rPr>
                      <w:color w:val="58595B"/>
                    </w:rPr>
                    <w:t>and </w:t>
                  </w:r>
                  <w:r>
                    <w:rPr>
                      <w:color w:val="58595B"/>
                      <w:spacing w:val="-4"/>
                    </w:rPr>
                    <w:t>1J), </w:t>
                  </w:r>
                  <w:r>
                    <w:rPr>
                      <w:color w:val="58595B"/>
                    </w:rPr>
                    <w:t>‘sometimes directly relevant’ (sections </w:t>
                  </w:r>
                  <w:r>
                    <w:rPr>
                      <w:color w:val="58595B"/>
                      <w:spacing w:val="-4"/>
                    </w:rPr>
                    <w:t>1C, 1D </w:t>
                  </w:r>
                  <w:r>
                    <w:rPr>
                      <w:color w:val="58595B"/>
                    </w:rPr>
                    <w:t>and </w:t>
                  </w:r>
                  <w:r>
                    <w:rPr>
                      <w:color w:val="58595B"/>
                      <w:spacing w:val="-4"/>
                    </w:rPr>
                    <w:t>1E), </w:t>
                  </w:r>
                  <w:r>
                    <w:rPr>
                      <w:color w:val="58595B"/>
                    </w:rPr>
                    <w:t>and some are ‘rarely directly relevant’ (sections </w:t>
                  </w:r>
                  <w:r>
                    <w:rPr>
                      <w:color w:val="58595B"/>
                      <w:spacing w:val="-10"/>
                    </w:rPr>
                    <w:t>1F, </w:t>
                  </w:r>
                  <w:r>
                    <w:rPr>
                      <w:color w:val="58595B"/>
                      <w:spacing w:val="-3"/>
                    </w:rPr>
                    <w:t>1G, 1H, </w:t>
                  </w:r>
                  <w:r>
                    <w:rPr>
                      <w:color w:val="58595B"/>
                      <w:spacing w:val="-4"/>
                    </w:rPr>
                    <w:t>1K </w:t>
                  </w:r>
                  <w:r>
                    <w:rPr>
                      <w:color w:val="58595B"/>
                    </w:rPr>
                    <w:t>and</w:t>
                  </w:r>
                  <w:r>
                    <w:rPr>
                      <w:color w:val="58595B"/>
                      <w:spacing w:val="22"/>
                    </w:rPr>
                    <w:t> </w:t>
                  </w:r>
                  <w:r>
                    <w:rPr>
                      <w:color w:val="58595B"/>
                    </w:rPr>
                    <w:t>1L).</w:t>
                  </w:r>
                  <w:r>
                    <w:rPr>
                      <w:color w:val="58595B"/>
                      <w:position w:val="7"/>
                      <w:sz w:val="11"/>
                    </w:rPr>
                    <w:t>46</w:t>
                  </w:r>
                </w:p>
              </w:txbxContent>
            </v:textbox>
            <w10:wrap type="none"/>
          </v:shape>
        </w:pict>
      </w:r>
      <w:r>
        <w:rPr/>
        <w:pict>
          <v:shape style="position:absolute;margin-left:89.708603pt;margin-top:407.074982pt;width:431.55pt;height:52.5pt;mso-position-horizontal-relative:page;mso-position-vertical-relative:page;z-index:-203776" type="#_x0000_t202" filled="false" stroked="false">
            <v:textbox inset="0,0,0,0">
              <w:txbxContent>
                <w:p>
                  <w:pPr>
                    <w:pStyle w:val="BodyText"/>
                    <w:spacing w:line="280" w:lineRule="auto"/>
                    <w:ind w:right="8"/>
                    <w:rPr>
                      <w:sz w:val="11"/>
                    </w:rPr>
                  </w:pPr>
                  <w:r>
                    <w:rPr>
                      <w:color w:val="58595B"/>
                    </w:rPr>
                    <w:t>Third, some principles might be considered as outside the scope of the EP Act, and create confusion about the EPA’s role and the focus of its powers and functions. For example, biological diversity and ecological integrity are not </w:t>
                  </w:r>
                  <w:r>
                    <w:rPr>
                      <w:i/>
                      <w:color w:val="58595B"/>
                    </w:rPr>
                    <w:t>fundamental </w:t>
                  </w:r>
                  <w:r>
                    <w:rPr>
                      <w:color w:val="58595B"/>
                    </w:rPr>
                    <w:t>considerations of the EPA’s decision making, in the same way that they are for decision makers with respect to other legislation.</w:t>
                  </w:r>
                  <w:r>
                    <w:rPr>
                      <w:color w:val="58595B"/>
                      <w:position w:val="7"/>
                      <w:sz w:val="11"/>
                    </w:rPr>
                    <w:t>47</w:t>
                  </w:r>
                </w:p>
              </w:txbxContent>
            </v:textbox>
            <w10:wrap type="none"/>
          </v:shape>
        </w:pict>
      </w:r>
      <w:r>
        <w:rPr/>
        <w:pict>
          <v:shape style="position:absolute;margin-left:89.708603pt;margin-top:469.578979pt;width:427.2pt;height:101.5pt;mso-position-horizontal-relative:page;mso-position-vertical-relative:page;z-index:-203752" type="#_x0000_t202" filled="false" stroked="false">
            <v:textbox inset="0,0,0,0">
              <w:txbxContent>
                <w:p>
                  <w:pPr>
                    <w:pStyle w:val="BodyText"/>
                    <w:spacing w:line="280" w:lineRule="auto"/>
                    <w:ind w:right="20"/>
                  </w:pPr>
                  <w:r>
                    <w:rPr>
                      <w:color w:val="58595B"/>
                    </w:rPr>
                    <w:t>Fourth, some </w:t>
                  </w:r>
                  <w:r>
                    <w:rPr>
                      <w:color w:val="58595B"/>
                      <w:spacing w:val="-3"/>
                    </w:rPr>
                    <w:t>key </w:t>
                  </w:r>
                  <w:r>
                    <w:rPr>
                      <w:color w:val="58595B"/>
                    </w:rPr>
                    <w:t>elements are missing from the principles, such as references to human health considerations that would complement the </w:t>
                  </w:r>
                  <w:r>
                    <w:rPr>
                      <w:color w:val="58595B"/>
                      <w:spacing w:val="-7"/>
                    </w:rPr>
                    <w:t>EPA’s </w:t>
                  </w:r>
                  <w:r>
                    <w:rPr>
                      <w:color w:val="58595B"/>
                    </w:rPr>
                    <w:t>regulatory responsibilities for public health. By contrast, other Victorian legislation, such as the </w:t>
                  </w:r>
                  <w:r>
                    <w:rPr>
                      <w:i/>
                      <w:color w:val="58595B"/>
                    </w:rPr>
                    <w:t>Public Health and Wellbeing Act </w:t>
                  </w:r>
                  <w:r>
                    <w:rPr>
                      <w:i/>
                      <w:color w:val="58595B"/>
                      <w:spacing w:val="2"/>
                    </w:rPr>
                    <w:t>2008 </w:t>
                  </w:r>
                  <w:r>
                    <w:rPr>
                      <w:color w:val="58595B"/>
                    </w:rPr>
                    <w:t>includes a principle on the primacy of prevention. Similarly, other acts include stronger statements on equity with specific reference to the issues impacting people and</w:t>
                  </w:r>
                  <w:r>
                    <w:rPr>
                      <w:color w:val="58595B"/>
                      <w:spacing w:val="21"/>
                    </w:rPr>
                    <w:t> </w:t>
                  </w:r>
                  <w:r>
                    <w:rPr>
                      <w:color w:val="58595B"/>
                    </w:rPr>
                    <w:t>communities.</w:t>
                  </w:r>
                </w:p>
                <w:p>
                  <w:pPr>
                    <w:spacing w:before="87"/>
                    <w:ind w:left="360" w:right="20" w:firstLine="0"/>
                    <w:jc w:val="left"/>
                    <w:rPr>
                      <w:i/>
                      <w:sz w:val="20"/>
                    </w:rPr>
                  </w:pPr>
                  <w:r>
                    <w:rPr>
                      <w:i/>
                      <w:color w:val="58595B"/>
                      <w:sz w:val="20"/>
                    </w:rPr>
                    <w:t>The principle of equity means—</w:t>
                  </w:r>
                </w:p>
                <w:p>
                  <w:pPr>
                    <w:spacing w:before="125"/>
                    <w:ind w:left="360" w:right="20" w:firstLine="0"/>
                    <w:jc w:val="left"/>
                    <w:rPr>
                      <w:i/>
                      <w:sz w:val="20"/>
                    </w:rPr>
                  </w:pPr>
                  <w:r>
                    <w:rPr>
                      <w:i/>
                      <w:color w:val="58595B"/>
                      <w:sz w:val="20"/>
                    </w:rPr>
                    <w:t>(a)  equity between persons irrespective of their—</w:t>
                  </w:r>
                </w:p>
              </w:txbxContent>
            </v:textbox>
            <w10:wrap type="none"/>
          </v:shape>
        </w:pict>
      </w:r>
      <w:r>
        <w:rPr/>
        <w:pict>
          <v:shape style="position:absolute;margin-left:106.718597pt;margin-top:581.078979pt;width:388.85pt;height:74.5pt;mso-position-horizontal-relative:page;mso-position-vertical-relative:page;z-index:-203728" type="#_x0000_t202" filled="false" stroked="false">
            <v:textbox inset="0,0,0,0">
              <w:txbxContent>
                <w:p>
                  <w:pPr>
                    <w:pStyle w:val="ListParagraph"/>
                    <w:numPr>
                      <w:ilvl w:val="0"/>
                      <w:numId w:val="15"/>
                    </w:numPr>
                    <w:tabs>
                      <w:tab w:pos="672" w:val="left" w:leader="none"/>
                    </w:tabs>
                    <w:spacing w:line="280" w:lineRule="auto" w:before="0" w:after="0"/>
                    <w:ind w:left="672" w:right="64" w:hanging="341"/>
                    <w:jc w:val="left"/>
                    <w:rPr>
                      <w:i/>
                      <w:sz w:val="20"/>
                    </w:rPr>
                  </w:pPr>
                  <w:r>
                    <w:rPr>
                      <w:i/>
                      <w:color w:val="58595B"/>
                      <w:sz w:val="20"/>
                    </w:rPr>
                    <w:t>personal attributes, including age, physical ability, ethnicity, culture, gender and financial situation;</w:t>
                  </w:r>
                  <w:r>
                    <w:rPr>
                      <w:i/>
                      <w:color w:val="58595B"/>
                      <w:spacing w:val="-2"/>
                      <w:sz w:val="20"/>
                    </w:rPr>
                    <w:t> </w:t>
                  </w:r>
                  <w:r>
                    <w:rPr>
                      <w:i/>
                      <w:color w:val="58595B"/>
                      <w:sz w:val="20"/>
                    </w:rPr>
                    <w:t>or</w:t>
                  </w:r>
                </w:p>
                <w:p>
                  <w:pPr>
                    <w:pStyle w:val="ListParagraph"/>
                    <w:numPr>
                      <w:ilvl w:val="0"/>
                      <w:numId w:val="15"/>
                    </w:numPr>
                    <w:tabs>
                      <w:tab w:pos="672" w:val="left" w:leader="none"/>
                    </w:tabs>
                    <w:spacing w:line="240" w:lineRule="auto" w:before="87" w:after="0"/>
                    <w:ind w:left="672" w:right="0" w:hanging="341"/>
                    <w:jc w:val="left"/>
                    <w:rPr>
                      <w:i/>
                      <w:sz w:val="20"/>
                    </w:rPr>
                  </w:pPr>
                  <w:r>
                    <w:rPr>
                      <w:i/>
                      <w:color w:val="58595B"/>
                      <w:sz w:val="20"/>
                    </w:rPr>
                    <w:t>location, including whether in a growth, urban, regional, rural or remote</w:t>
                  </w:r>
                  <w:r>
                    <w:rPr>
                      <w:i/>
                      <w:color w:val="58595B"/>
                      <w:spacing w:val="10"/>
                      <w:sz w:val="20"/>
                    </w:rPr>
                    <w:t> </w:t>
                  </w:r>
                  <w:r>
                    <w:rPr>
                      <w:i/>
                      <w:color w:val="58595B"/>
                      <w:sz w:val="20"/>
                    </w:rPr>
                    <w:t>area</w:t>
                  </w:r>
                </w:p>
                <w:p>
                  <w:pPr>
                    <w:spacing w:line="280" w:lineRule="auto" w:before="125"/>
                    <w:ind w:left="360" w:right="0" w:hanging="341"/>
                    <w:jc w:val="left"/>
                    <w:rPr>
                      <w:i/>
                      <w:sz w:val="11"/>
                    </w:rPr>
                  </w:pPr>
                  <w:r>
                    <w:rPr>
                      <w:i/>
                      <w:color w:val="58595B"/>
                      <w:sz w:val="20"/>
                    </w:rPr>
                    <w:t>(b) equity between generations by not compromising the ability of future generations to meet their needs.</w:t>
                  </w:r>
                  <w:r>
                    <w:rPr>
                      <w:i/>
                      <w:color w:val="58595B"/>
                      <w:position w:val="7"/>
                      <w:sz w:val="11"/>
                    </w:rPr>
                    <w:t>48</w:t>
                  </w:r>
                </w:p>
              </w:txbxContent>
            </v:textbox>
            <w10:wrap type="none"/>
          </v:shape>
        </w:pict>
      </w:r>
      <w:r>
        <w:rPr/>
        <w:pict>
          <v:shape style="position:absolute;margin-left:89.708603pt;margin-top:668.429382pt;width:420.5pt;height:56.75pt;mso-position-horizontal-relative:page;mso-position-vertical-relative:page;z-index:-203704" type="#_x0000_t202" filled="false" stroked="false">
            <v:textbox inset="0,0,0,0">
              <w:txbxContent>
                <w:p>
                  <w:pPr>
                    <w:spacing w:line="224" w:lineRule="exact" w:before="0"/>
                    <w:ind w:left="20" w:right="0" w:firstLine="0"/>
                    <w:jc w:val="left"/>
                    <w:rPr>
                      <w:i/>
                      <w:sz w:val="20"/>
                    </w:rPr>
                  </w:pPr>
                  <w:r>
                    <w:rPr>
                      <w:i/>
                      <w:color w:val="6D6E71"/>
                      <w:sz w:val="20"/>
                    </w:rPr>
                    <w:t>Core principles to support EPA decision making</w:t>
                  </w:r>
                </w:p>
                <w:p>
                  <w:pPr>
                    <w:pStyle w:val="BodyText"/>
                    <w:spacing w:line="280" w:lineRule="auto" w:before="125"/>
                  </w:pPr>
                  <w:r>
                    <w:rPr>
                      <w:color w:val="58595B"/>
                    </w:rPr>
                    <w:t>We consider that the EPA needs a refreshed set of principles, aligned to its objective, and providing a practical and rigorous framework for decision making. These principles would form part of a specific EPA (Establishment) Act.</w:t>
                  </w:r>
                </w:p>
              </w:txbxContent>
            </v:textbox>
            <w10:wrap type="none"/>
          </v:shape>
        </w:pict>
      </w:r>
      <w:r>
        <w:rPr/>
        <w:pict>
          <v:shape style="position:absolute;margin-left:118.058601pt;margin-top:735.179382pt;width:378.95pt;height:25.5pt;mso-position-horizontal-relative:page;mso-position-vertical-relative:page;z-index:-203680" type="#_x0000_t202" filled="false" stroked="false">
            <v:textbox inset="0,0,0,0">
              <w:txbxContent>
                <w:p>
                  <w:pPr>
                    <w:spacing w:line="280" w:lineRule="auto" w:before="0"/>
                    <w:ind w:left="20" w:right="0" w:firstLine="0"/>
                    <w:jc w:val="left"/>
                    <w:rPr>
                      <w:sz w:val="11"/>
                    </w:rPr>
                  </w:pPr>
                  <w:r>
                    <w:rPr>
                      <w:i/>
                      <w:color w:val="231F20"/>
                      <w:sz w:val="20"/>
                    </w:rPr>
                    <w:t>If the principles are clearly intended to direct the minds of decision makers to specific issues, clear mandatory language should preferably be used.</w:t>
                  </w:r>
                  <w:r>
                    <w:rPr>
                      <w:color w:val="231F20"/>
                      <w:position w:val="7"/>
                      <w:sz w:val="11"/>
                    </w:rPr>
                    <w:t>49</w:t>
                  </w:r>
                </w:p>
              </w:txbxContent>
            </v:textbox>
            <w10:wrap type="none"/>
          </v:shape>
        </w:pict>
      </w:r>
      <w:r>
        <w:rPr/>
        <w:pict>
          <v:shape style="position:absolute;margin-left:534.996094pt;margin-top:44.090015pt;width:60.3pt;height:5.25pt;mso-position-horizontal-relative:page;mso-position-vertical-relative:page;z-index:-20365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3632"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03608" from=".0pt,45.840015pt" to="60.2791pt,45.840015pt" stroked="true" strokeweight="7pt" strokecolor="#0095a7">
            <w10:wrap type="none"/>
          </v:line>
        </w:pict>
      </w:r>
      <w:r>
        <w:rPr/>
        <w:pict>
          <v:shape style="position:absolute;margin-left:69.866096pt;margin-top:40.902756pt;width:10.9pt;height:9.5pt;mso-position-horizontal-relative:page;mso-position-vertical-relative:page;z-index:-203584" type="#_x0000_t202" filled="false" stroked="false">
            <v:textbox inset="0,0,0,0">
              <w:txbxContent>
                <w:p>
                  <w:pPr>
                    <w:spacing w:before="1"/>
                    <w:ind w:left="20" w:right="0" w:firstLine="0"/>
                    <w:jc w:val="left"/>
                    <w:rPr>
                      <w:sz w:val="15"/>
                    </w:rPr>
                  </w:pPr>
                  <w:r>
                    <w:rPr>
                      <w:color w:val="58595B"/>
                      <w:sz w:val="15"/>
                    </w:rPr>
                    <w:t>90</w:t>
                  </w:r>
                </w:p>
              </w:txbxContent>
            </v:textbox>
            <w10:wrap type="none"/>
          </v:shape>
        </w:pict>
      </w:r>
      <w:r>
        <w:rPr/>
        <w:pict>
          <v:shape style="position:absolute;margin-left:95.377899pt;margin-top:40.902756pt;width:147.75pt;height:9.5pt;mso-position-horizontal-relative:page;mso-position-vertical-relative:page;z-index:-203560"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5.7pt;height:52.5pt;mso-position-horizontal-relative:page;mso-position-vertical-relative:page;z-index:-203536" type="#_x0000_t202" filled="false" stroked="false">
            <v:textbox inset="0,0,0,0">
              <w:txbxContent>
                <w:p>
                  <w:pPr>
                    <w:pStyle w:val="BodyText"/>
                    <w:spacing w:line="280" w:lineRule="auto"/>
                    <w:ind w:right="14"/>
                  </w:pPr>
                  <w:r>
                    <w:rPr>
                      <w:color w:val="58595B"/>
                    </w:rPr>
                    <w:t>Just as the legislated objective for the EPA clarifies the EPA’s role, the principles provide direction on how this role is to be performed. As such, the principles help to set expectations and underpin accountability to government and the community. In particular, they should provide the community with clarity on the values and considerations that will guide the EPA’s statutory decision making.</w:t>
                  </w:r>
                </w:p>
              </w:txbxContent>
            </v:textbox>
            <w10:wrap type="none"/>
          </v:shape>
        </w:pict>
      </w:r>
      <w:r>
        <w:rPr/>
        <w:pict>
          <v:shape style="position:absolute;margin-left:69.866096pt;margin-top:168.393967pt;width:429.15pt;height:39pt;mso-position-horizontal-relative:page;mso-position-vertical-relative:page;z-index:-203512" type="#_x0000_t202" filled="false" stroked="false">
            <v:textbox inset="0,0,0,0">
              <w:txbxContent>
                <w:p>
                  <w:pPr>
                    <w:pStyle w:val="BodyText"/>
                    <w:spacing w:line="280" w:lineRule="auto"/>
                    <w:ind w:right="17"/>
                    <w:rPr>
                      <w:sz w:val="11"/>
                    </w:rPr>
                  </w:pPr>
                  <w:r>
                    <w:rPr>
                      <w:color w:val="58595B"/>
                    </w:rPr>
                    <w:t>For the EPA, the principles together with the objective, should provide a ‘clear and unambiguous mandate’ and the basic precondition for effectiveness – to create the ‘willingness to take action and fulfil the supervisory [that is, regulatory] role’.</w:t>
                  </w:r>
                  <w:r>
                    <w:rPr>
                      <w:color w:val="58595B"/>
                      <w:position w:val="7"/>
                      <w:sz w:val="11"/>
                    </w:rPr>
                    <w:t>50</w:t>
                  </w:r>
                </w:p>
              </w:txbxContent>
            </v:textbox>
            <w10:wrap type="none"/>
          </v:shape>
        </w:pict>
      </w:r>
      <w:r>
        <w:rPr/>
        <w:pict>
          <v:shape style="position:absolute;margin-left:69.866096pt;margin-top:217.401764pt;width:416.85pt;height:25.5pt;mso-position-horizontal-relative:page;mso-position-vertical-relative:page;z-index:-203488" type="#_x0000_t202" filled="false" stroked="false">
            <v:textbox inset="0,0,0,0">
              <w:txbxContent>
                <w:p>
                  <w:pPr>
                    <w:pStyle w:val="BodyText"/>
                    <w:spacing w:line="280" w:lineRule="auto"/>
                    <w:ind w:right="14"/>
                  </w:pPr>
                  <w:r>
                    <w:rPr>
                      <w:color w:val="58595B"/>
                    </w:rPr>
                    <w:t>The principles must also align with the EPA’s focus on pollution and waste as it affects people and their health and wellbeing, and the importance of prevention.</w:t>
                  </w:r>
                </w:p>
              </w:txbxContent>
            </v:textbox>
            <w10:wrap type="none"/>
          </v:shape>
        </w:pict>
      </w:r>
      <w:r>
        <w:rPr/>
        <w:pict>
          <v:shape style="position:absolute;margin-left:69.866096pt;margin-top:252.901764pt;width:291.55pt;height:12pt;mso-position-horizontal-relative:page;mso-position-vertical-relative:page;z-index:-203464" type="#_x0000_t202" filled="false" stroked="false">
            <v:textbox inset="0,0,0,0">
              <w:txbxContent>
                <w:p>
                  <w:pPr>
                    <w:pStyle w:val="BodyText"/>
                    <w:spacing w:line="224" w:lineRule="exact"/>
                  </w:pPr>
                  <w:r>
                    <w:rPr>
                      <w:color w:val="58595B"/>
                    </w:rPr>
                    <w:t>We propose the following decision making principles for the EPA:</w:t>
                  </w:r>
                </w:p>
              </w:txbxContent>
            </v:textbox>
            <w10:wrap type="none"/>
          </v:shape>
        </w:pict>
      </w:r>
      <w:r>
        <w:rPr/>
        <w:pict>
          <v:shape style="position:absolute;margin-left:69.866096pt;margin-top:274.901764pt;width:9.450pt;height:12pt;mso-position-horizontal-relative:page;mso-position-vertical-relative:page;z-index:-203440" type="#_x0000_t202" filled="false" stroked="false">
            <v:textbox inset="0,0,0,0">
              <w:txbxContent>
                <w:p>
                  <w:pPr>
                    <w:pStyle w:val="BodyText"/>
                    <w:spacing w:line="224" w:lineRule="exact"/>
                    <w:ind w:right="-18"/>
                  </w:pPr>
                  <w:r>
                    <w:rPr>
                      <w:color w:val="58595B"/>
                    </w:rPr>
                    <w:t>1.</w:t>
                  </w:r>
                </w:p>
              </w:txbxContent>
            </v:textbox>
            <w10:wrap type="none"/>
          </v:shape>
        </w:pict>
      </w:r>
      <w:r>
        <w:rPr/>
        <w:pict>
          <v:shape style="position:absolute;margin-left:86.876099pt;margin-top:274.901764pt;width:416.95pt;height:66pt;mso-position-horizontal-relative:page;mso-position-vertical-relative:page;z-index:-203416" type="#_x0000_t202" filled="false" stroked="false">
            <v:textbox inset="0,0,0,0">
              <w:txbxContent>
                <w:p>
                  <w:pPr>
                    <w:pStyle w:val="BodyText"/>
                    <w:spacing w:line="280" w:lineRule="auto"/>
                    <w:ind w:right="37"/>
                    <w:rPr>
                      <w:sz w:val="11"/>
                    </w:rPr>
                  </w:pPr>
                  <w:r>
                    <w:rPr>
                      <w:b/>
                      <w:color w:val="58595B"/>
                    </w:rPr>
                    <w:t>Balancing economic, social and environmental impacts </w:t>
                  </w:r>
                  <w:r>
                    <w:rPr>
                      <w:color w:val="58595B"/>
                    </w:rPr>
                    <w:t>– This principle guides the </w:t>
                  </w:r>
                  <w:r>
                    <w:rPr>
                      <w:color w:val="58595B"/>
                      <w:spacing w:val="-7"/>
                    </w:rPr>
                    <w:t>EPA’s </w:t>
                  </w:r>
                  <w:r>
                    <w:rPr>
                      <w:color w:val="58595B"/>
                    </w:rPr>
                    <w:t>operational decision making as it assesses risks and considers cost effective controls and opportunities for driving continuous improvement. It also guides the </w:t>
                  </w:r>
                  <w:r>
                    <w:rPr>
                      <w:color w:val="58595B"/>
                      <w:spacing w:val="-7"/>
                    </w:rPr>
                    <w:t>EPA’s </w:t>
                  </w:r>
                  <w:r>
                    <w:rPr>
                      <w:color w:val="58595B"/>
                    </w:rPr>
                    <w:t>advisory role when informing whole-of-government processes about strategic directions. Any actions must be cost effective, to minimise regulatory</w:t>
                  </w:r>
                  <w:r>
                    <w:rPr>
                      <w:color w:val="58595B"/>
                      <w:spacing w:val="4"/>
                    </w:rPr>
                    <w:t> </w:t>
                  </w:r>
                  <w:r>
                    <w:rPr>
                      <w:color w:val="58595B"/>
                    </w:rPr>
                    <w:t>burdens.</w:t>
                  </w:r>
                  <w:r>
                    <w:rPr>
                      <w:color w:val="58595B"/>
                      <w:position w:val="7"/>
                      <w:sz w:val="11"/>
                    </w:rPr>
                    <w:t>51</w:t>
                  </w:r>
                </w:p>
              </w:txbxContent>
            </v:textbox>
            <w10:wrap type="none"/>
          </v:shape>
        </w:pict>
      </w:r>
      <w:r>
        <w:rPr/>
        <w:pict>
          <v:shape style="position:absolute;margin-left:69.866096pt;margin-top:350.913574pt;width:10.35pt;height:12pt;mso-position-horizontal-relative:page;mso-position-vertical-relative:page;z-index:-203392" type="#_x0000_t202" filled="false" stroked="false">
            <v:textbox inset="0,0,0,0">
              <w:txbxContent>
                <w:p>
                  <w:pPr>
                    <w:pStyle w:val="BodyText"/>
                    <w:spacing w:line="224" w:lineRule="exact"/>
                  </w:pPr>
                  <w:r>
                    <w:rPr>
                      <w:color w:val="58595B"/>
                    </w:rPr>
                    <w:t>2.</w:t>
                  </w:r>
                </w:p>
              </w:txbxContent>
            </v:textbox>
            <w10:wrap type="none"/>
          </v:shape>
        </w:pict>
      </w:r>
      <w:r>
        <w:rPr/>
        <w:pict>
          <v:shape style="position:absolute;margin-left:86.876099pt;margin-top:350.913574pt;width:418.5pt;height:128.5pt;mso-position-horizontal-relative:page;mso-position-vertical-relative:page;z-index:-203368" type="#_x0000_t202" filled="false" stroked="false">
            <v:textbox inset="0,0,0,0">
              <w:txbxContent>
                <w:p>
                  <w:pPr>
                    <w:pStyle w:val="BodyText"/>
                    <w:spacing w:line="280" w:lineRule="auto"/>
                  </w:pPr>
                  <w:r>
                    <w:rPr>
                      <w:b/>
                      <w:color w:val="58595B"/>
                    </w:rPr>
                    <w:t>Proportionality </w:t>
                  </w:r>
                  <w:r>
                    <w:rPr>
                      <w:color w:val="58595B"/>
                    </w:rPr>
                    <w:t>– Regulatory responses must be proportionate to the problem they seek to address. Strategic decisions must be based on risk assessments so interventions are not only cost effective but are in proportion to the environmental problem. This principle relates</w:t>
                  </w:r>
                </w:p>
                <w:p>
                  <w:pPr>
                    <w:pStyle w:val="BodyText"/>
                    <w:spacing w:line="280" w:lineRule="auto" w:before="2"/>
                  </w:pPr>
                  <w:r>
                    <w:rPr>
                      <w:color w:val="58595B"/>
                    </w:rPr>
                    <w:t>to ‘fairness’, efficiency and to provide confidence on risk management.</w:t>
                  </w:r>
                  <w:r>
                    <w:rPr>
                      <w:color w:val="58595B"/>
                      <w:position w:val="7"/>
                      <w:sz w:val="11"/>
                    </w:rPr>
                    <w:t>52 </w:t>
                  </w:r>
                  <w:r>
                    <w:rPr>
                      <w:color w:val="58595B"/>
                    </w:rPr>
                    <w:t>The Health and Wellbeing Act contains a proportionality principle that comprises two elements; that</w:t>
                  </w:r>
                </w:p>
                <w:p>
                  <w:pPr>
                    <w:pStyle w:val="BodyText"/>
                    <w:spacing w:before="2"/>
                  </w:pPr>
                  <w:r>
                    <w:rPr>
                      <w:color w:val="58595B"/>
                    </w:rPr>
                    <w:t>is decisions:</w:t>
                  </w:r>
                </w:p>
                <w:p>
                  <w:pPr>
                    <w:pStyle w:val="ListParagraph"/>
                    <w:numPr>
                      <w:ilvl w:val="0"/>
                      <w:numId w:val="16"/>
                    </w:numPr>
                    <w:tabs>
                      <w:tab w:pos="361" w:val="left" w:leader="none"/>
                    </w:tabs>
                    <w:spacing w:line="280" w:lineRule="auto" w:before="125" w:after="0"/>
                    <w:ind w:left="360" w:right="655" w:hanging="340"/>
                    <w:jc w:val="left"/>
                    <w:rPr>
                      <w:i/>
                      <w:sz w:val="20"/>
                    </w:rPr>
                  </w:pPr>
                  <w:r>
                    <w:rPr>
                      <w:i/>
                      <w:color w:val="58595B"/>
                      <w:sz w:val="20"/>
                    </w:rPr>
                    <w:t>should be proportionate to the public health risk sought to be prevented, minimised or</w:t>
                  </w:r>
                  <w:r>
                    <w:rPr>
                      <w:i/>
                      <w:color w:val="58595B"/>
                      <w:spacing w:val="4"/>
                      <w:sz w:val="20"/>
                    </w:rPr>
                    <w:t> </w:t>
                  </w:r>
                  <w:r>
                    <w:rPr>
                      <w:i/>
                      <w:color w:val="58595B"/>
                      <w:sz w:val="20"/>
                    </w:rPr>
                    <w:t>controlled</w:t>
                  </w:r>
                </w:p>
                <w:p>
                  <w:pPr>
                    <w:pStyle w:val="ListParagraph"/>
                    <w:numPr>
                      <w:ilvl w:val="0"/>
                      <w:numId w:val="16"/>
                    </w:numPr>
                    <w:tabs>
                      <w:tab w:pos="361" w:val="left" w:leader="none"/>
                    </w:tabs>
                    <w:spacing w:line="240" w:lineRule="auto" w:before="87" w:after="0"/>
                    <w:ind w:left="360" w:right="0" w:hanging="340"/>
                    <w:jc w:val="left"/>
                    <w:rPr>
                      <w:i/>
                      <w:sz w:val="11"/>
                    </w:rPr>
                  </w:pPr>
                  <w:r>
                    <w:rPr>
                      <w:i/>
                      <w:color w:val="58595B"/>
                      <w:sz w:val="20"/>
                    </w:rPr>
                    <w:t>should not be made or taken in an arbitrary</w:t>
                  </w:r>
                  <w:r>
                    <w:rPr>
                      <w:i/>
                      <w:color w:val="58595B"/>
                      <w:spacing w:val="10"/>
                      <w:sz w:val="20"/>
                    </w:rPr>
                    <w:t> </w:t>
                  </w:r>
                  <w:r>
                    <w:rPr>
                      <w:i/>
                      <w:color w:val="58595B"/>
                      <w:sz w:val="20"/>
                    </w:rPr>
                    <w:t>manner.</w:t>
                  </w:r>
                  <w:r>
                    <w:rPr>
                      <w:i/>
                      <w:color w:val="58595B"/>
                      <w:position w:val="7"/>
                      <w:sz w:val="11"/>
                    </w:rPr>
                    <w:t>53</w:t>
                  </w:r>
                </w:p>
              </w:txbxContent>
            </v:textbox>
            <w10:wrap type="none"/>
          </v:shape>
        </w:pict>
      </w:r>
      <w:r>
        <w:rPr/>
        <w:pict>
          <v:shape style="position:absolute;margin-left:69.866096pt;margin-top:489.421478pt;width:10.25pt;height:12pt;mso-position-horizontal-relative:page;mso-position-vertical-relative:page;z-index:-203344" type="#_x0000_t202" filled="false" stroked="false">
            <v:textbox inset="0,0,0,0">
              <w:txbxContent>
                <w:p>
                  <w:pPr>
                    <w:pStyle w:val="BodyText"/>
                    <w:spacing w:line="224" w:lineRule="exact"/>
                    <w:ind w:right="-2"/>
                  </w:pPr>
                  <w:r>
                    <w:rPr>
                      <w:color w:val="58595B"/>
                    </w:rPr>
                    <w:t>3.</w:t>
                  </w:r>
                </w:p>
              </w:txbxContent>
            </v:textbox>
            <w10:wrap type="none"/>
          </v:shape>
        </w:pict>
      </w:r>
      <w:r>
        <w:rPr/>
        <w:pict>
          <v:shape style="position:absolute;margin-left:86.876099pt;margin-top:489.421478pt;width:418.65pt;height:79.5pt;mso-position-horizontal-relative:page;mso-position-vertical-relative:page;z-index:-203320" type="#_x0000_t202" filled="false" stroked="false">
            <v:textbox inset="0,0,0,0">
              <w:txbxContent>
                <w:p>
                  <w:pPr>
                    <w:pStyle w:val="BodyText"/>
                    <w:spacing w:line="280" w:lineRule="auto"/>
                    <w:ind w:right="426"/>
                  </w:pPr>
                  <w:r>
                    <w:rPr>
                      <w:b/>
                      <w:color w:val="58595B"/>
                    </w:rPr>
                    <w:t>Primacy of prevention </w:t>
                  </w:r>
                  <w:r>
                    <w:rPr>
                      <w:color w:val="58595B"/>
                    </w:rPr>
                    <w:t>– The </w:t>
                  </w:r>
                  <w:r>
                    <w:rPr>
                      <w:color w:val="58595B"/>
                      <w:spacing w:val="-3"/>
                    </w:rPr>
                    <w:t>prevention </w:t>
                  </w:r>
                  <w:r>
                    <w:rPr>
                      <w:color w:val="58595B"/>
                    </w:rPr>
                    <w:t>principle calls for action to </w:t>
                  </w:r>
                  <w:r>
                    <w:rPr>
                      <w:color w:val="58595B"/>
                      <w:spacing w:val="-3"/>
                    </w:rPr>
                    <w:t>prevent </w:t>
                  </w:r>
                  <w:r>
                    <w:rPr>
                      <w:color w:val="58595B"/>
                    </w:rPr>
                    <w:t>known risks of</w:t>
                  </w:r>
                  <w:r>
                    <w:rPr>
                      <w:color w:val="58595B"/>
                      <w:spacing w:val="-12"/>
                    </w:rPr>
                    <w:t> </w:t>
                  </w:r>
                  <w:r>
                    <w:rPr>
                      <w:color w:val="58595B"/>
                      <w:spacing w:val="-3"/>
                    </w:rPr>
                    <w:t>environmental</w:t>
                  </w:r>
                  <w:r>
                    <w:rPr>
                      <w:color w:val="58595B"/>
                      <w:spacing w:val="-12"/>
                    </w:rPr>
                    <w:t> </w:t>
                  </w:r>
                  <w:r>
                    <w:rPr>
                      <w:color w:val="58595B"/>
                    </w:rPr>
                    <w:t>harms</w:t>
                  </w:r>
                  <w:r>
                    <w:rPr>
                      <w:color w:val="58595B"/>
                      <w:spacing w:val="-12"/>
                    </w:rPr>
                    <w:t> </w:t>
                  </w:r>
                  <w:r>
                    <w:rPr>
                      <w:color w:val="58595B"/>
                    </w:rPr>
                    <w:t>from</w:t>
                  </w:r>
                  <w:r>
                    <w:rPr>
                      <w:color w:val="58595B"/>
                      <w:spacing w:val="-12"/>
                    </w:rPr>
                    <w:t> </w:t>
                  </w:r>
                  <w:r>
                    <w:rPr>
                      <w:color w:val="58595B"/>
                    </w:rPr>
                    <w:t>materialising.</w:t>
                  </w:r>
                  <w:r>
                    <w:rPr>
                      <w:color w:val="58595B"/>
                      <w:position w:val="7"/>
                      <w:sz w:val="11"/>
                    </w:rPr>
                    <w:t>54</w:t>
                  </w:r>
                  <w:r>
                    <w:rPr>
                      <w:color w:val="58595B"/>
                      <w:spacing w:val="14"/>
                      <w:position w:val="7"/>
                      <w:sz w:val="11"/>
                    </w:rPr>
                    <w:t> </w:t>
                  </w:r>
                  <w:r>
                    <w:rPr>
                      <w:color w:val="58595B"/>
                    </w:rPr>
                    <w:t>It</w:t>
                  </w:r>
                  <w:r>
                    <w:rPr>
                      <w:color w:val="58595B"/>
                      <w:spacing w:val="-12"/>
                    </w:rPr>
                    <w:t> </w:t>
                  </w:r>
                  <w:r>
                    <w:rPr>
                      <w:color w:val="58595B"/>
                    </w:rPr>
                    <w:t>underpins</w:t>
                  </w:r>
                  <w:r>
                    <w:rPr>
                      <w:color w:val="58595B"/>
                      <w:spacing w:val="-12"/>
                    </w:rPr>
                    <w:t> </w:t>
                  </w:r>
                  <w:r>
                    <w:rPr>
                      <w:color w:val="58595B"/>
                    </w:rPr>
                    <w:t>the</w:t>
                  </w:r>
                  <w:r>
                    <w:rPr>
                      <w:color w:val="58595B"/>
                      <w:spacing w:val="-12"/>
                    </w:rPr>
                    <w:t> </w:t>
                  </w:r>
                  <w:r>
                    <w:rPr>
                      <w:color w:val="58595B"/>
                    </w:rPr>
                    <w:t>proactive</w:t>
                  </w:r>
                  <w:r>
                    <w:rPr>
                      <w:color w:val="58595B"/>
                      <w:spacing w:val="-12"/>
                    </w:rPr>
                    <w:t> </w:t>
                  </w:r>
                  <w:r>
                    <w:rPr>
                      <w:color w:val="58595B"/>
                    </w:rPr>
                    <w:t>regulatory</w:t>
                  </w:r>
                  <w:r>
                    <w:rPr>
                      <w:color w:val="58595B"/>
                      <w:spacing w:val="-12"/>
                    </w:rPr>
                    <w:t> </w:t>
                  </w:r>
                  <w:r>
                    <w:rPr>
                      <w:color w:val="58595B"/>
                    </w:rPr>
                    <w:t>approach required</w:t>
                  </w:r>
                  <w:r>
                    <w:rPr>
                      <w:color w:val="58595B"/>
                      <w:spacing w:val="-9"/>
                    </w:rPr>
                    <w:t> </w:t>
                  </w:r>
                  <w:r>
                    <w:rPr>
                      <w:color w:val="58595B"/>
                    </w:rPr>
                    <w:t>of</w:t>
                  </w:r>
                  <w:r>
                    <w:rPr>
                      <w:color w:val="58595B"/>
                      <w:spacing w:val="-9"/>
                    </w:rPr>
                    <w:t> </w:t>
                  </w:r>
                  <w:r>
                    <w:rPr>
                      <w:color w:val="58595B"/>
                    </w:rPr>
                    <w:t>the</w:t>
                  </w:r>
                  <w:r>
                    <w:rPr>
                      <w:color w:val="58595B"/>
                      <w:spacing w:val="-9"/>
                    </w:rPr>
                    <w:t> </w:t>
                  </w:r>
                  <w:r>
                    <w:rPr>
                      <w:color w:val="58595B"/>
                      <w:spacing w:val="-5"/>
                    </w:rPr>
                    <w:t>EPA</w:t>
                  </w:r>
                  <w:r>
                    <w:rPr>
                      <w:color w:val="58595B"/>
                      <w:spacing w:val="-9"/>
                    </w:rPr>
                    <w:t> </w:t>
                  </w:r>
                  <w:r>
                    <w:rPr>
                      <w:color w:val="58595B"/>
                    </w:rPr>
                    <w:t>to</w:t>
                  </w:r>
                  <w:r>
                    <w:rPr>
                      <w:color w:val="58595B"/>
                      <w:spacing w:val="-9"/>
                    </w:rPr>
                    <w:t> </w:t>
                  </w:r>
                  <w:r>
                    <w:rPr>
                      <w:color w:val="58595B"/>
                    </w:rPr>
                    <w:t>reduce</w:t>
                  </w:r>
                  <w:r>
                    <w:rPr>
                      <w:color w:val="58595B"/>
                      <w:spacing w:val="-9"/>
                    </w:rPr>
                    <w:t> </w:t>
                  </w:r>
                  <w:r>
                    <w:rPr>
                      <w:color w:val="58595B"/>
                    </w:rPr>
                    <w:t>harms</w:t>
                  </w:r>
                  <w:r>
                    <w:rPr>
                      <w:color w:val="58595B"/>
                      <w:spacing w:val="-9"/>
                    </w:rPr>
                    <w:t> </w:t>
                  </w:r>
                  <w:r>
                    <w:rPr>
                      <w:color w:val="58595B"/>
                    </w:rPr>
                    <w:t>to</w:t>
                  </w:r>
                  <w:r>
                    <w:rPr>
                      <w:color w:val="58595B"/>
                      <w:spacing w:val="-9"/>
                    </w:rPr>
                    <w:t> </w:t>
                  </w:r>
                  <w:r>
                    <w:rPr>
                      <w:color w:val="58595B"/>
                    </w:rPr>
                    <w:t>human</w:t>
                  </w:r>
                  <w:r>
                    <w:rPr>
                      <w:color w:val="58595B"/>
                      <w:spacing w:val="-9"/>
                    </w:rPr>
                    <w:t> </w:t>
                  </w:r>
                  <w:r>
                    <w:rPr>
                      <w:color w:val="58595B"/>
                    </w:rPr>
                    <w:t>health</w:t>
                  </w:r>
                  <w:r>
                    <w:rPr>
                      <w:color w:val="58595B"/>
                      <w:spacing w:val="-9"/>
                    </w:rPr>
                    <w:t> </w:t>
                  </w:r>
                  <w:r>
                    <w:rPr>
                      <w:color w:val="58595B"/>
                    </w:rPr>
                    <w:t>and</w:t>
                  </w:r>
                  <w:r>
                    <w:rPr>
                      <w:color w:val="58595B"/>
                      <w:spacing w:val="-9"/>
                    </w:rPr>
                    <w:t> </w:t>
                  </w:r>
                  <w:r>
                    <w:rPr>
                      <w:color w:val="58595B"/>
                    </w:rPr>
                    <w:t>the</w:t>
                  </w:r>
                  <w:r>
                    <w:rPr>
                      <w:color w:val="58595B"/>
                      <w:spacing w:val="-9"/>
                    </w:rPr>
                    <w:t> </w:t>
                  </w:r>
                  <w:r>
                    <w:rPr>
                      <w:color w:val="58595B"/>
                      <w:spacing w:val="-3"/>
                    </w:rPr>
                    <w:t>environment.</w:t>
                  </w:r>
                  <w:r>
                    <w:rPr>
                      <w:color w:val="58595B"/>
                      <w:spacing w:val="-9"/>
                    </w:rPr>
                    <w:t> </w:t>
                  </w:r>
                  <w:r>
                    <w:rPr>
                      <w:color w:val="58595B"/>
                      <w:spacing w:val="-5"/>
                    </w:rPr>
                    <w:t>However,</w:t>
                  </w:r>
                  <w:r>
                    <w:rPr>
                      <w:color w:val="58595B"/>
                      <w:spacing w:val="-9"/>
                    </w:rPr>
                    <w:t> </w:t>
                  </w:r>
                  <w:r>
                    <w:rPr>
                      <w:color w:val="58595B"/>
                    </w:rPr>
                    <w:t>this</w:t>
                  </w:r>
                </w:p>
                <w:p>
                  <w:pPr>
                    <w:pStyle w:val="BodyText"/>
                    <w:spacing w:line="280" w:lineRule="auto" w:before="2"/>
                    <w:ind w:right="17" w:hanging="1"/>
                    <w:jc w:val="both"/>
                    <w:rPr>
                      <w:sz w:val="11"/>
                    </w:rPr>
                  </w:pPr>
                  <w:r>
                    <w:rPr>
                      <w:color w:val="58595B"/>
                    </w:rPr>
                    <w:t>should</w:t>
                  </w:r>
                  <w:r>
                    <w:rPr>
                      <w:color w:val="58595B"/>
                      <w:spacing w:val="-13"/>
                    </w:rPr>
                    <w:t> </w:t>
                  </w:r>
                  <w:r>
                    <w:rPr>
                      <w:color w:val="58595B"/>
                    </w:rPr>
                    <w:t>be</w:t>
                  </w:r>
                  <w:r>
                    <w:rPr>
                      <w:color w:val="58595B"/>
                      <w:spacing w:val="-13"/>
                    </w:rPr>
                    <w:t> </w:t>
                  </w:r>
                  <w:r>
                    <w:rPr>
                      <w:color w:val="58595B"/>
                    </w:rPr>
                    <w:t>framed</w:t>
                  </w:r>
                  <w:r>
                    <w:rPr>
                      <w:color w:val="58595B"/>
                      <w:spacing w:val="-13"/>
                    </w:rPr>
                    <w:t> </w:t>
                  </w:r>
                  <w:r>
                    <w:rPr>
                      <w:color w:val="58595B"/>
                    </w:rPr>
                    <w:t>as</w:t>
                  </w:r>
                  <w:r>
                    <w:rPr>
                      <w:color w:val="58595B"/>
                      <w:spacing w:val="-13"/>
                    </w:rPr>
                    <w:t> </w:t>
                  </w:r>
                  <w:r>
                    <w:rPr>
                      <w:color w:val="58595B"/>
                    </w:rPr>
                    <w:t>a</w:t>
                  </w:r>
                  <w:r>
                    <w:rPr>
                      <w:color w:val="58595B"/>
                      <w:spacing w:val="-12"/>
                    </w:rPr>
                    <w:t> </w:t>
                  </w:r>
                  <w:r>
                    <w:rPr>
                      <w:i/>
                      <w:color w:val="58595B"/>
                    </w:rPr>
                    <w:t>preferable</w:t>
                  </w:r>
                  <w:r>
                    <w:rPr>
                      <w:i/>
                      <w:color w:val="58595B"/>
                      <w:spacing w:val="-12"/>
                    </w:rPr>
                    <w:t> </w:t>
                  </w:r>
                  <w:r>
                    <w:rPr>
                      <w:color w:val="58595B"/>
                      <w:spacing w:val="-3"/>
                    </w:rPr>
                    <w:t>measure;</w:t>
                  </w:r>
                  <w:r>
                    <w:rPr>
                      <w:color w:val="58595B"/>
                      <w:spacing w:val="-13"/>
                    </w:rPr>
                    <w:t> </w:t>
                  </w:r>
                  <w:r>
                    <w:rPr>
                      <w:color w:val="58595B"/>
                    </w:rPr>
                    <w:t>harm</w:t>
                  </w:r>
                  <w:r>
                    <w:rPr>
                      <w:color w:val="58595B"/>
                      <w:spacing w:val="-13"/>
                    </w:rPr>
                    <w:t> </w:t>
                  </w:r>
                  <w:r>
                    <w:rPr>
                      <w:color w:val="58595B"/>
                    </w:rPr>
                    <w:t>mitigation</w:t>
                  </w:r>
                  <w:r>
                    <w:rPr>
                      <w:color w:val="58595B"/>
                      <w:spacing w:val="-13"/>
                    </w:rPr>
                    <w:t> </w:t>
                  </w:r>
                  <w:r>
                    <w:rPr>
                      <w:color w:val="58595B"/>
                    </w:rPr>
                    <w:t>and</w:t>
                  </w:r>
                  <w:r>
                    <w:rPr>
                      <w:color w:val="58595B"/>
                      <w:spacing w:val="-13"/>
                    </w:rPr>
                    <w:t> </w:t>
                  </w:r>
                  <w:r>
                    <w:rPr>
                      <w:color w:val="58595B"/>
                    </w:rPr>
                    <w:t>remediation</w:t>
                  </w:r>
                  <w:r>
                    <w:rPr>
                      <w:color w:val="58595B"/>
                      <w:spacing w:val="-13"/>
                    </w:rPr>
                    <w:t> </w:t>
                  </w:r>
                  <w:r>
                    <w:rPr>
                      <w:color w:val="58595B"/>
                    </w:rPr>
                    <w:t>must</w:t>
                  </w:r>
                  <w:r>
                    <w:rPr>
                      <w:color w:val="58595B"/>
                      <w:spacing w:val="-13"/>
                    </w:rPr>
                    <w:t> </w:t>
                  </w:r>
                  <w:r>
                    <w:rPr>
                      <w:color w:val="58595B"/>
                    </w:rPr>
                    <w:t>be</w:t>
                  </w:r>
                  <w:r>
                    <w:rPr>
                      <w:color w:val="58595B"/>
                      <w:spacing w:val="-13"/>
                    </w:rPr>
                    <w:t> </w:t>
                  </w:r>
                  <w:r>
                    <w:rPr>
                      <w:color w:val="58595B"/>
                    </w:rPr>
                    <w:t>accounted for</w:t>
                  </w:r>
                  <w:r>
                    <w:rPr>
                      <w:color w:val="58595B"/>
                      <w:spacing w:val="-9"/>
                    </w:rPr>
                    <w:t> </w:t>
                  </w:r>
                  <w:r>
                    <w:rPr>
                      <w:color w:val="58595B"/>
                    </w:rPr>
                    <w:t>when</w:t>
                  </w:r>
                  <w:r>
                    <w:rPr>
                      <w:color w:val="58595B"/>
                      <w:spacing w:val="-9"/>
                    </w:rPr>
                    <w:t> </w:t>
                  </w:r>
                  <w:r>
                    <w:rPr>
                      <w:color w:val="58595B"/>
                    </w:rPr>
                    <w:t>considering</w:t>
                  </w:r>
                  <w:r>
                    <w:rPr>
                      <w:color w:val="58595B"/>
                      <w:spacing w:val="-9"/>
                    </w:rPr>
                    <w:t> </w:t>
                  </w:r>
                  <w:r>
                    <w:rPr>
                      <w:color w:val="58595B"/>
                    </w:rPr>
                    <w:t>options</w:t>
                  </w:r>
                  <w:r>
                    <w:rPr>
                      <w:color w:val="58595B"/>
                      <w:spacing w:val="-9"/>
                    </w:rPr>
                    <w:t> </w:t>
                  </w:r>
                  <w:r>
                    <w:rPr>
                      <w:color w:val="58595B"/>
                    </w:rPr>
                    <w:t>for</w:t>
                  </w:r>
                  <w:r>
                    <w:rPr>
                      <w:color w:val="58595B"/>
                      <w:spacing w:val="-9"/>
                    </w:rPr>
                    <w:t> </w:t>
                  </w:r>
                  <w:r>
                    <w:rPr>
                      <w:color w:val="58595B"/>
                    </w:rPr>
                    <w:t>reducing</w:t>
                  </w:r>
                  <w:r>
                    <w:rPr>
                      <w:color w:val="58595B"/>
                      <w:spacing w:val="-9"/>
                    </w:rPr>
                    <w:t> </w:t>
                  </w:r>
                  <w:r>
                    <w:rPr>
                      <w:color w:val="58595B"/>
                    </w:rPr>
                    <w:t>pollution</w:t>
                  </w:r>
                  <w:r>
                    <w:rPr>
                      <w:color w:val="58595B"/>
                      <w:spacing w:val="-9"/>
                    </w:rPr>
                    <w:t> </w:t>
                  </w:r>
                  <w:r>
                    <w:rPr>
                      <w:color w:val="58595B"/>
                    </w:rPr>
                    <w:t>and</w:t>
                  </w:r>
                  <w:r>
                    <w:rPr>
                      <w:color w:val="58595B"/>
                      <w:spacing w:val="-9"/>
                    </w:rPr>
                    <w:t> </w:t>
                  </w:r>
                  <w:r>
                    <w:rPr>
                      <w:color w:val="58595B"/>
                      <w:spacing w:val="-3"/>
                    </w:rPr>
                    <w:t>waste.</w:t>
                  </w:r>
                  <w:r>
                    <w:rPr>
                      <w:color w:val="58595B"/>
                      <w:spacing w:val="-9"/>
                    </w:rPr>
                    <w:t> </w:t>
                  </w:r>
                  <w:r>
                    <w:rPr>
                      <w:color w:val="58595B"/>
                    </w:rPr>
                    <w:t>The</w:t>
                  </w:r>
                  <w:r>
                    <w:rPr>
                      <w:color w:val="58595B"/>
                      <w:spacing w:val="-9"/>
                    </w:rPr>
                    <w:t> </w:t>
                  </w:r>
                  <w:r>
                    <w:rPr>
                      <w:color w:val="58595B"/>
                      <w:spacing w:val="-3"/>
                    </w:rPr>
                    <w:t>Public</w:t>
                  </w:r>
                  <w:r>
                    <w:rPr>
                      <w:color w:val="58595B"/>
                      <w:spacing w:val="-9"/>
                    </w:rPr>
                    <w:t> </w:t>
                  </w:r>
                  <w:r>
                    <w:rPr>
                      <w:color w:val="58595B"/>
                    </w:rPr>
                    <w:t>Health</w:t>
                  </w:r>
                  <w:r>
                    <w:rPr>
                      <w:color w:val="58595B"/>
                      <w:spacing w:val="-9"/>
                    </w:rPr>
                    <w:t> </w:t>
                  </w:r>
                  <w:r>
                    <w:rPr>
                      <w:color w:val="58595B"/>
                    </w:rPr>
                    <w:t>and</w:t>
                  </w:r>
                  <w:r>
                    <w:rPr>
                      <w:color w:val="58595B"/>
                      <w:spacing w:val="-9"/>
                    </w:rPr>
                    <w:t> </w:t>
                  </w:r>
                  <w:r>
                    <w:rPr>
                      <w:color w:val="58595B"/>
                      <w:spacing w:val="-3"/>
                    </w:rPr>
                    <w:t>Wellbeing </w:t>
                  </w:r>
                  <w:r>
                    <w:rPr>
                      <w:color w:val="58595B"/>
                    </w:rPr>
                    <w:t>Act</w:t>
                  </w:r>
                  <w:r>
                    <w:rPr>
                      <w:color w:val="58595B"/>
                      <w:spacing w:val="-7"/>
                    </w:rPr>
                    <w:t> </w:t>
                  </w:r>
                  <w:r>
                    <w:rPr>
                      <w:color w:val="58595B"/>
                      <w:spacing w:val="-3"/>
                    </w:rPr>
                    <w:t>makes</w:t>
                  </w:r>
                  <w:r>
                    <w:rPr>
                      <w:color w:val="58595B"/>
                      <w:spacing w:val="-7"/>
                    </w:rPr>
                    <w:t> </w:t>
                  </w:r>
                  <w:r>
                    <w:rPr>
                      <w:color w:val="58595B"/>
                    </w:rPr>
                    <w:t>this</w:t>
                  </w:r>
                  <w:r>
                    <w:rPr>
                      <w:color w:val="58595B"/>
                      <w:spacing w:val="-7"/>
                    </w:rPr>
                    <w:t> </w:t>
                  </w:r>
                  <w:r>
                    <w:rPr>
                      <w:color w:val="58595B"/>
                      <w:spacing w:val="-2"/>
                    </w:rPr>
                    <w:t>distinction:</w:t>
                  </w:r>
                  <w:r>
                    <w:rPr>
                      <w:color w:val="58595B"/>
                      <w:spacing w:val="-7"/>
                    </w:rPr>
                    <w:t> </w:t>
                  </w:r>
                  <w:r>
                    <w:rPr>
                      <w:color w:val="58595B"/>
                      <w:spacing w:val="-8"/>
                    </w:rPr>
                    <w:t>‘…</w:t>
                  </w:r>
                  <w:r>
                    <w:rPr>
                      <w:color w:val="58595B"/>
                      <w:spacing w:val="-7"/>
                    </w:rPr>
                    <w:t> </w:t>
                  </w:r>
                  <w:r>
                    <w:rPr>
                      <w:color w:val="58595B"/>
                      <w:spacing w:val="-3"/>
                    </w:rPr>
                    <w:t>prevention</w:t>
                  </w:r>
                  <w:r>
                    <w:rPr>
                      <w:color w:val="58595B"/>
                      <w:spacing w:val="-7"/>
                    </w:rPr>
                    <w:t> </w:t>
                  </w:r>
                  <w:r>
                    <w:rPr>
                      <w:color w:val="58595B"/>
                    </w:rPr>
                    <w:t>of</w:t>
                  </w:r>
                  <w:r>
                    <w:rPr>
                      <w:color w:val="58595B"/>
                      <w:spacing w:val="-7"/>
                    </w:rPr>
                    <w:t> </w:t>
                  </w:r>
                  <w:r>
                    <w:rPr>
                      <w:color w:val="58595B"/>
                    </w:rPr>
                    <w:t>…</w:t>
                  </w:r>
                  <w:r>
                    <w:rPr>
                      <w:color w:val="58595B"/>
                      <w:spacing w:val="-7"/>
                    </w:rPr>
                    <w:t> </w:t>
                  </w:r>
                  <w:r>
                    <w:rPr>
                      <w:color w:val="58595B"/>
                      <w:spacing w:val="-4"/>
                    </w:rPr>
                    <w:t>(harm)</w:t>
                  </w:r>
                  <w:r>
                    <w:rPr>
                      <w:color w:val="58595B"/>
                      <w:spacing w:val="-7"/>
                    </w:rPr>
                    <w:t> </w:t>
                  </w:r>
                  <w:r>
                    <w:rPr>
                      <w:color w:val="58595B"/>
                    </w:rPr>
                    <w:t>is</w:t>
                  </w:r>
                  <w:r>
                    <w:rPr>
                      <w:color w:val="58595B"/>
                      <w:spacing w:val="-7"/>
                    </w:rPr>
                    <w:t> </w:t>
                  </w:r>
                  <w:r>
                    <w:rPr>
                      <w:color w:val="58595B"/>
                    </w:rPr>
                    <w:t>preferable</w:t>
                  </w:r>
                  <w:r>
                    <w:rPr>
                      <w:color w:val="58595B"/>
                      <w:spacing w:val="-7"/>
                    </w:rPr>
                    <w:t> </w:t>
                  </w:r>
                  <w:r>
                    <w:rPr>
                      <w:color w:val="58595B"/>
                    </w:rPr>
                    <w:t>to</w:t>
                  </w:r>
                  <w:r>
                    <w:rPr>
                      <w:color w:val="58595B"/>
                      <w:spacing w:val="-7"/>
                    </w:rPr>
                    <w:t> </w:t>
                  </w:r>
                  <w:r>
                    <w:rPr>
                      <w:color w:val="58595B"/>
                    </w:rPr>
                    <w:t>remedial</w:t>
                  </w:r>
                  <w:r>
                    <w:rPr>
                      <w:color w:val="58595B"/>
                      <w:spacing w:val="-7"/>
                    </w:rPr>
                    <w:t> </w:t>
                  </w:r>
                  <w:r>
                    <w:rPr>
                      <w:color w:val="58595B"/>
                      <w:spacing w:val="-3"/>
                    </w:rPr>
                    <w:t>measures’.</w:t>
                  </w:r>
                  <w:r>
                    <w:rPr>
                      <w:color w:val="58595B"/>
                      <w:spacing w:val="-3"/>
                      <w:position w:val="7"/>
                      <w:sz w:val="11"/>
                    </w:rPr>
                    <w:t>55</w:t>
                  </w:r>
                </w:p>
              </w:txbxContent>
            </v:textbox>
            <w10:wrap type="none"/>
          </v:shape>
        </w:pict>
      </w:r>
      <w:r>
        <w:rPr/>
        <w:pict>
          <v:shape style="position:absolute;margin-left:69.866096pt;margin-top:578.925354pt;width:10.15pt;height:12pt;mso-position-horizontal-relative:page;mso-position-vertical-relative:page;z-index:-203296" type="#_x0000_t202" filled="false" stroked="false">
            <v:textbox inset="0,0,0,0">
              <w:txbxContent>
                <w:p>
                  <w:pPr>
                    <w:pStyle w:val="BodyText"/>
                    <w:spacing w:line="224" w:lineRule="exact"/>
                    <w:ind w:right="-4"/>
                  </w:pPr>
                  <w:r>
                    <w:rPr>
                      <w:color w:val="58595B"/>
                    </w:rPr>
                    <w:t>4.</w:t>
                  </w:r>
                </w:p>
              </w:txbxContent>
            </v:textbox>
            <w10:wrap type="none"/>
          </v:shape>
        </w:pict>
      </w:r>
      <w:r>
        <w:rPr/>
        <w:pict>
          <v:shape style="position:absolute;margin-left:86.866096pt;margin-top:578.925354pt;width:418.7pt;height:106.5pt;mso-position-horizontal-relative:page;mso-position-vertical-relative:page;z-index:-203272" type="#_x0000_t202" filled="false" stroked="false">
            <v:textbox inset="0,0,0,0">
              <w:txbxContent>
                <w:p>
                  <w:pPr>
                    <w:pStyle w:val="BodyText"/>
                    <w:spacing w:line="280" w:lineRule="auto"/>
                    <w:ind w:right="171" w:hanging="1"/>
                  </w:pPr>
                  <w:r>
                    <w:rPr>
                      <w:b/>
                      <w:color w:val="58595B"/>
                    </w:rPr>
                    <w:t>Intragenerational and intergenerational equity</w:t>
                  </w:r>
                  <w:r>
                    <w:rPr>
                      <w:color w:val="58595B"/>
                      <w:position w:val="7"/>
                      <w:sz w:val="11"/>
                    </w:rPr>
                    <w:t>56  </w:t>
                  </w:r>
                  <w:r>
                    <w:rPr>
                      <w:color w:val="58595B"/>
                    </w:rPr>
                    <w:t>– The principles should allow the </w:t>
                  </w:r>
                  <w:r>
                    <w:rPr>
                      <w:color w:val="58595B"/>
                      <w:spacing w:val="-4"/>
                    </w:rPr>
                    <w:t>EPA   </w:t>
                  </w:r>
                  <w:r>
                    <w:rPr>
                      <w:color w:val="58595B"/>
                    </w:rPr>
                    <w:t>to consider how decisions will affect specific parts of the community (intragenerational equity) and how they will affect future generations (intergenerational equity). This principle</w:t>
                  </w:r>
                  <w:r>
                    <w:rPr>
                      <w:color w:val="58595B"/>
                      <w:spacing w:val="-5"/>
                    </w:rPr>
                    <w:t> </w:t>
                  </w:r>
                  <w:r>
                    <w:rPr>
                      <w:color w:val="58595B"/>
                    </w:rPr>
                    <w:t>is</w:t>
                  </w:r>
                </w:p>
                <w:p>
                  <w:pPr>
                    <w:pStyle w:val="BodyText"/>
                    <w:spacing w:line="280" w:lineRule="auto" w:before="2"/>
                    <w:ind w:right="17"/>
                  </w:pPr>
                  <w:r>
                    <w:rPr>
                      <w:color w:val="58595B"/>
                    </w:rPr>
                    <w:t>important for providing environmental justice (so that one part of the community does not bear disproportionate costs or benefits of pollution or regulatory responses). The EPA must also account for the activities of past generations and minimise burdens for future generations. As noted above, the principle of equity in the </w:t>
                  </w:r>
                  <w:r>
                    <w:rPr>
                      <w:i/>
                      <w:color w:val="58595B"/>
                    </w:rPr>
                    <w:t>Transport Integration Act 2010 </w:t>
                  </w:r>
                  <w:r>
                    <w:rPr>
                      <w:color w:val="58595B"/>
                    </w:rPr>
                    <w:t>accounts for both intra- and intergenerational equity.</w:t>
                  </w:r>
                </w:p>
              </w:txbxContent>
            </v:textbox>
            <w10:wrap type="none"/>
          </v:shape>
        </w:pict>
      </w:r>
      <w:r>
        <w:rPr/>
        <w:pict>
          <v:shape style="position:absolute;margin-left:69.866203pt;margin-top:695.425476pt;width:10.35pt;height:12pt;mso-position-horizontal-relative:page;mso-position-vertical-relative:page;z-index:-203248" type="#_x0000_t202" filled="false" stroked="false">
            <v:textbox inset="0,0,0,0">
              <w:txbxContent>
                <w:p>
                  <w:pPr>
                    <w:pStyle w:val="BodyText"/>
                    <w:spacing w:line="224" w:lineRule="exact"/>
                  </w:pPr>
                  <w:r>
                    <w:rPr>
                      <w:color w:val="58595B"/>
                    </w:rPr>
                    <w:t>5.</w:t>
                  </w:r>
                </w:p>
              </w:txbxContent>
            </v:textbox>
            <w10:wrap type="none"/>
          </v:shape>
        </w:pict>
      </w:r>
      <w:r>
        <w:rPr/>
        <w:pict>
          <v:shape style="position:absolute;margin-left:86.873703pt;margin-top:695.425476pt;width:418.3pt;height:66.05pt;mso-position-horizontal-relative:page;mso-position-vertical-relative:page;z-index:-203224" type="#_x0000_t202" filled="false" stroked="false">
            <v:textbox inset="0,0,0,0">
              <w:txbxContent>
                <w:p>
                  <w:pPr>
                    <w:pStyle w:val="BodyText"/>
                    <w:spacing w:line="280" w:lineRule="auto"/>
                  </w:pPr>
                  <w:r>
                    <w:rPr>
                      <w:b/>
                      <w:color w:val="58595B"/>
                    </w:rPr>
                    <w:t>Responsibility (shared responsibility, producer responsibility and polluter </w:t>
                  </w:r>
                  <w:r>
                    <w:rPr>
                      <w:b/>
                      <w:color w:val="58595B"/>
                      <w:spacing w:val="-4"/>
                    </w:rPr>
                    <w:t>pays) </w:t>
                  </w:r>
                  <w:r>
                    <w:rPr>
                      <w:color w:val="58595B"/>
                    </w:rPr>
                    <w:t>– The EP Act addresses these issues in a </w:t>
                  </w:r>
                  <w:r>
                    <w:rPr>
                      <w:color w:val="58595B"/>
                      <w:spacing w:val="-2"/>
                    </w:rPr>
                    <w:t>number </w:t>
                  </w:r>
                  <w:r>
                    <w:rPr>
                      <w:color w:val="58595B"/>
                    </w:rPr>
                    <w:t>of the current principles.</w:t>
                  </w:r>
                  <w:r>
                    <w:rPr>
                      <w:color w:val="58595B"/>
                      <w:position w:val="7"/>
                      <w:sz w:val="11"/>
                    </w:rPr>
                    <w:t>57 </w:t>
                  </w:r>
                  <w:r>
                    <w:rPr>
                      <w:color w:val="58595B"/>
                      <w:spacing w:val="-3"/>
                    </w:rPr>
                    <w:t>We </w:t>
                  </w:r>
                  <w:r>
                    <w:rPr>
                      <w:color w:val="58595B"/>
                    </w:rPr>
                    <w:t>propose a single principle</w:t>
                  </w:r>
                  <w:r>
                    <w:rPr>
                      <w:color w:val="58595B"/>
                      <w:spacing w:val="-12"/>
                    </w:rPr>
                    <w:t> </w:t>
                  </w:r>
                  <w:r>
                    <w:rPr>
                      <w:color w:val="58595B"/>
                    </w:rPr>
                    <w:t>that</w:t>
                  </w:r>
                  <w:r>
                    <w:rPr>
                      <w:color w:val="58595B"/>
                      <w:spacing w:val="-12"/>
                    </w:rPr>
                    <w:t> </w:t>
                  </w:r>
                  <w:r>
                    <w:rPr>
                      <w:color w:val="58595B"/>
                    </w:rPr>
                    <w:t>guides</w:t>
                  </w:r>
                  <w:r>
                    <w:rPr>
                      <w:color w:val="58595B"/>
                      <w:spacing w:val="-12"/>
                    </w:rPr>
                    <w:t> </w:t>
                  </w:r>
                  <w:r>
                    <w:rPr>
                      <w:color w:val="58595B"/>
                    </w:rPr>
                    <w:t>the</w:t>
                  </w:r>
                  <w:r>
                    <w:rPr>
                      <w:color w:val="58595B"/>
                      <w:spacing w:val="-12"/>
                    </w:rPr>
                    <w:t> </w:t>
                  </w:r>
                  <w:r>
                    <w:rPr>
                      <w:color w:val="58595B"/>
                      <w:spacing w:val="-5"/>
                    </w:rPr>
                    <w:t>EPA</w:t>
                  </w:r>
                  <w:r>
                    <w:rPr>
                      <w:color w:val="58595B"/>
                      <w:spacing w:val="-12"/>
                    </w:rPr>
                    <w:t> </w:t>
                  </w:r>
                  <w:r>
                    <w:rPr>
                      <w:color w:val="58595B"/>
                    </w:rPr>
                    <w:t>on</w:t>
                  </w:r>
                  <w:r>
                    <w:rPr>
                      <w:color w:val="58595B"/>
                      <w:spacing w:val="-12"/>
                    </w:rPr>
                    <w:t> </w:t>
                  </w:r>
                  <w:r>
                    <w:rPr>
                      <w:color w:val="58595B"/>
                    </w:rPr>
                    <w:t>allocating</w:t>
                  </w:r>
                  <w:r>
                    <w:rPr>
                      <w:color w:val="58595B"/>
                      <w:spacing w:val="-12"/>
                    </w:rPr>
                    <w:t> </w:t>
                  </w:r>
                  <w:r>
                    <w:rPr>
                      <w:color w:val="58595B"/>
                    </w:rPr>
                    <w:t>responsibility</w:t>
                  </w:r>
                  <w:r>
                    <w:rPr>
                      <w:color w:val="58595B"/>
                      <w:spacing w:val="-12"/>
                    </w:rPr>
                    <w:t> </w:t>
                  </w:r>
                  <w:r>
                    <w:rPr>
                      <w:color w:val="58595B"/>
                    </w:rPr>
                    <w:t>to</w:t>
                  </w:r>
                  <w:r>
                    <w:rPr>
                      <w:color w:val="58595B"/>
                      <w:spacing w:val="-12"/>
                    </w:rPr>
                    <w:t> </w:t>
                  </w:r>
                  <w:r>
                    <w:rPr>
                      <w:color w:val="58595B"/>
                    </w:rPr>
                    <w:t>polluters</w:t>
                  </w:r>
                  <w:r>
                    <w:rPr>
                      <w:color w:val="58595B"/>
                      <w:spacing w:val="-12"/>
                    </w:rPr>
                    <w:t> </w:t>
                  </w:r>
                  <w:r>
                    <w:rPr>
                      <w:color w:val="58595B"/>
                    </w:rPr>
                    <w:t>and</w:t>
                  </w:r>
                  <w:r>
                    <w:rPr>
                      <w:color w:val="58595B"/>
                      <w:spacing w:val="-12"/>
                    </w:rPr>
                    <w:t> </w:t>
                  </w:r>
                  <w:r>
                    <w:rPr>
                      <w:color w:val="58595B"/>
                    </w:rPr>
                    <w:t>other</w:t>
                  </w:r>
                  <w:r>
                    <w:rPr>
                      <w:color w:val="58595B"/>
                      <w:spacing w:val="-12"/>
                    </w:rPr>
                    <w:t> </w:t>
                  </w:r>
                  <w:r>
                    <w:rPr>
                      <w:color w:val="58595B"/>
                    </w:rPr>
                    <w:t>third</w:t>
                  </w:r>
                  <w:r>
                    <w:rPr>
                      <w:color w:val="58595B"/>
                      <w:spacing w:val="-12"/>
                    </w:rPr>
                    <w:t> </w:t>
                  </w:r>
                  <w:r>
                    <w:rPr>
                      <w:color w:val="58595B"/>
                    </w:rPr>
                    <w:t>parties.</w:t>
                  </w:r>
                  <w:r>
                    <w:rPr>
                      <w:color w:val="58595B"/>
                      <w:spacing w:val="-12"/>
                    </w:rPr>
                    <w:t> </w:t>
                  </w:r>
                  <w:r>
                    <w:rPr>
                      <w:color w:val="58595B"/>
                    </w:rPr>
                    <w:t>This provides a platform to use a range of tools and to work with a range of stakeholders to reduce harms,</w:t>
                  </w:r>
                  <w:r>
                    <w:rPr>
                      <w:color w:val="58595B"/>
                      <w:spacing w:val="-11"/>
                    </w:rPr>
                    <w:t> </w:t>
                  </w:r>
                  <w:r>
                    <w:rPr>
                      <w:color w:val="58595B"/>
                    </w:rPr>
                    <w:t>including</w:t>
                  </w:r>
                  <w:r>
                    <w:rPr>
                      <w:color w:val="58595B"/>
                      <w:spacing w:val="-11"/>
                    </w:rPr>
                    <w:t> </w:t>
                  </w:r>
                  <w:r>
                    <w:rPr>
                      <w:color w:val="58595B"/>
                    </w:rPr>
                    <w:t>through</w:t>
                  </w:r>
                  <w:r>
                    <w:rPr>
                      <w:color w:val="58595B"/>
                      <w:spacing w:val="-11"/>
                    </w:rPr>
                    <w:t> </w:t>
                  </w:r>
                  <w:r>
                    <w:rPr>
                      <w:color w:val="58595B"/>
                      <w:spacing w:val="-3"/>
                    </w:rPr>
                    <w:t>preventative</w:t>
                  </w:r>
                  <w:r>
                    <w:rPr>
                      <w:color w:val="58595B"/>
                      <w:spacing w:val="-11"/>
                    </w:rPr>
                    <w:t> </w:t>
                  </w:r>
                  <w:r>
                    <w:rPr>
                      <w:color w:val="58595B"/>
                    </w:rPr>
                    <w:t>measures</w:t>
                  </w:r>
                  <w:r>
                    <w:rPr>
                      <w:color w:val="58595B"/>
                      <w:spacing w:val="-11"/>
                    </w:rPr>
                    <w:t> </w:t>
                  </w:r>
                  <w:r>
                    <w:rPr>
                      <w:color w:val="58595B"/>
                    </w:rPr>
                    <w:t>such</w:t>
                  </w:r>
                  <w:r>
                    <w:rPr>
                      <w:color w:val="58595B"/>
                      <w:spacing w:val="-11"/>
                    </w:rPr>
                    <w:t> </w:t>
                  </w:r>
                  <w:r>
                    <w:rPr>
                      <w:color w:val="58595B"/>
                    </w:rPr>
                    <w:t>as</w:t>
                  </w:r>
                  <w:r>
                    <w:rPr>
                      <w:color w:val="58595B"/>
                      <w:spacing w:val="-11"/>
                    </w:rPr>
                    <w:t> </w:t>
                  </w:r>
                  <w:r>
                    <w:rPr>
                      <w:color w:val="58595B"/>
                    </w:rPr>
                    <w:t>a</w:t>
                  </w:r>
                  <w:r>
                    <w:rPr>
                      <w:color w:val="58595B"/>
                      <w:spacing w:val="-11"/>
                    </w:rPr>
                    <w:t> </w:t>
                  </w:r>
                  <w:r>
                    <w:rPr>
                      <w:color w:val="58595B"/>
                    </w:rPr>
                    <w:t>general</w:t>
                  </w:r>
                  <w:r>
                    <w:rPr>
                      <w:color w:val="58595B"/>
                      <w:spacing w:val="-11"/>
                    </w:rPr>
                    <w:t> </w:t>
                  </w:r>
                  <w:r>
                    <w:rPr>
                      <w:color w:val="58595B"/>
                    </w:rPr>
                    <w:t>duty</w:t>
                  </w:r>
                  <w:r>
                    <w:rPr>
                      <w:color w:val="58595B"/>
                      <w:spacing w:val="-11"/>
                    </w:rPr>
                    <w:t> </w:t>
                  </w:r>
                  <w:r>
                    <w:rPr>
                      <w:color w:val="58595B"/>
                      <w:spacing w:val="-4"/>
                    </w:rPr>
                    <w:t>(see</w:t>
                  </w:r>
                  <w:r>
                    <w:rPr>
                      <w:color w:val="58595B"/>
                      <w:spacing w:val="-11"/>
                    </w:rPr>
                    <w:t> </w:t>
                  </w:r>
                  <w:r>
                    <w:rPr>
                      <w:color w:val="58595B"/>
                    </w:rPr>
                    <w:t>chapter</w:t>
                  </w:r>
                  <w:r>
                    <w:rPr>
                      <w:color w:val="58595B"/>
                      <w:spacing w:val="-11"/>
                    </w:rPr>
                    <w:t> </w:t>
                  </w:r>
                  <w:r>
                    <w:rPr>
                      <w:color w:val="58595B"/>
                      <w:spacing w:val="-7"/>
                    </w:rPr>
                    <w:t>12).</w:t>
                  </w:r>
                </w:p>
              </w:txbxContent>
            </v:textbox>
            <w10:wrap type="none"/>
          </v:shape>
        </w:pict>
      </w:r>
      <w:r>
        <w:rPr/>
        <w:pict>
          <v:shape style="position:absolute;margin-left:.0pt;margin-top:44.090015pt;width:60.3pt;height:5.25pt;mso-position-horizontal-relative:page;mso-position-vertical-relative:page;z-index:-20320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0317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03152" from="534.996094pt,45.840015pt" to="595.276001pt,45.840015pt" stroked="true" strokeweight="7pt" strokecolor="#0095a7">
            <w10:wrap type="none"/>
          </v:line>
        </w:pict>
      </w:r>
      <w:r>
        <w:rPr/>
        <w:pict>
          <v:shape style="position:absolute;margin-left:240.993195pt;margin-top:40.902756pt;width:258.9pt;height:9.5pt;mso-position-horizontal-relative:page;mso-position-vertical-relative:page;z-index:-203128" type="#_x0000_t202" filled="false" stroked="false">
            <v:textbox inset="0,0,0,0">
              <w:txbxContent>
                <w:p>
                  <w:pPr>
                    <w:spacing w:before="1"/>
                    <w:ind w:left="20" w:right="0" w:firstLine="0"/>
                    <w:jc w:val="left"/>
                    <w:rPr>
                      <w:sz w:val="15"/>
                    </w:rPr>
                  </w:pPr>
                  <w:r>
                    <w:rPr>
                      <w:color w:val="58595B"/>
                      <w:sz w:val="15"/>
                    </w:rPr>
                    <w:t>CHAPTER 5    CLARIFYING THE EPA’S OBJECTIVES AND FUNCTIONS</w:t>
                  </w:r>
                </w:p>
              </w:txbxContent>
            </v:textbox>
            <w10:wrap type="none"/>
          </v:shape>
        </w:pict>
      </w:r>
      <w:r>
        <w:rPr/>
        <w:pict>
          <v:shape style="position:absolute;margin-left:515.125671pt;margin-top:40.902756pt;width:10.2pt;height:9.5pt;mso-position-horizontal-relative:page;mso-position-vertical-relative:page;z-index:-203104" type="#_x0000_t202" filled="false" stroked="false">
            <v:textbox inset="0,0,0,0">
              <w:txbxContent>
                <w:p>
                  <w:pPr>
                    <w:spacing w:before="1"/>
                    <w:ind w:left="20" w:right="-3" w:firstLine="0"/>
                    <w:jc w:val="left"/>
                    <w:rPr>
                      <w:sz w:val="15"/>
                    </w:rPr>
                  </w:pPr>
                  <w:r>
                    <w:rPr>
                      <w:color w:val="58595B"/>
                      <w:sz w:val="15"/>
                    </w:rPr>
                    <w:t>91</w:t>
                  </w:r>
                </w:p>
              </w:txbxContent>
            </v:textbox>
            <w10:wrap type="none"/>
          </v:shape>
        </w:pict>
      </w:r>
      <w:r>
        <w:rPr/>
        <w:pict>
          <v:shape style="position:absolute;margin-left:89.708603pt;margin-top:105.893967pt;width:10.35pt;height:12pt;mso-position-horizontal-relative:page;mso-position-vertical-relative:page;z-index:-203080" type="#_x0000_t202" filled="false" stroked="false">
            <v:textbox inset="0,0,0,0">
              <w:txbxContent>
                <w:p>
                  <w:pPr>
                    <w:pStyle w:val="BodyText"/>
                    <w:spacing w:line="224" w:lineRule="exact"/>
                  </w:pPr>
                  <w:r>
                    <w:rPr>
                      <w:color w:val="58595B"/>
                    </w:rPr>
                    <w:t>6.</w:t>
                  </w:r>
                </w:p>
              </w:txbxContent>
            </v:textbox>
            <w10:wrap type="none"/>
          </v:shape>
        </w:pict>
      </w:r>
      <w:r>
        <w:rPr/>
        <w:pict>
          <v:shape style="position:absolute;margin-left:106.717796pt;margin-top:105.893967pt;width:411.55pt;height:93pt;mso-position-horizontal-relative:page;mso-position-vertical-relative:page;z-index:-203056" type="#_x0000_t202" filled="false" stroked="false">
            <v:textbox inset="0,0,0,0">
              <w:txbxContent>
                <w:p>
                  <w:pPr>
                    <w:pStyle w:val="BodyText"/>
                    <w:spacing w:line="280" w:lineRule="auto"/>
                    <w:rPr>
                      <w:sz w:val="11"/>
                    </w:rPr>
                  </w:pPr>
                  <w:r>
                    <w:rPr>
                      <w:b/>
                      <w:color w:val="58595B"/>
                    </w:rPr>
                    <w:t>Evidence-based decision making that accounts for the role of the precautionary principle </w:t>
                  </w:r>
                  <w:r>
                    <w:rPr>
                      <w:color w:val="58595B"/>
                    </w:rPr>
                    <w:t>– This principle guides the EPA on dealing with uncertainty and meeting the requirements for evidence, noting that the Public Health and Wellbeing Act includes both these elements.</w:t>
                  </w:r>
                  <w:r>
                    <w:rPr>
                      <w:color w:val="58595B"/>
                      <w:position w:val="7"/>
                      <w:sz w:val="11"/>
                    </w:rPr>
                    <w:t>58 </w:t>
                  </w:r>
                  <w:r>
                    <w:rPr>
                      <w:color w:val="58595B"/>
                    </w:rPr>
                    <w:t>As a science-based regulator, the EPA will always deal with some uncertainty about the nature and consequences of some environmental impacts, and also of public health impacts. The Australian Panel of Experts on Environmental Law has previously argued for clarifying how regulators should apply this principle.</w:t>
                  </w:r>
                  <w:r>
                    <w:rPr>
                      <w:color w:val="58595B"/>
                      <w:position w:val="7"/>
                      <w:sz w:val="11"/>
                    </w:rPr>
                    <w:t>59</w:t>
                  </w:r>
                </w:p>
              </w:txbxContent>
            </v:textbox>
            <w10:wrap type="none"/>
          </v:shape>
        </w:pict>
      </w:r>
      <w:r>
        <w:rPr/>
        <w:pict>
          <v:shape style="position:absolute;margin-left:89.708603pt;margin-top:208.897873pt;width:8.25pt;height:12pt;mso-position-horizontal-relative:page;mso-position-vertical-relative:page;z-index:-203032" type="#_x0000_t202" filled="false" stroked="false">
            <v:textbox inset="0,0,0,0">
              <w:txbxContent>
                <w:p>
                  <w:pPr>
                    <w:pStyle w:val="BodyText"/>
                    <w:spacing w:line="224" w:lineRule="exact"/>
                    <w:ind w:right="-9"/>
                  </w:pPr>
                  <w:r>
                    <w:rPr>
                      <w:color w:val="58595B"/>
                      <w:spacing w:val="-21"/>
                    </w:rPr>
                    <w:t>7.</w:t>
                  </w:r>
                </w:p>
              </w:txbxContent>
            </v:textbox>
            <w10:wrap type="none"/>
          </v:shape>
        </w:pict>
      </w:r>
      <w:r>
        <w:rPr/>
        <w:pict>
          <v:shape style="position:absolute;margin-left:106.708603pt;margin-top:208.897873pt;width:418.7pt;height:66pt;mso-position-horizontal-relative:page;mso-position-vertical-relative:page;z-index:-203008" type="#_x0000_t202" filled="false" stroked="false">
            <v:textbox inset="0,0,0,0">
              <w:txbxContent>
                <w:p>
                  <w:pPr>
                    <w:pStyle w:val="BodyText"/>
                    <w:spacing w:line="280" w:lineRule="auto"/>
                    <w:ind w:right="17"/>
                    <w:rPr>
                      <w:sz w:val="11"/>
                    </w:rPr>
                  </w:pPr>
                  <w:r>
                    <w:rPr>
                      <w:b/>
                      <w:color w:val="58595B"/>
                    </w:rPr>
                    <w:t>Accountability and access to decision making </w:t>
                  </w:r>
                  <w:r>
                    <w:rPr>
                      <w:color w:val="58595B"/>
                    </w:rPr>
                    <w:t>– Accountability is necessary for regulatory authority. We propose a principle for accountability, based on the Transport Integration Act: ‘members of the public should have access to reliable and relevant information in appropriate forms to facilitate a good understanding of transport issues and the process by which decisions in relation to the transport system are made’.</w:t>
                  </w:r>
                  <w:r>
                    <w:rPr>
                      <w:color w:val="58595B"/>
                      <w:position w:val="7"/>
                      <w:sz w:val="11"/>
                    </w:rPr>
                    <w:t>60</w:t>
                  </w:r>
                </w:p>
              </w:txbxContent>
            </v:textbox>
            <w10:wrap type="none"/>
          </v:shape>
        </w:pict>
      </w:r>
      <w:r>
        <w:rPr/>
        <w:pict>
          <v:shape style="position:absolute;margin-left:89.708603pt;margin-top:284.901764pt;width:435.65pt;height:96.55pt;mso-position-horizontal-relative:page;mso-position-vertical-relative:page;z-index:-202984" type="#_x0000_t202" filled="false" stroked="false">
            <v:textbox inset="0,0,0,0">
              <w:txbxContent>
                <w:p>
                  <w:pPr>
                    <w:pStyle w:val="BodyText"/>
                    <w:spacing w:line="280" w:lineRule="auto"/>
                    <w:ind w:right="2"/>
                  </w:pPr>
                  <w:r>
                    <w:rPr>
                      <w:color w:val="58595B"/>
                    </w:rPr>
                    <w:t>These principles relate to the EPA specifically (and would sit in the proposed EPA (Establishment) Act). The principles should be framed to:</w:t>
                  </w:r>
                </w:p>
                <w:p>
                  <w:pPr>
                    <w:pStyle w:val="ListParagraph"/>
                    <w:numPr>
                      <w:ilvl w:val="0"/>
                      <w:numId w:val="17"/>
                    </w:numPr>
                    <w:tabs>
                      <w:tab w:pos="190" w:val="left" w:leader="none"/>
                    </w:tabs>
                    <w:spacing w:line="280" w:lineRule="auto" w:before="115" w:after="0"/>
                    <w:ind w:left="190" w:right="262" w:hanging="170"/>
                    <w:jc w:val="left"/>
                    <w:rPr>
                      <w:sz w:val="20"/>
                    </w:rPr>
                  </w:pPr>
                  <w:r>
                    <w:rPr>
                      <w:color w:val="58595B"/>
                      <w:sz w:val="20"/>
                    </w:rPr>
                    <w:t>complement the proposed objective for the </w:t>
                  </w:r>
                  <w:r>
                    <w:rPr>
                      <w:color w:val="58595B"/>
                      <w:spacing w:val="-4"/>
                      <w:sz w:val="20"/>
                    </w:rPr>
                    <w:t>EPA </w:t>
                  </w:r>
                  <w:r>
                    <w:rPr>
                      <w:color w:val="58595B"/>
                      <w:sz w:val="20"/>
                    </w:rPr>
                    <w:t>and therefore match in scope the issues and considerations relevant to its objective</w:t>
                  </w:r>
                </w:p>
                <w:p>
                  <w:pPr>
                    <w:pStyle w:val="ListParagraph"/>
                    <w:numPr>
                      <w:ilvl w:val="0"/>
                      <w:numId w:val="17"/>
                    </w:numPr>
                    <w:tabs>
                      <w:tab w:pos="190" w:val="left" w:leader="none"/>
                    </w:tabs>
                    <w:spacing w:line="240" w:lineRule="auto" w:before="115" w:after="0"/>
                    <w:ind w:left="190" w:right="0" w:hanging="170"/>
                    <w:jc w:val="left"/>
                    <w:rPr>
                      <w:sz w:val="20"/>
                    </w:rPr>
                  </w:pPr>
                  <w:r>
                    <w:rPr>
                      <w:color w:val="58595B"/>
                      <w:sz w:val="20"/>
                    </w:rPr>
                    <w:t>account for the requirement to consider the protection of human health and the</w:t>
                  </w:r>
                  <w:r>
                    <w:rPr>
                      <w:color w:val="58595B"/>
                      <w:spacing w:val="-1"/>
                      <w:sz w:val="20"/>
                    </w:rPr>
                    <w:t> </w:t>
                  </w:r>
                  <w:r>
                    <w:rPr>
                      <w:color w:val="58595B"/>
                      <w:sz w:val="20"/>
                    </w:rPr>
                    <w:t>environment</w:t>
                  </w:r>
                </w:p>
                <w:p>
                  <w:pPr>
                    <w:pStyle w:val="ListParagraph"/>
                    <w:numPr>
                      <w:ilvl w:val="0"/>
                      <w:numId w:val="17"/>
                    </w:numPr>
                    <w:tabs>
                      <w:tab w:pos="190" w:val="left" w:leader="none"/>
                    </w:tabs>
                    <w:spacing w:line="240" w:lineRule="auto" w:before="153" w:after="0"/>
                    <w:ind w:left="190" w:right="0" w:hanging="170"/>
                    <w:jc w:val="left"/>
                    <w:rPr>
                      <w:sz w:val="20"/>
                    </w:rPr>
                  </w:pPr>
                  <w:r>
                    <w:rPr>
                      <w:color w:val="58595B"/>
                      <w:sz w:val="20"/>
                    </w:rPr>
                    <w:t>provide for greater accountability for regulatory decision</w:t>
                  </w:r>
                  <w:r>
                    <w:rPr>
                      <w:color w:val="58595B"/>
                      <w:spacing w:val="14"/>
                      <w:sz w:val="20"/>
                    </w:rPr>
                    <w:t> </w:t>
                  </w:r>
                  <w:r>
                    <w:rPr>
                      <w:color w:val="58595B"/>
                      <w:sz w:val="20"/>
                    </w:rPr>
                    <w:t>making.</w:t>
                  </w:r>
                </w:p>
              </w:txbxContent>
            </v:textbox>
            <w10:wrap type="none"/>
          </v:shape>
        </w:pict>
      </w:r>
      <w:r>
        <w:rPr/>
        <w:pict>
          <v:shape style="position:absolute;margin-left:89.708603pt;margin-top:391.411774pt;width:435.65pt;height:52.5pt;mso-position-horizontal-relative:page;mso-position-vertical-relative:page;z-index:-202960" type="#_x0000_t202" filled="false" stroked="false">
            <v:textbox inset="0,0,0,0">
              <w:txbxContent>
                <w:p>
                  <w:pPr>
                    <w:pStyle w:val="BodyText"/>
                    <w:spacing w:line="280" w:lineRule="auto"/>
                    <w:ind w:right="-10"/>
                  </w:pPr>
                  <w:r>
                    <w:rPr>
                      <w:color w:val="58595B"/>
                    </w:rPr>
                    <w:t>A reframed EP Act and the overarching environmental legislation proposed later in the report (see chapter 7) should also include general principles. There is no consistent approach to principles across Victorian legislation – even in legislation that deals with the same issues – but we consider there are benefits in identifying consistent high level principles.</w:t>
                  </w:r>
                </w:p>
              </w:txbxContent>
            </v:textbox>
            <w10:wrap type="none"/>
          </v:shape>
        </w:pict>
      </w:r>
      <w:r>
        <w:rPr/>
        <w:pict>
          <v:shape style="position:absolute;margin-left:89.706596pt;margin-top:453.911774pt;width:434.85pt;height:93.05pt;mso-position-horizontal-relative:page;mso-position-vertical-relative:page;z-index:-202936" type="#_x0000_t202" filled="false" stroked="false">
            <v:textbox inset="0,0,0,0">
              <w:txbxContent>
                <w:p>
                  <w:pPr>
                    <w:pStyle w:val="BodyText"/>
                    <w:spacing w:line="280" w:lineRule="auto"/>
                    <w:rPr>
                      <w:sz w:val="11"/>
                    </w:rPr>
                  </w:pPr>
                  <w:r>
                    <w:rPr>
                      <w:color w:val="58595B"/>
                    </w:rPr>
                    <w:t>The reframed EP Act may also include specific principles, such as the waste hierarchy (which would apply to specific provisions in the Act). Some principles could also have specific reference to, and greater directive power for, certain decisions: ‘[i]t would be advantageous if the application of the individual principles that go to make up the principles of environment protection could be directed at specific classes of decisions’.</w:t>
                  </w:r>
                  <w:r>
                    <w:rPr>
                      <w:color w:val="58595B"/>
                      <w:position w:val="7"/>
                      <w:sz w:val="11"/>
                    </w:rPr>
                    <w:t>61 </w:t>
                  </w:r>
                  <w:r>
                    <w:rPr>
                      <w:color w:val="58595B"/>
                    </w:rPr>
                    <w:t>As an example, the Commonwealth Government’s </w:t>
                  </w:r>
                  <w:r>
                    <w:rPr>
                      <w:i/>
                      <w:color w:val="58595B"/>
                    </w:rPr>
                    <w:t>Environment Protection and Biodiversity Conservation Act 1999 </w:t>
                  </w:r>
                  <w:r>
                    <w:rPr>
                      <w:color w:val="58595B"/>
                    </w:rPr>
                    <w:t>requires that ‘the Minister must take account of the precautionary principle’ in making a range of decisions’.</w:t>
                  </w:r>
                  <w:r>
                    <w:rPr>
                      <w:color w:val="58595B"/>
                      <w:position w:val="7"/>
                      <w:sz w:val="11"/>
                    </w:rPr>
                    <w:t>62</w:t>
                  </w:r>
                </w:p>
              </w:txbxContent>
            </v:textbox>
            <w10:wrap type="none"/>
          </v:shape>
        </w:pict>
      </w:r>
      <w:r>
        <w:rPr/>
        <w:pict>
          <v:shape style="position:absolute;margin-left:89.708603pt;margin-top:559.552856pt;width:432pt;height:86.8pt;mso-position-horizontal-relative:page;mso-position-vertical-relative:page;z-index:-202912" type="#_x0000_t202" filled="false" stroked="false">
            <v:textbox inset="0,0,0,0">
              <w:txbxContent>
                <w:p>
                  <w:pPr>
                    <w:spacing w:line="265" w:lineRule="exact" w:before="0"/>
                    <w:ind w:left="20" w:right="0" w:firstLine="0"/>
                    <w:jc w:val="left"/>
                    <w:rPr>
                      <w:sz w:val="24"/>
                    </w:rPr>
                  </w:pPr>
                  <w:r>
                    <w:rPr>
                      <w:color w:val="0095A7"/>
                      <w:sz w:val="24"/>
                    </w:rPr>
                    <w:t>5.5  Framing functions for a modern, mature regulator</w:t>
                  </w:r>
                </w:p>
                <w:p>
                  <w:pPr>
                    <w:pStyle w:val="BodyText"/>
                    <w:spacing w:line="280" w:lineRule="auto" w:before="145"/>
                    <w:ind w:right="48"/>
                  </w:pPr>
                  <w:r>
                    <w:rPr>
                      <w:color w:val="58595B"/>
                    </w:rPr>
                    <w:t>The proposed legislated objective and regulatory principles for the </w:t>
                  </w:r>
                  <w:r>
                    <w:rPr>
                      <w:color w:val="58595B"/>
                      <w:spacing w:val="-4"/>
                    </w:rPr>
                    <w:t>EPA </w:t>
                  </w:r>
                  <w:r>
                    <w:rPr>
                      <w:color w:val="58595B"/>
                    </w:rPr>
                    <w:t>set the broad boundaries of the </w:t>
                  </w:r>
                  <w:r>
                    <w:rPr>
                      <w:color w:val="58595B"/>
                      <w:spacing w:val="-7"/>
                    </w:rPr>
                    <w:t>EPA’s </w:t>
                  </w:r>
                  <w:r>
                    <w:rPr>
                      <w:color w:val="58595B"/>
                    </w:rPr>
                    <w:t>future task. The next step is to consider the </w:t>
                  </w:r>
                  <w:r>
                    <w:rPr>
                      <w:i/>
                      <w:color w:val="58595B"/>
                    </w:rPr>
                    <w:t>functions </w:t>
                  </w:r>
                  <w:r>
                    <w:rPr>
                      <w:color w:val="58595B"/>
                    </w:rPr>
                    <w:t>of a future EPA. In this context, ‘functions’ mean the streams or types of work that the </w:t>
                  </w:r>
                  <w:r>
                    <w:rPr>
                      <w:color w:val="58595B"/>
                      <w:spacing w:val="-4"/>
                    </w:rPr>
                    <w:t>EPA </w:t>
                  </w:r>
                  <w:r>
                    <w:rPr>
                      <w:color w:val="58595B"/>
                    </w:rPr>
                    <w:t>should do to help it achieve its objective and principles. Functions act as a bridge between the high level objective and more specific powers and operational</w:t>
                  </w:r>
                  <w:r>
                    <w:rPr>
                      <w:color w:val="58595B"/>
                      <w:spacing w:val="10"/>
                    </w:rPr>
                    <w:t> </w:t>
                  </w:r>
                  <w:r>
                    <w:rPr>
                      <w:color w:val="58595B"/>
                    </w:rPr>
                    <w:t>arrangements.</w:t>
                  </w:r>
                </w:p>
              </w:txbxContent>
            </v:textbox>
            <w10:wrap type="none"/>
          </v:shape>
        </w:pict>
      </w:r>
      <w:r>
        <w:rPr/>
        <w:pict>
          <v:shape style="position:absolute;margin-left:89.708603pt;margin-top:656.342773pt;width:431.8pt;height:25.5pt;mso-position-horizontal-relative:page;mso-position-vertical-relative:page;z-index:-202888" type="#_x0000_t202" filled="false" stroked="false">
            <v:textbox inset="0,0,0,0">
              <w:txbxContent>
                <w:p>
                  <w:pPr>
                    <w:pStyle w:val="BodyText"/>
                    <w:spacing w:line="280" w:lineRule="auto"/>
                    <w:ind w:right="-13"/>
                  </w:pPr>
                  <w:r>
                    <w:rPr>
                      <w:color w:val="58595B"/>
                    </w:rPr>
                    <w:t>In </w:t>
                  </w:r>
                  <w:r>
                    <w:rPr>
                      <w:color w:val="58595B"/>
                      <w:spacing w:val="-3"/>
                    </w:rPr>
                    <w:t>specifying the functions the</w:t>
                  </w:r>
                  <w:r>
                    <w:rPr>
                      <w:color w:val="58595B"/>
                      <w:spacing w:val="-7"/>
                    </w:rPr>
                    <w:t> EPA </w:t>
                  </w:r>
                  <w:r>
                    <w:rPr>
                      <w:color w:val="58595B"/>
                      <w:spacing w:val="-3"/>
                    </w:rPr>
                    <w:t>of the </w:t>
                  </w:r>
                  <w:r>
                    <w:rPr>
                      <w:color w:val="58595B"/>
                      <w:spacing w:val="-4"/>
                    </w:rPr>
                    <w:t>future </w:t>
                  </w:r>
                  <w:r>
                    <w:rPr>
                      <w:color w:val="58595B"/>
                      <w:spacing w:val="-3"/>
                    </w:rPr>
                    <w:t>will </w:t>
                  </w:r>
                  <w:r>
                    <w:rPr>
                      <w:color w:val="58595B"/>
                      <w:spacing w:val="-4"/>
                    </w:rPr>
                    <w:t>need, </w:t>
                  </w:r>
                  <w:r>
                    <w:rPr>
                      <w:color w:val="58595B"/>
                      <w:spacing w:val="-3"/>
                    </w:rPr>
                    <w:t>we </w:t>
                  </w:r>
                  <w:r>
                    <w:rPr>
                      <w:color w:val="58595B"/>
                      <w:spacing w:val="-4"/>
                    </w:rPr>
                    <w:t>considered </w:t>
                  </w:r>
                  <w:r>
                    <w:rPr>
                      <w:color w:val="58595B"/>
                    </w:rPr>
                    <w:t>two </w:t>
                  </w:r>
                  <w:r>
                    <w:rPr>
                      <w:color w:val="58595B"/>
                      <w:spacing w:val="-6"/>
                    </w:rPr>
                    <w:t>key </w:t>
                  </w:r>
                  <w:r>
                    <w:rPr>
                      <w:color w:val="58595B"/>
                      <w:spacing w:val="-4"/>
                    </w:rPr>
                    <w:t>factors: maintaining </w:t>
                  </w:r>
                  <w:r>
                    <w:rPr>
                      <w:color w:val="58595B"/>
                    </w:rPr>
                    <w:t>a </w:t>
                  </w:r>
                  <w:r>
                    <w:rPr>
                      <w:color w:val="58595B"/>
                      <w:spacing w:val="-4"/>
                    </w:rPr>
                    <w:t>consistent </w:t>
                  </w:r>
                  <w:r>
                    <w:rPr>
                      <w:color w:val="58595B"/>
                      <w:spacing w:val="-3"/>
                    </w:rPr>
                    <w:t>regulatory </w:t>
                  </w:r>
                  <w:r>
                    <w:rPr>
                      <w:color w:val="58595B"/>
                      <w:spacing w:val="-4"/>
                    </w:rPr>
                    <w:t>approach </w:t>
                  </w:r>
                  <w:r>
                    <w:rPr>
                      <w:color w:val="58595B"/>
                      <w:spacing w:val="-3"/>
                    </w:rPr>
                    <w:t>and functions </w:t>
                  </w:r>
                  <w:r>
                    <w:rPr>
                      <w:color w:val="58595B"/>
                      <w:spacing w:val="-4"/>
                    </w:rPr>
                    <w:t>required </w:t>
                  </w:r>
                  <w:r>
                    <w:rPr>
                      <w:color w:val="58595B"/>
                      <w:spacing w:val="-3"/>
                    </w:rPr>
                    <w:t>for </w:t>
                  </w:r>
                  <w:r>
                    <w:rPr>
                      <w:color w:val="58595B"/>
                    </w:rPr>
                    <w:t>a </w:t>
                  </w:r>
                  <w:r>
                    <w:rPr>
                      <w:color w:val="58595B"/>
                      <w:spacing w:val="-3"/>
                    </w:rPr>
                    <w:t>more </w:t>
                  </w:r>
                  <w:r>
                    <w:rPr>
                      <w:color w:val="58595B"/>
                      <w:spacing w:val="-4"/>
                    </w:rPr>
                    <w:t>proactive </w:t>
                  </w:r>
                  <w:r>
                    <w:rPr>
                      <w:color w:val="58595B"/>
                      <w:spacing w:val="-3"/>
                    </w:rPr>
                    <w:t>and </w:t>
                  </w:r>
                  <w:r>
                    <w:rPr>
                      <w:color w:val="58595B"/>
                      <w:spacing w:val="-5"/>
                    </w:rPr>
                    <w:t>preventative </w:t>
                  </w:r>
                  <w:r>
                    <w:rPr>
                      <w:color w:val="58595B"/>
                      <w:spacing w:val="-4"/>
                    </w:rPr>
                    <w:t>role.</w:t>
                  </w:r>
                </w:p>
              </w:txbxContent>
            </v:textbox>
            <w10:wrap type="none"/>
          </v:shape>
        </w:pict>
      </w:r>
      <w:r>
        <w:rPr/>
        <w:pict>
          <v:shape style="position:absolute;margin-left:89.708603pt;margin-top:694.682739pt;width:435.95pt;height:70.3pt;mso-position-horizontal-relative:page;mso-position-vertical-relative:page;z-index:-202864" type="#_x0000_t202" filled="false" stroked="false">
            <v:textbox inset="0,0,0,0">
              <w:txbxContent>
                <w:p>
                  <w:pPr>
                    <w:spacing w:line="224" w:lineRule="exact" w:before="0"/>
                    <w:ind w:left="20" w:right="0" w:firstLine="0"/>
                    <w:jc w:val="left"/>
                    <w:rPr>
                      <w:i/>
                      <w:sz w:val="20"/>
                    </w:rPr>
                  </w:pPr>
                  <w:r>
                    <w:rPr>
                      <w:i/>
                      <w:color w:val="6D6E71"/>
                      <w:sz w:val="20"/>
                    </w:rPr>
                    <w:t>Maintaining a consistent regulatory approach</w:t>
                  </w:r>
                </w:p>
                <w:p>
                  <w:pPr>
                    <w:pStyle w:val="BodyText"/>
                    <w:spacing w:line="280" w:lineRule="auto" w:before="125"/>
                    <w:rPr>
                      <w:sz w:val="11"/>
                    </w:rPr>
                  </w:pPr>
                  <w:r>
                    <w:rPr>
                      <w:color w:val="58595B"/>
                    </w:rPr>
                    <w:t>Stakeholders with a long history of working with the </w:t>
                  </w:r>
                  <w:r>
                    <w:rPr>
                      <w:color w:val="58595B"/>
                      <w:spacing w:val="-4"/>
                    </w:rPr>
                    <w:t>EPA </w:t>
                  </w:r>
                  <w:r>
                    <w:rPr>
                      <w:color w:val="58595B"/>
                    </w:rPr>
                    <w:t>commented on the changes in the </w:t>
                  </w:r>
                  <w:r>
                    <w:rPr>
                      <w:color w:val="58595B"/>
                      <w:spacing w:val="-7"/>
                    </w:rPr>
                    <w:t>EPA’s </w:t>
                  </w:r>
                  <w:r>
                    <w:rPr>
                      <w:color w:val="58595B"/>
                      <w:spacing w:val="-3"/>
                    </w:rPr>
                    <w:t>regulatory approach </w:t>
                  </w:r>
                  <w:r>
                    <w:rPr>
                      <w:color w:val="58595B"/>
                      <w:spacing w:val="-4"/>
                    </w:rPr>
                    <w:t>over </w:t>
                  </w:r>
                  <w:r>
                    <w:rPr>
                      <w:color w:val="58595B"/>
                    </w:rPr>
                    <w:t>the </w:t>
                  </w:r>
                  <w:r>
                    <w:rPr>
                      <w:color w:val="58595B"/>
                      <w:spacing w:val="-3"/>
                    </w:rPr>
                    <w:t>years. </w:t>
                  </w:r>
                  <w:r>
                    <w:rPr>
                      <w:color w:val="58595B"/>
                    </w:rPr>
                    <w:t>Most </w:t>
                  </w:r>
                  <w:r>
                    <w:rPr>
                      <w:color w:val="58595B"/>
                      <w:spacing w:val="-4"/>
                    </w:rPr>
                    <w:t>recently, </w:t>
                  </w:r>
                  <w:r>
                    <w:rPr>
                      <w:color w:val="58595B"/>
                    </w:rPr>
                    <w:t>the </w:t>
                  </w:r>
                  <w:r>
                    <w:rPr>
                      <w:color w:val="58595B"/>
                      <w:spacing w:val="-6"/>
                    </w:rPr>
                    <w:t>EPA </w:t>
                  </w:r>
                  <w:r>
                    <w:rPr>
                      <w:color w:val="58595B"/>
                    </w:rPr>
                    <w:t>shifted from a more </w:t>
                  </w:r>
                  <w:r>
                    <w:rPr>
                      <w:color w:val="58595B"/>
                      <w:spacing w:val="-3"/>
                    </w:rPr>
                    <w:t>cooperative, client- based </w:t>
                  </w:r>
                  <w:r>
                    <w:rPr>
                      <w:color w:val="58595B"/>
                      <w:spacing w:val="-4"/>
                    </w:rPr>
                    <w:t>approach </w:t>
                  </w:r>
                  <w:r>
                    <w:rPr>
                      <w:color w:val="58595B"/>
                      <w:spacing w:val="-3"/>
                    </w:rPr>
                    <w:t>with duty holders to </w:t>
                  </w:r>
                  <w:r>
                    <w:rPr>
                      <w:color w:val="58595B"/>
                    </w:rPr>
                    <w:t>a </w:t>
                  </w:r>
                  <w:r>
                    <w:rPr>
                      <w:color w:val="58595B"/>
                      <w:spacing w:val="-4"/>
                    </w:rPr>
                    <w:t>stronger </w:t>
                  </w:r>
                  <w:r>
                    <w:rPr>
                      <w:color w:val="58595B"/>
                      <w:spacing w:val="-3"/>
                    </w:rPr>
                    <w:t>compliance and </w:t>
                  </w:r>
                  <w:r>
                    <w:rPr>
                      <w:color w:val="58595B"/>
                      <w:spacing w:val="-4"/>
                    </w:rPr>
                    <w:t>enforcement approach, following </w:t>
                  </w:r>
                  <w:r>
                    <w:rPr>
                      <w:color w:val="58595B"/>
                      <w:spacing w:val="-3"/>
                    </w:rPr>
                    <w:t>the </w:t>
                  </w:r>
                  <w:r>
                    <w:rPr>
                      <w:color w:val="58595B"/>
                      <w:spacing w:val="-4"/>
                    </w:rPr>
                    <w:t>Compliance </w:t>
                  </w:r>
                  <w:r>
                    <w:rPr>
                      <w:color w:val="58595B"/>
                    </w:rPr>
                    <w:t>and Enforcement Review in </w:t>
                  </w:r>
                  <w:r>
                    <w:rPr>
                      <w:color w:val="58595B"/>
                      <w:spacing w:val="-5"/>
                    </w:rPr>
                    <w:t>2011</w:t>
                  </w:r>
                  <w:r>
                    <w:rPr>
                      <w:color w:val="58595B"/>
                      <w:spacing w:val="-5"/>
                      <w:position w:val="7"/>
                      <w:sz w:val="11"/>
                    </w:rPr>
                    <w:t>63  </w:t>
                  </w:r>
                  <w:r>
                    <w:rPr>
                      <w:color w:val="58595B"/>
                    </w:rPr>
                    <w:t>and other reviews in response to major incidents.</w:t>
                  </w:r>
                  <w:r>
                    <w:rPr>
                      <w:color w:val="58595B"/>
                      <w:position w:val="7"/>
                      <w:sz w:val="11"/>
                    </w:rPr>
                    <w:t>64</w:t>
                  </w:r>
                </w:p>
              </w:txbxContent>
            </v:textbox>
            <w10:wrap type="none"/>
          </v:shape>
        </w:pict>
      </w:r>
      <w:r>
        <w:rPr/>
        <w:pict>
          <v:shape style="position:absolute;margin-left:534.996094pt;margin-top:44.090015pt;width:60.3pt;height:5.25pt;mso-position-horizontal-relative:page;mso-position-vertical-relative:page;z-index:-202840"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2816"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02792" from=".0pt,45.840015pt" to="60.2791pt,45.840015pt" stroked="true" strokeweight="7pt" strokecolor="#0095a7">
            <w10:wrap type="none"/>
          </v:line>
        </w:pict>
      </w:r>
      <w:r>
        <w:rPr/>
        <w:pict>
          <v:shape style="position:absolute;margin-left:69.866096pt;margin-top:40.902756pt;width:10.6pt;height:9.5pt;mso-position-horizontal-relative:page;mso-position-vertical-relative:page;z-index:-202768" type="#_x0000_t202" filled="false" stroked="false">
            <v:textbox inset="0,0,0,0">
              <w:txbxContent>
                <w:p>
                  <w:pPr>
                    <w:spacing w:before="1"/>
                    <w:ind w:left="20" w:right="0" w:firstLine="0"/>
                    <w:jc w:val="left"/>
                    <w:rPr>
                      <w:sz w:val="15"/>
                    </w:rPr>
                  </w:pPr>
                  <w:r>
                    <w:rPr>
                      <w:color w:val="58595B"/>
                      <w:sz w:val="15"/>
                    </w:rPr>
                    <w:t>92</w:t>
                  </w:r>
                </w:p>
              </w:txbxContent>
            </v:textbox>
            <w10:wrap type="none"/>
          </v:shape>
        </w:pict>
      </w:r>
      <w:r>
        <w:rPr/>
        <w:pict>
          <v:shape style="position:absolute;margin-left:95.377899pt;margin-top:40.902756pt;width:147.75pt;height:9.5pt;mso-position-horizontal-relative:page;mso-position-vertical-relative:page;z-index:-202744"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4.8pt;height:25.5pt;mso-position-horizontal-relative:page;mso-position-vertical-relative:page;z-index:-202720" type="#_x0000_t202" filled="false" stroked="false">
            <v:textbox inset="0,0,0,0">
              <w:txbxContent>
                <w:p>
                  <w:pPr>
                    <w:pStyle w:val="BodyText"/>
                    <w:spacing w:line="280" w:lineRule="auto"/>
                    <w:ind w:right="6"/>
                  </w:pPr>
                  <w:r>
                    <w:rPr>
                      <w:color w:val="58595B"/>
                    </w:rPr>
                    <w:t>Our aim is to establish a more enduring model for the EPA’s functions that can be given legislated form, creating stability and flexibility for the EPA.</w:t>
                  </w:r>
                </w:p>
              </w:txbxContent>
            </v:textbox>
            <w10:wrap type="none"/>
          </v:shape>
        </w:pict>
      </w:r>
      <w:r>
        <w:rPr/>
        <w:pict>
          <v:shape style="position:absolute;margin-left:69.866096pt;margin-top:144.233963pt;width:375.2pt;height:43.25pt;mso-position-horizontal-relative:page;mso-position-vertical-relative:page;z-index:-202696" type="#_x0000_t202" filled="false" stroked="false">
            <v:textbox inset="0,0,0,0">
              <w:txbxContent>
                <w:p>
                  <w:pPr>
                    <w:spacing w:line="224" w:lineRule="exact" w:before="0"/>
                    <w:ind w:left="20" w:right="15" w:firstLine="0"/>
                    <w:jc w:val="left"/>
                    <w:rPr>
                      <w:i/>
                      <w:sz w:val="20"/>
                    </w:rPr>
                  </w:pPr>
                  <w:r>
                    <w:rPr>
                      <w:i/>
                      <w:color w:val="6D6E71"/>
                      <w:sz w:val="20"/>
                    </w:rPr>
                    <w:t>Functions required for a more proactive and preventative role</w:t>
                  </w:r>
                </w:p>
                <w:p>
                  <w:pPr>
                    <w:pStyle w:val="BodyText"/>
                    <w:spacing w:line="280" w:lineRule="auto" w:before="125"/>
                    <w:ind w:right="15"/>
                  </w:pPr>
                  <w:r>
                    <w:rPr>
                      <w:color w:val="58595B"/>
                    </w:rPr>
                    <w:t>As already discussed, the community expects the EPA of the future to have a strong preventative focus:</w:t>
                  </w:r>
                </w:p>
              </w:txbxContent>
            </v:textbox>
            <w10:wrap type="none"/>
          </v:shape>
        </w:pict>
      </w:r>
      <w:r>
        <w:rPr/>
        <w:pict>
          <v:shape style="position:absolute;margin-left:98.216103pt;margin-top:197.483963pt;width:381.8pt;height:25.5pt;mso-position-horizontal-relative:page;mso-position-vertical-relative:page;z-index:-202672" type="#_x0000_t202" filled="false" stroked="false">
            <v:textbox inset="0,0,0,0">
              <w:txbxContent>
                <w:p>
                  <w:pPr>
                    <w:spacing w:line="280" w:lineRule="auto" w:before="0"/>
                    <w:ind w:left="20" w:right="0" w:firstLine="0"/>
                    <w:jc w:val="left"/>
                    <w:rPr>
                      <w:sz w:val="20"/>
                    </w:rPr>
                  </w:pPr>
                  <w:r>
                    <w:rPr>
                      <w:i/>
                      <w:color w:val="231F20"/>
                      <w:sz w:val="20"/>
                    </w:rPr>
                    <w:t>The </w:t>
                  </w:r>
                  <w:r>
                    <w:rPr>
                      <w:i/>
                      <w:color w:val="231F20"/>
                      <w:spacing w:val="-3"/>
                      <w:sz w:val="20"/>
                    </w:rPr>
                    <w:t>EPA </w:t>
                  </w:r>
                  <w:r>
                    <w:rPr>
                      <w:i/>
                      <w:color w:val="231F20"/>
                      <w:sz w:val="20"/>
                    </w:rPr>
                    <w:t>… must go </w:t>
                  </w:r>
                  <w:r>
                    <w:rPr>
                      <w:i/>
                      <w:color w:val="231F20"/>
                      <w:spacing w:val="-3"/>
                      <w:sz w:val="20"/>
                    </w:rPr>
                    <w:t>beyond </w:t>
                  </w:r>
                  <w:r>
                    <w:rPr>
                      <w:i/>
                      <w:color w:val="231F20"/>
                      <w:sz w:val="20"/>
                    </w:rPr>
                    <w:t>its core regulatory function to guide </w:t>
                  </w:r>
                  <w:r>
                    <w:rPr>
                      <w:i/>
                      <w:color w:val="231F20"/>
                      <w:spacing w:val="-3"/>
                      <w:sz w:val="20"/>
                    </w:rPr>
                    <w:t>business towards measures</w:t>
                  </w:r>
                  <w:r>
                    <w:rPr>
                      <w:i/>
                      <w:color w:val="231F20"/>
                      <w:spacing w:val="-13"/>
                      <w:sz w:val="20"/>
                    </w:rPr>
                    <w:t> </w:t>
                  </w:r>
                  <w:r>
                    <w:rPr>
                      <w:i/>
                      <w:color w:val="231F20"/>
                      <w:sz w:val="20"/>
                    </w:rPr>
                    <w:t>targeted</w:t>
                  </w:r>
                  <w:r>
                    <w:rPr>
                      <w:i/>
                      <w:color w:val="231F20"/>
                      <w:spacing w:val="-13"/>
                      <w:sz w:val="20"/>
                    </w:rPr>
                    <w:t> </w:t>
                  </w:r>
                  <w:r>
                    <w:rPr>
                      <w:i/>
                      <w:color w:val="231F20"/>
                      <w:sz w:val="20"/>
                    </w:rPr>
                    <w:t>at</w:t>
                  </w:r>
                  <w:r>
                    <w:rPr>
                      <w:i/>
                      <w:color w:val="231F20"/>
                      <w:spacing w:val="-13"/>
                      <w:sz w:val="20"/>
                    </w:rPr>
                    <w:t> </w:t>
                  </w:r>
                  <w:r>
                    <w:rPr>
                      <w:i/>
                      <w:color w:val="231F20"/>
                      <w:sz w:val="20"/>
                    </w:rPr>
                    <w:t>liability</w:t>
                  </w:r>
                  <w:r>
                    <w:rPr>
                      <w:i/>
                      <w:color w:val="231F20"/>
                      <w:spacing w:val="-13"/>
                      <w:sz w:val="20"/>
                    </w:rPr>
                    <w:t> </w:t>
                  </w:r>
                  <w:r>
                    <w:rPr>
                      <w:i/>
                      <w:color w:val="231F20"/>
                      <w:spacing w:val="-3"/>
                      <w:sz w:val="20"/>
                    </w:rPr>
                    <w:t>prevention</w:t>
                  </w:r>
                  <w:r>
                    <w:rPr>
                      <w:i/>
                      <w:color w:val="231F20"/>
                      <w:spacing w:val="-13"/>
                      <w:sz w:val="20"/>
                    </w:rPr>
                    <w:t> </w:t>
                  </w:r>
                  <w:r>
                    <w:rPr>
                      <w:i/>
                      <w:color w:val="231F20"/>
                      <w:sz w:val="20"/>
                    </w:rPr>
                    <w:t>and</w:t>
                  </w:r>
                  <w:r>
                    <w:rPr>
                      <w:i/>
                      <w:color w:val="231F20"/>
                      <w:spacing w:val="-13"/>
                      <w:sz w:val="20"/>
                    </w:rPr>
                    <w:t> </w:t>
                  </w:r>
                  <w:r>
                    <w:rPr>
                      <w:i/>
                      <w:color w:val="231F20"/>
                      <w:sz w:val="20"/>
                    </w:rPr>
                    <w:t>precaution.</w:t>
                  </w:r>
                  <w:r>
                    <w:rPr>
                      <w:i/>
                      <w:color w:val="231F20"/>
                      <w:spacing w:val="-13"/>
                      <w:sz w:val="20"/>
                    </w:rPr>
                    <w:t> </w:t>
                  </w:r>
                  <w:r>
                    <w:rPr>
                      <w:color w:val="231F20"/>
                      <w:sz w:val="20"/>
                    </w:rPr>
                    <w:t>(BP</w:t>
                  </w:r>
                  <w:r>
                    <w:rPr>
                      <w:color w:val="231F20"/>
                      <w:spacing w:val="-13"/>
                      <w:sz w:val="20"/>
                    </w:rPr>
                    <w:t> </w:t>
                  </w:r>
                  <w:r>
                    <w:rPr>
                      <w:color w:val="231F20"/>
                      <w:sz w:val="20"/>
                    </w:rPr>
                    <w:t>Australia</w:t>
                  </w:r>
                  <w:r>
                    <w:rPr>
                      <w:color w:val="231F20"/>
                      <w:spacing w:val="-13"/>
                      <w:sz w:val="20"/>
                    </w:rPr>
                    <w:t> </w:t>
                  </w:r>
                  <w:r>
                    <w:rPr>
                      <w:color w:val="231F20"/>
                      <w:sz w:val="20"/>
                    </w:rPr>
                    <w:t>submission,</w:t>
                  </w:r>
                  <w:r>
                    <w:rPr>
                      <w:color w:val="231F20"/>
                      <w:spacing w:val="-13"/>
                      <w:sz w:val="20"/>
                    </w:rPr>
                    <w:t> </w:t>
                  </w:r>
                  <w:r>
                    <w:rPr>
                      <w:color w:val="231F20"/>
                      <w:spacing w:val="-3"/>
                      <w:sz w:val="20"/>
                    </w:rPr>
                    <w:t>p.</w:t>
                  </w:r>
                  <w:r>
                    <w:rPr>
                      <w:color w:val="231F20"/>
                      <w:spacing w:val="-13"/>
                      <w:sz w:val="20"/>
                    </w:rPr>
                    <w:t> </w:t>
                  </w:r>
                  <w:r>
                    <w:rPr>
                      <w:color w:val="231F20"/>
                      <w:spacing w:val="-5"/>
                      <w:sz w:val="20"/>
                    </w:rPr>
                    <w:t>3)</w:t>
                  </w:r>
                </w:p>
              </w:txbxContent>
            </v:textbox>
            <w10:wrap type="none"/>
          </v:shape>
        </w:pict>
      </w:r>
      <w:r>
        <w:rPr/>
        <w:pict>
          <v:shape style="position:absolute;margin-left:69.866096pt;margin-top:232.983963pt;width:433pt;height:52.5pt;mso-position-horizontal-relative:page;mso-position-vertical-relative:page;z-index:-202648" type="#_x0000_t202" filled="false" stroked="false">
            <v:textbox inset="0,0,0,0">
              <w:txbxContent>
                <w:p>
                  <w:pPr>
                    <w:pStyle w:val="BodyText"/>
                    <w:spacing w:line="280" w:lineRule="auto"/>
                    <w:rPr>
                      <w:sz w:val="11"/>
                    </w:rPr>
                  </w:pPr>
                  <w:r>
                    <w:rPr>
                      <w:color w:val="58595B"/>
                    </w:rPr>
                    <w:t>This is consistent with the view of regulatory experts, who consider the EPA must be more than just a ‘policeman’ if it is to manage harms effectively. In particular, Professor Malcolm Sparrow argued regulators must move from compliance to also give attention to risks. This ‘anticipation of issues’ is critical for reducing harm and should be a regulatory obligation reflected in legislation.</w:t>
                  </w:r>
                  <w:r>
                    <w:rPr>
                      <w:color w:val="58595B"/>
                      <w:position w:val="7"/>
                      <w:sz w:val="11"/>
                    </w:rPr>
                    <w:t>65</w:t>
                  </w:r>
                </w:p>
              </w:txbxContent>
            </v:textbox>
            <w10:wrap type="none"/>
          </v:shape>
        </w:pict>
      </w:r>
      <w:r>
        <w:rPr/>
        <w:pict>
          <v:shape style="position:absolute;margin-left:98.212601pt;margin-top:295.496277pt;width:353.6pt;height:25.5pt;mso-position-horizontal-relative:page;mso-position-vertical-relative:page;z-index:-202624" type="#_x0000_t202" filled="false" stroked="false">
            <v:textbox inset="0,0,0,0">
              <w:txbxContent>
                <w:p>
                  <w:pPr>
                    <w:spacing w:line="280" w:lineRule="auto" w:before="0"/>
                    <w:ind w:left="20" w:right="0" w:firstLine="0"/>
                    <w:jc w:val="left"/>
                    <w:rPr>
                      <w:sz w:val="11"/>
                    </w:rPr>
                  </w:pPr>
                  <w:r>
                    <w:rPr>
                      <w:i/>
                      <w:color w:val="231F20"/>
                      <w:sz w:val="20"/>
                    </w:rPr>
                    <w:t>A regulator that focuses solely on chasing baddies is likely to rely largely on the compliance toolkit and will inevitably miss newly emerging risks.</w:t>
                  </w:r>
                  <w:r>
                    <w:rPr>
                      <w:color w:val="231F20"/>
                      <w:position w:val="7"/>
                      <w:sz w:val="11"/>
                    </w:rPr>
                    <w:t>66</w:t>
                  </w:r>
                </w:p>
              </w:txbxContent>
            </v:textbox>
            <w10:wrap type="none"/>
          </v:shape>
        </w:pict>
      </w:r>
      <w:r>
        <w:rPr/>
        <w:pict>
          <v:shape style="position:absolute;margin-left:69.866096pt;margin-top:331.000153pt;width:254.75pt;height:12pt;mso-position-horizontal-relative:page;mso-position-vertical-relative:page;z-index:-202600" type="#_x0000_t202" filled="false" stroked="false">
            <v:textbox inset="0,0,0,0">
              <w:txbxContent>
                <w:p>
                  <w:pPr>
                    <w:pStyle w:val="BodyText"/>
                    <w:spacing w:line="224" w:lineRule="exact"/>
                    <w:rPr>
                      <w:sz w:val="11"/>
                    </w:rPr>
                  </w:pPr>
                  <w:r>
                    <w:rPr>
                      <w:color w:val="58595B"/>
                    </w:rPr>
                    <w:t>A range of inquiry participants also supported this view.</w:t>
                  </w:r>
                  <w:r>
                    <w:rPr>
                      <w:color w:val="58595B"/>
                      <w:position w:val="7"/>
                      <w:sz w:val="11"/>
                    </w:rPr>
                    <w:t>67</w:t>
                  </w:r>
                </w:p>
              </w:txbxContent>
            </v:textbox>
            <w10:wrap type="none"/>
          </v:shape>
        </w:pict>
      </w:r>
      <w:r>
        <w:rPr/>
        <w:pict>
          <v:shape style="position:absolute;margin-left:98.212601pt;margin-top:353.004181pt;width:373.35pt;height:25.5pt;mso-position-horizontal-relative:page;mso-position-vertical-relative:page;z-index:-202576" type="#_x0000_t202" filled="false" stroked="false">
            <v:textbox inset="0,0,0,0">
              <w:txbxContent>
                <w:p>
                  <w:pPr>
                    <w:spacing w:line="280" w:lineRule="auto" w:before="0"/>
                    <w:ind w:left="20" w:right="0" w:firstLine="0"/>
                    <w:jc w:val="left"/>
                    <w:rPr>
                      <w:i/>
                      <w:sz w:val="20"/>
                    </w:rPr>
                  </w:pPr>
                  <w:r>
                    <w:rPr>
                      <w:i/>
                      <w:color w:val="231F20"/>
                      <w:sz w:val="20"/>
                    </w:rPr>
                    <w:t>To avoid future environmental problems, the EPA needs to be more proactive rather reactive. The following are necessary for proactive planning:</w:t>
                  </w:r>
                </w:p>
              </w:txbxContent>
            </v:textbox>
            <w10:wrap type="none"/>
          </v:shape>
        </w:pict>
      </w:r>
      <w:r>
        <w:rPr/>
        <w:pict>
          <v:shape style="position:absolute;margin-left:98.212601pt;margin-top:384.254181pt;width:10.35pt;height:29.75pt;mso-position-horizontal-relative:page;mso-position-vertical-relative:page;z-index:-202552" type="#_x0000_t202" filled="false" stroked="false">
            <v:textbox inset="0,0,0,0">
              <w:txbxContent>
                <w:p>
                  <w:pPr>
                    <w:spacing w:line="224" w:lineRule="exact" w:before="0"/>
                    <w:ind w:left="20" w:right="0" w:firstLine="0"/>
                    <w:jc w:val="left"/>
                    <w:rPr>
                      <w:i/>
                      <w:sz w:val="20"/>
                    </w:rPr>
                  </w:pPr>
                  <w:r>
                    <w:rPr>
                      <w:i/>
                      <w:color w:val="231F20"/>
                      <w:sz w:val="20"/>
                    </w:rPr>
                    <w:t>1.</w:t>
                  </w:r>
                </w:p>
                <w:p>
                  <w:pPr>
                    <w:spacing w:before="125"/>
                    <w:ind w:left="20" w:right="0" w:firstLine="0"/>
                    <w:jc w:val="left"/>
                    <w:rPr>
                      <w:i/>
                      <w:sz w:val="20"/>
                    </w:rPr>
                  </w:pPr>
                  <w:r>
                    <w:rPr>
                      <w:i/>
                      <w:color w:val="231F20"/>
                      <w:sz w:val="20"/>
                    </w:rPr>
                    <w:t>2.</w:t>
                  </w:r>
                </w:p>
              </w:txbxContent>
            </v:textbox>
            <w10:wrap type="none"/>
          </v:shape>
        </w:pict>
      </w:r>
      <w:r>
        <w:rPr/>
        <w:pict>
          <v:shape style="position:absolute;margin-left:115.222603pt;margin-top:384.254181pt;width:349.3pt;height:123.5pt;mso-position-horizontal-relative:page;mso-position-vertical-relative:page;z-index:-202528" type="#_x0000_t202" filled="false" stroked="false">
            <v:textbox inset="0,0,0,0">
              <w:txbxContent>
                <w:p>
                  <w:pPr>
                    <w:spacing w:line="224" w:lineRule="exact" w:before="0"/>
                    <w:ind w:left="20" w:right="0" w:firstLine="0"/>
                    <w:jc w:val="left"/>
                    <w:rPr>
                      <w:i/>
                      <w:sz w:val="20"/>
                    </w:rPr>
                  </w:pPr>
                  <w:r>
                    <w:rPr>
                      <w:i/>
                      <w:color w:val="231F20"/>
                      <w:sz w:val="20"/>
                    </w:rPr>
                    <w:t>adequate resourcing</w:t>
                  </w:r>
                </w:p>
                <w:p>
                  <w:pPr>
                    <w:spacing w:line="280" w:lineRule="auto" w:before="125"/>
                    <w:ind w:left="20" w:right="0" w:firstLine="0"/>
                    <w:jc w:val="left"/>
                    <w:rPr>
                      <w:i/>
                      <w:sz w:val="20"/>
                    </w:rPr>
                  </w:pPr>
                  <w:r>
                    <w:rPr>
                      <w:i/>
                      <w:color w:val="231F20"/>
                      <w:sz w:val="20"/>
                    </w:rPr>
                    <w:t>adequate environmental monitoring to detect chemicals of concern and to measure temporal trends in pollution</w:t>
                  </w:r>
                </w:p>
                <w:p>
                  <w:pPr>
                    <w:spacing w:before="87"/>
                    <w:ind w:left="20" w:right="0" w:firstLine="0"/>
                    <w:jc w:val="left"/>
                    <w:rPr>
                      <w:i/>
                      <w:sz w:val="20"/>
                    </w:rPr>
                  </w:pPr>
                  <w:r>
                    <w:rPr>
                      <w:i/>
                      <w:color w:val="231F20"/>
                      <w:sz w:val="20"/>
                    </w:rPr>
                    <w:t>refinement of best practice guidelines and environmental policies</w:t>
                  </w:r>
                </w:p>
                <w:p>
                  <w:pPr>
                    <w:spacing w:line="280" w:lineRule="auto" w:before="125"/>
                    <w:ind w:left="20" w:right="0" w:firstLine="0"/>
                    <w:jc w:val="left"/>
                    <w:rPr>
                      <w:i/>
                      <w:sz w:val="20"/>
                    </w:rPr>
                  </w:pPr>
                  <w:r>
                    <w:rPr>
                      <w:i/>
                      <w:color w:val="231F20"/>
                      <w:sz w:val="20"/>
                    </w:rPr>
                    <w:t>development of strategies to address future problems such as climate change, population growth and more intensive agriculture and forestry</w:t>
                  </w:r>
                </w:p>
                <w:p>
                  <w:pPr>
                    <w:spacing w:line="280" w:lineRule="auto" w:before="87"/>
                    <w:ind w:left="20" w:right="1353" w:firstLine="0"/>
                    <w:jc w:val="left"/>
                    <w:rPr>
                      <w:i/>
                      <w:sz w:val="20"/>
                    </w:rPr>
                  </w:pPr>
                  <w:r>
                    <w:rPr>
                      <w:i/>
                      <w:color w:val="231F20"/>
                      <w:sz w:val="20"/>
                    </w:rPr>
                    <w:t>engagement with key stakeholders that can help address these emerging problems.</w:t>
                  </w:r>
                </w:p>
              </w:txbxContent>
            </v:textbox>
            <w10:wrap type="none"/>
          </v:shape>
        </w:pict>
      </w:r>
      <w:r>
        <w:rPr/>
        <w:pict>
          <v:shape style="position:absolute;margin-left:98.212601pt;margin-top:433.254181pt;width:10.5pt;height:29.75pt;mso-position-horizontal-relative:page;mso-position-vertical-relative:page;z-index:-202504" type="#_x0000_t202" filled="false" stroked="false">
            <v:textbox inset="0,0,0,0">
              <w:txbxContent>
                <w:p>
                  <w:pPr>
                    <w:spacing w:line="224" w:lineRule="exact" w:before="0"/>
                    <w:ind w:left="20" w:right="0" w:firstLine="0"/>
                    <w:jc w:val="left"/>
                    <w:rPr>
                      <w:i/>
                      <w:sz w:val="20"/>
                    </w:rPr>
                  </w:pPr>
                  <w:r>
                    <w:rPr>
                      <w:i/>
                      <w:color w:val="231F20"/>
                      <w:sz w:val="20"/>
                    </w:rPr>
                    <w:t>3.</w:t>
                  </w:r>
                </w:p>
                <w:p>
                  <w:pPr>
                    <w:spacing w:before="125"/>
                    <w:ind w:left="20" w:right="0" w:firstLine="0"/>
                    <w:jc w:val="left"/>
                    <w:rPr>
                      <w:i/>
                      <w:sz w:val="20"/>
                    </w:rPr>
                  </w:pPr>
                  <w:r>
                    <w:rPr>
                      <w:i/>
                      <w:color w:val="231F20"/>
                      <w:sz w:val="20"/>
                    </w:rPr>
                    <w:t>4.</w:t>
                  </w:r>
                </w:p>
              </w:txbxContent>
            </v:textbox>
            <w10:wrap type="none"/>
          </v:shape>
        </w:pict>
      </w:r>
      <w:r>
        <w:rPr/>
        <w:pict>
          <v:shape style="position:absolute;margin-left:98.212601pt;margin-top:482.254181pt;width:10.55pt;height:12pt;mso-position-horizontal-relative:page;mso-position-vertical-relative:page;z-index:-202480" type="#_x0000_t202" filled="false" stroked="false">
            <v:textbox inset="0,0,0,0">
              <w:txbxContent>
                <w:p>
                  <w:pPr>
                    <w:spacing w:line="224" w:lineRule="exact" w:before="0"/>
                    <w:ind w:left="20" w:right="0" w:firstLine="0"/>
                    <w:jc w:val="left"/>
                    <w:rPr>
                      <w:i/>
                      <w:sz w:val="20"/>
                    </w:rPr>
                  </w:pPr>
                  <w:r>
                    <w:rPr>
                      <w:i/>
                      <w:color w:val="231F20"/>
                      <w:sz w:val="20"/>
                    </w:rPr>
                    <w:t>5.</w:t>
                  </w:r>
                </w:p>
              </w:txbxContent>
            </v:textbox>
            <w10:wrap type="none"/>
          </v:shape>
        </w:pict>
      </w:r>
      <w:r>
        <w:rPr/>
        <w:pict>
          <v:shape style="position:absolute;margin-left:98.212601pt;margin-top:513.50415pt;width:345.85pt;height:12pt;mso-position-horizontal-relative:page;mso-position-vertical-relative:page;z-index:-202456" type="#_x0000_t202" filled="false" stroked="false">
            <v:textbox inset="0,0,0,0">
              <w:txbxContent>
                <w:p>
                  <w:pPr>
                    <w:pStyle w:val="BodyText"/>
                    <w:spacing w:line="224" w:lineRule="exact"/>
                  </w:pPr>
                  <w:r>
                    <w:rPr>
                      <w:color w:val="231F20"/>
                    </w:rPr>
                    <w:t>(Centre for Aquatic Pollution Identification and Management submission, p. 3)</w:t>
                  </w:r>
                </w:p>
              </w:txbxContent>
            </v:textbox>
            <w10:wrap type="none"/>
          </v:shape>
        </w:pict>
      </w:r>
      <w:r>
        <w:rPr/>
        <w:pict>
          <v:shape style="position:absolute;margin-left:69.862602pt;margin-top:539.764160pt;width:424.6pt;height:58.2pt;mso-position-horizontal-relative:page;mso-position-vertical-relative:page;z-index:-202432" type="#_x0000_t202" filled="false" stroked="false">
            <v:textbox inset="0,0,0,0">
              <w:txbxContent>
                <w:p>
                  <w:pPr>
                    <w:pStyle w:val="BodyText"/>
                    <w:spacing w:line="224" w:lineRule="exact"/>
                  </w:pPr>
                  <w:r>
                    <w:rPr>
                      <w:color w:val="0095A7"/>
                    </w:rPr>
                    <w:t>5.5.1  The case for change to the current functions</w:t>
                  </w:r>
                </w:p>
                <w:p>
                  <w:pPr>
                    <w:pStyle w:val="BodyText"/>
                    <w:spacing w:line="280" w:lineRule="auto" w:before="153"/>
                    <w:ind w:hanging="1"/>
                  </w:pPr>
                  <w:r>
                    <w:rPr>
                      <w:color w:val="58595B"/>
                    </w:rPr>
                    <w:t>There are around 27 separate powers, duties and functions listed in section 13 of the EP Act.</w:t>
                  </w:r>
                  <w:r>
                    <w:rPr>
                      <w:color w:val="58595B"/>
                      <w:position w:val="7"/>
                      <w:sz w:val="11"/>
                    </w:rPr>
                    <w:t>68 </w:t>
                  </w:r>
                  <w:r>
                    <w:rPr>
                      <w:color w:val="58595B"/>
                    </w:rPr>
                    <w:t>We recommend a simplified set of functions for the EPA of the future, consistent with the needs of a mature and modern regulator.</w:t>
                  </w:r>
                </w:p>
              </w:txbxContent>
            </v:textbox>
            <w10:wrap type="none"/>
          </v:shape>
        </w:pict>
      </w:r>
      <w:r>
        <w:rPr/>
        <w:pict>
          <v:shape style="position:absolute;margin-left:69.870697pt;margin-top:607.941162pt;width:273.1pt;height:12pt;mso-position-horizontal-relative:page;mso-position-vertical-relative:page;z-index:-202408" type="#_x0000_t202" filled="false" stroked="false">
            <v:textbox inset="0,0,0,0">
              <w:txbxContent>
                <w:p>
                  <w:pPr>
                    <w:pStyle w:val="BodyText"/>
                    <w:spacing w:line="224" w:lineRule="exact"/>
                  </w:pPr>
                  <w:r>
                    <w:rPr>
                      <w:color w:val="58595B"/>
                    </w:rPr>
                    <w:t>Specific problems and weaknesses in the current list include:</w:t>
                  </w:r>
                </w:p>
              </w:txbxContent>
            </v:textbox>
            <w10:wrap type="none"/>
          </v:shape>
        </w:pict>
      </w:r>
      <w:r>
        <w:rPr/>
        <w:pict>
          <v:shape style="position:absolute;margin-left:69.870697pt;margin-top:627.111145pt;width:5.5pt;height:12pt;mso-position-horizontal-relative:page;mso-position-vertical-relative:page;z-index:-202384"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78.367104pt;margin-top:627.111145pt;width:415.35pt;height:150.550pt;mso-position-horizontal-relative:page;mso-position-vertical-relative:page;z-index:-202360" type="#_x0000_t202" filled="false" stroked="false">
            <v:textbox inset="0,0,0,0">
              <w:txbxContent>
                <w:p>
                  <w:pPr>
                    <w:pStyle w:val="BodyText"/>
                    <w:spacing w:line="280" w:lineRule="auto"/>
                  </w:pPr>
                  <w:r>
                    <w:rPr>
                      <w:color w:val="58595B"/>
                    </w:rPr>
                    <w:t>Many of the provisions are long and not easily understood, largely as a result of multiple amendments over time. This means that there is little clarity for the EPA and transparency for others – both within government and the general community.</w:t>
                  </w:r>
                </w:p>
                <w:p>
                  <w:pPr>
                    <w:pStyle w:val="BodyText"/>
                    <w:spacing w:line="280" w:lineRule="auto" w:before="115"/>
                  </w:pPr>
                  <w:r>
                    <w:rPr>
                      <w:color w:val="58595B"/>
                    </w:rPr>
                    <w:t>Provisions include a mix of powers, duties and functions. This means some of these are what the EPA must do but others are optional. A simplified list of the generic functions the EPA is expected to undertake would provide a stronger basis for accountability.</w:t>
                  </w:r>
                </w:p>
                <w:p>
                  <w:pPr>
                    <w:pStyle w:val="BodyText"/>
                    <w:spacing w:line="280" w:lineRule="auto" w:before="115"/>
                    <w:rPr>
                      <w:sz w:val="11"/>
                    </w:rPr>
                  </w:pPr>
                  <w:r>
                    <w:rPr>
                      <w:color w:val="58595B"/>
                    </w:rPr>
                    <w:t>The list includes detailed references to specific activities or types of tools that may be deployed – these should be included as specific provisions in the EP Act.</w:t>
                  </w:r>
                  <w:r>
                    <w:rPr>
                      <w:color w:val="58595B"/>
                      <w:position w:val="7"/>
                      <w:sz w:val="11"/>
                    </w:rPr>
                    <w:t>69</w:t>
                  </w:r>
                </w:p>
                <w:p>
                  <w:pPr>
                    <w:pStyle w:val="BodyText"/>
                    <w:spacing w:line="280" w:lineRule="auto" w:before="115"/>
                    <w:ind w:right="51"/>
                    <w:rPr>
                      <w:sz w:val="11"/>
                    </w:rPr>
                  </w:pPr>
                  <w:r>
                    <w:rPr>
                      <w:color w:val="58595B"/>
                    </w:rPr>
                    <w:t>The current list confuses the EPA’s role relative to other agencies, such as being responsible for promoting ‘long range planning in environmental management’.</w:t>
                  </w:r>
                  <w:r>
                    <w:rPr>
                      <w:color w:val="58595B"/>
                      <w:position w:val="7"/>
                      <w:sz w:val="11"/>
                    </w:rPr>
                    <w:t>70</w:t>
                  </w:r>
                </w:p>
              </w:txbxContent>
            </v:textbox>
            <w10:wrap type="none"/>
          </v:shape>
        </w:pict>
      </w:r>
      <w:r>
        <w:rPr/>
        <w:pict>
          <v:shape style="position:absolute;margin-left:69.870697pt;margin-top:673.281189pt;width:5.5pt;height:12pt;mso-position-horizontal-relative:page;mso-position-vertical-relative:page;z-index:-20233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70697pt;margin-top:719.451172pt;width:5.5pt;height:12pt;mso-position-horizontal-relative:page;mso-position-vertical-relative:page;z-index:-20231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67104pt;margin-top:752.122253pt;width:5.5pt;height:12pt;mso-position-horizontal-relative:page;mso-position-vertical-relative:page;z-index:-20228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0pt;margin-top:44.090015pt;width:60.3pt;height:5.25pt;mso-position-horizontal-relative:page;mso-position-vertical-relative:page;z-index:-202264"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02240"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02216" from="534.996094pt,45.840015pt" to="595.276001pt,45.840015pt" stroked="true" strokeweight="7pt" strokecolor="#0095a7">
            <w10:wrap type="none"/>
          </v:line>
        </w:pict>
      </w:r>
      <w:r>
        <w:rPr/>
        <w:pict>
          <v:shape style="position:absolute;margin-left:240.989395pt;margin-top:40.902756pt;width:258.9pt;height:9.5pt;mso-position-horizontal-relative:page;mso-position-vertical-relative:page;z-index:-202192" type="#_x0000_t202" filled="false" stroked="false">
            <v:textbox inset="0,0,0,0">
              <w:txbxContent>
                <w:p>
                  <w:pPr>
                    <w:spacing w:before="1"/>
                    <w:ind w:left="20" w:right="0" w:firstLine="0"/>
                    <w:jc w:val="left"/>
                    <w:rPr>
                      <w:sz w:val="15"/>
                    </w:rPr>
                  </w:pPr>
                  <w:r>
                    <w:rPr>
                      <w:color w:val="58595B"/>
                      <w:sz w:val="15"/>
                    </w:rPr>
                    <w:t>CHAPTER 5    CLARIFYING THE EPA’S OBJECTIVES AND FUNCTIONS</w:t>
                  </w:r>
                </w:p>
              </w:txbxContent>
            </v:textbox>
            <w10:wrap type="none"/>
          </v:shape>
        </w:pict>
      </w:r>
      <w:r>
        <w:rPr/>
        <w:pict>
          <v:shape style="position:absolute;margin-left:514.941895pt;margin-top:40.902756pt;width:10.55pt;height:9.5pt;mso-position-horizontal-relative:page;mso-position-vertical-relative:page;z-index:-202168" type="#_x0000_t202" filled="false" stroked="false">
            <v:textbox inset="0,0,0,0">
              <w:txbxContent>
                <w:p>
                  <w:pPr>
                    <w:spacing w:before="1"/>
                    <w:ind w:left="20" w:right="0" w:firstLine="0"/>
                    <w:jc w:val="left"/>
                    <w:rPr>
                      <w:sz w:val="15"/>
                    </w:rPr>
                  </w:pPr>
                  <w:r>
                    <w:rPr>
                      <w:color w:val="58595B"/>
                      <w:sz w:val="15"/>
                    </w:rPr>
                    <w:t>93</w:t>
                  </w:r>
                </w:p>
              </w:txbxContent>
            </v:textbox>
            <w10:wrap type="none"/>
          </v:shape>
        </w:pict>
      </w:r>
      <w:r>
        <w:rPr/>
        <w:pict>
          <v:shape style="position:absolute;margin-left:89.708603pt;margin-top:105.893967pt;width:430.3pt;height:25.5pt;mso-position-horizontal-relative:page;mso-position-vertical-relative:page;z-index:-202144" type="#_x0000_t202" filled="false" stroked="false">
            <v:textbox inset="0,0,0,0">
              <w:txbxContent>
                <w:p>
                  <w:pPr>
                    <w:pStyle w:val="BodyText"/>
                    <w:spacing w:line="280" w:lineRule="auto"/>
                  </w:pPr>
                  <w:r>
                    <w:rPr>
                      <w:color w:val="58595B"/>
                    </w:rPr>
                    <w:t>The current list of ‘powers, duties and functions’ does not reflect more modern principles of good regulator governance, as identified by the OECD, that:</w:t>
                  </w:r>
                </w:p>
              </w:txbxContent>
            </v:textbox>
            <w10:wrap type="none"/>
          </v:shape>
        </w:pict>
      </w:r>
      <w:r>
        <w:rPr/>
        <w:pict>
          <v:shape style="position:absolute;margin-left:118.058601pt;margin-top:141.393967pt;width:360.35pt;height:39pt;mso-position-horizontal-relative:page;mso-position-vertical-relative:page;z-index:-202120" type="#_x0000_t202" filled="false" stroked="false">
            <v:textbox inset="0,0,0,0">
              <w:txbxContent>
                <w:p>
                  <w:pPr>
                    <w:spacing w:line="280" w:lineRule="auto" w:before="0"/>
                    <w:ind w:left="20" w:right="0" w:firstLine="0"/>
                    <w:jc w:val="left"/>
                    <w:rPr>
                      <w:i/>
                      <w:sz w:val="20"/>
                    </w:rPr>
                  </w:pPr>
                  <w:r>
                    <w:rPr>
                      <w:i/>
                      <w:color w:val="231F20"/>
                      <w:sz w:val="20"/>
                    </w:rPr>
                    <w:t>regulatory powers and other functions to be carried out to achieve the regulator’s objectives should be clearly specified in the establishing legislation and be appropriate and sufficient to achieving the objectives</w:t>
                  </w:r>
                </w:p>
              </w:txbxContent>
            </v:textbox>
            <w10:wrap type="none"/>
          </v:shape>
        </w:pict>
      </w:r>
      <w:r>
        <w:rPr/>
        <w:pict>
          <v:shape style="position:absolute;margin-left:89.708603pt;margin-top:190.393967pt;width:20pt;height:12pt;mso-position-horizontal-relative:page;mso-position-vertical-relative:page;z-index:-202096" type="#_x0000_t202" filled="false" stroked="false">
            <v:textbox inset="0,0,0,0">
              <w:txbxContent>
                <w:p>
                  <w:pPr>
                    <w:pStyle w:val="BodyText"/>
                    <w:spacing w:line="224" w:lineRule="exact"/>
                  </w:pPr>
                  <w:r>
                    <w:rPr>
                      <w:color w:val="58595B"/>
                    </w:rPr>
                    <w:t>And</w:t>
                  </w:r>
                </w:p>
              </w:txbxContent>
            </v:textbox>
            <w10:wrap type="none"/>
          </v:shape>
        </w:pict>
      </w:r>
      <w:r>
        <w:rPr/>
        <w:pict>
          <v:shape style="position:absolute;margin-left:118.058601pt;margin-top:212.393967pt;width:375.25pt;height:39pt;mso-position-horizontal-relative:page;mso-position-vertical-relative:page;z-index:-202072" type="#_x0000_t202" filled="false" stroked="false">
            <v:textbox inset="0,0,0,0">
              <w:txbxContent>
                <w:p>
                  <w:pPr>
                    <w:spacing w:line="280" w:lineRule="auto" w:before="0"/>
                    <w:ind w:left="20" w:right="0" w:firstLine="0"/>
                    <w:jc w:val="left"/>
                    <w:rPr>
                      <w:sz w:val="11"/>
                    </w:rPr>
                  </w:pPr>
                  <w:r>
                    <w:rPr>
                      <w:i/>
                      <w:color w:val="231F20"/>
                      <w:sz w:val="20"/>
                    </w:rPr>
                    <w:t>[t]o reduce overlap and regulatory burden, all regulators should be explicitly empowered and required to cooperate with other bodies (non-government and other levels of government) where this will assist in meeting their common objectives.</w:t>
                  </w:r>
                  <w:r>
                    <w:rPr>
                      <w:color w:val="231F20"/>
                      <w:position w:val="7"/>
                      <w:sz w:val="11"/>
                    </w:rPr>
                    <w:t>71</w:t>
                  </w:r>
                </w:p>
              </w:txbxContent>
            </v:textbox>
            <w10:wrap type="none"/>
          </v:shape>
        </w:pict>
      </w:r>
      <w:r>
        <w:rPr/>
        <w:pict>
          <v:shape style="position:absolute;margin-left:89.707397pt;margin-top:261.409668pt;width:434.15pt;height:66pt;mso-position-horizontal-relative:page;mso-position-vertical-relative:page;z-index:-202048" type="#_x0000_t202" filled="false" stroked="false">
            <v:textbox inset="0,0,0,0">
              <w:txbxContent>
                <w:p>
                  <w:pPr>
                    <w:pStyle w:val="BodyText"/>
                    <w:spacing w:line="280" w:lineRule="auto"/>
                    <w:ind w:right="17"/>
                    <w:rPr>
                      <w:sz w:val="11"/>
                    </w:rPr>
                  </w:pPr>
                  <w:r>
                    <w:rPr>
                      <w:color w:val="58595B"/>
                    </w:rPr>
                    <w:t>The legislation establishing the NSW EPA contains a short list of eight ‘general functions’ that provides a good example of a more contemporary approach.</w:t>
                  </w:r>
                  <w:r>
                    <w:rPr>
                      <w:color w:val="58595B"/>
                      <w:position w:val="7"/>
                      <w:sz w:val="11"/>
                    </w:rPr>
                    <w:t>72 </w:t>
                  </w:r>
                  <w:r>
                    <w:rPr>
                      <w:color w:val="58595B"/>
                    </w:rPr>
                    <w:t>The general functions are concise, understandable and transparent. They also send a clear and strong message of accountability and aspiration for environment protection. At the same time, the NSW EPA general functions give the regulator the flexibility it needs.</w:t>
                  </w:r>
                  <w:r>
                    <w:rPr>
                      <w:color w:val="58595B"/>
                      <w:position w:val="7"/>
                      <w:sz w:val="11"/>
                    </w:rPr>
                    <w:t>73</w:t>
                  </w:r>
                </w:p>
              </w:txbxContent>
            </v:textbox>
            <w10:wrap type="none"/>
          </v:shape>
        </w:pict>
      </w:r>
      <w:r>
        <w:rPr/>
        <w:pict>
          <v:shape style="position:absolute;margin-left:89.708603pt;margin-top:337.413574pt;width:427.2pt;height:161.85pt;mso-position-horizontal-relative:page;mso-position-vertical-relative:page;z-index:-202024" type="#_x0000_t202" filled="false" stroked="false">
            <v:textbox inset="0,0,0,0">
              <w:txbxContent>
                <w:p>
                  <w:pPr>
                    <w:pStyle w:val="BodyText"/>
                    <w:spacing w:line="280" w:lineRule="auto"/>
                  </w:pPr>
                  <w:r>
                    <w:rPr>
                      <w:color w:val="58595B"/>
                    </w:rPr>
                    <w:t>The EPA of the future needs a new list of functions that supports its range of activities, including new and expanded activities:</w:t>
                  </w:r>
                </w:p>
                <w:p>
                  <w:pPr>
                    <w:pStyle w:val="ListParagraph"/>
                    <w:numPr>
                      <w:ilvl w:val="0"/>
                      <w:numId w:val="18"/>
                    </w:numPr>
                    <w:tabs>
                      <w:tab w:pos="190" w:val="left" w:leader="none"/>
                    </w:tabs>
                    <w:spacing w:line="280" w:lineRule="auto" w:before="115" w:after="0"/>
                    <w:ind w:left="190" w:right="476" w:hanging="170"/>
                    <w:jc w:val="left"/>
                    <w:rPr>
                      <w:sz w:val="20"/>
                    </w:rPr>
                  </w:pPr>
                  <w:r>
                    <w:rPr>
                      <w:color w:val="58595B"/>
                      <w:sz w:val="20"/>
                    </w:rPr>
                    <w:t>monitoring and environmental scanning for changes in the environment and new risks, to prevent harms and enable early</w:t>
                  </w:r>
                  <w:r>
                    <w:rPr>
                      <w:color w:val="58595B"/>
                      <w:spacing w:val="-2"/>
                      <w:sz w:val="20"/>
                    </w:rPr>
                    <w:t> </w:t>
                  </w:r>
                  <w:r>
                    <w:rPr>
                      <w:color w:val="58595B"/>
                      <w:sz w:val="20"/>
                    </w:rPr>
                    <w:t>interventions</w:t>
                  </w:r>
                </w:p>
                <w:p>
                  <w:pPr>
                    <w:pStyle w:val="ListParagraph"/>
                    <w:numPr>
                      <w:ilvl w:val="0"/>
                      <w:numId w:val="18"/>
                    </w:numPr>
                    <w:tabs>
                      <w:tab w:pos="190" w:val="left" w:leader="none"/>
                    </w:tabs>
                    <w:spacing w:line="240" w:lineRule="auto" w:before="115" w:after="0"/>
                    <w:ind w:left="190" w:right="0" w:hanging="170"/>
                    <w:jc w:val="left"/>
                    <w:rPr>
                      <w:sz w:val="20"/>
                    </w:rPr>
                  </w:pPr>
                  <w:r>
                    <w:rPr>
                      <w:color w:val="58595B"/>
                      <w:sz w:val="20"/>
                    </w:rPr>
                    <w:t>advising government on changes to regulatory</w:t>
                  </w:r>
                  <w:r>
                    <w:rPr>
                      <w:color w:val="58595B"/>
                      <w:spacing w:val="3"/>
                      <w:sz w:val="20"/>
                    </w:rPr>
                    <w:t> </w:t>
                  </w:r>
                  <w:r>
                    <w:rPr>
                      <w:color w:val="58595B"/>
                      <w:sz w:val="20"/>
                    </w:rPr>
                    <w:t>tools</w:t>
                  </w:r>
                </w:p>
                <w:p>
                  <w:pPr>
                    <w:pStyle w:val="ListParagraph"/>
                    <w:numPr>
                      <w:ilvl w:val="0"/>
                      <w:numId w:val="18"/>
                    </w:numPr>
                    <w:tabs>
                      <w:tab w:pos="190" w:val="left" w:leader="none"/>
                    </w:tabs>
                    <w:spacing w:line="240" w:lineRule="auto" w:before="153" w:after="0"/>
                    <w:ind w:left="190" w:right="0" w:hanging="170"/>
                    <w:jc w:val="left"/>
                    <w:rPr>
                      <w:sz w:val="20"/>
                    </w:rPr>
                  </w:pPr>
                  <w:r>
                    <w:rPr>
                      <w:color w:val="58595B"/>
                      <w:sz w:val="20"/>
                    </w:rPr>
                    <w:t>supporting compliance with the proposed general</w:t>
                  </w:r>
                  <w:r>
                    <w:rPr>
                      <w:color w:val="58595B"/>
                      <w:spacing w:val="24"/>
                      <w:sz w:val="20"/>
                    </w:rPr>
                    <w:t> </w:t>
                  </w:r>
                  <w:r>
                    <w:rPr>
                      <w:color w:val="58595B"/>
                      <w:sz w:val="20"/>
                    </w:rPr>
                    <w:t>duty</w:t>
                  </w:r>
                </w:p>
                <w:p>
                  <w:pPr>
                    <w:pStyle w:val="ListParagraph"/>
                    <w:numPr>
                      <w:ilvl w:val="0"/>
                      <w:numId w:val="18"/>
                    </w:numPr>
                    <w:tabs>
                      <w:tab w:pos="190" w:val="left" w:leader="none"/>
                    </w:tabs>
                    <w:spacing w:line="280" w:lineRule="auto" w:before="153" w:after="0"/>
                    <w:ind w:left="190" w:right="921" w:hanging="170"/>
                    <w:jc w:val="left"/>
                    <w:rPr>
                      <w:sz w:val="20"/>
                    </w:rPr>
                  </w:pPr>
                  <w:r>
                    <w:rPr>
                      <w:color w:val="58595B"/>
                      <w:sz w:val="20"/>
                    </w:rPr>
                    <w:t>fostering collaboration and joint regulation with other government agencies and with local government</w:t>
                  </w:r>
                </w:p>
                <w:p>
                  <w:pPr>
                    <w:pStyle w:val="ListParagraph"/>
                    <w:numPr>
                      <w:ilvl w:val="0"/>
                      <w:numId w:val="18"/>
                    </w:numPr>
                    <w:tabs>
                      <w:tab w:pos="190" w:val="left" w:leader="none"/>
                    </w:tabs>
                    <w:spacing w:line="280" w:lineRule="auto" w:before="115" w:after="0"/>
                    <w:ind w:left="190" w:right="639" w:hanging="170"/>
                    <w:jc w:val="left"/>
                    <w:rPr>
                      <w:sz w:val="20"/>
                    </w:rPr>
                  </w:pPr>
                  <w:r>
                    <w:rPr>
                      <w:color w:val="58595B"/>
                      <w:sz w:val="20"/>
                    </w:rPr>
                    <w:t>evaluating regulatory activities and reporting on the outcomes, as well as providing risk information to a community with an increasing demand for</w:t>
                  </w:r>
                  <w:r>
                    <w:rPr>
                      <w:color w:val="58595B"/>
                      <w:spacing w:val="16"/>
                      <w:sz w:val="20"/>
                    </w:rPr>
                    <w:t> </w:t>
                  </w:r>
                  <w:r>
                    <w:rPr>
                      <w:color w:val="58595B"/>
                      <w:sz w:val="20"/>
                    </w:rPr>
                    <w:t>information.</w:t>
                  </w:r>
                </w:p>
              </w:txbxContent>
            </v:textbox>
            <w10:wrap type="none"/>
          </v:shape>
        </w:pict>
      </w:r>
      <w:r>
        <w:rPr/>
        <w:pict>
          <v:shape style="position:absolute;margin-left:89.708603pt;margin-top:512.103577pt;width:426.8pt;height:83.75pt;mso-position-horizontal-relative:page;mso-position-vertical-relative:page;z-index:-202000" type="#_x0000_t202" filled="false" stroked="false">
            <v:textbox inset="0,0,0,0">
              <w:txbxContent>
                <w:p>
                  <w:pPr>
                    <w:spacing w:line="224" w:lineRule="exact" w:before="0"/>
                    <w:ind w:left="20" w:right="380" w:firstLine="0"/>
                    <w:jc w:val="left"/>
                    <w:rPr>
                      <w:i/>
                      <w:sz w:val="20"/>
                    </w:rPr>
                  </w:pPr>
                  <w:r>
                    <w:rPr>
                      <w:i/>
                      <w:color w:val="6D6E71"/>
                      <w:sz w:val="20"/>
                    </w:rPr>
                    <w:t>Specific functions required to support a general duty</w:t>
                  </w:r>
                </w:p>
                <w:p>
                  <w:pPr>
                    <w:pStyle w:val="BodyText"/>
                    <w:spacing w:line="280" w:lineRule="auto" w:before="125"/>
                    <w:ind w:right="380"/>
                  </w:pPr>
                  <w:r>
                    <w:rPr>
                      <w:color w:val="58595B"/>
                    </w:rPr>
                    <w:t>The EPA of the future will need functions to support the general community’s compliance with our proposed general duty (see chapter 12). Specifically, it will need to provide training,</w:t>
                  </w:r>
                </w:p>
                <w:p>
                  <w:pPr>
                    <w:pStyle w:val="BodyText"/>
                    <w:spacing w:line="280" w:lineRule="auto" w:before="2"/>
                  </w:pPr>
                  <w:r>
                    <w:rPr>
                      <w:color w:val="58595B"/>
                    </w:rPr>
                    <w:t>education and information, much like WorkSafe’s functions within Victoria’s occupational health and safety system. The </w:t>
                  </w:r>
                  <w:r>
                    <w:rPr>
                      <w:i/>
                      <w:color w:val="58595B"/>
                    </w:rPr>
                    <w:t>Occupational Health and Safety Act 2004 </w:t>
                  </w:r>
                  <w:r>
                    <w:rPr>
                      <w:color w:val="58595B"/>
                    </w:rPr>
                    <w:t>includes specific functions for this purpose:</w:t>
                  </w:r>
                </w:p>
              </w:txbxContent>
            </v:textbox>
            <w10:wrap type="none"/>
          </v:shape>
        </w:pict>
      </w:r>
      <w:r>
        <w:rPr/>
        <w:pict>
          <v:shape style="position:absolute;margin-left:89.708603pt;margin-top:603.02356pt;width:5.5pt;height:12pt;mso-position-horizontal-relative:page;mso-position-vertical-relative:page;z-index:-20197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98.208603pt;margin-top:603.02356pt;width:419.1pt;height:169.7pt;mso-position-horizontal-relative:page;mso-position-vertical-relative:page;z-index:-201952" type="#_x0000_t202" filled="false" stroked="false">
            <v:textbox inset="0,0,0,0">
              <w:txbxContent>
                <w:p>
                  <w:pPr>
                    <w:spacing w:line="280" w:lineRule="auto" w:before="0"/>
                    <w:ind w:left="20" w:right="17" w:firstLine="0"/>
                    <w:jc w:val="left"/>
                    <w:rPr>
                      <w:sz w:val="20"/>
                    </w:rPr>
                  </w:pPr>
                  <w:r>
                    <w:rPr>
                      <w:i/>
                      <w:color w:val="58595B"/>
                      <w:sz w:val="20"/>
                    </w:rPr>
                    <w:t>to cooperate with, and give advice and information to the following persons in relation to occupational health, safety and welfare </w:t>
                  </w:r>
                  <w:r>
                    <w:rPr>
                      <w:color w:val="58595B"/>
                      <w:sz w:val="20"/>
                    </w:rPr>
                    <w:t>(section 7(1)(e))</w:t>
                  </w:r>
                </w:p>
                <w:p>
                  <w:pPr>
                    <w:spacing w:line="280" w:lineRule="auto" w:before="115"/>
                    <w:ind w:left="20" w:right="17" w:firstLine="0"/>
                    <w:jc w:val="left"/>
                    <w:rPr>
                      <w:sz w:val="20"/>
                    </w:rPr>
                  </w:pPr>
                  <w:r>
                    <w:rPr>
                      <w:i/>
                      <w:color w:val="58595B"/>
                      <w:sz w:val="20"/>
                    </w:rPr>
                    <w:t>to disseminate information about the duties, obligations and rights of persons under this Act  or the regulations and to formulate standards, specifications or other forms of guidance for the purpose of assisting persons to comply with their duties and obligations </w:t>
                  </w:r>
                  <w:r>
                    <w:rPr>
                      <w:color w:val="58595B"/>
                      <w:sz w:val="20"/>
                    </w:rPr>
                    <w:t>(section</w:t>
                  </w:r>
                  <w:r>
                    <w:rPr>
                      <w:color w:val="58595B"/>
                      <w:spacing w:val="4"/>
                      <w:sz w:val="20"/>
                    </w:rPr>
                    <w:t> </w:t>
                  </w:r>
                  <w:r>
                    <w:rPr>
                      <w:color w:val="58595B"/>
                      <w:spacing w:val="-6"/>
                      <w:sz w:val="20"/>
                    </w:rPr>
                    <w:t>7(1)(f))</w:t>
                  </w:r>
                </w:p>
                <w:p>
                  <w:pPr>
                    <w:spacing w:before="115"/>
                    <w:ind w:left="20" w:right="17" w:firstLine="0"/>
                    <w:jc w:val="left"/>
                    <w:rPr>
                      <w:sz w:val="20"/>
                    </w:rPr>
                  </w:pPr>
                  <w:r>
                    <w:rPr>
                      <w:i/>
                      <w:color w:val="58595B"/>
                      <w:sz w:val="20"/>
                    </w:rPr>
                    <w:t>to promote education and training </w:t>
                  </w:r>
                  <w:r>
                    <w:rPr>
                      <w:color w:val="58595B"/>
                      <w:sz w:val="20"/>
                    </w:rPr>
                    <w:t>(section7(1)(g))</w:t>
                  </w:r>
                </w:p>
                <w:p>
                  <w:pPr>
                    <w:spacing w:line="280" w:lineRule="auto" w:before="153"/>
                    <w:ind w:left="20" w:right="17" w:firstLine="0"/>
                    <w:jc w:val="left"/>
                    <w:rPr>
                      <w:sz w:val="20"/>
                    </w:rPr>
                  </w:pPr>
                  <w:r>
                    <w:rPr>
                      <w:i/>
                      <w:color w:val="58595B"/>
                      <w:sz w:val="20"/>
                    </w:rPr>
                    <w:t>to engage in, promote and coordinate the sharing of information to achieve the objects of this Act </w:t>
                  </w:r>
                  <w:r>
                    <w:rPr>
                      <w:color w:val="58595B"/>
                      <w:sz w:val="20"/>
                    </w:rPr>
                    <w:t>(section 7(1)(i))</w:t>
                  </w:r>
                </w:p>
                <w:p>
                  <w:pPr>
                    <w:spacing w:line="280" w:lineRule="auto" w:before="115"/>
                    <w:ind w:left="20" w:right="110" w:firstLine="0"/>
                    <w:jc w:val="left"/>
                    <w:rPr>
                      <w:sz w:val="20"/>
                    </w:rPr>
                  </w:pPr>
                  <w:r>
                    <w:rPr>
                      <w:i/>
                      <w:color w:val="58595B"/>
                      <w:sz w:val="20"/>
                    </w:rPr>
                    <w:t>to promote public awareness and discussion of occupational health, safety and welfare issues and an understanding and acceptance of the principles of health and safety protection </w:t>
                  </w:r>
                  <w:r>
                    <w:rPr>
                      <w:color w:val="58595B"/>
                      <w:sz w:val="20"/>
                    </w:rPr>
                    <w:t>(section</w:t>
                  </w:r>
                  <w:r>
                    <w:rPr>
                      <w:color w:val="58595B"/>
                      <w:spacing w:val="1"/>
                      <w:sz w:val="20"/>
                    </w:rPr>
                    <w:t> </w:t>
                  </w:r>
                  <w:r>
                    <w:rPr>
                      <w:color w:val="58595B"/>
                      <w:spacing w:val="-5"/>
                      <w:sz w:val="20"/>
                    </w:rPr>
                    <w:t>7(1)(j)).</w:t>
                  </w:r>
                </w:p>
              </w:txbxContent>
            </v:textbox>
            <w10:wrap type="none"/>
          </v:shape>
        </w:pict>
      </w:r>
      <w:r>
        <w:rPr/>
        <w:pict>
          <v:shape style="position:absolute;margin-left:89.708603pt;margin-top:635.693542pt;width:5.5pt;height:12pt;mso-position-horizontal-relative:page;mso-position-vertical-relative:page;z-index:-20192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08603pt;margin-top:681.863586pt;width:5.5pt;height:31.2pt;mso-position-horizontal-relative:page;mso-position-vertical-relative:page;z-index:-201904" type="#_x0000_t202" filled="false" stroked="false">
            <v:textbox inset="0,0,0,0">
              <w:txbxContent>
                <w:p>
                  <w:pPr>
                    <w:pStyle w:val="BodyText"/>
                    <w:spacing w:line="224" w:lineRule="exact"/>
                  </w:pPr>
                  <w:r>
                    <w:rPr>
                      <w:color w:val="0095A7"/>
                    </w:rPr>
                    <w:t>•</w:t>
                  </w:r>
                </w:p>
                <w:p>
                  <w:pPr>
                    <w:pStyle w:val="BodyText"/>
                    <w:spacing w:before="153"/>
                  </w:pPr>
                  <w:r>
                    <w:rPr>
                      <w:color w:val="0095A7"/>
                    </w:rPr>
                    <w:t>•</w:t>
                  </w:r>
                </w:p>
              </w:txbxContent>
            </v:textbox>
            <w10:wrap type="none"/>
          </v:shape>
        </w:pict>
      </w:r>
      <w:r>
        <w:rPr/>
        <w:pict>
          <v:shape style="position:absolute;margin-left:89.708603pt;margin-top:733.703552pt;width:5.5pt;height:12pt;mso-position-horizontal-relative:page;mso-position-vertical-relative:page;z-index:-20188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534.996094pt;margin-top:44.090015pt;width:60.3pt;height:5.25pt;mso-position-horizontal-relative:page;mso-position-vertical-relative:page;z-index:-20185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1832"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01808" from=".0pt,45.840015pt" to="60.2791pt,45.840015pt" stroked="true" strokeweight="7pt" strokecolor="#0095a7">
            <w10:wrap type="none"/>
          </v:line>
        </w:pict>
      </w:r>
      <w:r>
        <w:rPr/>
        <w:pict>
          <v:group style="position:absolute;margin-left:70.865997pt;margin-top:144.670013pt;width:444.95pt;height:294.3pt;mso-position-horizontal-relative:page;mso-position-vertical-relative:page;z-index:-201784" coordorigin="1417,2893" coordsize="8899,5886">
            <v:rect style="position:absolute;left:1417;top:4713;width:2716;height:2306" filled="true" fillcolor="#eef5f6" stroked="false">
              <v:fill type="solid"/>
            </v:rect>
            <v:rect style="position:absolute;left:1417;top:7020;width:2715;height:1759" filled="true" fillcolor="#e2edef" stroked="false">
              <v:fill type="solid"/>
            </v:rect>
            <v:rect style="position:absolute;left:1419;top:2893;width:2715;height:1820" filled="true" fillcolor="#73b6c3" stroked="false">
              <v:fill type="solid"/>
            </v:rect>
            <v:rect style="position:absolute;left:4389;top:4712;width:2721;height:2306" filled="true" fillcolor="#eef5f6" stroked="false">
              <v:fill type="solid"/>
            </v:rect>
            <v:rect style="position:absolute;left:4389;top:7018;width:2721;height:1750" filled="true" fillcolor="#e2edef" stroked="false">
              <v:fill type="solid"/>
            </v:rect>
            <v:rect style="position:absolute;left:4389;top:2893;width:2721;height:1820" filled="true" fillcolor="#40a5b4" stroked="false">
              <v:fill type="solid"/>
            </v:rect>
            <v:rect style="position:absolute;left:7366;top:4712;width:2721;height:2302" filled="true" fillcolor="#eef5f6" stroked="false">
              <v:fill type="solid"/>
            </v:rect>
            <v:rect style="position:absolute;left:7363;top:7016;width:2721;height:1750" filled="true" fillcolor="#e2edef" stroked="false">
              <v:fill type="solid"/>
            </v:rect>
            <v:rect style="position:absolute;left:7366;top:2893;width:2721;height:1820" filled="true" fillcolor="#0095a7" stroked="false">
              <v:fill type="solid"/>
            </v:rect>
            <v:shape style="position:absolute;left:4134;top:3503;width:6182;height:441" coordorigin="4134,3503" coordsize="6182,441" path="m4363,3715l4134,3503,4134,3944,4363,3715m7340,3715l7111,3503,7111,3944,7340,3715m10316,3715l10087,3503,10087,3944,10316,3715e" filled="true" fillcolor="#d1d3d4" stroked="false">
              <v:path arrowok="t"/>
              <v:fill type="solid"/>
            </v:shape>
            <w10:wrap type="none"/>
          </v:group>
        </w:pict>
      </w:r>
      <w:r>
        <w:rPr/>
        <w:pict>
          <v:shape style="position:absolute;margin-left:69.866096pt;margin-top:40.902756pt;width:10.85pt;height:9.5pt;mso-position-horizontal-relative:page;mso-position-vertical-relative:page;z-index:-201760" type="#_x0000_t202" filled="false" stroked="false">
            <v:textbox inset="0,0,0,0">
              <w:txbxContent>
                <w:p>
                  <w:pPr>
                    <w:spacing w:before="1"/>
                    <w:ind w:left="20" w:right="0" w:firstLine="0"/>
                    <w:jc w:val="left"/>
                    <w:rPr>
                      <w:sz w:val="15"/>
                    </w:rPr>
                  </w:pPr>
                  <w:r>
                    <w:rPr>
                      <w:color w:val="58595B"/>
                      <w:sz w:val="15"/>
                    </w:rPr>
                    <w:t>94</w:t>
                  </w:r>
                </w:p>
              </w:txbxContent>
            </v:textbox>
            <w10:wrap type="none"/>
          </v:shape>
        </w:pict>
      </w:r>
      <w:r>
        <w:rPr/>
        <w:pict>
          <v:shape style="position:absolute;margin-left:95.377899pt;margin-top:40.902756pt;width:147.75pt;height:9.5pt;mso-position-horizontal-relative:page;mso-position-vertical-relative:page;z-index:-201736"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380.75pt;height:25.5pt;mso-position-horizontal-relative:page;mso-position-vertical-relative:page;z-index:-201712" type="#_x0000_t202" filled="false" stroked="false">
            <v:textbox inset="0,0,0,0">
              <w:txbxContent>
                <w:p>
                  <w:pPr>
                    <w:pStyle w:val="BodyText"/>
                    <w:spacing w:line="280" w:lineRule="auto"/>
                    <w:ind w:right="-11"/>
                  </w:pPr>
                  <w:r>
                    <w:rPr>
                      <w:b/>
                      <w:color w:val="0095A7"/>
                    </w:rPr>
                    <w:t>FIGURE </w:t>
                  </w:r>
                  <w:r>
                    <w:rPr>
                      <w:b/>
                      <w:color w:val="0095A7"/>
                      <w:spacing w:val="-6"/>
                    </w:rPr>
                    <w:t>5.1 </w:t>
                  </w:r>
                  <w:r>
                    <w:rPr>
                      <w:color w:val="0095A7"/>
                    </w:rPr>
                    <w:t>EXPANDING THE </w:t>
                  </w:r>
                  <w:r>
                    <w:rPr>
                      <w:color w:val="0095A7"/>
                      <w:spacing w:val="-6"/>
                    </w:rPr>
                    <w:t>EPA’S </w:t>
                  </w:r>
                  <w:r>
                    <w:rPr>
                      <w:color w:val="0095A7"/>
                    </w:rPr>
                    <w:t>FUNCTIONS FOR ENHANCED PREVENTION AND INFLUENCE</w:t>
                  </w:r>
                </w:p>
              </w:txbxContent>
            </v:textbox>
            <w10:wrap type="none"/>
          </v:shape>
        </w:pict>
      </w:r>
      <w:r>
        <w:rPr/>
        <w:pict>
          <v:shape style="position:absolute;margin-left:69.866096pt;margin-top:448.177368pt;width:394.45pt;height:25.5pt;mso-position-horizontal-relative:page;mso-position-vertical-relative:page;z-index:-201688" type="#_x0000_t202" filled="false" stroked="false">
            <v:textbox inset="0,0,0,0">
              <w:txbxContent>
                <w:p>
                  <w:pPr>
                    <w:pStyle w:val="BodyText"/>
                    <w:spacing w:line="280" w:lineRule="auto"/>
                  </w:pPr>
                  <w:r>
                    <w:rPr>
                      <w:color w:val="58595B"/>
                    </w:rPr>
                    <w:t>The proposed legislated functions to support compliance and educate the community on managing risks address this need.</w:t>
                  </w:r>
                </w:p>
              </w:txbxContent>
            </v:textbox>
            <w10:wrap type="none"/>
          </v:shape>
        </w:pict>
      </w:r>
      <w:r>
        <w:rPr/>
        <w:pict>
          <v:shape style="position:absolute;margin-left:69.866096pt;margin-top:487.937378pt;width:434.95pt;height:58.2pt;mso-position-horizontal-relative:page;mso-position-vertical-relative:page;z-index:-201664" type="#_x0000_t202" filled="false" stroked="false">
            <v:textbox inset="0,0,0,0">
              <w:txbxContent>
                <w:p>
                  <w:pPr>
                    <w:pStyle w:val="BodyText"/>
                    <w:spacing w:line="224" w:lineRule="exact"/>
                    <w:ind w:right="18"/>
                  </w:pPr>
                  <w:r>
                    <w:rPr>
                      <w:color w:val="0095A7"/>
                    </w:rPr>
                    <w:t>5.5.2  Proposed legislated functions for the future EPA</w:t>
                  </w:r>
                </w:p>
                <w:p>
                  <w:pPr>
                    <w:pStyle w:val="BodyText"/>
                    <w:spacing w:line="280" w:lineRule="auto" w:before="153"/>
                    <w:ind w:right="18"/>
                  </w:pPr>
                  <w:r>
                    <w:rPr>
                      <w:color w:val="58595B"/>
                    </w:rPr>
                    <w:t>The legislated functions need to make clear how the </w:t>
                  </w:r>
                  <w:r>
                    <w:rPr>
                      <w:color w:val="58595B"/>
                      <w:spacing w:val="-4"/>
                    </w:rPr>
                    <w:t>EPA </w:t>
                  </w:r>
                  <w:r>
                    <w:rPr>
                      <w:color w:val="58595B"/>
                    </w:rPr>
                    <w:t>will perform its task of being a proactive protector of public health and the environment – that is, to describe the generic set of activities that it must</w:t>
                  </w:r>
                  <w:r>
                    <w:rPr>
                      <w:color w:val="58595B"/>
                      <w:spacing w:val="10"/>
                    </w:rPr>
                    <w:t> </w:t>
                  </w:r>
                  <w:r>
                    <w:rPr>
                      <w:color w:val="58595B"/>
                    </w:rPr>
                    <w:t>perform.</w:t>
                  </w:r>
                </w:p>
              </w:txbxContent>
            </v:textbox>
            <w10:wrap type="none"/>
          </v:shape>
        </w:pict>
      </w:r>
      <w:r>
        <w:rPr/>
        <w:pict>
          <v:shape style="position:absolute;margin-left:98.216103pt;margin-top:556.107361pt;width:370.9pt;height:52.5pt;mso-position-horizontal-relative:page;mso-position-vertical-relative:page;z-index:-201640" type="#_x0000_t202" filled="false" stroked="false">
            <v:textbox inset="0,0,0,0">
              <w:txbxContent>
                <w:p>
                  <w:pPr>
                    <w:spacing w:line="280" w:lineRule="auto" w:before="0"/>
                    <w:ind w:left="20" w:right="7" w:firstLine="0"/>
                    <w:jc w:val="left"/>
                    <w:rPr>
                      <w:sz w:val="20"/>
                    </w:rPr>
                  </w:pPr>
                  <w:r>
                    <w:rPr>
                      <w:i/>
                      <w:color w:val="231F20"/>
                      <w:sz w:val="20"/>
                    </w:rPr>
                    <w:t>The EPA provides a critical regulatory pillar in the State Government’s environment protection endeavours. Its key role is to protect the environment from the negative impacts of human activity. The EPA is valued as a regulator, facilitator, educator, researcher and informer. </w:t>
                  </w:r>
                  <w:r>
                    <w:rPr>
                      <w:color w:val="231F20"/>
                      <w:sz w:val="20"/>
                    </w:rPr>
                    <w:t>(Municipal Association of Victoria submission, p. 6)</w:t>
                  </w:r>
                </w:p>
              </w:txbxContent>
            </v:textbox>
            <w10:wrap type="none"/>
          </v:shape>
        </w:pict>
      </w:r>
      <w:r>
        <w:rPr/>
        <w:pict>
          <v:shape style="position:absolute;margin-left:98.216103pt;margin-top:618.607361pt;width:336.75pt;height:52.5pt;mso-position-horizontal-relative:page;mso-position-vertical-relative:page;z-index:-201616" type="#_x0000_t202" filled="false" stroked="false">
            <v:textbox inset="0,0,0,0">
              <w:txbxContent>
                <w:p>
                  <w:pPr>
                    <w:spacing w:line="280" w:lineRule="auto" w:before="0"/>
                    <w:ind w:left="20" w:right="0" w:firstLine="0"/>
                    <w:jc w:val="left"/>
                    <w:rPr>
                      <w:sz w:val="11"/>
                    </w:rPr>
                  </w:pPr>
                  <w:r>
                    <w:rPr>
                      <w:i/>
                      <w:color w:val="231F20"/>
                      <w:sz w:val="20"/>
                    </w:rPr>
                    <w:t>A regulator needs to be constantly self-evaluating, learning and adapting its approach, identifying emerging problems and acting promptly when it does so, and measuring how well it is doing in terms of public engagement and substantive performance.</w:t>
                  </w:r>
                  <w:r>
                    <w:rPr>
                      <w:color w:val="231F20"/>
                      <w:position w:val="7"/>
                      <w:sz w:val="11"/>
                    </w:rPr>
                    <w:t>74</w:t>
                  </w:r>
                </w:p>
              </w:txbxContent>
            </v:textbox>
            <w10:wrap type="none"/>
          </v:shape>
        </w:pict>
      </w:r>
      <w:r>
        <w:rPr/>
        <w:pict>
          <v:shape style="position:absolute;margin-left:69.866096pt;margin-top:681.11438pt;width:425.2pt;height:52.5pt;mso-position-horizontal-relative:page;mso-position-vertical-relative:page;z-index:-201592" type="#_x0000_t202" filled="false" stroked="false">
            <v:textbox inset="0,0,0,0">
              <w:txbxContent>
                <w:p>
                  <w:pPr>
                    <w:pStyle w:val="BodyText"/>
                    <w:spacing w:line="280" w:lineRule="auto"/>
                  </w:pPr>
                  <w:r>
                    <w:rPr>
                      <w:color w:val="58595B"/>
                    </w:rPr>
                    <w:t>We recommend the </w:t>
                  </w:r>
                  <w:r>
                    <w:rPr>
                      <w:color w:val="58595B"/>
                      <w:spacing w:val="-7"/>
                    </w:rPr>
                    <w:t>EPA’s </w:t>
                  </w:r>
                  <w:r>
                    <w:rPr>
                      <w:color w:val="58595B"/>
                    </w:rPr>
                    <w:t>establishing legislation set out the following ten functions (figure </w:t>
                  </w:r>
                  <w:r>
                    <w:rPr>
                      <w:color w:val="58595B"/>
                      <w:spacing w:val="-7"/>
                    </w:rPr>
                    <w:t>5.1). </w:t>
                  </w:r>
                  <w:r>
                    <w:rPr>
                      <w:color w:val="58595B"/>
                    </w:rPr>
                    <w:t>They support an outcomes-based approach and give the </w:t>
                  </w:r>
                  <w:r>
                    <w:rPr>
                      <w:color w:val="58595B"/>
                      <w:spacing w:val="-4"/>
                    </w:rPr>
                    <w:t>EPA </w:t>
                  </w:r>
                  <w:r>
                    <w:rPr>
                      <w:color w:val="58595B"/>
                    </w:rPr>
                    <w:t>a clear mandate to be proactive and influential in protecting human health and the environment. Each activity area expands the </w:t>
                  </w:r>
                  <w:r>
                    <w:rPr>
                      <w:color w:val="58595B"/>
                      <w:spacing w:val="-7"/>
                    </w:rPr>
                    <w:t>EPA’s </w:t>
                  </w:r>
                  <w:r>
                    <w:rPr>
                      <w:color w:val="58595B"/>
                    </w:rPr>
                    <w:t>functions beyond its current remit.</w:t>
                  </w:r>
                </w:p>
              </w:txbxContent>
            </v:textbox>
            <w10:wrap type="none"/>
          </v:shape>
        </w:pict>
      </w:r>
      <w:r>
        <w:rPr/>
        <w:pict>
          <v:shape style="position:absolute;margin-left:368.285004pt;margin-top:144.670013pt;width:136.1pt;height:91pt;mso-position-horizontal-relative:page;mso-position-vertical-relative:page;z-index:-201568" type="#_x0000_t202" filled="false" stroked="false">
            <v:textbox inset="0,0,0,0">
              <w:txbxContent>
                <w:p>
                  <w:pPr>
                    <w:pStyle w:val="BodyText"/>
                    <w:spacing w:before="71"/>
                    <w:ind w:left="115" w:right="176"/>
                  </w:pPr>
                  <w:r>
                    <w:rPr>
                      <w:color w:val="FFFFFF"/>
                    </w:rPr>
                    <w:t>3. DETERMINE AND SET</w:t>
                  </w:r>
                </w:p>
                <w:p>
                  <w:pPr>
                    <w:spacing w:line="254" w:lineRule="auto" w:before="122"/>
                    <w:ind w:left="120" w:right="176" w:hanging="1"/>
                    <w:jc w:val="left"/>
                    <w:rPr>
                      <w:b/>
                      <w:sz w:val="18"/>
                    </w:rPr>
                  </w:pPr>
                  <w:r>
                    <w:rPr>
                      <w:b/>
                      <w:color w:val="FFFFFF"/>
                      <w:sz w:val="18"/>
                    </w:rPr>
                    <w:t>Set standards to protect the environment, public health and, where practicable improve standards and expectations</w:t>
                  </w:r>
                </w:p>
                <w:p>
                  <w:pPr>
                    <w:pStyle w:val="BodyText"/>
                    <w:spacing w:before="4"/>
                    <w:ind w:left="40"/>
                    <w:rPr>
                      <w:rFonts w:ascii="Times New Roman"/>
                      <w:sz w:val="17"/>
                    </w:rPr>
                  </w:pPr>
                </w:p>
              </w:txbxContent>
            </v:textbox>
            <w10:wrap type="none"/>
          </v:shape>
        </w:pict>
      </w:r>
      <w:r>
        <w:rPr/>
        <w:pict>
          <v:shape style="position:absolute;margin-left:368.285004pt;margin-top:235.638519pt;width:136.1pt;height:115.15pt;mso-position-horizontal-relative:page;mso-position-vertical-relative:page;z-index:-201544" type="#_x0000_t202" filled="false" stroked="false">
            <v:textbox inset="0,0,0,0">
              <w:txbxContent>
                <w:p>
                  <w:pPr>
                    <w:spacing w:before="127"/>
                    <w:ind w:left="179" w:right="176" w:firstLine="0"/>
                    <w:jc w:val="left"/>
                    <w:rPr>
                      <w:b/>
                      <w:sz w:val="20"/>
                    </w:rPr>
                  </w:pPr>
                  <w:r>
                    <w:rPr>
                      <w:b/>
                      <w:color w:val="58595B"/>
                      <w:sz w:val="20"/>
                    </w:rPr>
                    <w:t>EPA Functions</w:t>
                  </w:r>
                </w:p>
                <w:p>
                  <w:pPr>
                    <w:pStyle w:val="ListParagraph"/>
                    <w:numPr>
                      <w:ilvl w:val="0"/>
                      <w:numId w:val="19"/>
                    </w:numPr>
                    <w:tabs>
                      <w:tab w:pos="360" w:val="left" w:leader="none"/>
                    </w:tabs>
                    <w:spacing w:line="261" w:lineRule="auto" w:before="177" w:after="0"/>
                    <w:ind w:left="363" w:right="710" w:hanging="185"/>
                    <w:jc w:val="left"/>
                    <w:rPr>
                      <w:sz w:val="16"/>
                    </w:rPr>
                  </w:pPr>
                  <w:r>
                    <w:rPr>
                      <w:color w:val="58595B"/>
                      <w:sz w:val="16"/>
                    </w:rPr>
                    <w:t>Determine and set environment protection standards</w:t>
                  </w:r>
                  <w:r>
                    <w:rPr>
                      <w:color w:val="58595B"/>
                      <w:spacing w:val="1"/>
                      <w:sz w:val="16"/>
                    </w:rPr>
                    <w:t> </w:t>
                  </w:r>
                  <w:r>
                    <w:rPr>
                      <w:color w:val="58595B"/>
                      <w:sz w:val="16"/>
                    </w:rPr>
                    <w:t>(‘goal</w:t>
                  </w:r>
                </w:p>
                <w:p>
                  <w:pPr>
                    <w:spacing w:before="0"/>
                    <w:ind w:left="352" w:right="1191" w:firstLine="0"/>
                    <w:jc w:val="center"/>
                    <w:rPr>
                      <w:sz w:val="16"/>
                    </w:rPr>
                  </w:pPr>
                  <w:r>
                    <w:rPr>
                      <w:color w:val="58595B"/>
                      <w:sz w:val="16"/>
                    </w:rPr>
                    <w:t>post’ standards)</w:t>
                  </w:r>
                </w:p>
                <w:p>
                  <w:pPr>
                    <w:pStyle w:val="BodyText"/>
                    <w:spacing w:before="2"/>
                    <w:ind w:left="0"/>
                    <w:rPr>
                      <w:rFonts w:ascii="Times New Roman"/>
                      <w:sz w:val="16"/>
                    </w:rPr>
                  </w:pPr>
                </w:p>
                <w:p>
                  <w:pPr>
                    <w:pStyle w:val="ListParagraph"/>
                    <w:numPr>
                      <w:ilvl w:val="0"/>
                      <w:numId w:val="19"/>
                    </w:numPr>
                    <w:tabs>
                      <w:tab w:pos="363" w:val="left" w:leader="none"/>
                    </w:tabs>
                    <w:spacing w:line="273" w:lineRule="auto" w:before="0" w:after="0"/>
                    <w:ind w:left="366" w:right="338" w:hanging="185"/>
                    <w:jc w:val="left"/>
                    <w:rPr>
                      <w:sz w:val="16"/>
                    </w:rPr>
                  </w:pPr>
                  <w:r>
                    <w:rPr>
                      <w:color w:val="58595B"/>
                      <w:sz w:val="16"/>
                    </w:rPr>
                    <w:t>Set </w:t>
                  </w:r>
                  <w:r>
                    <w:rPr>
                      <w:color w:val="58595B"/>
                      <w:spacing w:val="2"/>
                      <w:sz w:val="16"/>
                    </w:rPr>
                    <w:t>compliance obligations </w:t>
                  </w:r>
                  <w:r>
                    <w:rPr>
                      <w:color w:val="58595B"/>
                      <w:sz w:val="16"/>
                    </w:rPr>
                    <w:t>and seek to improve environmental</w:t>
                  </w:r>
                  <w:r>
                    <w:rPr>
                      <w:color w:val="58595B"/>
                      <w:spacing w:val="23"/>
                      <w:sz w:val="16"/>
                    </w:rPr>
                    <w:t> </w:t>
                  </w:r>
                  <w:r>
                    <w:rPr>
                      <w:color w:val="58595B"/>
                      <w:spacing w:val="3"/>
                      <w:sz w:val="16"/>
                    </w:rPr>
                    <w:t>performance</w:t>
                  </w:r>
                </w:p>
              </w:txbxContent>
            </v:textbox>
            <w10:wrap type="none"/>
          </v:shape>
        </w:pict>
      </w:r>
      <w:r>
        <w:rPr/>
        <w:pict>
          <v:shape style="position:absolute;margin-left:368.285004pt;margin-top:350.752502pt;width:136.1pt;height:87.55pt;mso-position-horizontal-relative:page;mso-position-vertical-relative:page;z-index:-201520" type="#_x0000_t202" filled="false" stroked="false">
            <v:textbox inset="0,0,0,0">
              <w:txbxContent>
                <w:p>
                  <w:pPr>
                    <w:pStyle w:val="BodyText"/>
                    <w:spacing w:before="10"/>
                    <w:ind w:left="0"/>
                    <w:rPr>
                      <w:rFonts w:ascii="Times New Roman"/>
                      <w:sz w:val="16"/>
                    </w:rPr>
                  </w:pPr>
                </w:p>
                <w:p>
                  <w:pPr>
                    <w:spacing w:line="261" w:lineRule="auto" w:before="0"/>
                    <w:ind w:left="115" w:right="176" w:firstLine="7"/>
                    <w:jc w:val="left"/>
                    <w:rPr>
                      <w:sz w:val="16"/>
                    </w:rPr>
                  </w:pPr>
                  <w:r>
                    <w:rPr>
                      <w:color w:val="58595B"/>
                      <w:sz w:val="16"/>
                    </w:rPr>
                    <w:t>Maintain an up-to-date and effective regulatory framework including by leading work on outcome focused standard-setting</w:t>
                  </w:r>
                </w:p>
                <w:p>
                  <w:pPr>
                    <w:pStyle w:val="BodyText"/>
                    <w:spacing w:before="4"/>
                    <w:ind w:left="40"/>
                    <w:rPr>
                      <w:rFonts w:ascii="Times New Roman"/>
                      <w:sz w:val="17"/>
                    </w:rPr>
                  </w:pPr>
                </w:p>
              </w:txbxContent>
            </v:textbox>
            <w10:wrap type="none"/>
          </v:shape>
        </w:pict>
      </w:r>
      <w:r>
        <w:rPr/>
        <w:pict>
          <v:shape style="position:absolute;margin-left:219.466507pt;margin-top:144.670013pt;width:136.1pt;height:91pt;mso-position-horizontal-relative:page;mso-position-vertical-relative:page;z-index:-201496" type="#_x0000_t202" filled="false" stroked="false">
            <v:textbox inset="0,0,0,0">
              <w:txbxContent>
                <w:p>
                  <w:pPr>
                    <w:pStyle w:val="BodyText"/>
                    <w:spacing w:before="71"/>
                    <w:ind w:left="114" w:right="176"/>
                  </w:pPr>
                  <w:r>
                    <w:rPr>
                      <w:color w:val="FFFFFF"/>
                    </w:rPr>
                    <w:t>2. ADVISE</w:t>
                  </w:r>
                </w:p>
                <w:p>
                  <w:pPr>
                    <w:spacing w:line="254" w:lineRule="auto" w:before="122"/>
                    <w:ind w:left="122" w:right="308" w:hanging="11"/>
                    <w:jc w:val="left"/>
                    <w:rPr>
                      <w:b/>
                      <w:sz w:val="18"/>
                    </w:rPr>
                  </w:pPr>
                  <w:r>
                    <w:rPr>
                      <w:b/>
                      <w:color w:val="FFFFFF"/>
                      <w:sz w:val="18"/>
                    </w:rPr>
                    <w:t>Advise government and work with other agencies to reduce risks and seek solutions to identified problems</w:t>
                  </w:r>
                </w:p>
                <w:p>
                  <w:pPr>
                    <w:pStyle w:val="BodyText"/>
                    <w:spacing w:before="4"/>
                    <w:ind w:left="40"/>
                    <w:rPr>
                      <w:rFonts w:ascii="Times New Roman"/>
                      <w:sz w:val="17"/>
                    </w:rPr>
                  </w:pPr>
                </w:p>
              </w:txbxContent>
            </v:textbox>
            <w10:wrap type="none"/>
          </v:shape>
        </w:pict>
      </w:r>
      <w:r>
        <w:rPr/>
        <w:pict>
          <v:shape style="position:absolute;margin-left:219.466507pt;margin-top:235.638016pt;width:136.1pt;height:115.3pt;mso-position-horizontal-relative:page;mso-position-vertical-relative:page;z-index:-201472" type="#_x0000_t202" filled="false" stroked="false">
            <v:textbox inset="0,0,0,0">
              <w:txbxContent>
                <w:p>
                  <w:pPr>
                    <w:spacing w:before="127"/>
                    <w:ind w:left="179" w:right="176" w:firstLine="0"/>
                    <w:jc w:val="left"/>
                    <w:rPr>
                      <w:b/>
                      <w:sz w:val="20"/>
                    </w:rPr>
                  </w:pPr>
                  <w:r>
                    <w:rPr>
                      <w:b/>
                      <w:color w:val="58595B"/>
                      <w:sz w:val="20"/>
                    </w:rPr>
                    <w:t>EPA Functions</w:t>
                  </w:r>
                </w:p>
                <w:p>
                  <w:pPr>
                    <w:pStyle w:val="ListParagraph"/>
                    <w:numPr>
                      <w:ilvl w:val="0"/>
                      <w:numId w:val="20"/>
                    </w:numPr>
                    <w:tabs>
                      <w:tab w:pos="358" w:val="left" w:leader="none"/>
                    </w:tabs>
                    <w:spacing w:line="240" w:lineRule="auto" w:before="177" w:after="0"/>
                    <w:ind w:left="355" w:right="0" w:hanging="178"/>
                    <w:jc w:val="left"/>
                    <w:rPr>
                      <w:sz w:val="16"/>
                    </w:rPr>
                  </w:pPr>
                  <w:r>
                    <w:rPr>
                      <w:color w:val="58595B"/>
                      <w:sz w:val="16"/>
                    </w:rPr>
                    <w:t>Advise</w:t>
                  </w:r>
                  <w:r>
                    <w:rPr>
                      <w:color w:val="58595B"/>
                      <w:spacing w:val="1"/>
                      <w:sz w:val="16"/>
                    </w:rPr>
                    <w:t> </w:t>
                  </w:r>
                  <w:r>
                    <w:rPr>
                      <w:color w:val="58595B"/>
                      <w:sz w:val="16"/>
                    </w:rPr>
                    <w:t>government</w:t>
                  </w:r>
                </w:p>
                <w:p>
                  <w:pPr>
                    <w:pStyle w:val="BodyText"/>
                    <w:spacing w:before="2"/>
                    <w:ind w:left="0"/>
                    <w:rPr>
                      <w:rFonts w:ascii="Times New Roman"/>
                      <w:sz w:val="16"/>
                    </w:rPr>
                  </w:pPr>
                </w:p>
                <w:p>
                  <w:pPr>
                    <w:pStyle w:val="ListParagraph"/>
                    <w:numPr>
                      <w:ilvl w:val="0"/>
                      <w:numId w:val="20"/>
                    </w:numPr>
                    <w:tabs>
                      <w:tab w:pos="352" w:val="left" w:leader="none"/>
                    </w:tabs>
                    <w:spacing w:line="266" w:lineRule="auto" w:before="0" w:after="0"/>
                    <w:ind w:left="355" w:right="237" w:hanging="184"/>
                    <w:jc w:val="left"/>
                    <w:rPr>
                      <w:sz w:val="16"/>
                    </w:rPr>
                  </w:pPr>
                  <w:r>
                    <w:rPr>
                      <w:color w:val="58595B"/>
                      <w:sz w:val="16"/>
                    </w:rPr>
                    <w:t>Lead, coordinate and </w:t>
                  </w:r>
                  <w:r>
                    <w:rPr>
                      <w:color w:val="58595B"/>
                      <w:spacing w:val="2"/>
                      <w:sz w:val="16"/>
                    </w:rPr>
                    <w:t>collaborate </w:t>
                  </w:r>
                  <w:r>
                    <w:rPr>
                      <w:color w:val="58595B"/>
                      <w:sz w:val="16"/>
                    </w:rPr>
                    <w:t>with </w:t>
                  </w:r>
                  <w:r>
                    <w:rPr>
                      <w:color w:val="58595B"/>
                      <w:spacing w:val="3"/>
                      <w:sz w:val="16"/>
                    </w:rPr>
                    <w:t>local </w:t>
                  </w:r>
                  <w:r>
                    <w:rPr>
                      <w:color w:val="58595B"/>
                      <w:sz w:val="16"/>
                    </w:rPr>
                    <w:t>governments, joint </w:t>
                  </w:r>
                  <w:r>
                    <w:rPr>
                      <w:color w:val="58595B"/>
                      <w:spacing w:val="2"/>
                      <w:sz w:val="16"/>
                    </w:rPr>
                    <w:t>regulators </w:t>
                  </w:r>
                  <w:r>
                    <w:rPr>
                      <w:color w:val="58595B"/>
                      <w:sz w:val="16"/>
                    </w:rPr>
                    <w:t>and other government </w:t>
                  </w:r>
                  <w:r>
                    <w:rPr>
                      <w:color w:val="58595B"/>
                      <w:spacing w:val="2"/>
                      <w:sz w:val="16"/>
                    </w:rPr>
                    <w:t>agencies</w:t>
                  </w:r>
                </w:p>
                <w:p>
                  <w:pPr>
                    <w:pStyle w:val="BodyText"/>
                    <w:spacing w:before="4"/>
                    <w:ind w:left="40"/>
                    <w:rPr>
                      <w:rFonts w:ascii="Times New Roman"/>
                      <w:sz w:val="17"/>
                    </w:rPr>
                  </w:pPr>
                </w:p>
              </w:txbxContent>
            </v:textbox>
            <w10:wrap type="none"/>
          </v:shape>
        </w:pict>
      </w:r>
      <w:r>
        <w:rPr/>
        <w:pict>
          <v:shape style="position:absolute;margin-left:219.466507pt;margin-top:350.90451pt;width:136.1pt;height:87.5pt;mso-position-horizontal-relative:page;mso-position-vertical-relative:page;z-index:-201448" type="#_x0000_t202" filled="false" stroked="false">
            <v:textbox inset="0,0,0,0">
              <w:txbxContent>
                <w:p>
                  <w:pPr>
                    <w:pStyle w:val="BodyText"/>
                    <w:spacing w:before="9"/>
                    <w:ind w:left="0"/>
                    <w:rPr>
                      <w:rFonts w:ascii="Times New Roman"/>
                      <w:sz w:val="16"/>
                    </w:rPr>
                  </w:pPr>
                </w:p>
                <w:p>
                  <w:pPr>
                    <w:spacing w:line="261" w:lineRule="auto" w:before="0"/>
                    <w:ind w:left="117" w:right="70" w:hanging="3"/>
                    <w:jc w:val="left"/>
                    <w:rPr>
                      <w:sz w:val="16"/>
                    </w:rPr>
                  </w:pPr>
                  <w:r>
                    <w:rPr>
                      <w:color w:val="58595B"/>
                      <w:sz w:val="16"/>
                    </w:rPr>
                    <w:t>A more preventative focus that requires the EPA to be ‘at the table’ to inform and influence strategic government decision making and to identify areas for joint regulation and collaboration</w:t>
                  </w:r>
                </w:p>
                <w:p>
                  <w:pPr>
                    <w:pStyle w:val="BodyText"/>
                    <w:spacing w:before="4"/>
                    <w:ind w:left="40"/>
                    <w:rPr>
                      <w:rFonts w:ascii="Times New Roman"/>
                      <w:sz w:val="17"/>
                    </w:rPr>
                  </w:pPr>
                </w:p>
              </w:txbxContent>
            </v:textbox>
            <w10:wrap type="none"/>
          </v:shape>
        </w:pict>
      </w:r>
      <w:r>
        <w:rPr/>
        <w:pict>
          <v:shape style="position:absolute;margin-left:70.905998pt;margin-top:144.670013pt;width:135.8pt;height:91pt;mso-position-horizontal-relative:page;mso-position-vertical-relative:page;z-index:-201424" type="#_x0000_t202" filled="false" stroked="false">
            <v:textbox inset="0,0,0,0">
              <w:txbxContent>
                <w:p>
                  <w:pPr>
                    <w:pStyle w:val="BodyText"/>
                    <w:spacing w:line="200" w:lineRule="exact" w:before="99"/>
                    <w:ind w:left="109" w:right="991" w:hanging="16"/>
                  </w:pPr>
                  <w:r>
                    <w:rPr>
                      <w:color w:val="FFFFFF"/>
                    </w:rPr>
                    <w:t>1. UNDERSTAND AND ADAPT</w:t>
                  </w:r>
                </w:p>
                <w:p>
                  <w:pPr>
                    <w:spacing w:line="254" w:lineRule="auto" w:before="124"/>
                    <w:ind w:left="120" w:right="195" w:firstLine="1"/>
                    <w:jc w:val="left"/>
                    <w:rPr>
                      <w:b/>
                      <w:sz w:val="18"/>
                    </w:rPr>
                  </w:pPr>
                  <w:r>
                    <w:rPr>
                      <w:b/>
                      <w:color w:val="FFFFFF"/>
                      <w:sz w:val="18"/>
                    </w:rPr>
                    <w:t>Understand and respond to the changing environment and risks and impacts posed by pollution and waste</w:t>
                  </w:r>
                </w:p>
              </w:txbxContent>
            </v:textbox>
            <w10:wrap type="none"/>
          </v:shape>
        </w:pict>
      </w:r>
      <w:r>
        <w:rPr/>
        <w:pict>
          <v:shape style="position:absolute;margin-left:70.905998pt;margin-top:235.652512pt;width:135.8pt;height:115.35pt;mso-position-horizontal-relative:page;mso-position-vertical-relative:page;z-index:-201400" type="#_x0000_t202" filled="false" stroked="false">
            <v:textbox inset="0,0,0,0">
              <w:txbxContent>
                <w:p>
                  <w:pPr>
                    <w:spacing w:before="128"/>
                    <w:ind w:left="178" w:right="991" w:firstLine="0"/>
                    <w:jc w:val="left"/>
                    <w:rPr>
                      <w:b/>
                      <w:sz w:val="20"/>
                    </w:rPr>
                  </w:pPr>
                  <w:r>
                    <w:rPr>
                      <w:b/>
                      <w:color w:val="58595B"/>
                      <w:sz w:val="20"/>
                    </w:rPr>
                    <w:t>EPA Functions</w:t>
                  </w:r>
                </w:p>
                <w:p>
                  <w:pPr>
                    <w:pStyle w:val="ListParagraph"/>
                    <w:numPr>
                      <w:ilvl w:val="0"/>
                      <w:numId w:val="21"/>
                    </w:numPr>
                    <w:tabs>
                      <w:tab w:pos="345" w:val="left" w:leader="none"/>
                    </w:tabs>
                    <w:spacing w:line="261" w:lineRule="auto" w:before="177" w:after="0"/>
                    <w:ind w:left="348" w:right="269" w:hanging="185"/>
                    <w:jc w:val="left"/>
                    <w:rPr>
                      <w:sz w:val="16"/>
                    </w:rPr>
                  </w:pPr>
                  <w:r>
                    <w:rPr>
                      <w:color w:val="58595B"/>
                      <w:sz w:val="16"/>
                    </w:rPr>
                    <w:t>Monitor and identify impacts and risks to public health and the</w:t>
                  </w:r>
                  <w:r>
                    <w:rPr>
                      <w:color w:val="58595B"/>
                      <w:spacing w:val="1"/>
                      <w:sz w:val="16"/>
                    </w:rPr>
                    <w:t> </w:t>
                  </w:r>
                  <w:r>
                    <w:rPr>
                      <w:color w:val="58595B"/>
                      <w:sz w:val="16"/>
                    </w:rPr>
                    <w:t>environment</w:t>
                  </w:r>
                </w:p>
                <w:p>
                  <w:pPr>
                    <w:pStyle w:val="BodyText"/>
                    <w:spacing w:before="9"/>
                    <w:ind w:left="0"/>
                    <w:rPr>
                      <w:rFonts w:ascii="Times New Roman"/>
                      <w:sz w:val="14"/>
                    </w:rPr>
                  </w:pPr>
                </w:p>
                <w:p>
                  <w:pPr>
                    <w:pStyle w:val="ListParagraph"/>
                    <w:numPr>
                      <w:ilvl w:val="0"/>
                      <w:numId w:val="21"/>
                    </w:numPr>
                    <w:tabs>
                      <w:tab w:pos="359" w:val="left" w:leader="none"/>
                    </w:tabs>
                    <w:spacing w:line="240" w:lineRule="auto" w:before="0" w:after="0"/>
                    <w:ind w:left="358" w:right="0" w:hanging="180"/>
                    <w:jc w:val="left"/>
                    <w:rPr>
                      <w:sz w:val="16"/>
                    </w:rPr>
                  </w:pPr>
                  <w:r>
                    <w:rPr>
                      <w:color w:val="58595B"/>
                      <w:sz w:val="16"/>
                    </w:rPr>
                    <w:t>Proactively</w:t>
                  </w:r>
                  <w:r>
                    <w:rPr>
                      <w:color w:val="58595B"/>
                      <w:spacing w:val="26"/>
                      <w:sz w:val="16"/>
                    </w:rPr>
                    <w:t> </w:t>
                  </w:r>
                  <w:r>
                    <w:rPr>
                      <w:color w:val="58595B"/>
                      <w:sz w:val="16"/>
                    </w:rPr>
                    <w:t>adapt</w:t>
                  </w:r>
                </w:p>
                <w:p>
                  <w:pPr>
                    <w:spacing w:line="273" w:lineRule="auto" w:before="16"/>
                    <w:ind w:left="362" w:right="195" w:firstLine="8"/>
                    <w:jc w:val="left"/>
                    <w:rPr>
                      <w:sz w:val="16"/>
                    </w:rPr>
                  </w:pPr>
                  <w:r>
                    <w:rPr>
                      <w:color w:val="58595B"/>
                      <w:sz w:val="16"/>
                    </w:rPr>
                    <w:t>tools and instruments to prevent and reduce impacts and risks</w:t>
                  </w:r>
                </w:p>
                <w:p>
                  <w:pPr>
                    <w:pStyle w:val="BodyText"/>
                    <w:spacing w:before="4"/>
                    <w:ind w:left="40"/>
                    <w:rPr>
                      <w:rFonts w:ascii="Times New Roman"/>
                      <w:sz w:val="17"/>
                    </w:rPr>
                  </w:pPr>
                </w:p>
              </w:txbxContent>
            </v:textbox>
            <w10:wrap type="none"/>
          </v:shape>
        </w:pict>
      </w:r>
      <w:r>
        <w:rPr/>
        <w:pict>
          <v:shape style="position:absolute;margin-left:70.905998pt;margin-top:350.976013pt;width:135.8pt;height:88pt;mso-position-horizontal-relative:page;mso-position-vertical-relative:page;z-index:-201376" type="#_x0000_t202" filled="false" stroked="false">
            <v:textbox inset="0,0,0,0">
              <w:txbxContent>
                <w:p>
                  <w:pPr>
                    <w:pStyle w:val="BodyText"/>
                    <w:spacing w:before="9"/>
                    <w:ind w:left="0"/>
                    <w:rPr>
                      <w:rFonts w:ascii="Times New Roman"/>
                      <w:sz w:val="16"/>
                    </w:rPr>
                  </w:pPr>
                </w:p>
                <w:p>
                  <w:pPr>
                    <w:spacing w:line="261" w:lineRule="auto" w:before="0"/>
                    <w:ind w:left="117" w:right="107" w:firstLine="4"/>
                    <w:jc w:val="left"/>
                    <w:rPr>
                      <w:sz w:val="16"/>
                    </w:rPr>
                  </w:pPr>
                  <w:r>
                    <w:rPr>
                      <w:color w:val="58595B"/>
                      <w:sz w:val="16"/>
                    </w:rPr>
                    <w:t>Increased expectations that the EPA will proactively scan for and assess risks, to inform government decisions and will adapt regulatory tools and instruments to prevent and reduce impacts and risks</w:t>
                  </w:r>
                </w:p>
                <w:p>
                  <w:pPr>
                    <w:pStyle w:val="BodyText"/>
                    <w:spacing w:before="4"/>
                    <w:ind w:left="40"/>
                    <w:rPr>
                      <w:rFonts w:ascii="Times New Roman"/>
                      <w:sz w:val="17"/>
                    </w:rPr>
                  </w:pPr>
                </w:p>
              </w:txbxContent>
            </v:textbox>
            <w10:wrap type="none"/>
          </v:shape>
        </w:pict>
      </w:r>
      <w:r>
        <w:rPr/>
        <w:pict>
          <v:shape style="position:absolute;margin-left:.0pt;margin-top:44.090015pt;width:60.3pt;height:5.25pt;mso-position-horizontal-relative:page;mso-position-vertical-relative:page;z-index:-20135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01328" type="#_x0000_t202" filled="false" stroked="false">
            <v:textbox inset="0,0,0,0">
              <w:txbxContent/>
            </v:textbox>
            <w10:wrap type="none"/>
          </v:shape>
        </w:pict>
      </w:r>
    </w:p>
    <w:p>
      <w:pPr>
        <w:spacing w:after="0"/>
        <w:rPr>
          <w:sz w:val="2"/>
          <w:szCs w:val="2"/>
        </w:rPr>
        <w:sectPr>
          <w:pgSz w:w="11910" w:h="16840"/>
          <w:pgMar w:top="800" w:bottom="280" w:left="0" w:right="1480"/>
        </w:sectPr>
      </w:pPr>
    </w:p>
    <w:p>
      <w:pPr>
        <w:rPr>
          <w:sz w:val="2"/>
          <w:szCs w:val="2"/>
        </w:rPr>
      </w:pPr>
      <w:r>
        <w:rPr/>
        <w:pict>
          <v:line style="position:absolute;mso-position-horizontal-relative:page;mso-position-vertical-relative:page;z-index:-201304" from="534.996094pt,45.840015pt" to="595.276001pt,45.840015pt" stroked="true" strokeweight="7pt" strokecolor="#0095a7">
            <w10:wrap type="none"/>
          </v:line>
        </w:pict>
      </w:r>
      <w:r>
        <w:rPr/>
        <w:pict>
          <v:group style="position:absolute;margin-left:90.709pt;margin-top:145.249008pt;width:432.35pt;height:299.350pt;mso-position-horizontal-relative:page;mso-position-vertical-relative:page;z-index:-201280" coordorigin="1814,2905" coordsize="8647,5987">
            <v:rect style="position:absolute;left:7799;top:4733;width:2661;height:2302" filled="true" fillcolor="#f2f8f3" stroked="false">
              <v:fill type="solid"/>
            </v:rect>
            <v:rect style="position:absolute;left:7799;top:7035;width:2661;height:1857" filled="true" fillcolor="#e9f3eb" stroked="false">
              <v:fill type="solid"/>
            </v:rect>
            <v:rect style="position:absolute;left:7799;top:2905;width:2661;height:1820" filled="true" fillcolor="#8dc7a0" stroked="false">
              <v:fill type="solid"/>
            </v:rect>
            <v:rect style="position:absolute;left:4807;top:4727;width:2721;height:2302" filled="true" fillcolor="#f2f8f3" stroked="false">
              <v:fill type="solid"/>
            </v:rect>
            <v:rect style="position:absolute;left:4807;top:7029;width:2721;height:1759" filled="true" fillcolor="#e9f3eb" stroked="false">
              <v:fill type="solid"/>
            </v:rect>
            <v:rect style="position:absolute;left:4807;top:2905;width:2721;height:1820" filled="true" fillcolor="#67b987" stroked="false">
              <v:fill type="solid"/>
            </v:rect>
            <v:shape style="position:absolute;left:7528;top:3515;width:230;height:441" coordorigin="7528,3515" coordsize="230,441" path="m7528,3515l7528,3956,7757,3726,7528,3515xe" filled="true" fillcolor="#d1d3d4" stroked="false">
              <v:path arrowok="t"/>
              <v:fill type="solid"/>
            </v:shape>
            <v:rect style="position:absolute;left:1814;top:4727;width:2721;height:2302" filled="true" fillcolor="#f2f8f3" stroked="false">
              <v:fill type="solid"/>
            </v:rect>
            <v:rect style="position:absolute;left:1814;top:7029;width:2721;height:1759" filled="true" fillcolor="#e9f3eb" stroked="false">
              <v:fill type="solid"/>
            </v:rect>
            <v:rect style="position:absolute;left:1814;top:2905;width:2721;height:1820" filled="true" fillcolor="#31ac6f" stroked="false">
              <v:fill type="solid"/>
            </v:rect>
            <v:shape style="position:absolute;left:4535;top:3515;width:230;height:441" coordorigin="4535,3515" coordsize="230,441" path="m4535,3515l4535,3956,4765,3726,4535,3515xe" filled="true" fillcolor="#d1d3d4" stroked="false">
              <v:path arrowok="t"/>
              <v:fill type="solid"/>
            </v:shape>
            <w10:wrap type="none"/>
          </v:group>
        </w:pict>
      </w:r>
      <w:r>
        <w:rPr/>
        <w:pict>
          <v:shape style="position:absolute;margin-left:240.986404pt;margin-top:40.902756pt;width:45.55pt;height:9.5pt;mso-position-horizontal-relative:page;mso-position-vertical-relative:page;z-index:-201256" type="#_x0000_t202" filled="false" stroked="false">
            <v:textbox inset="0,0,0,0">
              <w:txbxContent>
                <w:p>
                  <w:pPr>
                    <w:spacing w:before="1"/>
                    <w:ind w:left="20" w:right="0" w:firstLine="0"/>
                    <w:jc w:val="left"/>
                    <w:rPr>
                      <w:sz w:val="15"/>
                    </w:rPr>
                  </w:pPr>
                  <w:r>
                    <w:rPr>
                      <w:color w:val="58595B"/>
                      <w:sz w:val="15"/>
                    </w:rPr>
                    <w:t>CHAPTER 5</w:t>
                  </w:r>
                </w:p>
              </w:txbxContent>
            </v:textbox>
            <w10:wrap type="none"/>
          </v:shape>
        </w:pict>
      </w:r>
      <w:r>
        <w:rPr/>
        <w:pict>
          <v:shape style="position:absolute;margin-left:292.218903pt;margin-top:40.902756pt;width:207.65pt;height:9.5pt;mso-position-horizontal-relative:page;mso-position-vertical-relative:page;z-index:-201232" type="#_x0000_t202" filled="false" stroked="false">
            <v:textbox inset="0,0,0,0">
              <w:txbxContent>
                <w:p>
                  <w:pPr>
                    <w:spacing w:before="1"/>
                    <w:ind w:left="20" w:right="0" w:firstLine="0"/>
                    <w:jc w:val="left"/>
                    <w:rPr>
                      <w:sz w:val="15"/>
                    </w:rPr>
                  </w:pPr>
                  <w:r>
                    <w:rPr>
                      <w:color w:val="58595B"/>
                      <w:sz w:val="15"/>
                    </w:rPr>
                    <w:t>CLARIFYING THE EPA’S OBJECTIVES AND FUNCTIONS</w:t>
                  </w:r>
                </w:p>
              </w:txbxContent>
            </v:textbox>
            <w10:wrap type="none"/>
          </v:shape>
        </w:pict>
      </w:r>
      <w:r>
        <w:rPr/>
        <w:pict>
          <v:shape style="position:absolute;margin-left:514.863892pt;margin-top:40.902756pt;width:10.7pt;height:9.5pt;mso-position-horizontal-relative:page;mso-position-vertical-relative:page;z-index:-201208" type="#_x0000_t202" filled="false" stroked="false">
            <v:textbox inset="0,0,0,0">
              <w:txbxContent>
                <w:p>
                  <w:pPr>
                    <w:spacing w:before="1"/>
                    <w:ind w:left="20" w:right="0" w:firstLine="0"/>
                    <w:jc w:val="left"/>
                    <w:rPr>
                      <w:sz w:val="15"/>
                    </w:rPr>
                  </w:pPr>
                  <w:r>
                    <w:rPr>
                      <w:color w:val="58595B"/>
                      <w:sz w:val="15"/>
                    </w:rPr>
                    <w:t>95</w:t>
                  </w:r>
                </w:p>
              </w:txbxContent>
            </v:textbox>
            <w10:wrap type="none"/>
          </v:shape>
        </w:pict>
      </w:r>
      <w:r>
        <w:rPr/>
        <w:pict>
          <v:shape style="position:absolute;margin-left:89.708603pt;margin-top:457.457764pt;width:432.85pt;height:137.050pt;mso-position-horizontal-relative:page;mso-position-vertical-relative:page;z-index:-201184" type="#_x0000_t202" filled="false" stroked="false">
            <v:textbox inset="0,0,0,0">
              <w:txbxContent>
                <w:p>
                  <w:pPr>
                    <w:pStyle w:val="Heading1"/>
                    <w:numPr>
                      <w:ilvl w:val="0"/>
                      <w:numId w:val="22"/>
                    </w:numPr>
                    <w:tabs>
                      <w:tab w:pos="361" w:val="left" w:leader="none"/>
                    </w:tabs>
                    <w:spacing w:line="224" w:lineRule="exact" w:before="0" w:after="0"/>
                    <w:ind w:left="360" w:right="0" w:hanging="340"/>
                    <w:jc w:val="left"/>
                  </w:pPr>
                  <w:r>
                    <w:rPr>
                      <w:color w:val="58595B"/>
                    </w:rPr>
                    <w:t>Monitor and </w:t>
                  </w:r>
                  <w:r>
                    <w:rPr>
                      <w:color w:val="58595B"/>
                      <w:spacing w:val="2"/>
                    </w:rPr>
                    <w:t>identify </w:t>
                  </w:r>
                  <w:r>
                    <w:rPr>
                      <w:color w:val="58595B"/>
                    </w:rPr>
                    <w:t>impacts and risks to public health and the</w:t>
                  </w:r>
                  <w:r>
                    <w:rPr>
                      <w:color w:val="58595B"/>
                      <w:spacing w:val="53"/>
                    </w:rPr>
                    <w:t> </w:t>
                  </w:r>
                  <w:r>
                    <w:rPr>
                      <w:color w:val="58595B"/>
                    </w:rPr>
                    <w:t>environment</w:t>
                  </w:r>
                </w:p>
                <w:p>
                  <w:pPr>
                    <w:pStyle w:val="ListParagraph"/>
                    <w:numPr>
                      <w:ilvl w:val="1"/>
                      <w:numId w:val="22"/>
                    </w:numPr>
                    <w:tabs>
                      <w:tab w:pos="531" w:val="left" w:leader="none"/>
                    </w:tabs>
                    <w:spacing w:line="280" w:lineRule="auto" w:before="153" w:after="0"/>
                    <w:ind w:left="530" w:right="17" w:hanging="170"/>
                    <w:jc w:val="left"/>
                    <w:rPr>
                      <w:sz w:val="20"/>
                    </w:rPr>
                  </w:pPr>
                  <w:r>
                    <w:rPr>
                      <w:color w:val="58595B"/>
                      <w:sz w:val="20"/>
                    </w:rPr>
                    <w:t>Monitor the condition of the environment and critical risk factors for the impact of pollution and waste on the health and safety, wellbeing, productive and environmental outcomes that the </w:t>
                  </w:r>
                  <w:r>
                    <w:rPr>
                      <w:color w:val="58595B"/>
                      <w:spacing w:val="-4"/>
                      <w:sz w:val="20"/>
                    </w:rPr>
                    <w:t>EPA </w:t>
                  </w:r>
                  <w:r>
                    <w:rPr>
                      <w:color w:val="58595B"/>
                      <w:sz w:val="20"/>
                    </w:rPr>
                    <w:t>seeks to</w:t>
                  </w:r>
                  <w:r>
                    <w:rPr>
                      <w:color w:val="58595B"/>
                      <w:spacing w:val="-1"/>
                      <w:sz w:val="20"/>
                    </w:rPr>
                    <w:t> </w:t>
                  </w:r>
                  <w:r>
                    <w:rPr>
                      <w:color w:val="58595B"/>
                      <w:sz w:val="20"/>
                    </w:rPr>
                    <w:t>maintain.</w:t>
                  </w:r>
                </w:p>
                <w:p>
                  <w:pPr>
                    <w:pStyle w:val="ListParagraph"/>
                    <w:numPr>
                      <w:ilvl w:val="1"/>
                      <w:numId w:val="22"/>
                    </w:numPr>
                    <w:tabs>
                      <w:tab w:pos="531" w:val="left" w:leader="none"/>
                    </w:tabs>
                    <w:spacing w:line="280" w:lineRule="auto" w:before="115" w:after="0"/>
                    <w:ind w:left="530" w:right="814" w:hanging="170"/>
                    <w:jc w:val="both"/>
                    <w:rPr>
                      <w:sz w:val="20"/>
                    </w:rPr>
                  </w:pPr>
                  <w:r>
                    <w:rPr>
                      <w:color w:val="58595B"/>
                      <w:sz w:val="20"/>
                    </w:rPr>
                    <w:t>Conduct research and analyse environmental data to identify relevant impacts and risks, including from changes in industry and community practices and changes in the</w:t>
                  </w:r>
                  <w:r>
                    <w:rPr>
                      <w:color w:val="58595B"/>
                      <w:spacing w:val="-4"/>
                      <w:sz w:val="20"/>
                    </w:rPr>
                    <w:t> </w:t>
                  </w:r>
                  <w:r>
                    <w:rPr>
                      <w:color w:val="58595B"/>
                      <w:sz w:val="20"/>
                    </w:rPr>
                    <w:t>environment.</w:t>
                  </w:r>
                </w:p>
                <w:p>
                  <w:pPr>
                    <w:pStyle w:val="ListParagraph"/>
                    <w:numPr>
                      <w:ilvl w:val="1"/>
                      <w:numId w:val="22"/>
                    </w:numPr>
                    <w:tabs>
                      <w:tab w:pos="531" w:val="left" w:leader="none"/>
                    </w:tabs>
                    <w:spacing w:line="280" w:lineRule="auto" w:before="115" w:after="0"/>
                    <w:ind w:left="530" w:right="474" w:hanging="170"/>
                    <w:jc w:val="left"/>
                    <w:rPr>
                      <w:sz w:val="20"/>
                    </w:rPr>
                  </w:pPr>
                  <w:r>
                    <w:rPr>
                      <w:color w:val="58595B"/>
                      <w:sz w:val="20"/>
                    </w:rPr>
                    <w:t>Monitor identified ‘hotspots’, and advise on acute impacts caused by emergencies and other</w:t>
                  </w:r>
                  <w:r>
                    <w:rPr>
                      <w:color w:val="58595B"/>
                      <w:spacing w:val="1"/>
                      <w:sz w:val="20"/>
                    </w:rPr>
                    <w:t> </w:t>
                  </w:r>
                  <w:r>
                    <w:rPr>
                      <w:color w:val="58595B"/>
                      <w:sz w:val="20"/>
                    </w:rPr>
                    <w:t>incidents.</w:t>
                  </w:r>
                </w:p>
              </w:txbxContent>
            </v:textbox>
            <w10:wrap type="none"/>
          </v:shape>
        </w:pict>
      </w:r>
      <w:r>
        <w:rPr/>
        <w:pict>
          <v:shape style="position:absolute;margin-left:89.708603pt;margin-top:604.467773pt;width:408.15pt;height:83.05pt;mso-position-horizontal-relative:page;mso-position-vertical-relative:page;z-index:-201160" type="#_x0000_t202" filled="false" stroked="false">
            <v:textbox inset="0,0,0,0">
              <w:txbxContent>
                <w:p>
                  <w:pPr>
                    <w:pStyle w:val="Heading1"/>
                    <w:numPr>
                      <w:ilvl w:val="0"/>
                      <w:numId w:val="23"/>
                    </w:numPr>
                    <w:tabs>
                      <w:tab w:pos="361" w:val="left" w:leader="none"/>
                    </w:tabs>
                    <w:spacing w:line="224" w:lineRule="exact" w:before="0" w:after="0"/>
                    <w:ind w:left="360" w:right="0" w:hanging="340"/>
                    <w:jc w:val="left"/>
                  </w:pPr>
                  <w:r>
                    <w:rPr>
                      <w:color w:val="58595B"/>
                    </w:rPr>
                    <w:t>Proactively adapt tools and instruments to prevent and reduce impacts and </w:t>
                  </w:r>
                  <w:r>
                    <w:rPr>
                      <w:color w:val="58595B"/>
                      <w:spacing w:val="5"/>
                    </w:rPr>
                    <w:t> </w:t>
                  </w:r>
                  <w:r>
                    <w:rPr>
                      <w:color w:val="58595B"/>
                    </w:rPr>
                    <w:t>risks</w:t>
                  </w:r>
                </w:p>
                <w:p>
                  <w:pPr>
                    <w:pStyle w:val="ListParagraph"/>
                    <w:numPr>
                      <w:ilvl w:val="1"/>
                      <w:numId w:val="23"/>
                    </w:numPr>
                    <w:tabs>
                      <w:tab w:pos="531" w:val="left" w:leader="none"/>
                    </w:tabs>
                    <w:spacing w:line="240" w:lineRule="auto" w:before="153" w:after="0"/>
                    <w:ind w:left="530" w:right="0" w:hanging="170"/>
                    <w:jc w:val="left"/>
                    <w:rPr>
                      <w:sz w:val="20"/>
                    </w:rPr>
                  </w:pPr>
                  <w:r>
                    <w:rPr>
                      <w:color w:val="58595B"/>
                      <w:sz w:val="20"/>
                    </w:rPr>
                    <w:t>Identify priority impacts and</w:t>
                  </w:r>
                  <w:r>
                    <w:rPr>
                      <w:color w:val="58595B"/>
                      <w:spacing w:val="18"/>
                      <w:sz w:val="20"/>
                    </w:rPr>
                    <w:t> </w:t>
                  </w:r>
                  <w:r>
                    <w:rPr>
                      <w:color w:val="58595B"/>
                      <w:sz w:val="20"/>
                    </w:rPr>
                    <w:t>risks.</w:t>
                  </w:r>
                </w:p>
                <w:p>
                  <w:pPr>
                    <w:pStyle w:val="ListParagraph"/>
                    <w:numPr>
                      <w:ilvl w:val="1"/>
                      <w:numId w:val="23"/>
                    </w:numPr>
                    <w:tabs>
                      <w:tab w:pos="530" w:val="left" w:leader="none"/>
                    </w:tabs>
                    <w:spacing w:line="240" w:lineRule="auto" w:before="153" w:after="0"/>
                    <w:ind w:left="530" w:right="0" w:hanging="170"/>
                    <w:jc w:val="left"/>
                    <w:rPr>
                      <w:sz w:val="20"/>
                    </w:rPr>
                  </w:pPr>
                  <w:r>
                    <w:rPr>
                      <w:color w:val="58595B"/>
                      <w:sz w:val="20"/>
                    </w:rPr>
                    <w:t>Adapt existing tools to more effectively prevent or minimise impacts and</w:t>
                  </w:r>
                  <w:r>
                    <w:rPr>
                      <w:color w:val="58595B"/>
                      <w:spacing w:val="-8"/>
                      <w:sz w:val="20"/>
                    </w:rPr>
                    <w:t> </w:t>
                  </w:r>
                  <w:r>
                    <w:rPr>
                      <w:color w:val="58595B"/>
                      <w:sz w:val="20"/>
                    </w:rPr>
                    <w:t>risks.</w:t>
                  </w:r>
                </w:p>
                <w:p>
                  <w:pPr>
                    <w:pStyle w:val="ListParagraph"/>
                    <w:numPr>
                      <w:ilvl w:val="1"/>
                      <w:numId w:val="23"/>
                    </w:numPr>
                    <w:tabs>
                      <w:tab w:pos="530" w:val="left" w:leader="none"/>
                    </w:tabs>
                    <w:spacing w:line="280" w:lineRule="auto" w:before="153" w:after="0"/>
                    <w:ind w:left="530" w:right="243" w:hanging="170"/>
                    <w:jc w:val="left"/>
                    <w:rPr>
                      <w:sz w:val="20"/>
                    </w:rPr>
                  </w:pPr>
                  <w:r>
                    <w:rPr>
                      <w:color w:val="58595B"/>
                      <w:sz w:val="20"/>
                    </w:rPr>
                    <w:t>Work with DELWP and other agencies to develop new standards and new statutory instruments that better protect Victoria’s environment and public</w:t>
                  </w:r>
                  <w:r>
                    <w:rPr>
                      <w:color w:val="58595B"/>
                      <w:spacing w:val="-14"/>
                      <w:sz w:val="20"/>
                    </w:rPr>
                    <w:t> </w:t>
                  </w:r>
                  <w:r>
                    <w:rPr>
                      <w:color w:val="58595B"/>
                      <w:sz w:val="20"/>
                    </w:rPr>
                    <w:t>health.</w:t>
                  </w:r>
                </w:p>
              </w:txbxContent>
            </v:textbox>
            <w10:wrap type="none"/>
          </v:shape>
        </w:pict>
      </w:r>
      <w:r>
        <w:rPr/>
        <w:pict>
          <v:shape style="position:absolute;margin-left:389.963989pt;margin-top:145.249008pt;width:133.050pt;height:91.2pt;mso-position-horizontal-relative:page;mso-position-vertical-relative:page;z-index:-201136" type="#_x0000_t202" filled="false" stroked="false">
            <v:textbox inset="0,0,0,0">
              <w:txbxContent>
                <w:p>
                  <w:pPr>
                    <w:pStyle w:val="BodyText"/>
                    <w:spacing w:before="71"/>
                    <w:ind w:left="121" w:right="258"/>
                  </w:pPr>
                  <w:r>
                    <w:rPr>
                      <w:color w:val="FFFFFF"/>
                    </w:rPr>
                    <w:t>6. EVALUATE</w:t>
                  </w:r>
                </w:p>
                <w:p>
                  <w:pPr>
                    <w:spacing w:line="278" w:lineRule="auto" w:before="122"/>
                    <w:ind w:left="116" w:right="258" w:hanging="5"/>
                    <w:jc w:val="left"/>
                    <w:rPr>
                      <w:b/>
                      <w:sz w:val="18"/>
                    </w:rPr>
                  </w:pPr>
                  <w:r>
                    <w:rPr>
                      <w:b/>
                      <w:color w:val="FFFFFF"/>
                      <w:sz w:val="18"/>
                    </w:rPr>
                    <w:t>Assess the effectiveness of interventions</w:t>
                  </w:r>
                </w:p>
                <w:p>
                  <w:pPr>
                    <w:pStyle w:val="BodyText"/>
                    <w:spacing w:before="4"/>
                    <w:ind w:left="40"/>
                    <w:rPr>
                      <w:rFonts w:ascii="Times New Roman"/>
                      <w:sz w:val="17"/>
                    </w:rPr>
                  </w:pPr>
                </w:p>
              </w:txbxContent>
            </v:textbox>
            <w10:wrap type="none"/>
          </v:shape>
        </w:pict>
      </w:r>
      <w:r>
        <w:rPr/>
        <w:pict>
          <v:shape style="position:absolute;margin-left:389.963989pt;margin-top:236.439514pt;width:133.050pt;height:115.3pt;mso-position-horizontal-relative:page;mso-position-vertical-relative:page;z-index:-201112" type="#_x0000_t202" filled="false" stroked="false">
            <v:textbox inset="0,0,0,0">
              <w:txbxContent>
                <w:p>
                  <w:pPr>
                    <w:spacing w:before="132"/>
                    <w:ind w:left="179" w:right="258" w:firstLine="0"/>
                    <w:jc w:val="left"/>
                    <w:rPr>
                      <w:b/>
                      <w:sz w:val="20"/>
                    </w:rPr>
                  </w:pPr>
                  <w:r>
                    <w:rPr>
                      <w:b/>
                      <w:color w:val="58595B"/>
                      <w:sz w:val="20"/>
                    </w:rPr>
                    <w:t>EPA Functions</w:t>
                  </w:r>
                </w:p>
                <w:p>
                  <w:pPr>
                    <w:spacing w:line="261" w:lineRule="auto" w:before="177"/>
                    <w:ind w:left="439" w:right="258" w:hanging="276"/>
                    <w:jc w:val="left"/>
                    <w:rPr>
                      <w:sz w:val="16"/>
                    </w:rPr>
                  </w:pPr>
                  <w:r>
                    <w:rPr>
                      <w:b/>
                      <w:color w:val="31AC6F"/>
                      <w:sz w:val="16"/>
                    </w:rPr>
                    <w:t>10. </w:t>
                  </w:r>
                  <w:r>
                    <w:rPr>
                      <w:color w:val="58595B"/>
                      <w:sz w:val="16"/>
                    </w:rPr>
                    <w:t>Evaluate the effectiveness of regulatory interventions</w:t>
                  </w:r>
                </w:p>
                <w:p>
                  <w:pPr>
                    <w:pStyle w:val="BodyText"/>
                    <w:spacing w:before="4"/>
                    <w:ind w:left="40"/>
                    <w:rPr>
                      <w:rFonts w:ascii="Times New Roman"/>
                      <w:sz w:val="17"/>
                    </w:rPr>
                  </w:pPr>
                </w:p>
              </w:txbxContent>
            </v:textbox>
            <w10:wrap type="none"/>
          </v:shape>
        </w:pict>
      </w:r>
      <w:r>
        <w:rPr/>
        <w:pict>
          <v:shape style="position:absolute;margin-left:389.963989pt;margin-top:351.72702pt;width:133.050pt;height:92.85pt;mso-position-horizontal-relative:page;mso-position-vertical-relative:page;z-index:-201088" type="#_x0000_t202" filled="false" stroked="false">
            <v:textbox inset="0,0,0,0">
              <w:txbxContent>
                <w:p>
                  <w:pPr>
                    <w:pStyle w:val="BodyText"/>
                    <w:spacing w:before="9"/>
                    <w:ind w:left="0"/>
                    <w:rPr>
                      <w:rFonts w:ascii="Times New Roman"/>
                      <w:sz w:val="16"/>
                    </w:rPr>
                  </w:pPr>
                </w:p>
                <w:p>
                  <w:pPr>
                    <w:spacing w:line="261" w:lineRule="auto" w:before="0"/>
                    <w:ind w:left="117" w:right="157" w:firstLine="4"/>
                    <w:jc w:val="left"/>
                    <w:rPr>
                      <w:sz w:val="16"/>
                    </w:rPr>
                  </w:pPr>
                  <w:r>
                    <w:rPr>
                      <w:color w:val="58595B"/>
                      <w:spacing w:val="-5"/>
                      <w:sz w:val="16"/>
                    </w:rPr>
                    <w:t>Support continuous improvement </w:t>
                  </w:r>
                  <w:r>
                    <w:rPr>
                      <w:color w:val="58595B"/>
                      <w:spacing w:val="-4"/>
                      <w:sz w:val="16"/>
                    </w:rPr>
                    <w:t>and inform </w:t>
                  </w:r>
                  <w:r>
                    <w:rPr>
                      <w:color w:val="58595B"/>
                      <w:spacing w:val="-3"/>
                      <w:sz w:val="16"/>
                    </w:rPr>
                    <w:t>risk </w:t>
                  </w:r>
                  <w:r>
                    <w:rPr>
                      <w:color w:val="58595B"/>
                      <w:spacing w:val="-4"/>
                      <w:sz w:val="16"/>
                    </w:rPr>
                    <w:t>analysis by assessing </w:t>
                  </w:r>
                  <w:r>
                    <w:rPr>
                      <w:color w:val="58595B"/>
                      <w:spacing w:val="-5"/>
                      <w:sz w:val="16"/>
                    </w:rPr>
                    <w:t>outcomes, changes in outcomes </w:t>
                  </w:r>
                  <w:r>
                    <w:rPr>
                      <w:color w:val="58595B"/>
                      <w:spacing w:val="-4"/>
                      <w:sz w:val="16"/>
                    </w:rPr>
                    <w:t>and the costs </w:t>
                  </w:r>
                  <w:r>
                    <w:rPr>
                      <w:color w:val="58595B"/>
                      <w:spacing w:val="-5"/>
                      <w:sz w:val="16"/>
                    </w:rPr>
                    <w:t>of interventions, </w:t>
                  </w:r>
                  <w:r>
                    <w:rPr>
                      <w:color w:val="58595B"/>
                      <w:spacing w:val="-3"/>
                      <w:sz w:val="16"/>
                    </w:rPr>
                    <w:t>to </w:t>
                  </w:r>
                  <w:r>
                    <w:rPr>
                      <w:color w:val="58595B"/>
                      <w:spacing w:val="-5"/>
                      <w:sz w:val="16"/>
                    </w:rPr>
                    <w:t>maintain government confidence and community </w:t>
                  </w:r>
                  <w:r>
                    <w:rPr>
                      <w:color w:val="58595B"/>
                      <w:spacing w:val="-4"/>
                      <w:sz w:val="16"/>
                    </w:rPr>
                    <w:t>trust </w:t>
                  </w:r>
                  <w:r>
                    <w:rPr>
                      <w:color w:val="58595B"/>
                      <w:spacing w:val="-3"/>
                      <w:sz w:val="16"/>
                    </w:rPr>
                    <w:t>in </w:t>
                  </w:r>
                  <w:r>
                    <w:rPr>
                      <w:color w:val="58595B"/>
                      <w:spacing w:val="-4"/>
                      <w:sz w:val="16"/>
                    </w:rPr>
                    <w:t>the </w:t>
                  </w:r>
                  <w:r>
                    <w:rPr>
                      <w:color w:val="58595B"/>
                      <w:spacing w:val="-6"/>
                      <w:sz w:val="16"/>
                    </w:rPr>
                    <w:t>effectiveness </w:t>
                  </w:r>
                  <w:r>
                    <w:rPr>
                      <w:color w:val="58595B"/>
                      <w:spacing w:val="-3"/>
                      <w:sz w:val="16"/>
                    </w:rPr>
                    <w:t>of </w:t>
                  </w:r>
                  <w:r>
                    <w:rPr>
                      <w:color w:val="58595B"/>
                      <w:spacing w:val="-4"/>
                      <w:sz w:val="16"/>
                    </w:rPr>
                    <w:t>the </w:t>
                  </w:r>
                  <w:r>
                    <w:rPr>
                      <w:color w:val="58595B"/>
                      <w:spacing w:val="-5"/>
                      <w:sz w:val="16"/>
                    </w:rPr>
                    <w:t>regulatory framework</w:t>
                  </w:r>
                </w:p>
              </w:txbxContent>
            </v:textbox>
            <w10:wrap type="none"/>
          </v:shape>
        </w:pict>
      </w:r>
      <w:r>
        <w:rPr/>
        <w:pict>
          <v:shape style="position:absolute;margin-left:240.336502pt;margin-top:145.249008pt;width:136.1pt;height:91.05pt;mso-position-horizontal-relative:page;mso-position-vertical-relative:page;z-index:-201064" type="#_x0000_t202" filled="false" stroked="false">
            <v:textbox inset="0,0,0,0">
              <w:txbxContent>
                <w:p>
                  <w:pPr>
                    <w:pStyle w:val="BodyText"/>
                    <w:spacing w:before="71"/>
                    <w:ind w:left="120" w:right="176"/>
                  </w:pPr>
                  <w:r>
                    <w:rPr>
                      <w:color w:val="FFFFFF"/>
                    </w:rPr>
                    <w:t>5. ENFORCE</w:t>
                  </w:r>
                </w:p>
                <w:p>
                  <w:pPr>
                    <w:spacing w:line="266" w:lineRule="auto" w:before="122"/>
                    <w:ind w:left="120" w:right="176" w:firstLine="4"/>
                    <w:jc w:val="left"/>
                    <w:rPr>
                      <w:b/>
                      <w:sz w:val="18"/>
                    </w:rPr>
                  </w:pPr>
                  <w:r>
                    <w:rPr>
                      <w:b/>
                      <w:color w:val="FFFFFF"/>
                      <w:sz w:val="18"/>
                    </w:rPr>
                    <w:t>Monitor and e(nforce) the law through proportionate and responsive measures</w:t>
                  </w:r>
                </w:p>
                <w:p>
                  <w:pPr>
                    <w:pStyle w:val="BodyText"/>
                    <w:spacing w:before="4"/>
                    <w:ind w:left="40"/>
                    <w:rPr>
                      <w:rFonts w:ascii="Times New Roman"/>
                      <w:sz w:val="17"/>
                    </w:rPr>
                  </w:pPr>
                </w:p>
              </w:txbxContent>
            </v:textbox>
            <w10:wrap type="none"/>
          </v:shape>
        </w:pict>
      </w:r>
      <w:r>
        <w:rPr/>
        <w:pict>
          <v:shape style="position:absolute;margin-left:240.336502pt;margin-top:236.298019pt;width:136.1pt;height:115.15pt;mso-position-horizontal-relative:page;mso-position-vertical-relative:page;z-index:-201040" type="#_x0000_t202" filled="false" stroked="false">
            <v:textbox inset="0,0,0,0">
              <w:txbxContent>
                <w:p>
                  <w:pPr>
                    <w:spacing w:before="129"/>
                    <w:ind w:left="179" w:right="176" w:firstLine="0"/>
                    <w:jc w:val="left"/>
                    <w:rPr>
                      <w:b/>
                      <w:sz w:val="20"/>
                    </w:rPr>
                  </w:pPr>
                  <w:r>
                    <w:rPr>
                      <w:b/>
                      <w:color w:val="58595B"/>
                      <w:sz w:val="20"/>
                    </w:rPr>
                    <w:t>EPA Functions</w:t>
                  </w:r>
                </w:p>
                <w:p>
                  <w:pPr>
                    <w:spacing w:line="261" w:lineRule="auto" w:before="177"/>
                    <w:ind w:left="368" w:right="176" w:hanging="185"/>
                    <w:jc w:val="left"/>
                    <w:rPr>
                      <w:sz w:val="16"/>
                    </w:rPr>
                  </w:pPr>
                  <w:r>
                    <w:rPr>
                      <w:b/>
                      <w:color w:val="31AC6F"/>
                      <w:sz w:val="16"/>
                    </w:rPr>
                    <w:t>9. </w:t>
                  </w:r>
                  <w:r>
                    <w:rPr>
                      <w:color w:val="58595B"/>
                      <w:sz w:val="16"/>
                    </w:rPr>
                    <w:t>Monitor compliance and enforce the law</w:t>
                  </w:r>
                </w:p>
                <w:p>
                  <w:pPr>
                    <w:pStyle w:val="BodyText"/>
                    <w:spacing w:before="4"/>
                    <w:ind w:left="40"/>
                    <w:rPr>
                      <w:rFonts w:ascii="Times New Roman"/>
                      <w:sz w:val="17"/>
                    </w:rPr>
                  </w:pPr>
                </w:p>
              </w:txbxContent>
            </v:textbox>
            <w10:wrap type="none"/>
          </v:shape>
        </w:pict>
      </w:r>
      <w:r>
        <w:rPr/>
        <w:pict>
          <v:shape style="position:absolute;margin-left:240.336502pt;margin-top:351.444pt;width:136.1pt;height:87.95pt;mso-position-horizontal-relative:page;mso-position-vertical-relative:page;z-index:-201016" type="#_x0000_t202" filled="false" stroked="false">
            <v:textbox inset="0,0,0,0">
              <w:txbxContent>
                <w:p>
                  <w:pPr>
                    <w:pStyle w:val="BodyText"/>
                    <w:spacing w:before="9"/>
                    <w:ind w:left="0"/>
                    <w:rPr>
                      <w:rFonts w:ascii="Times New Roman"/>
                      <w:sz w:val="16"/>
                    </w:rPr>
                  </w:pPr>
                </w:p>
                <w:p>
                  <w:pPr>
                    <w:spacing w:line="261" w:lineRule="auto" w:before="0"/>
                    <w:ind w:left="117" w:right="70" w:hanging="13"/>
                    <w:jc w:val="left"/>
                    <w:rPr>
                      <w:sz w:val="16"/>
                    </w:rPr>
                  </w:pPr>
                  <w:r>
                    <w:rPr>
                      <w:color w:val="58595B"/>
                      <w:sz w:val="16"/>
                    </w:rPr>
                    <w:t>Timely, proportionate and effective enforcement responses to build confidence in the system and to deter pollution</w:t>
                  </w:r>
                </w:p>
                <w:p>
                  <w:pPr>
                    <w:pStyle w:val="BodyText"/>
                    <w:spacing w:before="4"/>
                    <w:ind w:left="40"/>
                    <w:rPr>
                      <w:rFonts w:ascii="Times New Roman"/>
                      <w:sz w:val="17"/>
                    </w:rPr>
                  </w:pPr>
                </w:p>
              </w:txbxContent>
            </v:textbox>
            <w10:wrap type="none"/>
          </v:shape>
        </w:pict>
      </w:r>
      <w:r>
        <w:rPr/>
        <w:pict>
          <v:shape style="position:absolute;margin-left:90.709pt;margin-top:145.249008pt;width:136.1pt;height:91.05pt;mso-position-horizontal-relative:page;mso-position-vertical-relative:page;z-index:-200992" type="#_x0000_t202" filled="false" stroked="false">
            <v:textbox inset="0,0,0,0">
              <w:txbxContent>
                <w:p>
                  <w:pPr>
                    <w:pStyle w:val="BodyText"/>
                    <w:spacing w:before="71"/>
                    <w:ind w:left="109" w:right="176"/>
                  </w:pPr>
                  <w:r>
                    <w:rPr>
                      <w:color w:val="FFFFFF"/>
                    </w:rPr>
                    <w:t>4. ENABLE</w:t>
                  </w:r>
                </w:p>
                <w:p>
                  <w:pPr>
                    <w:spacing w:line="254" w:lineRule="auto" w:before="122"/>
                    <w:ind w:left="122" w:right="308" w:firstLine="2"/>
                    <w:jc w:val="left"/>
                    <w:rPr>
                      <w:b/>
                      <w:sz w:val="18"/>
                    </w:rPr>
                  </w:pPr>
                  <w:r>
                    <w:rPr>
                      <w:b/>
                      <w:color w:val="FFFFFF"/>
                      <w:sz w:val="18"/>
                    </w:rPr>
                    <w:t>Enable duty holders and the community to achieve standards and to adopt better behaviours and practices</w:t>
                  </w:r>
                </w:p>
                <w:p>
                  <w:pPr>
                    <w:pStyle w:val="BodyText"/>
                    <w:spacing w:before="4"/>
                    <w:ind w:left="40"/>
                    <w:rPr>
                      <w:rFonts w:ascii="Times New Roman"/>
                      <w:sz w:val="17"/>
                    </w:rPr>
                  </w:pPr>
                </w:p>
              </w:txbxContent>
            </v:textbox>
            <w10:wrap type="none"/>
          </v:shape>
        </w:pict>
      </w:r>
      <w:r>
        <w:rPr/>
        <w:pict>
          <v:shape style="position:absolute;margin-left:90.709pt;margin-top:236.298019pt;width:136.1pt;height:115.15pt;mso-position-horizontal-relative:page;mso-position-vertical-relative:page;z-index:-200968" type="#_x0000_t202" filled="false" stroked="false">
            <v:textbox inset="0,0,0,0">
              <w:txbxContent>
                <w:p>
                  <w:pPr>
                    <w:spacing w:before="129"/>
                    <w:ind w:left="179" w:right="176" w:firstLine="0"/>
                    <w:jc w:val="left"/>
                    <w:rPr>
                      <w:b/>
                      <w:sz w:val="20"/>
                    </w:rPr>
                  </w:pPr>
                  <w:r>
                    <w:rPr>
                      <w:b/>
                      <w:color w:val="58595B"/>
                      <w:sz w:val="20"/>
                    </w:rPr>
                    <w:t>EPA Functions</w:t>
                  </w:r>
                </w:p>
                <w:p>
                  <w:pPr>
                    <w:pStyle w:val="ListParagraph"/>
                    <w:numPr>
                      <w:ilvl w:val="0"/>
                      <w:numId w:val="24"/>
                    </w:numPr>
                    <w:tabs>
                      <w:tab w:pos="354" w:val="left" w:leader="none"/>
                    </w:tabs>
                    <w:spacing w:line="240" w:lineRule="auto" w:before="177" w:after="0"/>
                    <w:ind w:left="366" w:right="0" w:hanging="193"/>
                    <w:jc w:val="left"/>
                    <w:rPr>
                      <w:sz w:val="16"/>
                    </w:rPr>
                  </w:pPr>
                  <w:r>
                    <w:rPr>
                      <w:color w:val="58595B"/>
                      <w:sz w:val="16"/>
                    </w:rPr>
                    <w:t>Support</w:t>
                  </w:r>
                  <w:r>
                    <w:rPr>
                      <w:color w:val="58595B"/>
                      <w:spacing w:val="1"/>
                      <w:sz w:val="16"/>
                    </w:rPr>
                    <w:t> </w:t>
                  </w:r>
                  <w:r>
                    <w:rPr>
                      <w:color w:val="58595B"/>
                      <w:sz w:val="16"/>
                    </w:rPr>
                    <w:t>compliance</w:t>
                  </w:r>
                </w:p>
                <w:p>
                  <w:pPr>
                    <w:pStyle w:val="BodyText"/>
                    <w:spacing w:before="2"/>
                    <w:ind w:left="0"/>
                    <w:rPr>
                      <w:rFonts w:ascii="Times New Roman"/>
                      <w:sz w:val="16"/>
                    </w:rPr>
                  </w:pPr>
                </w:p>
                <w:p>
                  <w:pPr>
                    <w:pStyle w:val="ListParagraph"/>
                    <w:numPr>
                      <w:ilvl w:val="0"/>
                      <w:numId w:val="24"/>
                    </w:numPr>
                    <w:tabs>
                      <w:tab w:pos="363" w:val="left" w:leader="none"/>
                    </w:tabs>
                    <w:spacing w:line="261" w:lineRule="auto" w:before="0" w:after="0"/>
                    <w:ind w:left="366" w:right="320" w:hanging="184"/>
                    <w:jc w:val="left"/>
                    <w:rPr>
                      <w:sz w:val="16"/>
                    </w:rPr>
                  </w:pPr>
                  <w:r>
                    <w:rPr>
                      <w:color w:val="58595B"/>
                      <w:sz w:val="16"/>
                    </w:rPr>
                    <w:t>Report to, educate and engage with the community on managing risks and the condition of the</w:t>
                  </w:r>
                  <w:r>
                    <w:rPr>
                      <w:color w:val="58595B"/>
                      <w:spacing w:val="3"/>
                      <w:sz w:val="16"/>
                    </w:rPr>
                    <w:t> </w:t>
                  </w:r>
                  <w:r>
                    <w:rPr>
                      <w:color w:val="58595B"/>
                      <w:sz w:val="16"/>
                    </w:rPr>
                    <w:t>environment</w:t>
                  </w:r>
                </w:p>
                <w:p>
                  <w:pPr>
                    <w:pStyle w:val="BodyText"/>
                    <w:spacing w:before="4"/>
                    <w:ind w:left="40"/>
                    <w:rPr>
                      <w:rFonts w:ascii="Times New Roman"/>
                      <w:sz w:val="17"/>
                    </w:rPr>
                  </w:pPr>
                </w:p>
              </w:txbxContent>
            </v:textbox>
            <w10:wrap type="none"/>
          </v:shape>
        </w:pict>
      </w:r>
      <w:r>
        <w:rPr/>
        <w:pict>
          <v:shape style="position:absolute;margin-left:90.709pt;margin-top:351.444pt;width:136.1pt;height:87.95pt;mso-position-horizontal-relative:page;mso-position-vertical-relative:page;z-index:-200944" type="#_x0000_t202" filled="false" stroked="false">
            <v:textbox inset="0,0,0,0">
              <w:txbxContent>
                <w:p>
                  <w:pPr>
                    <w:pStyle w:val="BodyText"/>
                    <w:spacing w:before="9"/>
                    <w:ind w:left="0"/>
                    <w:rPr>
                      <w:rFonts w:ascii="Times New Roman"/>
                      <w:sz w:val="16"/>
                    </w:rPr>
                  </w:pPr>
                </w:p>
                <w:p>
                  <w:pPr>
                    <w:spacing w:line="261" w:lineRule="auto" w:before="0"/>
                    <w:ind w:left="117" w:right="308" w:firstLine="4"/>
                    <w:jc w:val="left"/>
                    <w:rPr>
                      <w:sz w:val="16"/>
                    </w:rPr>
                  </w:pPr>
                  <w:r>
                    <w:rPr>
                      <w:color w:val="58595B"/>
                      <w:sz w:val="16"/>
                    </w:rPr>
                    <w:t>Wider role in supporting compliance particularly with a general duty, and an increased role to meet growing community expectations for information and transparency</w:t>
                  </w:r>
                </w:p>
                <w:p>
                  <w:pPr>
                    <w:pStyle w:val="BodyText"/>
                    <w:spacing w:before="4"/>
                    <w:ind w:left="40"/>
                    <w:rPr>
                      <w:rFonts w:ascii="Times New Roman"/>
                      <w:sz w:val="17"/>
                    </w:rPr>
                  </w:pPr>
                </w:p>
              </w:txbxContent>
            </v:textbox>
            <w10:wrap type="none"/>
          </v:shape>
        </w:pict>
      </w:r>
      <w:r>
        <w:rPr/>
        <w:pict>
          <v:shape style="position:absolute;margin-left:534.996094pt;margin-top:44.090015pt;width:60.3pt;height:5.25pt;mso-position-horizontal-relative:page;mso-position-vertical-relative:page;z-index:-200920"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200896"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200872" from=".0pt,45.840015pt" to="60.2791pt,45.840015pt" stroked="true" strokeweight="7pt" strokecolor="#0095a7">
            <w10:wrap type="none"/>
          </v:line>
        </w:pict>
      </w:r>
      <w:r>
        <w:rPr/>
        <w:pict>
          <v:shape style="position:absolute;margin-left:69.866096pt;margin-top:40.902756pt;width:10.9pt;height:9.5pt;mso-position-horizontal-relative:page;mso-position-vertical-relative:page;z-index:-200848" type="#_x0000_t202" filled="false" stroked="false">
            <v:textbox inset="0,0,0,0">
              <w:txbxContent>
                <w:p>
                  <w:pPr>
                    <w:spacing w:before="1"/>
                    <w:ind w:left="20" w:right="0" w:firstLine="0"/>
                    <w:jc w:val="left"/>
                    <w:rPr>
                      <w:sz w:val="15"/>
                    </w:rPr>
                  </w:pPr>
                  <w:r>
                    <w:rPr>
                      <w:color w:val="58595B"/>
                      <w:sz w:val="15"/>
                    </w:rPr>
                    <w:t>96</w:t>
                  </w:r>
                </w:p>
              </w:txbxContent>
            </v:textbox>
            <w10:wrap type="none"/>
          </v:shape>
        </w:pict>
      </w:r>
      <w:r>
        <w:rPr/>
        <w:pict>
          <v:shape style="position:absolute;margin-left:95.377899pt;margin-top:40.902756pt;width:147.75pt;height:9.5pt;mso-position-horizontal-relative:page;mso-position-vertical-relative:page;z-index:-200824"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10.45pt;height:12pt;mso-position-horizontal-relative:page;mso-position-vertical-relative:page;z-index:-200800" type="#_x0000_t202" filled="false" stroked="false">
            <v:textbox inset="0,0,0,0">
              <w:txbxContent>
                <w:p>
                  <w:pPr>
                    <w:spacing w:line="224" w:lineRule="exact" w:before="0"/>
                    <w:ind w:left="20" w:right="0" w:firstLine="0"/>
                    <w:jc w:val="left"/>
                    <w:rPr>
                      <w:b/>
                      <w:sz w:val="20"/>
                    </w:rPr>
                  </w:pPr>
                  <w:r>
                    <w:rPr>
                      <w:b/>
                      <w:color w:val="58595B"/>
                      <w:sz w:val="20"/>
                    </w:rPr>
                    <w:t>3.</w:t>
                  </w:r>
                </w:p>
              </w:txbxContent>
            </v:textbox>
            <w10:wrap type="none"/>
          </v:shape>
        </w:pict>
      </w:r>
      <w:r>
        <w:rPr/>
        <w:pict>
          <v:shape style="position:absolute;margin-left:86.876099pt;margin-top:105.893967pt;width:403.6pt;height:58.2pt;mso-position-horizontal-relative:page;mso-position-vertical-relative:page;z-index:-200776" type="#_x0000_t202" filled="false" stroked="false">
            <v:textbox inset="0,0,0,0">
              <w:txbxContent>
                <w:p>
                  <w:pPr>
                    <w:spacing w:line="224" w:lineRule="exact" w:before="0"/>
                    <w:ind w:left="20" w:right="0" w:firstLine="0"/>
                    <w:jc w:val="left"/>
                    <w:rPr>
                      <w:b/>
                      <w:sz w:val="20"/>
                    </w:rPr>
                  </w:pPr>
                  <w:r>
                    <w:rPr>
                      <w:b/>
                      <w:color w:val="58595B"/>
                      <w:sz w:val="20"/>
                    </w:rPr>
                    <w:t>Advise government</w:t>
                  </w:r>
                </w:p>
                <w:p>
                  <w:pPr>
                    <w:pStyle w:val="ListParagraph"/>
                    <w:numPr>
                      <w:ilvl w:val="0"/>
                      <w:numId w:val="25"/>
                    </w:numPr>
                    <w:tabs>
                      <w:tab w:pos="190" w:val="left" w:leader="none"/>
                    </w:tabs>
                    <w:spacing w:line="280" w:lineRule="auto" w:before="153" w:after="0"/>
                    <w:ind w:left="190" w:right="17" w:hanging="170"/>
                    <w:jc w:val="left"/>
                    <w:rPr>
                      <w:sz w:val="20"/>
                    </w:rPr>
                  </w:pPr>
                  <w:r>
                    <w:rPr>
                      <w:color w:val="58595B"/>
                      <w:sz w:val="20"/>
                    </w:rPr>
                    <w:t>Provide expert advice and information to government, both on request and proactively, on impacts and risks to public health and the environment and how to mitigate or prevent risks,</w:t>
                  </w:r>
                  <w:r>
                    <w:rPr>
                      <w:color w:val="58595B"/>
                      <w:spacing w:val="-3"/>
                      <w:sz w:val="20"/>
                    </w:rPr>
                    <w:t> </w:t>
                  </w:r>
                  <w:r>
                    <w:rPr>
                      <w:color w:val="58595B"/>
                      <w:sz w:val="20"/>
                    </w:rPr>
                    <w:t>including:</w:t>
                  </w:r>
                </w:p>
              </w:txbxContent>
            </v:textbox>
            <w10:wrap type="none"/>
          </v:shape>
        </w:pict>
      </w:r>
      <w:r>
        <w:rPr/>
        <w:pict>
          <v:shape style="position:absolute;margin-left:95.376099pt;margin-top:174.063965pt;width:7.35pt;height:12pt;mso-position-horizontal-relative:page;mso-position-vertical-relative:page;z-index:-200752" type="#_x0000_t202" filled="false" stroked="false">
            <v:textbox inset="0,0,0,0">
              <w:txbxContent>
                <w:p>
                  <w:pPr>
                    <w:pStyle w:val="BodyText"/>
                    <w:spacing w:line="224" w:lineRule="exact"/>
                    <w:ind w:right="-5"/>
                  </w:pPr>
                  <w:r>
                    <w:rPr>
                      <w:color w:val="58595B"/>
                    </w:rPr>
                    <w:t>i)</w:t>
                  </w:r>
                </w:p>
              </w:txbxContent>
            </v:textbox>
            <w10:wrap type="none"/>
          </v:shape>
        </w:pict>
      </w:r>
      <w:r>
        <w:rPr/>
        <w:pict>
          <v:shape style="position:absolute;margin-left:112.386101pt;margin-top:174.063965pt;width:392.7pt;height:25.5pt;mso-position-horizontal-relative:page;mso-position-vertical-relative:page;z-index:-200728" type="#_x0000_t202" filled="false" stroked="false">
            <v:textbox inset="0,0,0,0">
              <w:txbxContent>
                <w:p>
                  <w:pPr>
                    <w:pStyle w:val="BodyText"/>
                    <w:spacing w:line="280" w:lineRule="auto"/>
                  </w:pPr>
                  <w:r>
                    <w:rPr>
                      <w:color w:val="58595B"/>
                    </w:rPr>
                    <w:t>to the Minister about priority and emerging risks and impacts on outcomes and the need for changes to environment protection laws</w:t>
                  </w:r>
                </w:p>
              </w:txbxContent>
            </v:textbox>
            <w10:wrap type="none"/>
          </v:shape>
        </w:pict>
      </w:r>
      <w:r>
        <w:rPr/>
        <w:pict>
          <v:shape style="position:absolute;margin-left:95.376099pt;margin-top:209.563965pt;width:9.6pt;height:12pt;mso-position-horizontal-relative:page;mso-position-vertical-relative:page;z-index:-200704" type="#_x0000_t202" filled="false" stroked="false">
            <v:textbox inset="0,0,0,0">
              <w:txbxContent>
                <w:p>
                  <w:pPr>
                    <w:pStyle w:val="BodyText"/>
                    <w:spacing w:line="224" w:lineRule="exact"/>
                    <w:ind w:right="-4"/>
                  </w:pPr>
                  <w:r>
                    <w:rPr>
                      <w:color w:val="58595B"/>
                    </w:rPr>
                    <w:t>ii)</w:t>
                  </w:r>
                </w:p>
              </w:txbxContent>
            </v:textbox>
            <w10:wrap type="none"/>
          </v:shape>
        </w:pict>
      </w:r>
      <w:r>
        <w:rPr/>
        <w:pict>
          <v:shape style="position:absolute;margin-left:112.386101pt;margin-top:209.563965pt;width:364.5pt;height:25.5pt;mso-position-horizontal-relative:page;mso-position-vertical-relative:page;z-index:-200680" type="#_x0000_t202" filled="false" stroked="false">
            <v:textbox inset="0,0,0,0">
              <w:txbxContent>
                <w:p>
                  <w:pPr>
                    <w:pStyle w:val="BodyText"/>
                    <w:spacing w:line="280" w:lineRule="auto"/>
                  </w:pPr>
                  <w:r>
                    <w:rPr>
                      <w:color w:val="58595B"/>
                    </w:rPr>
                    <w:t>to other agencies and authorities to improve decision making and service delivery (for example, advising planning authorities and Victoria’s Chief Health Officer)</w:t>
                  </w:r>
                </w:p>
              </w:txbxContent>
            </v:textbox>
            <w10:wrap type="none"/>
          </v:shape>
        </w:pict>
      </w:r>
      <w:r>
        <w:rPr/>
        <w:pict>
          <v:shape style="position:absolute;margin-left:95.376099pt;margin-top:245.063965pt;width:11.8pt;height:12pt;mso-position-horizontal-relative:page;mso-position-vertical-relative:page;z-index:-200656" type="#_x0000_t202" filled="false" stroked="false">
            <v:textbox inset="0,0,0,0">
              <w:txbxContent>
                <w:p>
                  <w:pPr>
                    <w:pStyle w:val="BodyText"/>
                    <w:spacing w:line="224" w:lineRule="exact"/>
                    <w:ind w:right="-4"/>
                  </w:pPr>
                  <w:r>
                    <w:rPr>
                      <w:color w:val="58595B"/>
                    </w:rPr>
                    <w:t>iii)</w:t>
                  </w:r>
                </w:p>
              </w:txbxContent>
            </v:textbox>
            <w10:wrap type="none"/>
          </v:shape>
        </w:pict>
      </w:r>
      <w:r>
        <w:rPr/>
        <w:pict>
          <v:shape style="position:absolute;margin-left:112.386101pt;margin-top:245.063965pt;width:362.65pt;height:25.5pt;mso-position-horizontal-relative:page;mso-position-vertical-relative:page;z-index:-200632" type="#_x0000_t202" filled="false" stroked="false">
            <v:textbox inset="0,0,0,0">
              <w:txbxContent>
                <w:p>
                  <w:pPr>
                    <w:pStyle w:val="BodyText"/>
                    <w:spacing w:line="280" w:lineRule="auto"/>
                  </w:pPr>
                  <w:r>
                    <w:rPr>
                      <w:color w:val="58595B"/>
                    </w:rPr>
                    <w:t>to whole-of-government processes to inform and influence strategic planning and decision making.</w:t>
                  </w:r>
                </w:p>
              </w:txbxContent>
            </v:textbox>
            <w10:wrap type="none"/>
          </v:shape>
        </w:pict>
      </w:r>
      <w:r>
        <w:rPr/>
        <w:pict>
          <v:shape style="position:absolute;margin-left:86.876099pt;margin-top:277.733978pt;width:275.25pt;height:12pt;mso-position-horizontal-relative:page;mso-position-vertical-relative:page;z-index:-200608" type="#_x0000_t202" filled="false" stroked="false">
            <v:textbox inset="0,0,0,0">
              <w:txbxContent>
                <w:p>
                  <w:pPr>
                    <w:pStyle w:val="ListParagraph"/>
                    <w:numPr>
                      <w:ilvl w:val="0"/>
                      <w:numId w:val="26"/>
                    </w:numPr>
                    <w:tabs>
                      <w:tab w:pos="190" w:val="left" w:leader="none"/>
                    </w:tabs>
                    <w:spacing w:line="224" w:lineRule="exact" w:before="0" w:after="0"/>
                    <w:ind w:left="190" w:right="0" w:hanging="170"/>
                    <w:jc w:val="left"/>
                    <w:rPr>
                      <w:sz w:val="20"/>
                    </w:rPr>
                  </w:pPr>
                  <w:r>
                    <w:rPr>
                      <w:color w:val="58595B"/>
                      <w:sz w:val="20"/>
                    </w:rPr>
                    <w:t>Provide expert advice to emergency management</w:t>
                  </w:r>
                  <w:r>
                    <w:rPr>
                      <w:color w:val="58595B"/>
                      <w:spacing w:val="6"/>
                      <w:sz w:val="20"/>
                    </w:rPr>
                    <w:t> </w:t>
                  </w:r>
                  <w:r>
                    <w:rPr>
                      <w:color w:val="58595B"/>
                      <w:sz w:val="20"/>
                    </w:rPr>
                    <w:t>agencies</w:t>
                  </w:r>
                </w:p>
              </w:txbxContent>
            </v:textbox>
            <w10:wrap type="none"/>
          </v:shape>
        </w:pict>
      </w:r>
      <w:r>
        <w:rPr/>
        <w:pict>
          <v:shape style="position:absolute;margin-left:69.866096pt;margin-top:299.733978pt;width:10.5pt;height:12pt;mso-position-horizontal-relative:page;mso-position-vertical-relative:page;z-index:-200584" type="#_x0000_t202" filled="false" stroked="false">
            <v:textbox inset="0,0,0,0">
              <w:txbxContent>
                <w:p>
                  <w:pPr>
                    <w:spacing w:line="224" w:lineRule="exact" w:before="0"/>
                    <w:ind w:left="20" w:right="0" w:firstLine="0"/>
                    <w:jc w:val="left"/>
                    <w:rPr>
                      <w:b/>
                      <w:sz w:val="20"/>
                    </w:rPr>
                  </w:pPr>
                  <w:r>
                    <w:rPr>
                      <w:b/>
                      <w:color w:val="58595B"/>
                      <w:sz w:val="20"/>
                    </w:rPr>
                    <w:t>4.</w:t>
                  </w:r>
                </w:p>
              </w:txbxContent>
            </v:textbox>
            <w10:wrap type="none"/>
          </v:shape>
        </w:pict>
      </w:r>
      <w:r>
        <w:rPr/>
        <w:pict>
          <v:shape style="position:absolute;margin-left:86.866096pt;margin-top:299.733978pt;width:406.65pt;height:104.35pt;mso-position-horizontal-relative:page;mso-position-vertical-relative:page;z-index:-200560" type="#_x0000_t202" filled="false" stroked="false">
            <v:textbox inset="0,0,0,0">
              <w:txbxContent>
                <w:p>
                  <w:pPr>
                    <w:spacing w:line="280" w:lineRule="auto" w:before="0"/>
                    <w:ind w:left="20" w:right="0" w:firstLine="0"/>
                    <w:jc w:val="left"/>
                    <w:rPr>
                      <w:b/>
                      <w:sz w:val="20"/>
                    </w:rPr>
                  </w:pPr>
                  <w:r>
                    <w:rPr>
                      <w:b/>
                      <w:color w:val="58595B"/>
                      <w:sz w:val="20"/>
                    </w:rPr>
                    <w:t>Lead, coordinate and collaborate with local governments, joint regulators and other government agencies</w:t>
                  </w:r>
                </w:p>
                <w:p>
                  <w:pPr>
                    <w:pStyle w:val="ListParagraph"/>
                    <w:numPr>
                      <w:ilvl w:val="0"/>
                      <w:numId w:val="27"/>
                    </w:numPr>
                    <w:tabs>
                      <w:tab w:pos="190" w:val="left" w:leader="none"/>
                    </w:tabs>
                    <w:spacing w:line="280" w:lineRule="auto" w:before="115" w:after="0"/>
                    <w:ind w:left="190" w:right="223" w:hanging="170"/>
                    <w:jc w:val="left"/>
                    <w:rPr>
                      <w:sz w:val="20"/>
                    </w:rPr>
                  </w:pPr>
                  <w:r>
                    <w:rPr>
                      <w:color w:val="58595B"/>
                      <w:sz w:val="20"/>
                    </w:rPr>
                    <w:t>Make and implement plans with other agencies to identify and address relevant risks to outcomes when collective action is</w:t>
                  </w:r>
                  <w:r>
                    <w:rPr>
                      <w:color w:val="58595B"/>
                      <w:spacing w:val="8"/>
                      <w:sz w:val="20"/>
                    </w:rPr>
                    <w:t> </w:t>
                  </w:r>
                  <w:r>
                    <w:rPr>
                      <w:color w:val="58595B"/>
                      <w:sz w:val="20"/>
                    </w:rPr>
                    <w:t>required.</w:t>
                  </w:r>
                </w:p>
                <w:p>
                  <w:pPr>
                    <w:pStyle w:val="ListParagraph"/>
                    <w:numPr>
                      <w:ilvl w:val="0"/>
                      <w:numId w:val="27"/>
                    </w:numPr>
                    <w:tabs>
                      <w:tab w:pos="190" w:val="left" w:leader="none"/>
                    </w:tabs>
                    <w:spacing w:line="280" w:lineRule="auto" w:before="115" w:after="0"/>
                    <w:ind w:left="190" w:right="17" w:hanging="170"/>
                    <w:jc w:val="left"/>
                    <w:rPr>
                      <w:sz w:val="20"/>
                    </w:rPr>
                  </w:pPr>
                  <w:r>
                    <w:rPr>
                      <w:color w:val="58595B"/>
                      <w:sz w:val="20"/>
                    </w:rPr>
                    <w:t>Provide strategic direction, advice, education and support to local governments and other joint regulators to understand and manage relevant impacts and risks to public health  and the</w:t>
                  </w:r>
                  <w:r>
                    <w:rPr>
                      <w:color w:val="58595B"/>
                      <w:spacing w:val="-4"/>
                      <w:sz w:val="20"/>
                    </w:rPr>
                    <w:t> </w:t>
                  </w:r>
                  <w:r>
                    <w:rPr>
                      <w:color w:val="58595B"/>
                      <w:sz w:val="20"/>
                    </w:rPr>
                    <w:t>environment.</w:t>
                  </w:r>
                </w:p>
              </w:txbxContent>
            </v:textbox>
            <w10:wrap type="none"/>
          </v:shape>
        </w:pict>
      </w:r>
      <w:r>
        <w:rPr/>
        <w:pict>
          <v:shape style="position:absolute;margin-left:69.856102pt;margin-top:414.073975pt;width:10.4pt;height:12pt;mso-position-horizontal-relative:page;mso-position-vertical-relative:page;z-index:-200536" type="#_x0000_t202" filled="false" stroked="false">
            <v:textbox inset="0,0,0,0">
              <w:txbxContent>
                <w:p>
                  <w:pPr>
                    <w:spacing w:line="224" w:lineRule="exact" w:before="0"/>
                    <w:ind w:left="20" w:right="0" w:firstLine="0"/>
                    <w:jc w:val="left"/>
                    <w:rPr>
                      <w:b/>
                      <w:sz w:val="20"/>
                    </w:rPr>
                  </w:pPr>
                  <w:r>
                    <w:rPr>
                      <w:b/>
                      <w:color w:val="58595B"/>
                      <w:sz w:val="20"/>
                    </w:rPr>
                    <w:t>5.</w:t>
                  </w:r>
                </w:p>
              </w:txbxContent>
            </v:textbox>
            <w10:wrap type="none"/>
          </v:shape>
        </w:pict>
      </w:r>
      <w:r>
        <w:rPr/>
        <w:pict>
          <v:shape style="position:absolute;margin-left:86.866096pt;margin-top:414.073975pt;width:368.25pt;height:12pt;mso-position-horizontal-relative:page;mso-position-vertical-relative:page;z-index:-200512" type="#_x0000_t202" filled="false" stroked="false">
            <v:textbox inset="0,0,0,0">
              <w:txbxContent>
                <w:p>
                  <w:pPr>
                    <w:spacing w:line="224" w:lineRule="exact" w:before="0"/>
                    <w:ind w:left="20" w:right="9" w:firstLine="0"/>
                    <w:jc w:val="left"/>
                    <w:rPr>
                      <w:b/>
                      <w:sz w:val="20"/>
                    </w:rPr>
                  </w:pPr>
                  <w:r>
                    <w:rPr>
                      <w:b/>
                      <w:color w:val="58595B"/>
                      <w:sz w:val="20"/>
                    </w:rPr>
                    <w:t>Determine and set environment protection standards (‘goal post’  standards)</w:t>
                  </w:r>
                </w:p>
              </w:txbxContent>
            </v:textbox>
            <w10:wrap type="none"/>
          </v:shape>
        </w:pict>
      </w:r>
      <w:r>
        <w:rPr/>
        <w:pict>
          <v:shape style="position:absolute;margin-left:86.866096pt;margin-top:433.243958pt;width:5.5pt;height:12pt;mso-position-horizontal-relative:page;mso-position-vertical-relative:page;z-index:-20048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95.366096pt;margin-top:433.243958pt;width:385.8pt;height:71.7pt;mso-position-horizontal-relative:page;mso-position-vertical-relative:page;z-index:-200464" type="#_x0000_t202" filled="false" stroked="false">
            <v:textbox inset="0,0,0,0">
              <w:txbxContent>
                <w:p>
                  <w:pPr>
                    <w:pStyle w:val="BodyText"/>
                    <w:spacing w:line="280" w:lineRule="auto"/>
                    <w:ind w:right="17"/>
                    <w:jc w:val="both"/>
                  </w:pPr>
                  <w:r>
                    <w:rPr>
                      <w:color w:val="58595B"/>
                    </w:rPr>
                    <w:t>Lead the setting and updating of environment protection standards that are required to maintain the health and safety, wellbeing, productive and environmental outcomes that support government policy and respond to an evolving understanding of risks.</w:t>
                  </w:r>
                </w:p>
                <w:p>
                  <w:pPr>
                    <w:pStyle w:val="BodyText"/>
                    <w:spacing w:line="280" w:lineRule="auto" w:before="115"/>
                  </w:pPr>
                  <w:r>
                    <w:rPr>
                      <w:color w:val="58595B"/>
                    </w:rPr>
                    <w:t>Help develop national environment protection measures and lead the adoption and implementation of those measures in Victoria.</w:t>
                  </w:r>
                </w:p>
              </w:txbxContent>
            </v:textbox>
            <w10:wrap type="none"/>
          </v:shape>
        </w:pict>
      </w:r>
      <w:r>
        <w:rPr/>
        <w:pict>
          <v:shape style="position:absolute;margin-left:86.866096pt;margin-top:479.413971pt;width:5.5pt;height:12pt;mso-position-horizontal-relative:page;mso-position-vertical-relative:page;z-index:-20044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95.366096pt;margin-top:514.91394pt;width:409.55pt;height:66pt;mso-position-horizontal-relative:page;mso-position-vertical-relative:page;z-index:-200416" type="#_x0000_t202" filled="false" stroked="false">
            <v:textbox inset="0,0,0,0">
              <w:txbxContent>
                <w:p>
                  <w:pPr>
                    <w:pStyle w:val="BodyText"/>
                    <w:spacing w:line="280" w:lineRule="auto"/>
                    <w:ind w:right="17"/>
                  </w:pPr>
                  <w:r>
                    <w:rPr>
                      <w:color w:val="58595B"/>
                    </w:rPr>
                    <w:t>‘Environment protection standards’ are broad environmental standards that should maintain the health and safety, wellbeing, productive and environmental outcomes that the </w:t>
                  </w:r>
                  <w:r>
                    <w:rPr>
                      <w:color w:val="58595B"/>
                      <w:spacing w:val="-4"/>
                    </w:rPr>
                    <w:t>EPA </w:t>
                  </w:r>
                  <w:r>
                    <w:rPr>
                      <w:color w:val="58595B"/>
                    </w:rPr>
                    <w:t>seeks to protect on behalf of the Victorian community. These will be regularly reviewed and updated in response </w:t>
                  </w:r>
                  <w:r>
                    <w:rPr>
                      <w:color w:val="58595B"/>
                      <w:spacing w:val="-3"/>
                    </w:rPr>
                    <w:t>to: </w:t>
                  </w:r>
                  <w:r>
                    <w:rPr>
                      <w:color w:val="58595B"/>
                    </w:rPr>
                    <w:t>changing understanding of risks; emerging risks; and improvements in mitigation</w:t>
                  </w:r>
                  <w:r>
                    <w:rPr>
                      <w:color w:val="58595B"/>
                      <w:spacing w:val="1"/>
                    </w:rPr>
                    <w:t> </w:t>
                  </w:r>
                  <w:r>
                    <w:rPr>
                      <w:color w:val="58595B"/>
                    </w:rPr>
                    <w:t>measures.</w:t>
                  </w:r>
                </w:p>
              </w:txbxContent>
            </v:textbox>
            <w10:wrap type="none"/>
          </v:shape>
        </w:pict>
      </w:r>
      <w:r>
        <w:rPr/>
        <w:pict>
          <v:shape style="position:absolute;margin-left:69.856102pt;margin-top:590.91394pt;width:10.45pt;height:12pt;mso-position-horizontal-relative:page;mso-position-vertical-relative:page;z-index:-200392" type="#_x0000_t202" filled="false" stroked="false">
            <v:textbox inset="0,0,0,0">
              <w:txbxContent>
                <w:p>
                  <w:pPr>
                    <w:spacing w:line="224" w:lineRule="exact" w:before="0"/>
                    <w:ind w:left="20" w:right="0" w:firstLine="0"/>
                    <w:jc w:val="left"/>
                    <w:rPr>
                      <w:b/>
                      <w:sz w:val="20"/>
                    </w:rPr>
                  </w:pPr>
                  <w:r>
                    <w:rPr>
                      <w:b/>
                      <w:color w:val="58595B"/>
                      <w:sz w:val="20"/>
                    </w:rPr>
                    <w:t>6.</w:t>
                  </w:r>
                </w:p>
              </w:txbxContent>
            </v:textbox>
            <w10:wrap type="none"/>
          </v:shape>
        </w:pict>
      </w:r>
      <w:r>
        <w:rPr/>
        <w:pict>
          <v:shape style="position:absolute;margin-left:86.866096pt;margin-top:590.91394pt;width:370.3pt;height:12pt;mso-position-horizontal-relative:page;mso-position-vertical-relative:page;z-index:-200368" type="#_x0000_t202" filled="false" stroked="false">
            <v:textbox inset="0,0,0,0">
              <w:txbxContent>
                <w:p>
                  <w:pPr>
                    <w:spacing w:line="224" w:lineRule="exact" w:before="0"/>
                    <w:ind w:left="20" w:right="0" w:firstLine="0"/>
                    <w:jc w:val="left"/>
                    <w:rPr>
                      <w:b/>
                      <w:sz w:val="20"/>
                    </w:rPr>
                  </w:pPr>
                  <w:r>
                    <w:rPr>
                      <w:b/>
                      <w:color w:val="58595B"/>
                      <w:sz w:val="20"/>
                    </w:rPr>
                    <w:t>Set compliance obligations and seek to improve environmental performance</w:t>
                  </w:r>
                </w:p>
              </w:txbxContent>
            </v:textbox>
            <w10:wrap type="none"/>
          </v:shape>
        </w:pict>
      </w:r>
      <w:r>
        <w:rPr/>
        <w:pict>
          <v:shape style="position:absolute;margin-left:86.876099pt;margin-top:610.083984pt;width:5.5pt;height:12pt;mso-position-horizontal-relative:page;mso-position-vertical-relative:page;z-index:-200344"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95.376099pt;margin-top:610.083984pt;width:405.5pt;height:156.2pt;mso-position-horizontal-relative:page;mso-position-vertical-relative:page;z-index:-200320" type="#_x0000_t202" filled="false" stroked="false">
            <v:textbox inset="0,0,0,0">
              <w:txbxContent>
                <w:p>
                  <w:pPr>
                    <w:pStyle w:val="BodyText"/>
                    <w:spacing w:line="280" w:lineRule="auto"/>
                  </w:pPr>
                  <w:r>
                    <w:rPr>
                      <w:color w:val="58595B"/>
                    </w:rPr>
                    <w:t>Set operational requirements for designing and managing activities with significant impacts and risks to health and safety, wellbeing, productive and environmental outcomes.</w:t>
                  </w:r>
                </w:p>
                <w:p>
                  <w:pPr>
                    <w:pStyle w:val="BodyText"/>
                    <w:spacing w:line="280" w:lineRule="auto" w:before="115"/>
                  </w:pPr>
                  <w:r>
                    <w:rPr>
                      <w:color w:val="58595B"/>
                    </w:rPr>
                    <w:t>Grant licences, works approvals and other approvals to proportionately manage risks from pollution and waste.</w:t>
                  </w:r>
                </w:p>
                <w:p>
                  <w:pPr>
                    <w:pStyle w:val="BodyText"/>
                    <w:spacing w:line="280" w:lineRule="auto" w:before="115"/>
                  </w:pPr>
                  <w:r>
                    <w:rPr>
                      <w:color w:val="58595B"/>
                    </w:rPr>
                    <w:t>Regularly review licences and other approvals to drive outcome and regulatory improvements consistent with current best practices.</w:t>
                  </w:r>
                </w:p>
                <w:p>
                  <w:pPr>
                    <w:pStyle w:val="BodyText"/>
                    <w:spacing w:line="280" w:lineRule="auto" w:before="115"/>
                  </w:pPr>
                  <w:r>
                    <w:rPr>
                      <w:color w:val="58595B"/>
                    </w:rPr>
                    <w:t>Develop codes and other statutory instruments to ensure duty holders take reasonably practicable measures to reduce outcome impacts and risks. This function relates to establishing a general duty.</w:t>
                  </w:r>
                </w:p>
                <w:p>
                  <w:pPr>
                    <w:pStyle w:val="BodyText"/>
                    <w:spacing w:before="115"/>
                  </w:pPr>
                  <w:r>
                    <w:rPr>
                      <w:color w:val="58595B"/>
                    </w:rPr>
                    <w:t>Review and maintain codes to provide up-to-date and user friendly support for compliance.</w:t>
                  </w:r>
                </w:p>
              </w:txbxContent>
            </v:textbox>
            <w10:wrap type="none"/>
          </v:shape>
        </w:pict>
      </w:r>
      <w:r>
        <w:rPr/>
        <w:pict>
          <v:shape style="position:absolute;margin-left:86.876099pt;margin-top:642.753967pt;width:5.5pt;height:12pt;mso-position-horizontal-relative:page;mso-position-vertical-relative:page;z-index:-20029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6.876099pt;margin-top:675.42395pt;width:5.5pt;height:12pt;mso-position-horizontal-relative:page;mso-position-vertical-relative:page;z-index:-20027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6.876099pt;margin-top:708.093994pt;width:5.5pt;height:12pt;mso-position-horizontal-relative:page;mso-position-vertical-relative:page;z-index:-20024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6.876099pt;margin-top:754.263977pt;width:5.5pt;height:12pt;mso-position-horizontal-relative:page;mso-position-vertical-relative:page;z-index:-200224"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0pt;margin-top:44.090015pt;width:60.3pt;height:5.25pt;mso-position-horizontal-relative:page;mso-position-vertical-relative:page;z-index:-20020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20017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200152" from="534.996094pt,45.840015pt" to="595.276001pt,45.840015pt" stroked="true" strokeweight="7pt" strokecolor="#0095a7">
            <w10:wrap type="none"/>
          </v:line>
        </w:pict>
      </w:r>
      <w:r>
        <w:rPr/>
        <w:pict>
          <v:shape style="position:absolute;margin-left:240.986404pt;margin-top:40.902756pt;width:258.9pt;height:9.5pt;mso-position-horizontal-relative:page;mso-position-vertical-relative:page;z-index:-200128" type="#_x0000_t202" filled="false" stroked="false">
            <v:textbox inset="0,0,0,0">
              <w:txbxContent>
                <w:p>
                  <w:pPr>
                    <w:spacing w:before="1"/>
                    <w:ind w:left="20" w:right="0" w:firstLine="0"/>
                    <w:jc w:val="left"/>
                    <w:rPr>
                      <w:sz w:val="15"/>
                    </w:rPr>
                  </w:pPr>
                  <w:r>
                    <w:rPr>
                      <w:color w:val="58595B"/>
                      <w:sz w:val="15"/>
                    </w:rPr>
                    <w:t>CHAPTER 5    CLARIFYING THE EPA’S OBJECTIVES AND FUNCTIONS</w:t>
                  </w:r>
                </w:p>
              </w:txbxContent>
            </v:textbox>
            <w10:wrap type="none"/>
          </v:shape>
        </w:pict>
      </w:r>
      <w:r>
        <w:rPr/>
        <w:pict>
          <v:shape style="position:absolute;margin-left:515.073914pt;margin-top:40.902756pt;width:10.3pt;height:9.5pt;mso-position-horizontal-relative:page;mso-position-vertical-relative:page;z-index:-200104" type="#_x0000_t202" filled="false" stroked="false">
            <v:textbox inset="0,0,0,0">
              <w:txbxContent>
                <w:p>
                  <w:pPr>
                    <w:spacing w:before="1"/>
                    <w:ind w:left="20" w:right="-1" w:firstLine="0"/>
                    <w:jc w:val="left"/>
                    <w:rPr>
                      <w:sz w:val="15"/>
                    </w:rPr>
                  </w:pPr>
                  <w:r>
                    <w:rPr>
                      <w:color w:val="58595B"/>
                      <w:sz w:val="15"/>
                    </w:rPr>
                    <w:t>97</w:t>
                  </w:r>
                </w:p>
              </w:txbxContent>
            </v:textbox>
            <w10:wrap type="none"/>
          </v:shape>
        </w:pict>
      </w:r>
      <w:r>
        <w:rPr/>
        <w:pict>
          <v:shape style="position:absolute;margin-left:106.718597pt;margin-top:105.893967pt;width:407.1pt;height:66pt;mso-position-horizontal-relative:page;mso-position-vertical-relative:page;z-index:-200080" type="#_x0000_t202" filled="false" stroked="false">
            <v:textbox inset="0,0,0,0">
              <w:txbxContent>
                <w:p>
                  <w:pPr>
                    <w:pStyle w:val="BodyText"/>
                    <w:spacing w:line="280" w:lineRule="auto"/>
                    <w:ind w:right="-3"/>
                  </w:pPr>
                  <w:r>
                    <w:rPr>
                      <w:color w:val="58595B"/>
                    </w:rPr>
                    <w:t>Compliance obligations set out how duty holders are expected to meet their environment protection obligations. Some documents may have legal force (for example, regulations and licences), while others may not (for example, guidance materials). These will be regularly reviewed and updated in response to: changing understanding of risks; emerging risks; and improvements in mitigation measures.</w:t>
                  </w:r>
                </w:p>
              </w:txbxContent>
            </v:textbox>
            <w10:wrap type="none"/>
          </v:shape>
        </w:pict>
      </w:r>
      <w:r>
        <w:rPr/>
        <w:pict>
          <v:shape style="position:absolute;margin-left:89.708603pt;margin-top:181.893967pt;width:9.450pt;height:12pt;mso-position-horizontal-relative:page;mso-position-vertical-relative:page;z-index:-200056" type="#_x0000_t202" filled="false" stroked="false">
            <v:textbox inset="0,0,0,0">
              <w:txbxContent>
                <w:p>
                  <w:pPr>
                    <w:spacing w:line="224" w:lineRule="exact" w:before="0"/>
                    <w:ind w:left="20" w:right="-18" w:firstLine="0"/>
                    <w:jc w:val="left"/>
                    <w:rPr>
                      <w:b/>
                      <w:sz w:val="20"/>
                    </w:rPr>
                  </w:pPr>
                  <w:r>
                    <w:rPr>
                      <w:b/>
                      <w:color w:val="58595B"/>
                      <w:sz w:val="20"/>
                    </w:rPr>
                    <w:t>7.</w:t>
                  </w:r>
                </w:p>
              </w:txbxContent>
            </v:textbox>
            <w10:wrap type="none"/>
          </v:shape>
        </w:pict>
      </w:r>
      <w:r>
        <w:rPr/>
        <w:pict>
          <v:shape style="position:absolute;margin-left:106.718597pt;margin-top:181.893967pt;width:99.8pt;height:12pt;mso-position-horizontal-relative:page;mso-position-vertical-relative:page;z-index:-200032" type="#_x0000_t202" filled="false" stroked="false">
            <v:textbox inset="0,0,0,0">
              <w:txbxContent>
                <w:p>
                  <w:pPr>
                    <w:spacing w:line="224" w:lineRule="exact" w:before="0"/>
                    <w:ind w:left="20" w:right="0" w:firstLine="0"/>
                    <w:jc w:val="left"/>
                    <w:rPr>
                      <w:b/>
                      <w:sz w:val="20"/>
                    </w:rPr>
                  </w:pPr>
                  <w:r>
                    <w:rPr>
                      <w:b/>
                      <w:color w:val="58595B"/>
                      <w:sz w:val="20"/>
                    </w:rPr>
                    <w:t>Support compliance</w:t>
                  </w:r>
                </w:p>
              </w:txbxContent>
            </v:textbox>
            <w10:wrap type="none"/>
          </v:shape>
        </w:pict>
      </w:r>
      <w:r>
        <w:rPr/>
        <w:pict>
          <v:shape style="position:absolute;margin-left:106.718597pt;margin-top:201.063965pt;width:5.5pt;height:12pt;mso-position-horizontal-relative:page;mso-position-vertical-relative:page;z-index:-20000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115.218597pt;margin-top:201.063965pt;width:383.6pt;height:156.2pt;mso-position-horizontal-relative:page;mso-position-vertical-relative:page;z-index:-199984" type="#_x0000_t202" filled="false" stroked="false">
            <v:textbox inset="0,0,0,0">
              <w:txbxContent>
                <w:p>
                  <w:pPr>
                    <w:pStyle w:val="BodyText"/>
                    <w:spacing w:line="280" w:lineRule="auto"/>
                    <w:ind w:right="89"/>
                  </w:pPr>
                  <w:r>
                    <w:rPr>
                      <w:color w:val="58595B"/>
                    </w:rPr>
                    <w:t>Maintain clear and up-to-date guidance materials so that duty holders understand their responsibilities.</w:t>
                  </w:r>
                </w:p>
                <w:p>
                  <w:pPr>
                    <w:pStyle w:val="BodyText"/>
                    <w:spacing w:line="280" w:lineRule="auto" w:before="115"/>
                  </w:pPr>
                  <w:r>
                    <w:rPr>
                      <w:color w:val="58595B"/>
                    </w:rPr>
                    <w:t>Educate businesses and the broader community on their responsibilities for protecting the environment and the potential impacts of pollution and waste.</w:t>
                  </w:r>
                </w:p>
                <w:p>
                  <w:pPr>
                    <w:pStyle w:val="BodyText"/>
                    <w:spacing w:line="280" w:lineRule="auto" w:before="115"/>
                    <w:ind w:right="89"/>
                  </w:pPr>
                  <w:r>
                    <w:rPr>
                      <w:color w:val="58595B"/>
                    </w:rPr>
                    <w:t>Work with duty holders to prevent pollution and support compliance with environment protection laws.</w:t>
                  </w:r>
                </w:p>
                <w:p>
                  <w:pPr>
                    <w:pStyle w:val="BodyText"/>
                    <w:spacing w:line="280" w:lineRule="auto" w:before="115"/>
                  </w:pPr>
                  <w:r>
                    <w:rPr>
                      <w:color w:val="58595B"/>
                    </w:rPr>
                    <w:t>Train and work with joint regulators to ensure that they effectively support compliance and to provide consistency across the system.</w:t>
                  </w:r>
                </w:p>
                <w:p>
                  <w:pPr>
                    <w:pStyle w:val="BodyText"/>
                    <w:spacing w:line="280" w:lineRule="auto" w:before="115"/>
                    <w:ind w:right="545"/>
                  </w:pPr>
                  <w:r>
                    <w:rPr>
                      <w:color w:val="58595B"/>
                    </w:rPr>
                    <w:t>Encourage better practice and improved environmental performance by providing information.</w:t>
                  </w:r>
                </w:p>
              </w:txbxContent>
            </v:textbox>
            <w10:wrap type="none"/>
          </v:shape>
        </w:pict>
      </w:r>
      <w:r>
        <w:rPr/>
        <w:pict>
          <v:shape style="position:absolute;margin-left:106.718597pt;margin-top:233.733963pt;width:5.5pt;height:12pt;mso-position-horizontal-relative:page;mso-position-vertical-relative:page;z-index:-19996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106.718597pt;margin-top:266.403961pt;width:5.5pt;height:12pt;mso-position-horizontal-relative:page;mso-position-vertical-relative:page;z-index:-19993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106.718597pt;margin-top:299.073975pt;width:5.5pt;height:12pt;mso-position-horizontal-relative:page;mso-position-vertical-relative:page;z-index:-19991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106.718597pt;margin-top:331.743958pt;width:5.5pt;height:12pt;mso-position-horizontal-relative:page;mso-position-vertical-relative:page;z-index:-19988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08603pt;margin-top:367.243958pt;width:10.4pt;height:12pt;mso-position-horizontal-relative:page;mso-position-vertical-relative:page;z-index:-199864" type="#_x0000_t202" filled="false" stroked="false">
            <v:textbox inset="0,0,0,0">
              <w:txbxContent>
                <w:p>
                  <w:pPr>
                    <w:spacing w:line="224" w:lineRule="exact" w:before="0"/>
                    <w:ind w:left="20" w:right="0" w:firstLine="0"/>
                    <w:jc w:val="left"/>
                    <w:rPr>
                      <w:b/>
                      <w:sz w:val="20"/>
                    </w:rPr>
                  </w:pPr>
                  <w:r>
                    <w:rPr>
                      <w:b/>
                      <w:color w:val="58595B"/>
                      <w:sz w:val="20"/>
                    </w:rPr>
                    <w:t>8.</w:t>
                  </w:r>
                </w:p>
              </w:txbxContent>
            </v:textbox>
            <w10:wrap type="none"/>
          </v:shape>
        </w:pict>
      </w:r>
      <w:r>
        <w:rPr/>
        <w:pict>
          <v:shape style="position:absolute;margin-left:106.718597pt;margin-top:367.243958pt;width:379.15pt;height:25.5pt;mso-position-horizontal-relative:page;mso-position-vertical-relative:page;z-index:-199840" type="#_x0000_t202" filled="false" stroked="false">
            <v:textbox inset="0,0,0,0">
              <w:txbxContent>
                <w:p>
                  <w:pPr>
                    <w:spacing w:line="280" w:lineRule="auto" w:before="0"/>
                    <w:ind w:left="20" w:right="0" w:firstLine="0"/>
                    <w:jc w:val="left"/>
                    <w:rPr>
                      <w:b/>
                      <w:sz w:val="20"/>
                    </w:rPr>
                  </w:pPr>
                  <w:r>
                    <w:rPr>
                      <w:b/>
                      <w:color w:val="58595B"/>
                      <w:sz w:val="20"/>
                    </w:rPr>
                    <w:t>Report to, educate and engage with the community on managing risks and the condition of the environment</w:t>
                  </w:r>
                </w:p>
              </w:txbxContent>
            </v:textbox>
            <w10:wrap type="none"/>
          </v:shape>
        </w:pict>
      </w:r>
      <w:r>
        <w:rPr/>
        <w:pict>
          <v:shape style="position:absolute;margin-left:106.718597pt;margin-top:399.913971pt;width:5.5pt;height:12pt;mso-position-horizontal-relative:page;mso-position-vertical-relative:page;z-index:-19981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115.217499pt;margin-top:399.913971pt;width:410.15pt;height:202.4pt;mso-position-horizontal-relative:page;mso-position-vertical-relative:page;z-index:-199792" type="#_x0000_t202" filled="false" stroked="false">
            <v:textbox inset="0,0,0,0">
              <w:txbxContent>
                <w:p>
                  <w:pPr>
                    <w:pStyle w:val="BodyText"/>
                    <w:spacing w:line="280" w:lineRule="auto"/>
                    <w:ind w:right="98"/>
                    <w:rPr>
                      <w:sz w:val="11"/>
                    </w:rPr>
                  </w:pPr>
                  <w:r>
                    <w:rPr>
                      <w:color w:val="58595B"/>
                    </w:rPr>
                    <w:t>Strengthen transparency by publishing timely monitoring reports, data and analysis to inform the community about the condition of the environment and risks to the health and safety, wellbeing, and productive and environmental outcomes that they value.</w:t>
                  </w:r>
                  <w:r>
                    <w:rPr>
                      <w:color w:val="58595B"/>
                      <w:position w:val="7"/>
                      <w:sz w:val="11"/>
                    </w:rPr>
                    <w:t>75</w:t>
                  </w:r>
                </w:p>
                <w:p>
                  <w:pPr>
                    <w:pStyle w:val="BodyText"/>
                    <w:spacing w:line="280" w:lineRule="auto" w:before="115"/>
                    <w:ind w:right="98"/>
                  </w:pPr>
                  <w:r>
                    <w:rPr>
                      <w:color w:val="58595B"/>
                    </w:rPr>
                    <w:t>Proactively gather information and provide risk information to support community risk management, including data on potential legacy contamination.</w:t>
                  </w:r>
                </w:p>
                <w:p>
                  <w:pPr>
                    <w:pStyle w:val="BodyText"/>
                    <w:spacing w:line="280" w:lineRule="auto" w:before="115"/>
                    <w:ind w:right="98"/>
                  </w:pPr>
                  <w:r>
                    <w:rPr>
                      <w:color w:val="58595B"/>
                    </w:rPr>
                    <w:t>Promote safe practices in relation to waste and pollutants to protect the environment and public health and encourage long lasting behaviour change.</w:t>
                  </w:r>
                </w:p>
                <w:p>
                  <w:pPr>
                    <w:pStyle w:val="BodyText"/>
                    <w:spacing w:line="280" w:lineRule="auto" w:before="115"/>
                    <w:ind w:right="98"/>
                  </w:pPr>
                  <w:r>
                    <w:rPr>
                      <w:color w:val="58595B"/>
                    </w:rPr>
                    <w:t>Actively engage with community members and other stakeholders to collect and publish information, including using citizen science and leveraging third party data.</w:t>
                  </w:r>
                </w:p>
                <w:p>
                  <w:pPr>
                    <w:pStyle w:val="BodyText"/>
                    <w:spacing w:line="280" w:lineRule="auto" w:before="115"/>
                    <w:ind w:right="98"/>
                  </w:pPr>
                  <w:r>
                    <w:rPr>
                      <w:color w:val="58595B"/>
                    </w:rPr>
                    <w:t>Engage community members and other stakeholders in, and provide information about, EPA standard setting and regulatory decision making processes.</w:t>
                  </w:r>
                </w:p>
                <w:p>
                  <w:pPr>
                    <w:pStyle w:val="BodyText"/>
                    <w:spacing w:line="280" w:lineRule="auto" w:before="115"/>
                  </w:pPr>
                  <w:r>
                    <w:rPr>
                      <w:color w:val="58595B"/>
                    </w:rPr>
                    <w:t>Provide accessible information systems and use best business practice when engaging with and receiving requests and information from the community and other stakeholders.</w:t>
                  </w:r>
                </w:p>
              </w:txbxContent>
            </v:textbox>
            <w10:wrap type="none"/>
          </v:shape>
        </w:pict>
      </w:r>
      <w:r>
        <w:rPr/>
        <w:pict>
          <v:shape style="position:absolute;margin-left:106.717499pt;margin-top:446.086853pt;width:5.5pt;height:12pt;mso-position-horizontal-relative:page;mso-position-vertical-relative:page;z-index:-19976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106.717499pt;margin-top:478.756866pt;width:5.5pt;height:12pt;mso-position-horizontal-relative:page;mso-position-vertical-relative:page;z-index:-199744"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106.717499pt;margin-top:511.42688pt;width:5.5pt;height:12pt;mso-position-horizontal-relative:page;mso-position-vertical-relative:page;z-index:-19972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106.717499pt;margin-top:544.096863pt;width:5.5pt;height:12pt;mso-position-horizontal-relative:page;mso-position-vertical-relative:page;z-index:-19969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106.717499pt;margin-top:576.766846pt;width:5.5pt;height:12pt;mso-position-horizontal-relative:page;mso-position-vertical-relative:page;z-index:-19967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07497pt;margin-top:612.266846pt;width:10.25pt;height:12pt;mso-position-horizontal-relative:page;mso-position-vertical-relative:page;z-index:-199648" type="#_x0000_t202" filled="false" stroked="false">
            <v:textbox inset="0,0,0,0">
              <w:txbxContent>
                <w:p>
                  <w:pPr>
                    <w:spacing w:line="224" w:lineRule="exact" w:before="0"/>
                    <w:ind w:left="20" w:right="-2" w:firstLine="0"/>
                    <w:jc w:val="left"/>
                    <w:rPr>
                      <w:b/>
                      <w:sz w:val="20"/>
                    </w:rPr>
                  </w:pPr>
                  <w:r>
                    <w:rPr>
                      <w:b/>
                      <w:color w:val="58595B"/>
                      <w:sz w:val="20"/>
                    </w:rPr>
                    <w:t>9.</w:t>
                  </w:r>
                </w:p>
              </w:txbxContent>
            </v:textbox>
            <w10:wrap type="none"/>
          </v:shape>
        </w:pict>
      </w:r>
      <w:r>
        <w:rPr/>
        <w:pict>
          <v:shape style="position:absolute;margin-left:106.717499pt;margin-top:612.266846pt;width:398.45pt;height:96.55pt;mso-position-horizontal-relative:page;mso-position-vertical-relative:page;z-index:-199624" type="#_x0000_t202" filled="false" stroked="false">
            <v:textbox inset="0,0,0,0">
              <w:txbxContent>
                <w:p>
                  <w:pPr>
                    <w:spacing w:line="224" w:lineRule="exact" w:before="0"/>
                    <w:ind w:left="20" w:right="0" w:firstLine="0"/>
                    <w:jc w:val="left"/>
                    <w:rPr>
                      <w:b/>
                      <w:sz w:val="20"/>
                    </w:rPr>
                  </w:pPr>
                  <w:r>
                    <w:rPr>
                      <w:b/>
                      <w:color w:val="58595B"/>
                      <w:sz w:val="20"/>
                    </w:rPr>
                    <w:t>Monitor compliance and enforce the law</w:t>
                  </w:r>
                </w:p>
                <w:p>
                  <w:pPr>
                    <w:pStyle w:val="ListParagraph"/>
                    <w:numPr>
                      <w:ilvl w:val="0"/>
                      <w:numId w:val="28"/>
                    </w:numPr>
                    <w:tabs>
                      <w:tab w:pos="190" w:val="left" w:leader="none"/>
                    </w:tabs>
                    <w:spacing w:line="280" w:lineRule="auto" w:before="153" w:after="0"/>
                    <w:ind w:left="190" w:right="17" w:hanging="170"/>
                    <w:jc w:val="left"/>
                    <w:rPr>
                      <w:sz w:val="20"/>
                    </w:rPr>
                  </w:pPr>
                  <w:r>
                    <w:rPr>
                      <w:color w:val="58595B"/>
                      <w:spacing w:val="-6"/>
                      <w:sz w:val="20"/>
                    </w:rPr>
                    <w:t>Take </w:t>
                  </w:r>
                  <w:r>
                    <w:rPr>
                      <w:color w:val="58595B"/>
                      <w:sz w:val="20"/>
                    </w:rPr>
                    <w:t>timely and decisive action to ensure compliance with environment protection laws, including licences and</w:t>
                  </w:r>
                  <w:r>
                    <w:rPr>
                      <w:color w:val="58595B"/>
                      <w:spacing w:val="-2"/>
                      <w:sz w:val="20"/>
                    </w:rPr>
                    <w:t> </w:t>
                  </w:r>
                  <w:r>
                    <w:rPr>
                      <w:color w:val="58595B"/>
                      <w:sz w:val="20"/>
                    </w:rPr>
                    <w:t>approvals.</w:t>
                  </w:r>
                </w:p>
                <w:p>
                  <w:pPr>
                    <w:pStyle w:val="ListParagraph"/>
                    <w:numPr>
                      <w:ilvl w:val="0"/>
                      <w:numId w:val="28"/>
                    </w:numPr>
                    <w:tabs>
                      <w:tab w:pos="190" w:val="left" w:leader="none"/>
                    </w:tabs>
                    <w:spacing w:line="280" w:lineRule="auto" w:before="115" w:after="0"/>
                    <w:ind w:left="190" w:right="594" w:hanging="170"/>
                    <w:jc w:val="left"/>
                    <w:rPr>
                      <w:sz w:val="20"/>
                    </w:rPr>
                  </w:pPr>
                  <w:r>
                    <w:rPr>
                      <w:color w:val="58595B"/>
                      <w:sz w:val="20"/>
                    </w:rPr>
                    <w:t>Address non-compliance through responsive measures that allow escalation and de-escalation of</w:t>
                  </w:r>
                  <w:r>
                    <w:rPr>
                      <w:color w:val="58595B"/>
                      <w:spacing w:val="13"/>
                      <w:sz w:val="20"/>
                    </w:rPr>
                    <w:t> </w:t>
                  </w:r>
                  <w:r>
                    <w:rPr>
                      <w:color w:val="58595B"/>
                      <w:sz w:val="20"/>
                    </w:rPr>
                    <w:t>measures.</w:t>
                  </w:r>
                </w:p>
                <w:p>
                  <w:pPr>
                    <w:pStyle w:val="ListParagraph"/>
                    <w:numPr>
                      <w:ilvl w:val="0"/>
                      <w:numId w:val="28"/>
                    </w:numPr>
                    <w:tabs>
                      <w:tab w:pos="190" w:val="left" w:leader="none"/>
                    </w:tabs>
                    <w:spacing w:line="240" w:lineRule="auto" w:before="115" w:after="0"/>
                    <w:ind w:left="190" w:right="0" w:hanging="170"/>
                    <w:jc w:val="left"/>
                    <w:rPr>
                      <w:sz w:val="20"/>
                    </w:rPr>
                  </w:pPr>
                  <w:r>
                    <w:rPr>
                      <w:color w:val="58595B"/>
                      <w:sz w:val="20"/>
                    </w:rPr>
                    <w:t>Deploy sanctions to deter future non-compliance and build community</w:t>
                  </w:r>
                  <w:r>
                    <w:rPr>
                      <w:color w:val="58595B"/>
                      <w:spacing w:val="29"/>
                      <w:sz w:val="20"/>
                    </w:rPr>
                    <w:t> </w:t>
                  </w:r>
                  <w:r>
                    <w:rPr>
                      <w:color w:val="58595B"/>
                      <w:sz w:val="20"/>
                    </w:rPr>
                    <w:t>confidence.</w:t>
                  </w:r>
                </w:p>
              </w:txbxContent>
            </v:textbox>
            <w10:wrap type="none"/>
          </v:shape>
        </w:pict>
      </w:r>
      <w:r>
        <w:rPr/>
        <w:pict>
          <v:shape style="position:absolute;margin-left:534.996094pt;margin-top:44.090015pt;width:60.3pt;height:5.25pt;mso-position-horizontal-relative:page;mso-position-vertical-relative:page;z-index:-199600"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9576"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99552" from=".0pt,45.840015pt" to="60.2791pt,45.840015pt" stroked="true" strokeweight="7pt" strokecolor="#0095a7">
            <w10:wrap type="none"/>
          </v:line>
        </w:pict>
      </w:r>
      <w:r>
        <w:rPr/>
        <w:pict>
          <v:shape style="position:absolute;margin-left:69.866096pt;margin-top:40.902756pt;width:10.75pt;height:9.5pt;mso-position-horizontal-relative:page;mso-position-vertical-relative:page;z-index:-199528" type="#_x0000_t202" filled="false" stroked="false">
            <v:textbox inset="0,0,0,0">
              <w:txbxContent>
                <w:p>
                  <w:pPr>
                    <w:spacing w:before="1"/>
                    <w:ind w:left="20" w:right="0" w:firstLine="0"/>
                    <w:jc w:val="left"/>
                    <w:rPr>
                      <w:sz w:val="15"/>
                    </w:rPr>
                  </w:pPr>
                  <w:r>
                    <w:rPr>
                      <w:color w:val="58595B"/>
                      <w:sz w:val="15"/>
                    </w:rPr>
                    <w:t>98</w:t>
                  </w:r>
                </w:p>
              </w:txbxContent>
            </v:textbox>
            <w10:wrap type="none"/>
          </v:shape>
        </w:pict>
      </w:r>
      <w:r>
        <w:rPr/>
        <w:pict>
          <v:shape style="position:absolute;margin-left:95.377899pt;margin-top:40.902756pt;width:147.75pt;height:9.5pt;mso-position-horizontal-relative:page;mso-position-vertical-relative:page;z-index:-199504"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5.7pt;height:161.85pt;mso-position-horizontal-relative:page;mso-position-vertical-relative:page;z-index:-199480" type="#_x0000_t202" filled="false" stroked="false">
            <v:textbox inset="0,0,0,0">
              <w:txbxContent>
                <w:p>
                  <w:pPr>
                    <w:pStyle w:val="Heading1"/>
                    <w:numPr>
                      <w:ilvl w:val="0"/>
                      <w:numId w:val="29"/>
                    </w:numPr>
                    <w:tabs>
                      <w:tab w:pos="361" w:val="left" w:leader="none"/>
                    </w:tabs>
                    <w:spacing w:line="224" w:lineRule="exact" w:before="0" w:after="0"/>
                    <w:ind w:left="360" w:right="0" w:hanging="340"/>
                    <w:jc w:val="left"/>
                  </w:pPr>
                  <w:r>
                    <w:rPr>
                      <w:color w:val="58595B"/>
                    </w:rPr>
                    <w:t>Evaluate the effectiveness of regulatory </w:t>
                  </w:r>
                  <w:r>
                    <w:rPr>
                      <w:color w:val="58595B"/>
                      <w:spacing w:val="9"/>
                    </w:rPr>
                    <w:t> </w:t>
                  </w:r>
                  <w:r>
                    <w:rPr>
                      <w:color w:val="58595B"/>
                    </w:rPr>
                    <w:t>interventions</w:t>
                  </w:r>
                </w:p>
                <w:p>
                  <w:pPr>
                    <w:pStyle w:val="ListParagraph"/>
                    <w:numPr>
                      <w:ilvl w:val="1"/>
                      <w:numId w:val="29"/>
                    </w:numPr>
                    <w:tabs>
                      <w:tab w:pos="531" w:val="left" w:leader="none"/>
                    </w:tabs>
                    <w:spacing w:line="280" w:lineRule="auto" w:before="153" w:after="0"/>
                    <w:ind w:left="530" w:right="17" w:hanging="170"/>
                    <w:jc w:val="left"/>
                    <w:rPr>
                      <w:sz w:val="20"/>
                    </w:rPr>
                  </w:pPr>
                  <w:r>
                    <w:rPr>
                      <w:color w:val="58595B"/>
                      <w:sz w:val="20"/>
                    </w:rPr>
                    <w:t>Monitor,</w:t>
                  </w:r>
                  <w:r>
                    <w:rPr>
                      <w:color w:val="58595B"/>
                      <w:spacing w:val="-6"/>
                      <w:sz w:val="20"/>
                    </w:rPr>
                    <w:t> </w:t>
                  </w:r>
                  <w:r>
                    <w:rPr>
                      <w:color w:val="58595B"/>
                      <w:sz w:val="20"/>
                    </w:rPr>
                    <w:t>spatially</w:t>
                  </w:r>
                  <w:r>
                    <w:rPr>
                      <w:color w:val="58595B"/>
                      <w:spacing w:val="-5"/>
                      <w:sz w:val="20"/>
                    </w:rPr>
                    <w:t> </w:t>
                  </w:r>
                  <w:r>
                    <w:rPr>
                      <w:color w:val="58595B"/>
                      <w:sz w:val="20"/>
                    </w:rPr>
                    <w:t>and</w:t>
                  </w:r>
                  <w:r>
                    <w:rPr>
                      <w:color w:val="58595B"/>
                      <w:spacing w:val="-5"/>
                      <w:sz w:val="20"/>
                    </w:rPr>
                    <w:t> </w:t>
                  </w:r>
                  <w:r>
                    <w:rPr>
                      <w:color w:val="58595B"/>
                      <w:sz w:val="20"/>
                    </w:rPr>
                    <w:t>temporally,</w:t>
                  </w:r>
                  <w:r>
                    <w:rPr>
                      <w:color w:val="58595B"/>
                      <w:spacing w:val="-6"/>
                      <w:sz w:val="20"/>
                    </w:rPr>
                    <w:t> </w:t>
                  </w:r>
                  <w:r>
                    <w:rPr>
                      <w:color w:val="58595B"/>
                      <w:sz w:val="20"/>
                    </w:rPr>
                    <w:t>health</w:t>
                  </w:r>
                  <w:r>
                    <w:rPr>
                      <w:color w:val="58595B"/>
                      <w:spacing w:val="-5"/>
                      <w:sz w:val="20"/>
                    </w:rPr>
                    <w:t> </w:t>
                  </w:r>
                  <w:r>
                    <w:rPr>
                      <w:color w:val="58595B"/>
                      <w:sz w:val="20"/>
                    </w:rPr>
                    <w:t>and</w:t>
                  </w:r>
                  <w:r>
                    <w:rPr>
                      <w:color w:val="58595B"/>
                      <w:spacing w:val="-5"/>
                      <w:sz w:val="20"/>
                    </w:rPr>
                    <w:t> </w:t>
                  </w:r>
                  <w:r>
                    <w:rPr>
                      <w:color w:val="58595B"/>
                      <w:sz w:val="20"/>
                    </w:rPr>
                    <w:t>safety,</w:t>
                  </w:r>
                  <w:r>
                    <w:rPr>
                      <w:color w:val="58595B"/>
                      <w:spacing w:val="-6"/>
                      <w:sz w:val="20"/>
                    </w:rPr>
                    <w:t> </w:t>
                  </w:r>
                  <w:r>
                    <w:rPr>
                      <w:color w:val="58595B"/>
                      <w:sz w:val="20"/>
                    </w:rPr>
                    <w:t>wellbeing,</w:t>
                  </w:r>
                  <w:r>
                    <w:rPr>
                      <w:color w:val="58595B"/>
                      <w:spacing w:val="-6"/>
                      <w:sz w:val="20"/>
                    </w:rPr>
                    <w:t> </w:t>
                  </w:r>
                  <w:r>
                    <w:rPr>
                      <w:color w:val="58595B"/>
                      <w:sz w:val="20"/>
                    </w:rPr>
                    <w:t>productive</w:t>
                  </w:r>
                  <w:r>
                    <w:rPr>
                      <w:color w:val="58595B"/>
                      <w:spacing w:val="-5"/>
                      <w:sz w:val="20"/>
                    </w:rPr>
                    <w:t> </w:t>
                  </w:r>
                  <w:r>
                    <w:rPr>
                      <w:color w:val="58595B"/>
                      <w:sz w:val="20"/>
                    </w:rPr>
                    <w:t>and</w:t>
                  </w:r>
                  <w:r>
                    <w:rPr>
                      <w:color w:val="58595B"/>
                      <w:spacing w:val="-5"/>
                      <w:sz w:val="20"/>
                    </w:rPr>
                    <w:t> </w:t>
                  </w:r>
                  <w:r>
                    <w:rPr>
                      <w:color w:val="58595B"/>
                      <w:sz w:val="20"/>
                    </w:rPr>
                    <w:t>environmental outcomes and changes in the operating</w:t>
                  </w:r>
                  <w:r>
                    <w:rPr>
                      <w:color w:val="58595B"/>
                      <w:spacing w:val="3"/>
                      <w:sz w:val="20"/>
                    </w:rPr>
                    <w:t> </w:t>
                  </w:r>
                  <w:r>
                    <w:rPr>
                      <w:color w:val="58595B"/>
                      <w:sz w:val="20"/>
                    </w:rPr>
                    <w:t>environment.</w:t>
                  </w:r>
                </w:p>
                <w:p>
                  <w:pPr>
                    <w:pStyle w:val="ListParagraph"/>
                    <w:numPr>
                      <w:ilvl w:val="1"/>
                      <w:numId w:val="29"/>
                    </w:numPr>
                    <w:tabs>
                      <w:tab w:pos="530" w:val="left" w:leader="none"/>
                    </w:tabs>
                    <w:spacing w:line="280" w:lineRule="auto" w:before="115" w:after="0"/>
                    <w:ind w:left="530" w:right="183" w:hanging="170"/>
                    <w:jc w:val="left"/>
                    <w:rPr>
                      <w:sz w:val="20"/>
                    </w:rPr>
                  </w:pPr>
                  <w:r>
                    <w:rPr>
                      <w:color w:val="58595B"/>
                      <w:sz w:val="20"/>
                    </w:rPr>
                    <w:t>Gather and analyse data on specific regulatory interventions, including costs and resulting changes in</w:t>
                  </w:r>
                  <w:r>
                    <w:rPr>
                      <w:color w:val="58595B"/>
                      <w:spacing w:val="4"/>
                      <w:sz w:val="20"/>
                    </w:rPr>
                    <w:t> </w:t>
                  </w:r>
                  <w:r>
                    <w:rPr>
                      <w:color w:val="58595B"/>
                      <w:sz w:val="20"/>
                    </w:rPr>
                    <w:t>outcomes.</w:t>
                  </w:r>
                </w:p>
                <w:p>
                  <w:pPr>
                    <w:pStyle w:val="ListParagraph"/>
                    <w:numPr>
                      <w:ilvl w:val="1"/>
                      <w:numId w:val="29"/>
                    </w:numPr>
                    <w:tabs>
                      <w:tab w:pos="530" w:val="left" w:leader="none"/>
                    </w:tabs>
                    <w:spacing w:line="280" w:lineRule="auto" w:before="115" w:after="0"/>
                    <w:ind w:left="530" w:right="1474" w:hanging="170"/>
                    <w:jc w:val="left"/>
                    <w:rPr>
                      <w:sz w:val="20"/>
                    </w:rPr>
                  </w:pPr>
                  <w:r>
                    <w:rPr>
                      <w:color w:val="58595B"/>
                      <w:sz w:val="20"/>
                    </w:rPr>
                    <w:t>Survey duty holders on their awareness of, and barriers to compliance with, environmental</w:t>
                  </w:r>
                  <w:r>
                    <w:rPr>
                      <w:color w:val="58595B"/>
                      <w:spacing w:val="-7"/>
                      <w:sz w:val="20"/>
                    </w:rPr>
                    <w:t> </w:t>
                  </w:r>
                  <w:r>
                    <w:rPr>
                      <w:color w:val="58595B"/>
                      <w:sz w:val="20"/>
                    </w:rPr>
                    <w:t>laws.</w:t>
                  </w:r>
                </w:p>
                <w:p>
                  <w:pPr>
                    <w:pStyle w:val="ListParagraph"/>
                    <w:numPr>
                      <w:ilvl w:val="1"/>
                      <w:numId w:val="29"/>
                    </w:numPr>
                    <w:tabs>
                      <w:tab w:pos="530" w:val="left" w:leader="none"/>
                    </w:tabs>
                    <w:spacing w:line="280" w:lineRule="auto" w:before="115" w:after="0"/>
                    <w:ind w:left="530" w:right="18" w:hanging="170"/>
                    <w:jc w:val="left"/>
                    <w:rPr>
                      <w:sz w:val="20"/>
                    </w:rPr>
                  </w:pPr>
                  <w:r>
                    <w:rPr>
                      <w:color w:val="58595B"/>
                      <w:sz w:val="20"/>
                    </w:rPr>
                    <w:t>Provide advice to government on the effectiveness and efficiency of regulatory interventions in achieving outcomes and identified gaps and weaknesses in instruments and</w:t>
                  </w:r>
                  <w:r>
                    <w:rPr>
                      <w:color w:val="58595B"/>
                      <w:spacing w:val="9"/>
                      <w:sz w:val="20"/>
                    </w:rPr>
                    <w:t> </w:t>
                  </w:r>
                  <w:r>
                    <w:rPr>
                      <w:color w:val="58595B"/>
                      <w:sz w:val="20"/>
                    </w:rPr>
                    <w:t>approaches.</w:t>
                  </w:r>
                </w:p>
                <w:p>
                  <w:pPr>
                    <w:pStyle w:val="ListParagraph"/>
                    <w:numPr>
                      <w:ilvl w:val="1"/>
                      <w:numId w:val="29"/>
                    </w:numPr>
                    <w:tabs>
                      <w:tab w:pos="530" w:val="left" w:leader="none"/>
                    </w:tabs>
                    <w:spacing w:line="240" w:lineRule="auto" w:before="115" w:after="0"/>
                    <w:ind w:left="530" w:right="0" w:hanging="170"/>
                    <w:jc w:val="left"/>
                    <w:rPr>
                      <w:sz w:val="20"/>
                    </w:rPr>
                  </w:pPr>
                  <w:r>
                    <w:rPr>
                      <w:color w:val="58595B"/>
                      <w:sz w:val="20"/>
                    </w:rPr>
                    <w:t>Use lessons to inform continuous improvement in regulatory design and</w:t>
                  </w:r>
                  <w:r>
                    <w:rPr>
                      <w:color w:val="58595B"/>
                      <w:spacing w:val="4"/>
                      <w:sz w:val="20"/>
                    </w:rPr>
                    <w:t> </w:t>
                  </w:r>
                  <w:r>
                    <w:rPr>
                      <w:color w:val="58595B"/>
                      <w:sz w:val="20"/>
                    </w:rPr>
                    <w:t>implementation.</w:t>
                  </w:r>
                </w:p>
              </w:txbxContent>
            </v:textbox>
            <w10:wrap type="none"/>
          </v:shape>
        </w:pict>
      </w:r>
      <w:r>
        <w:rPr/>
        <w:pict>
          <v:shape style="position:absolute;margin-left:69.856102pt;margin-top:277.743958pt;width:431.6pt;height:66pt;mso-position-horizontal-relative:page;mso-position-vertical-relative:page;z-index:-199456" type="#_x0000_t202" filled="false" stroked="false">
            <v:textbox inset="0,0,0,0">
              <w:txbxContent>
                <w:p>
                  <w:pPr>
                    <w:pStyle w:val="BodyText"/>
                    <w:spacing w:line="280" w:lineRule="auto"/>
                  </w:pPr>
                  <w:r>
                    <w:rPr>
                      <w:color w:val="58595B"/>
                    </w:rPr>
                    <w:t>These</w:t>
                  </w:r>
                  <w:r>
                    <w:rPr>
                      <w:color w:val="58595B"/>
                      <w:spacing w:val="-10"/>
                    </w:rPr>
                    <w:t> </w:t>
                  </w:r>
                  <w:r>
                    <w:rPr>
                      <w:color w:val="58595B"/>
                    </w:rPr>
                    <w:t>functions</w:t>
                  </w:r>
                  <w:r>
                    <w:rPr>
                      <w:color w:val="58595B"/>
                      <w:spacing w:val="-10"/>
                    </w:rPr>
                    <w:t> </w:t>
                  </w:r>
                  <w:r>
                    <w:rPr>
                      <w:color w:val="58595B"/>
                    </w:rPr>
                    <w:t>reflect</w:t>
                  </w:r>
                  <w:r>
                    <w:rPr>
                      <w:color w:val="58595B"/>
                      <w:spacing w:val="-10"/>
                    </w:rPr>
                    <w:t> </w:t>
                  </w:r>
                  <w:r>
                    <w:rPr>
                      <w:color w:val="58595B"/>
                    </w:rPr>
                    <w:t>the</w:t>
                  </w:r>
                  <w:r>
                    <w:rPr>
                      <w:color w:val="58595B"/>
                      <w:spacing w:val="-10"/>
                    </w:rPr>
                    <w:t> </w:t>
                  </w:r>
                  <w:r>
                    <w:rPr>
                      <w:color w:val="58595B"/>
                    </w:rPr>
                    <w:t>cycle</w:t>
                  </w:r>
                  <w:r>
                    <w:rPr>
                      <w:color w:val="58595B"/>
                      <w:spacing w:val="-10"/>
                    </w:rPr>
                    <w:t> </w:t>
                  </w:r>
                  <w:r>
                    <w:rPr>
                      <w:color w:val="58595B"/>
                    </w:rPr>
                    <w:t>of</w:t>
                  </w:r>
                  <w:r>
                    <w:rPr>
                      <w:color w:val="58595B"/>
                      <w:spacing w:val="-10"/>
                    </w:rPr>
                    <w:t> </w:t>
                  </w:r>
                  <w:r>
                    <w:rPr>
                      <w:color w:val="58595B"/>
                    </w:rPr>
                    <w:t>regulatory</w:t>
                  </w:r>
                  <w:r>
                    <w:rPr>
                      <w:color w:val="58595B"/>
                      <w:spacing w:val="-10"/>
                    </w:rPr>
                    <w:t> </w:t>
                  </w:r>
                  <w:r>
                    <w:rPr>
                      <w:color w:val="58595B"/>
                      <w:spacing w:val="-3"/>
                    </w:rPr>
                    <w:t>activity,</w:t>
                  </w:r>
                  <w:r>
                    <w:rPr>
                      <w:color w:val="58595B"/>
                      <w:spacing w:val="-10"/>
                    </w:rPr>
                    <w:t> </w:t>
                  </w:r>
                  <w:r>
                    <w:rPr>
                      <w:color w:val="58595B"/>
                    </w:rPr>
                    <w:t>starting</w:t>
                  </w:r>
                  <w:r>
                    <w:rPr>
                      <w:color w:val="58595B"/>
                      <w:spacing w:val="-10"/>
                    </w:rPr>
                    <w:t> </w:t>
                  </w:r>
                  <w:r>
                    <w:rPr>
                      <w:color w:val="58595B"/>
                    </w:rPr>
                    <w:t>with</w:t>
                  </w:r>
                  <w:r>
                    <w:rPr>
                      <w:color w:val="58595B"/>
                      <w:spacing w:val="-10"/>
                    </w:rPr>
                    <w:t> </w:t>
                  </w:r>
                  <w:r>
                    <w:rPr>
                      <w:color w:val="58595B"/>
                    </w:rPr>
                    <w:t>understanding</w:t>
                  </w:r>
                  <w:r>
                    <w:rPr>
                      <w:color w:val="58595B"/>
                      <w:spacing w:val="-10"/>
                    </w:rPr>
                    <w:t> </w:t>
                  </w:r>
                  <w:r>
                    <w:rPr>
                      <w:color w:val="58595B"/>
                    </w:rPr>
                    <w:t>the</w:t>
                  </w:r>
                  <w:r>
                    <w:rPr>
                      <w:color w:val="58595B"/>
                      <w:spacing w:val="-10"/>
                    </w:rPr>
                    <w:t> </w:t>
                  </w:r>
                  <w:r>
                    <w:rPr>
                      <w:color w:val="58595B"/>
                      <w:spacing w:val="-3"/>
                    </w:rPr>
                    <w:t>environment, </w:t>
                  </w:r>
                  <w:r>
                    <w:rPr>
                      <w:color w:val="58595B"/>
                    </w:rPr>
                    <w:t>the risks from pollution and </w:t>
                  </w:r>
                  <w:r>
                    <w:rPr>
                      <w:color w:val="58595B"/>
                      <w:spacing w:val="-3"/>
                    </w:rPr>
                    <w:t>waste, </w:t>
                  </w:r>
                  <w:r>
                    <w:rPr>
                      <w:color w:val="58595B"/>
                    </w:rPr>
                    <w:t>and possible solutions. This approach </w:t>
                  </w:r>
                  <w:r>
                    <w:rPr>
                      <w:color w:val="58595B"/>
                      <w:spacing w:val="-3"/>
                    </w:rPr>
                    <w:t>expands </w:t>
                  </w:r>
                  <w:r>
                    <w:rPr>
                      <w:color w:val="58595B"/>
                    </w:rPr>
                    <w:t>the ‘traditional’ blackletter</w:t>
                  </w:r>
                  <w:r>
                    <w:rPr>
                      <w:color w:val="58595B"/>
                      <w:spacing w:val="-18"/>
                    </w:rPr>
                    <w:t> </w:t>
                  </w:r>
                  <w:r>
                    <w:rPr>
                      <w:color w:val="58595B"/>
                    </w:rPr>
                    <w:t>regulatory</w:t>
                  </w:r>
                  <w:r>
                    <w:rPr>
                      <w:color w:val="58595B"/>
                      <w:spacing w:val="-18"/>
                    </w:rPr>
                    <w:t> </w:t>
                  </w:r>
                  <w:r>
                    <w:rPr>
                      <w:color w:val="58595B"/>
                    </w:rPr>
                    <w:t>approach,</w:t>
                  </w:r>
                  <w:r>
                    <w:rPr>
                      <w:color w:val="58595B"/>
                      <w:spacing w:val="-18"/>
                    </w:rPr>
                    <w:t> </w:t>
                  </w:r>
                  <w:r>
                    <w:rPr>
                      <w:color w:val="58595B"/>
                    </w:rPr>
                    <w:t>which</w:t>
                  </w:r>
                  <w:r>
                    <w:rPr>
                      <w:color w:val="58595B"/>
                      <w:spacing w:val="-18"/>
                    </w:rPr>
                    <w:t> </w:t>
                  </w:r>
                  <w:r>
                    <w:rPr>
                      <w:color w:val="58595B"/>
                    </w:rPr>
                    <w:t>emphasises</w:t>
                  </w:r>
                  <w:r>
                    <w:rPr>
                      <w:color w:val="58595B"/>
                      <w:spacing w:val="-18"/>
                    </w:rPr>
                    <w:t> </w:t>
                  </w:r>
                  <w:r>
                    <w:rPr>
                      <w:color w:val="58595B"/>
                    </w:rPr>
                    <w:t>compliance</w:t>
                  </w:r>
                  <w:r>
                    <w:rPr>
                      <w:color w:val="58595B"/>
                      <w:spacing w:val="-18"/>
                    </w:rPr>
                    <w:t> </w:t>
                  </w:r>
                  <w:r>
                    <w:rPr>
                      <w:color w:val="58595B"/>
                    </w:rPr>
                    <w:t>and</w:t>
                  </w:r>
                  <w:r>
                    <w:rPr>
                      <w:color w:val="58595B"/>
                      <w:spacing w:val="-18"/>
                    </w:rPr>
                    <w:t> </w:t>
                  </w:r>
                  <w:r>
                    <w:rPr>
                      <w:color w:val="58595B"/>
                    </w:rPr>
                    <w:t>enforcement</w:t>
                  </w:r>
                  <w:r>
                    <w:rPr>
                      <w:color w:val="58595B"/>
                      <w:spacing w:val="-18"/>
                    </w:rPr>
                    <w:t> </w:t>
                  </w:r>
                  <w:r>
                    <w:rPr>
                      <w:color w:val="58595B"/>
                    </w:rPr>
                    <w:t>activities.</w:t>
                  </w:r>
                  <w:r>
                    <w:rPr>
                      <w:color w:val="58595B"/>
                      <w:spacing w:val="-18"/>
                    </w:rPr>
                    <w:t> </w:t>
                  </w:r>
                  <w:r>
                    <w:rPr>
                      <w:color w:val="58595B"/>
                    </w:rPr>
                    <w:t>As</w:t>
                  </w:r>
                </w:p>
                <w:p>
                  <w:pPr>
                    <w:pStyle w:val="BodyText"/>
                    <w:spacing w:line="280" w:lineRule="auto" w:before="2"/>
                  </w:pPr>
                  <w:r>
                    <w:rPr>
                      <w:color w:val="58595B"/>
                    </w:rPr>
                    <w:t>a</w:t>
                  </w:r>
                  <w:r>
                    <w:rPr>
                      <w:color w:val="58595B"/>
                      <w:spacing w:val="-10"/>
                    </w:rPr>
                    <w:t> </w:t>
                  </w:r>
                  <w:r>
                    <w:rPr>
                      <w:color w:val="58595B"/>
                    </w:rPr>
                    <w:t>modern</w:t>
                  </w:r>
                  <w:r>
                    <w:rPr>
                      <w:color w:val="58595B"/>
                      <w:spacing w:val="-10"/>
                    </w:rPr>
                    <w:t> </w:t>
                  </w:r>
                  <w:r>
                    <w:rPr>
                      <w:color w:val="58595B"/>
                    </w:rPr>
                    <w:t>and</w:t>
                  </w:r>
                  <w:r>
                    <w:rPr>
                      <w:color w:val="58595B"/>
                      <w:spacing w:val="-10"/>
                    </w:rPr>
                    <w:t> </w:t>
                  </w:r>
                  <w:r>
                    <w:rPr>
                      <w:color w:val="58595B"/>
                    </w:rPr>
                    <w:t>mature</w:t>
                  </w:r>
                  <w:r>
                    <w:rPr>
                      <w:color w:val="58595B"/>
                      <w:spacing w:val="-10"/>
                    </w:rPr>
                    <w:t> </w:t>
                  </w:r>
                  <w:r>
                    <w:rPr>
                      <w:color w:val="58595B"/>
                      <w:spacing w:val="-4"/>
                    </w:rPr>
                    <w:t>regulator,</w:t>
                  </w:r>
                  <w:r>
                    <w:rPr>
                      <w:color w:val="58595B"/>
                      <w:spacing w:val="-10"/>
                    </w:rPr>
                    <w:t> </w:t>
                  </w:r>
                  <w:r>
                    <w:rPr>
                      <w:color w:val="58595B"/>
                    </w:rPr>
                    <w:t>the</w:t>
                  </w:r>
                  <w:r>
                    <w:rPr>
                      <w:color w:val="58595B"/>
                      <w:spacing w:val="-10"/>
                    </w:rPr>
                    <w:t> </w:t>
                  </w:r>
                  <w:r>
                    <w:rPr>
                      <w:color w:val="58595B"/>
                      <w:spacing w:val="-5"/>
                    </w:rPr>
                    <w:t>EPA</w:t>
                  </w:r>
                  <w:r>
                    <w:rPr>
                      <w:color w:val="58595B"/>
                      <w:spacing w:val="-10"/>
                    </w:rPr>
                    <w:t> </w:t>
                  </w:r>
                  <w:r>
                    <w:rPr>
                      <w:color w:val="58595B"/>
                    </w:rPr>
                    <w:t>needs</w:t>
                  </w:r>
                  <w:r>
                    <w:rPr>
                      <w:color w:val="58595B"/>
                      <w:spacing w:val="-10"/>
                    </w:rPr>
                    <w:t> </w:t>
                  </w:r>
                  <w:r>
                    <w:rPr>
                      <w:color w:val="58595B"/>
                    </w:rPr>
                    <w:t>opportunities</w:t>
                  </w:r>
                  <w:r>
                    <w:rPr>
                      <w:color w:val="58595B"/>
                      <w:spacing w:val="-10"/>
                    </w:rPr>
                    <w:t> </w:t>
                  </w:r>
                  <w:r>
                    <w:rPr>
                      <w:color w:val="58595B"/>
                    </w:rPr>
                    <w:t>and</w:t>
                  </w:r>
                  <w:r>
                    <w:rPr>
                      <w:color w:val="58595B"/>
                      <w:spacing w:val="-10"/>
                    </w:rPr>
                    <w:t> </w:t>
                  </w:r>
                  <w:r>
                    <w:rPr>
                      <w:color w:val="58595B"/>
                    </w:rPr>
                    <w:t>the</w:t>
                  </w:r>
                  <w:r>
                    <w:rPr>
                      <w:color w:val="58595B"/>
                      <w:spacing w:val="-10"/>
                    </w:rPr>
                    <w:t> </w:t>
                  </w:r>
                  <w:r>
                    <w:rPr>
                      <w:color w:val="58595B"/>
                    </w:rPr>
                    <w:t>capabilities</w:t>
                  </w:r>
                  <w:r>
                    <w:rPr>
                      <w:color w:val="58595B"/>
                      <w:spacing w:val="-10"/>
                    </w:rPr>
                    <w:t> </w:t>
                  </w:r>
                  <w:r>
                    <w:rPr>
                      <w:color w:val="58595B"/>
                    </w:rPr>
                    <w:t>to</w:t>
                  </w:r>
                  <w:r>
                    <w:rPr>
                      <w:color w:val="58595B"/>
                      <w:spacing w:val="-10"/>
                    </w:rPr>
                    <w:t> </w:t>
                  </w:r>
                  <w:r>
                    <w:rPr>
                      <w:color w:val="58595B"/>
                    </w:rPr>
                    <w:t>influence</w:t>
                  </w:r>
                  <w:r>
                    <w:rPr>
                      <w:color w:val="58595B"/>
                      <w:spacing w:val="-10"/>
                    </w:rPr>
                    <w:t> </w:t>
                  </w:r>
                  <w:r>
                    <w:rPr>
                      <w:color w:val="58595B"/>
                    </w:rPr>
                    <w:t>work within</w:t>
                  </w:r>
                  <w:r>
                    <w:rPr>
                      <w:color w:val="58595B"/>
                      <w:spacing w:val="-9"/>
                    </w:rPr>
                    <w:t> </w:t>
                  </w:r>
                  <w:r>
                    <w:rPr>
                      <w:color w:val="58595B"/>
                      <w:spacing w:val="-3"/>
                    </w:rPr>
                    <w:t>government,</w:t>
                  </w:r>
                  <w:r>
                    <w:rPr>
                      <w:color w:val="58595B"/>
                      <w:spacing w:val="-9"/>
                    </w:rPr>
                    <w:t> </w:t>
                  </w:r>
                  <w:r>
                    <w:rPr>
                      <w:color w:val="58595B"/>
                    </w:rPr>
                    <w:t>including</w:t>
                  </w:r>
                  <w:r>
                    <w:rPr>
                      <w:color w:val="58595B"/>
                      <w:spacing w:val="-9"/>
                    </w:rPr>
                    <w:t> </w:t>
                  </w:r>
                  <w:r>
                    <w:rPr>
                      <w:color w:val="58595B"/>
                    </w:rPr>
                    <w:t>enlisting</w:t>
                  </w:r>
                  <w:r>
                    <w:rPr>
                      <w:color w:val="58595B"/>
                      <w:spacing w:val="-9"/>
                    </w:rPr>
                    <w:t> </w:t>
                  </w:r>
                  <w:r>
                    <w:rPr>
                      <w:color w:val="58595B"/>
                      <w:spacing w:val="-3"/>
                    </w:rPr>
                    <w:t>government</w:t>
                  </w:r>
                  <w:r>
                    <w:rPr>
                      <w:color w:val="58595B"/>
                      <w:spacing w:val="-9"/>
                    </w:rPr>
                    <w:t> </w:t>
                  </w:r>
                  <w:r>
                    <w:rPr>
                      <w:color w:val="58595B"/>
                    </w:rPr>
                    <w:t>support</w:t>
                  </w:r>
                  <w:r>
                    <w:rPr>
                      <w:color w:val="58595B"/>
                      <w:spacing w:val="-9"/>
                    </w:rPr>
                    <w:t> </w:t>
                  </w:r>
                  <w:r>
                    <w:rPr>
                      <w:color w:val="58595B"/>
                    </w:rPr>
                    <w:t>for</w:t>
                  </w:r>
                  <w:r>
                    <w:rPr>
                      <w:color w:val="58595B"/>
                      <w:spacing w:val="-9"/>
                    </w:rPr>
                    <w:t> </w:t>
                  </w:r>
                  <w:r>
                    <w:rPr>
                      <w:color w:val="58595B"/>
                    </w:rPr>
                    <w:t>regulatory</w:t>
                  </w:r>
                  <w:r>
                    <w:rPr>
                      <w:color w:val="58595B"/>
                      <w:spacing w:val="-9"/>
                    </w:rPr>
                    <w:t> </w:t>
                  </w:r>
                  <w:r>
                    <w:rPr>
                      <w:color w:val="58595B"/>
                      <w:spacing w:val="-3"/>
                    </w:rPr>
                    <w:t>innovation.</w:t>
                  </w:r>
                </w:p>
              </w:txbxContent>
            </v:textbox>
            <w10:wrap type="none"/>
          </v:shape>
        </w:pict>
      </w:r>
      <w:r>
        <w:rPr/>
        <w:pict>
          <v:shape style="position:absolute;margin-left:69.856102pt;margin-top:353.743958pt;width:435.15pt;height:52.5pt;mso-position-horizontal-relative:page;mso-position-vertical-relative:page;z-index:-199432" type="#_x0000_t202" filled="false" stroked="false">
            <v:textbox inset="0,0,0,0">
              <w:txbxContent>
                <w:p>
                  <w:pPr>
                    <w:pStyle w:val="BodyText"/>
                    <w:spacing w:line="280" w:lineRule="auto"/>
                    <w:ind w:right="17"/>
                  </w:pPr>
                  <w:r>
                    <w:rPr>
                      <w:color w:val="58595B"/>
                    </w:rPr>
                    <w:t>The EPA of the future must remain a strong enforcer to address wrongdoing and to set a strong deterrent effect for others. But enforcement should remain an activity of last resort; strategic advice and early interventions that avoid or minimise problems and support compliance may have a greater and longer lasting impact and be more cost effective than post-harm reactive work.</w:t>
                  </w:r>
                </w:p>
              </w:txbxContent>
            </v:textbox>
            <w10:wrap type="none"/>
          </v:shape>
        </w:pict>
      </w:r>
      <w:r>
        <w:rPr/>
        <w:pict>
          <v:shape style="position:absolute;margin-left:69.846100pt;margin-top:416.243958pt;width:429pt;height:134.85pt;mso-position-horizontal-relative:page;mso-position-vertical-relative:page;z-index:-199408" type="#_x0000_t202" filled="false" stroked="false">
            <v:textbox inset="0,0,0,0">
              <w:txbxContent>
                <w:p>
                  <w:pPr>
                    <w:pStyle w:val="BodyText"/>
                    <w:spacing w:line="224" w:lineRule="exact"/>
                  </w:pPr>
                  <w:r>
                    <w:rPr>
                      <w:color w:val="58595B"/>
                    </w:rPr>
                    <w:t>Setting these legislated functions in the proposed EPA (Establishment) Act provides a basis for:</w:t>
                  </w:r>
                </w:p>
                <w:p>
                  <w:pPr>
                    <w:pStyle w:val="ListParagraph"/>
                    <w:numPr>
                      <w:ilvl w:val="0"/>
                      <w:numId w:val="30"/>
                    </w:numPr>
                    <w:tabs>
                      <w:tab w:pos="191" w:val="left" w:leader="none"/>
                    </w:tabs>
                    <w:spacing w:line="240" w:lineRule="auto" w:before="153" w:after="0"/>
                    <w:ind w:left="190" w:right="0" w:hanging="170"/>
                    <w:jc w:val="left"/>
                    <w:rPr>
                      <w:sz w:val="20"/>
                    </w:rPr>
                  </w:pPr>
                  <w:r>
                    <w:rPr>
                      <w:color w:val="58595B"/>
                      <w:sz w:val="20"/>
                    </w:rPr>
                    <w:t>guiding internal decision making on priorities and allocating</w:t>
                  </w:r>
                  <w:r>
                    <w:rPr>
                      <w:color w:val="58595B"/>
                      <w:spacing w:val="24"/>
                      <w:sz w:val="20"/>
                    </w:rPr>
                    <w:t> </w:t>
                  </w:r>
                  <w:r>
                    <w:rPr>
                      <w:color w:val="58595B"/>
                      <w:sz w:val="20"/>
                    </w:rPr>
                    <w:t>resources</w:t>
                  </w:r>
                </w:p>
                <w:p>
                  <w:pPr>
                    <w:pStyle w:val="ListParagraph"/>
                    <w:numPr>
                      <w:ilvl w:val="0"/>
                      <w:numId w:val="30"/>
                    </w:numPr>
                    <w:tabs>
                      <w:tab w:pos="191" w:val="left" w:leader="none"/>
                    </w:tabs>
                    <w:spacing w:line="280" w:lineRule="auto" w:before="153" w:after="0"/>
                    <w:ind w:left="190" w:right="516" w:hanging="170"/>
                    <w:jc w:val="left"/>
                    <w:rPr>
                      <w:sz w:val="20"/>
                    </w:rPr>
                  </w:pPr>
                  <w:r>
                    <w:rPr>
                      <w:color w:val="58595B"/>
                      <w:sz w:val="20"/>
                    </w:rPr>
                    <w:t>clarifying the </w:t>
                  </w:r>
                  <w:r>
                    <w:rPr>
                      <w:color w:val="58595B"/>
                      <w:spacing w:val="-7"/>
                      <w:sz w:val="20"/>
                    </w:rPr>
                    <w:t>EPA’s </w:t>
                  </w:r>
                  <w:r>
                    <w:rPr>
                      <w:color w:val="58595B"/>
                      <w:sz w:val="20"/>
                    </w:rPr>
                    <w:t>role relative to other parts of government, as a basis for collaborative activities and joint</w:t>
                  </w:r>
                  <w:r>
                    <w:rPr>
                      <w:color w:val="58595B"/>
                      <w:spacing w:val="5"/>
                      <w:sz w:val="20"/>
                    </w:rPr>
                    <w:t> </w:t>
                  </w:r>
                  <w:r>
                    <w:rPr>
                      <w:color w:val="58595B"/>
                      <w:sz w:val="20"/>
                    </w:rPr>
                    <w:t>regulation</w:t>
                  </w:r>
                </w:p>
                <w:p>
                  <w:pPr>
                    <w:pStyle w:val="ListParagraph"/>
                    <w:numPr>
                      <w:ilvl w:val="0"/>
                      <w:numId w:val="30"/>
                    </w:numPr>
                    <w:tabs>
                      <w:tab w:pos="191" w:val="left" w:leader="none"/>
                    </w:tabs>
                    <w:spacing w:line="240" w:lineRule="auto" w:before="115" w:after="0"/>
                    <w:ind w:left="190" w:right="0" w:hanging="170"/>
                    <w:jc w:val="left"/>
                    <w:rPr>
                      <w:sz w:val="20"/>
                    </w:rPr>
                  </w:pPr>
                  <w:r>
                    <w:rPr>
                      <w:color w:val="58595B"/>
                      <w:sz w:val="20"/>
                    </w:rPr>
                    <w:t>signalling the </w:t>
                  </w:r>
                  <w:r>
                    <w:rPr>
                      <w:color w:val="58595B"/>
                      <w:spacing w:val="-7"/>
                      <w:sz w:val="20"/>
                    </w:rPr>
                    <w:t>EPA’s </w:t>
                  </w:r>
                  <w:r>
                    <w:rPr>
                      <w:color w:val="58595B"/>
                      <w:sz w:val="20"/>
                    </w:rPr>
                    <w:t>role to external stakeholders and setting clear community</w:t>
                  </w:r>
                  <w:r>
                    <w:rPr>
                      <w:color w:val="58595B"/>
                      <w:spacing w:val="24"/>
                      <w:sz w:val="20"/>
                    </w:rPr>
                    <w:t> </w:t>
                  </w:r>
                  <w:r>
                    <w:rPr>
                      <w:color w:val="58595B"/>
                      <w:sz w:val="20"/>
                    </w:rPr>
                    <w:t>expectations</w:t>
                  </w:r>
                </w:p>
                <w:p>
                  <w:pPr>
                    <w:pStyle w:val="ListParagraph"/>
                    <w:numPr>
                      <w:ilvl w:val="0"/>
                      <w:numId w:val="30"/>
                    </w:numPr>
                    <w:tabs>
                      <w:tab w:pos="191" w:val="left" w:leader="none"/>
                    </w:tabs>
                    <w:spacing w:line="280" w:lineRule="auto" w:before="153" w:after="0"/>
                    <w:ind w:left="190" w:right="17" w:hanging="170"/>
                    <w:jc w:val="left"/>
                    <w:rPr>
                      <w:sz w:val="20"/>
                    </w:rPr>
                  </w:pPr>
                  <w:r>
                    <w:rPr>
                      <w:color w:val="58595B"/>
                      <w:sz w:val="20"/>
                    </w:rPr>
                    <w:t>making the </w:t>
                  </w:r>
                  <w:r>
                    <w:rPr>
                      <w:color w:val="58595B"/>
                      <w:spacing w:val="-4"/>
                      <w:sz w:val="20"/>
                    </w:rPr>
                    <w:t>EPA </w:t>
                  </w:r>
                  <w:r>
                    <w:rPr>
                      <w:color w:val="58595B"/>
                      <w:sz w:val="20"/>
                    </w:rPr>
                    <w:t>more accountable for its activities, including how it balances the requirements for prevention, compliance and enforcement, and incident response</w:t>
                  </w:r>
                  <w:r>
                    <w:rPr>
                      <w:color w:val="58595B"/>
                      <w:spacing w:val="9"/>
                      <w:sz w:val="20"/>
                    </w:rPr>
                    <w:t> </w:t>
                  </w:r>
                  <w:r>
                    <w:rPr>
                      <w:color w:val="58595B"/>
                      <w:sz w:val="20"/>
                    </w:rPr>
                    <w:t>activities</w:t>
                  </w:r>
                </w:p>
                <w:p>
                  <w:pPr>
                    <w:pStyle w:val="ListParagraph"/>
                    <w:numPr>
                      <w:ilvl w:val="0"/>
                      <w:numId w:val="30"/>
                    </w:numPr>
                    <w:tabs>
                      <w:tab w:pos="190" w:val="left" w:leader="none"/>
                    </w:tabs>
                    <w:spacing w:line="240" w:lineRule="auto" w:before="115" w:after="0"/>
                    <w:ind w:left="190" w:right="0" w:hanging="170"/>
                    <w:jc w:val="left"/>
                    <w:rPr>
                      <w:sz w:val="20"/>
                    </w:rPr>
                  </w:pPr>
                  <w:r>
                    <w:rPr>
                      <w:color w:val="58595B"/>
                      <w:sz w:val="20"/>
                    </w:rPr>
                    <w:t>directing appropriate</w:t>
                  </w:r>
                  <w:r>
                    <w:rPr>
                      <w:color w:val="58595B"/>
                      <w:spacing w:val="5"/>
                      <w:sz w:val="20"/>
                    </w:rPr>
                    <w:t> </w:t>
                  </w:r>
                  <w:r>
                    <w:rPr>
                      <w:color w:val="58595B"/>
                      <w:sz w:val="20"/>
                    </w:rPr>
                    <w:t>resourcing.</w:t>
                  </w:r>
                </w:p>
              </w:txbxContent>
            </v:textbox>
            <w10:wrap type="none"/>
          </v:shape>
        </w:pict>
      </w:r>
      <w:r>
        <w:rPr/>
        <w:pict>
          <v:shape style="position:absolute;margin-left:69.846100pt;margin-top:561.093994pt;width:423.9pt;height:52.55pt;mso-position-horizontal-relative:page;mso-position-vertical-relative:page;z-index:-199384" type="#_x0000_t202" filled="false" stroked="false">
            <v:textbox inset="0,0,0,0">
              <w:txbxContent>
                <w:p>
                  <w:pPr>
                    <w:pStyle w:val="BodyText"/>
                    <w:spacing w:line="280" w:lineRule="auto"/>
                  </w:pPr>
                  <w:r>
                    <w:rPr>
                      <w:color w:val="58595B"/>
                    </w:rPr>
                    <w:t>A general provision ‘to do all things that are necessary or convenient to enable it to perform its functions’ will give the EPA the legislative head of power it needs to undertake such functions.</w:t>
                  </w:r>
                  <w:r>
                    <w:rPr>
                      <w:color w:val="58595B"/>
                      <w:position w:val="7"/>
                      <w:sz w:val="11"/>
                    </w:rPr>
                    <w:t>76 </w:t>
                  </w:r>
                  <w:r>
                    <w:rPr>
                      <w:color w:val="58595B"/>
                    </w:rPr>
                    <w:t>General functions and powers could then be supported by specific provisions that create tools and instruments to address particular matters.</w:t>
                  </w:r>
                </w:p>
              </w:txbxContent>
            </v:textbox>
            <w10:wrap type="none"/>
          </v:shape>
        </w:pict>
      </w:r>
      <w:r>
        <w:rPr/>
        <w:pict>
          <v:shape style="position:absolute;margin-left:69.862099pt;margin-top:623.602539pt;width:426.6pt;height:52.5pt;mso-position-horizontal-relative:page;mso-position-vertical-relative:page;z-index:-199360" type="#_x0000_t202" filled="false" stroked="false">
            <v:textbox inset="0,0,0,0">
              <w:txbxContent>
                <w:p>
                  <w:pPr>
                    <w:pStyle w:val="BodyText"/>
                    <w:spacing w:line="280" w:lineRule="auto"/>
                    <w:ind w:right="17"/>
                  </w:pPr>
                  <w:r>
                    <w:rPr>
                      <w:color w:val="58595B"/>
                    </w:rPr>
                    <w:t>Fully ‘inhabiting’ these functions will be a product of many other factors, including organisational leadership, government policy setting and authorisation, relationships across government, engagement with external stakeholders about their expectations, and resourcing for capability and capacity building. Ultimately, all this is brought together by organisational culture.</w:t>
                  </w:r>
                </w:p>
              </w:txbxContent>
            </v:textbox>
            <w10:wrap type="none"/>
          </v:shape>
        </w:pict>
      </w:r>
      <w:r>
        <w:rPr/>
        <w:pict>
          <v:shape style="position:absolute;margin-left:.0pt;margin-top:44.090015pt;width:60.3pt;height:5.25pt;mso-position-horizontal-relative:page;mso-position-vertical-relative:page;z-index:-199336"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99312"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99288" from="534.996094pt,45.840015pt" to="595.276001pt,45.840015pt" stroked="true" strokeweight="7pt" strokecolor="#0095a7">
            <w10:wrap type="none"/>
          </v:line>
        </w:pict>
      </w:r>
      <w:r>
        <w:rPr/>
        <w:pict>
          <v:shape style="position:absolute;margin-left:240.989395pt;margin-top:40.902756pt;width:258.9pt;height:9.5pt;mso-position-horizontal-relative:page;mso-position-vertical-relative:page;z-index:-199264" type="#_x0000_t202" filled="false" stroked="false">
            <v:textbox inset="0,0,0,0">
              <w:txbxContent>
                <w:p>
                  <w:pPr>
                    <w:spacing w:before="1"/>
                    <w:ind w:left="20" w:right="0" w:firstLine="0"/>
                    <w:jc w:val="left"/>
                    <w:rPr>
                      <w:sz w:val="15"/>
                    </w:rPr>
                  </w:pPr>
                  <w:r>
                    <w:rPr>
                      <w:color w:val="58595B"/>
                      <w:sz w:val="15"/>
                    </w:rPr>
                    <w:t>CHAPTER 5    CLARIFYING THE EPA’S OBJECTIVES AND FUNCTIONS</w:t>
                  </w:r>
                </w:p>
              </w:txbxContent>
            </v:textbox>
            <w10:wrap type="none"/>
          </v:shape>
        </w:pict>
      </w:r>
      <w:r>
        <w:rPr/>
        <w:pict>
          <v:shape style="position:absolute;margin-left:514.829407pt;margin-top:40.902756pt;width:10.8pt;height:9.5pt;mso-position-horizontal-relative:page;mso-position-vertical-relative:page;z-index:-199240" type="#_x0000_t202" filled="false" stroked="false">
            <v:textbox inset="0,0,0,0">
              <w:txbxContent>
                <w:p>
                  <w:pPr>
                    <w:spacing w:before="1"/>
                    <w:ind w:left="20" w:right="0" w:firstLine="0"/>
                    <w:jc w:val="left"/>
                    <w:rPr>
                      <w:sz w:val="15"/>
                    </w:rPr>
                  </w:pPr>
                  <w:r>
                    <w:rPr>
                      <w:color w:val="58595B"/>
                      <w:sz w:val="15"/>
                    </w:rPr>
                    <w:t>99</w:t>
                  </w:r>
                </w:p>
              </w:txbxContent>
            </v:textbox>
            <w10:wrap type="none"/>
          </v:shape>
        </w:pict>
      </w:r>
      <w:r>
        <w:rPr/>
        <w:pict>
          <v:shape style="position:absolute;margin-left:89.708603pt;margin-top:105.72934pt;width:403.85pt;height:59.8pt;mso-position-horizontal-relative:page;mso-position-vertical-relative:page;z-index:-199216" type="#_x0000_t202" filled="false" stroked="false">
            <v:textbox inset="0,0,0,0">
              <w:txbxContent>
                <w:p>
                  <w:pPr>
                    <w:spacing w:line="265" w:lineRule="exact" w:before="0"/>
                    <w:ind w:left="20" w:right="0" w:firstLine="0"/>
                    <w:jc w:val="left"/>
                    <w:rPr>
                      <w:sz w:val="24"/>
                    </w:rPr>
                  </w:pPr>
                  <w:r>
                    <w:rPr>
                      <w:color w:val="0095A7"/>
                      <w:sz w:val="24"/>
                    </w:rPr>
                    <w:t>5.6  Distinguishing </w:t>
                  </w:r>
                  <w:r>
                    <w:rPr>
                      <w:color w:val="0095A7"/>
                      <w:spacing w:val="-8"/>
                      <w:sz w:val="24"/>
                    </w:rPr>
                    <w:t>EPA’s </w:t>
                  </w:r>
                  <w:r>
                    <w:rPr>
                      <w:color w:val="0095A7"/>
                      <w:sz w:val="24"/>
                    </w:rPr>
                    <w:t>functions from DELWP and Sustainability</w:t>
                  </w:r>
                  <w:r>
                    <w:rPr>
                      <w:color w:val="0095A7"/>
                      <w:spacing w:val="59"/>
                      <w:sz w:val="24"/>
                    </w:rPr>
                    <w:t> </w:t>
                  </w:r>
                  <w:r>
                    <w:rPr>
                      <w:color w:val="0095A7"/>
                      <w:sz w:val="24"/>
                    </w:rPr>
                    <w:t>Victoria</w:t>
                  </w:r>
                </w:p>
                <w:p>
                  <w:pPr>
                    <w:spacing w:line="280" w:lineRule="auto" w:before="145"/>
                    <w:ind w:left="586" w:right="0" w:firstLine="0"/>
                    <w:jc w:val="left"/>
                    <w:rPr>
                      <w:i/>
                      <w:sz w:val="20"/>
                    </w:rPr>
                  </w:pPr>
                  <w:r>
                    <w:rPr>
                      <w:i/>
                      <w:color w:val="231F20"/>
                      <w:sz w:val="20"/>
                    </w:rPr>
                    <w:t>In order to strengthen the EPA it will be necessary to also improve the role, clarity and effectiveness of the Department of Environment, Land, Water and Planning and Sustainability Victoria.</w:t>
                  </w:r>
                </w:p>
              </w:txbxContent>
            </v:textbox>
            <w10:wrap type="none"/>
          </v:shape>
        </w:pict>
      </w:r>
      <w:r>
        <w:rPr/>
        <w:pict>
          <v:shape style="position:absolute;margin-left:118.055099pt;margin-top:175.519272pt;width:386.2pt;height:25.5pt;mso-position-horizontal-relative:page;mso-position-vertical-relative:page;z-index:-199192" type="#_x0000_t202" filled="false" stroked="false">
            <v:textbox inset="0,0,0,0">
              <w:txbxContent>
                <w:p>
                  <w:pPr>
                    <w:spacing w:line="280" w:lineRule="auto" w:before="0"/>
                    <w:ind w:left="20" w:right="0" w:firstLine="0"/>
                    <w:jc w:val="left"/>
                    <w:rPr>
                      <w:i/>
                      <w:sz w:val="20"/>
                    </w:rPr>
                  </w:pPr>
                  <w:r>
                    <w:rPr>
                      <w:i/>
                      <w:color w:val="231F20"/>
                      <w:spacing w:val="-4"/>
                      <w:sz w:val="20"/>
                    </w:rPr>
                    <w:t>Councils </w:t>
                  </w:r>
                  <w:r>
                    <w:rPr>
                      <w:i/>
                      <w:color w:val="231F20"/>
                      <w:spacing w:val="-3"/>
                      <w:sz w:val="20"/>
                    </w:rPr>
                    <w:t>and </w:t>
                  </w:r>
                  <w:r>
                    <w:rPr>
                      <w:i/>
                      <w:color w:val="231F20"/>
                      <w:spacing w:val="-4"/>
                      <w:sz w:val="20"/>
                    </w:rPr>
                    <w:t>other stakeholders </w:t>
                  </w:r>
                  <w:r>
                    <w:rPr>
                      <w:i/>
                      <w:color w:val="231F20"/>
                      <w:spacing w:val="-3"/>
                      <w:sz w:val="20"/>
                    </w:rPr>
                    <w:t>are </w:t>
                  </w:r>
                  <w:r>
                    <w:rPr>
                      <w:i/>
                      <w:color w:val="231F20"/>
                      <w:spacing w:val="-4"/>
                      <w:sz w:val="20"/>
                    </w:rPr>
                    <w:t>currently unclear </w:t>
                  </w:r>
                  <w:r>
                    <w:rPr>
                      <w:i/>
                      <w:color w:val="231F20"/>
                      <w:spacing w:val="-3"/>
                      <w:sz w:val="20"/>
                    </w:rPr>
                    <w:t>about the </w:t>
                  </w:r>
                  <w:r>
                    <w:rPr>
                      <w:i/>
                      <w:color w:val="231F20"/>
                      <w:spacing w:val="-4"/>
                      <w:sz w:val="20"/>
                    </w:rPr>
                    <w:t>interrelationships between </w:t>
                  </w:r>
                  <w:r>
                    <w:rPr>
                      <w:i/>
                      <w:color w:val="231F20"/>
                      <w:spacing w:val="-3"/>
                      <w:sz w:val="20"/>
                    </w:rPr>
                    <w:t>the </w:t>
                  </w:r>
                  <w:r>
                    <w:rPr>
                      <w:i/>
                      <w:color w:val="231F20"/>
                      <w:spacing w:val="-6"/>
                      <w:sz w:val="20"/>
                    </w:rPr>
                    <w:t>DELWP, </w:t>
                  </w:r>
                  <w:r>
                    <w:rPr>
                      <w:i/>
                      <w:color w:val="231F20"/>
                      <w:spacing w:val="-4"/>
                      <w:sz w:val="20"/>
                    </w:rPr>
                    <w:t>SV </w:t>
                  </w:r>
                  <w:r>
                    <w:rPr>
                      <w:i/>
                      <w:color w:val="231F20"/>
                      <w:spacing w:val="-3"/>
                      <w:sz w:val="20"/>
                    </w:rPr>
                    <w:t>and the EPA. </w:t>
                  </w:r>
                  <w:r>
                    <w:rPr>
                      <w:color w:val="231F20"/>
                      <w:spacing w:val="-4"/>
                      <w:sz w:val="20"/>
                    </w:rPr>
                    <w:t>(Municipal </w:t>
                  </w:r>
                  <w:r>
                    <w:rPr>
                      <w:color w:val="231F20"/>
                      <w:spacing w:val="-3"/>
                      <w:sz w:val="20"/>
                    </w:rPr>
                    <w:t>Association of Victoria </w:t>
                  </w:r>
                  <w:r>
                    <w:rPr>
                      <w:color w:val="231F20"/>
                      <w:spacing w:val="-4"/>
                      <w:sz w:val="20"/>
                    </w:rPr>
                    <w:t>submission pp. </w:t>
                  </w:r>
                  <w:r>
                    <w:rPr>
                      <w:color w:val="231F20"/>
                      <w:spacing w:val="-13"/>
                      <w:sz w:val="20"/>
                    </w:rPr>
                    <w:t>7, </w:t>
                  </w:r>
                  <w:r>
                    <w:rPr>
                      <w:color w:val="231F20"/>
                      <w:spacing w:val="-6"/>
                      <w:sz w:val="20"/>
                    </w:rPr>
                    <w:t>9)</w:t>
                  </w:r>
                  <w:r>
                    <w:rPr>
                      <w:i/>
                      <w:color w:val="231F20"/>
                      <w:spacing w:val="-6"/>
                      <w:sz w:val="20"/>
                    </w:rPr>
                    <w:t>.</w:t>
                  </w:r>
                </w:p>
              </w:txbxContent>
            </v:textbox>
            <w10:wrap type="none"/>
          </v:shape>
        </w:pict>
      </w:r>
      <w:r>
        <w:rPr/>
        <w:pict>
          <v:shape style="position:absolute;margin-left:89.705101pt;margin-top:211.019272pt;width:434.55pt;height:79.55pt;mso-position-horizontal-relative:page;mso-position-vertical-relative:page;z-index:-199168" type="#_x0000_t202" filled="false" stroked="false">
            <v:textbox inset="0,0,0,0">
              <w:txbxContent>
                <w:p>
                  <w:pPr>
                    <w:pStyle w:val="BodyText"/>
                    <w:spacing w:line="280" w:lineRule="auto"/>
                    <w:ind w:right="17"/>
                  </w:pPr>
                  <w:r>
                    <w:rPr>
                      <w:color w:val="58595B"/>
                    </w:rPr>
                    <w:t>The EPA’s role cannot be resolved without considering its relationship with DELWP and Sustainability Victoria. For some years, this relationship has been defined by clearly differentiated roles – for policy, regulation and program delivery.</w:t>
                  </w:r>
                  <w:r>
                    <w:rPr>
                      <w:color w:val="58595B"/>
                      <w:position w:val="7"/>
                      <w:sz w:val="11"/>
                    </w:rPr>
                    <w:t>77 </w:t>
                  </w:r>
                  <w:r>
                    <w:rPr>
                      <w:color w:val="58595B"/>
                    </w:rPr>
                    <w:t>This operating model recognises the interdependency of these roles and therefore the interdependency of DELWP, the EPA and Sustainability Victoria, but it is oversimplified. It also generates some confusion and frustration among stakeholders.</w:t>
                  </w:r>
                </w:p>
              </w:txbxContent>
            </v:textbox>
            <w10:wrap type="none"/>
          </v:shape>
        </w:pict>
      </w:r>
      <w:r>
        <w:rPr/>
        <w:pict>
          <v:shape style="position:absolute;margin-left:89.712097pt;margin-top:300.527161pt;width:411.7pt;height:79.5pt;mso-position-horizontal-relative:page;mso-position-vertical-relative:page;z-index:-199144" type="#_x0000_t202" filled="false" stroked="false">
            <v:textbox inset="0,0,0,0">
              <w:txbxContent>
                <w:p>
                  <w:pPr>
                    <w:pStyle w:val="BodyText"/>
                    <w:spacing w:line="280" w:lineRule="auto"/>
                  </w:pPr>
                  <w:r>
                    <w:rPr>
                      <w:color w:val="58595B"/>
                    </w:rPr>
                    <w:t>The relationships between functions (policy, regulation and program delivery) and agencies </w:t>
                  </w:r>
                  <w:r>
                    <w:rPr>
                      <w:color w:val="58595B"/>
                      <w:spacing w:val="-3"/>
                    </w:rPr>
                    <w:t>(DEWLP, </w:t>
                  </w:r>
                  <w:r>
                    <w:rPr>
                      <w:color w:val="58595B"/>
                    </w:rPr>
                    <w:t>the </w:t>
                  </w:r>
                  <w:r>
                    <w:rPr>
                      <w:color w:val="58595B"/>
                      <w:spacing w:val="-4"/>
                    </w:rPr>
                    <w:t>EPA </w:t>
                  </w:r>
                  <w:r>
                    <w:rPr>
                      <w:color w:val="58595B"/>
                    </w:rPr>
                    <w:t>and Sustainability Victoria) must be reframed. The </w:t>
                  </w:r>
                  <w:r>
                    <w:rPr>
                      <w:color w:val="58595B"/>
                      <w:spacing w:val="-4"/>
                    </w:rPr>
                    <w:t>EPA </w:t>
                  </w:r>
                  <w:r>
                    <w:rPr>
                      <w:color w:val="58595B"/>
                    </w:rPr>
                    <w:t>of the future plays a more influential role as a </w:t>
                  </w:r>
                  <w:r>
                    <w:rPr>
                      <w:color w:val="58595B"/>
                      <w:spacing w:val="-5"/>
                    </w:rPr>
                    <w:t>key </w:t>
                  </w:r>
                  <w:r>
                    <w:rPr>
                      <w:color w:val="58595B"/>
                    </w:rPr>
                    <w:t>contributor to the whole-of-system response to </w:t>
                  </w:r>
                  <w:r>
                    <w:rPr>
                      <w:color w:val="58595B"/>
                      <w:spacing w:val="-3"/>
                    </w:rPr>
                    <w:t>environmental </w:t>
                  </w:r>
                  <w:r>
                    <w:rPr>
                      <w:color w:val="58595B"/>
                    </w:rPr>
                    <w:t>issues, including in </w:t>
                  </w:r>
                  <w:r>
                    <w:rPr>
                      <w:color w:val="58595B"/>
                      <w:spacing w:val="-3"/>
                    </w:rPr>
                    <w:t>developing </w:t>
                  </w:r>
                  <w:r>
                    <w:rPr>
                      <w:color w:val="58595B"/>
                    </w:rPr>
                    <w:t>policy. Its expanded regulatory toolkit also includes extensive information and education activities to support compliance. Led by </w:t>
                  </w:r>
                  <w:r>
                    <w:rPr>
                      <w:color w:val="58595B"/>
                      <w:spacing w:val="-6"/>
                    </w:rPr>
                    <w:t>DELWP, </w:t>
                  </w:r>
                  <w:r>
                    <w:rPr>
                      <w:color w:val="58595B"/>
                    </w:rPr>
                    <w:t>these agencies must keep working together to ensure strategic decisions draw on the </w:t>
                  </w:r>
                  <w:r>
                    <w:rPr>
                      <w:color w:val="58595B"/>
                      <w:spacing w:val="-7"/>
                    </w:rPr>
                    <w:t>EPA’s </w:t>
                  </w:r>
                  <w:r>
                    <w:rPr>
                      <w:color w:val="58595B"/>
                    </w:rPr>
                    <w:t>expertise.</w:t>
                  </w:r>
                </w:p>
              </w:txbxContent>
            </v:textbox>
            <w10:wrap type="none"/>
          </v:shape>
        </w:pict>
      </w:r>
      <w:r>
        <w:rPr/>
        <w:pict>
          <v:shape style="position:absolute;margin-left:89.710602pt;margin-top:394.28717pt;width:431.8pt;height:98.7pt;mso-position-horizontal-relative:page;mso-position-vertical-relative:page;z-index:-199120" type="#_x0000_t202" filled="false" stroked="false">
            <v:textbox inset="0,0,0,0">
              <w:txbxContent>
                <w:p>
                  <w:pPr>
                    <w:pStyle w:val="BodyText"/>
                    <w:spacing w:line="224" w:lineRule="exact"/>
                    <w:ind w:right="-13"/>
                  </w:pPr>
                  <w:r>
                    <w:rPr>
                      <w:color w:val="0095A7"/>
                    </w:rPr>
                    <w:t>5.6.1  Policy and regulation</w:t>
                  </w:r>
                </w:p>
                <w:p>
                  <w:pPr>
                    <w:pStyle w:val="BodyText"/>
                    <w:spacing w:line="280" w:lineRule="auto" w:before="153"/>
                    <w:ind w:right="122"/>
                  </w:pPr>
                  <w:r>
                    <w:rPr>
                      <w:color w:val="58595B"/>
                    </w:rPr>
                    <w:t>In</w:t>
                  </w:r>
                  <w:r>
                    <w:rPr>
                      <w:color w:val="58595B"/>
                      <w:spacing w:val="-7"/>
                    </w:rPr>
                    <w:t> </w:t>
                  </w:r>
                  <w:r>
                    <w:rPr>
                      <w:color w:val="58595B"/>
                    </w:rPr>
                    <w:t>the</w:t>
                  </w:r>
                  <w:r>
                    <w:rPr>
                      <w:color w:val="58595B"/>
                      <w:spacing w:val="-7"/>
                    </w:rPr>
                    <w:t> </w:t>
                  </w:r>
                  <w:r>
                    <w:rPr>
                      <w:color w:val="58595B"/>
                    </w:rPr>
                    <w:t>past,</w:t>
                  </w:r>
                  <w:r>
                    <w:rPr>
                      <w:color w:val="58595B"/>
                      <w:spacing w:val="-7"/>
                    </w:rPr>
                    <w:t> </w:t>
                  </w:r>
                  <w:r>
                    <w:rPr>
                      <w:color w:val="58595B"/>
                    </w:rPr>
                    <w:t>the</w:t>
                  </w:r>
                  <w:r>
                    <w:rPr>
                      <w:color w:val="58595B"/>
                      <w:spacing w:val="-7"/>
                    </w:rPr>
                    <w:t> </w:t>
                  </w:r>
                  <w:r>
                    <w:rPr>
                      <w:color w:val="58595B"/>
                      <w:spacing w:val="-5"/>
                    </w:rPr>
                    <w:t>EPA</w:t>
                  </w:r>
                  <w:r>
                    <w:rPr>
                      <w:color w:val="58595B"/>
                      <w:spacing w:val="-7"/>
                    </w:rPr>
                    <w:t> </w:t>
                  </w:r>
                  <w:r>
                    <w:rPr>
                      <w:color w:val="58595B"/>
                    </w:rPr>
                    <w:t>was</w:t>
                  </w:r>
                  <w:r>
                    <w:rPr>
                      <w:color w:val="58595B"/>
                      <w:spacing w:val="-7"/>
                    </w:rPr>
                    <w:t> </w:t>
                  </w:r>
                  <w:r>
                    <w:rPr>
                      <w:color w:val="58595B"/>
                    </w:rPr>
                    <w:t>involved</w:t>
                  </w:r>
                  <w:r>
                    <w:rPr>
                      <w:color w:val="58595B"/>
                      <w:spacing w:val="-7"/>
                    </w:rPr>
                    <w:t> </w:t>
                  </w:r>
                  <w:r>
                    <w:rPr>
                      <w:color w:val="58595B"/>
                    </w:rPr>
                    <w:t>in</w:t>
                  </w:r>
                  <w:r>
                    <w:rPr>
                      <w:color w:val="58595B"/>
                      <w:spacing w:val="-7"/>
                    </w:rPr>
                    <w:t> </w:t>
                  </w:r>
                  <w:r>
                    <w:rPr>
                      <w:color w:val="58595B"/>
                    </w:rPr>
                    <w:t>developing</w:t>
                  </w:r>
                  <w:r>
                    <w:rPr>
                      <w:color w:val="58595B"/>
                      <w:spacing w:val="-7"/>
                    </w:rPr>
                    <w:t> </w:t>
                  </w:r>
                  <w:r>
                    <w:rPr>
                      <w:color w:val="58595B"/>
                      <w:spacing w:val="-3"/>
                    </w:rPr>
                    <w:t>policy.</w:t>
                  </w:r>
                  <w:r>
                    <w:rPr>
                      <w:color w:val="58595B"/>
                      <w:spacing w:val="-7"/>
                    </w:rPr>
                    <w:t> </w:t>
                  </w:r>
                  <w:r>
                    <w:rPr>
                      <w:color w:val="58595B"/>
                    </w:rPr>
                    <w:t>It</w:t>
                  </w:r>
                  <w:r>
                    <w:rPr>
                      <w:color w:val="58595B"/>
                      <w:spacing w:val="-7"/>
                    </w:rPr>
                    <w:t> </w:t>
                  </w:r>
                  <w:r>
                    <w:rPr>
                      <w:color w:val="58595B"/>
                    </w:rPr>
                    <w:t>prepared</w:t>
                  </w:r>
                  <w:r>
                    <w:rPr>
                      <w:color w:val="58595B"/>
                      <w:spacing w:val="-7"/>
                    </w:rPr>
                    <w:t> </w:t>
                  </w:r>
                  <w:r>
                    <w:rPr>
                      <w:color w:val="58595B"/>
                    </w:rPr>
                    <w:t>state</w:t>
                  </w:r>
                  <w:r>
                    <w:rPr>
                      <w:color w:val="58595B"/>
                      <w:spacing w:val="-7"/>
                    </w:rPr>
                    <w:t> </w:t>
                  </w:r>
                  <w:r>
                    <w:rPr>
                      <w:color w:val="58595B"/>
                    </w:rPr>
                    <w:t>environmental</w:t>
                  </w:r>
                  <w:r>
                    <w:rPr>
                      <w:color w:val="58595B"/>
                      <w:spacing w:val="-7"/>
                    </w:rPr>
                    <w:t> </w:t>
                  </w:r>
                  <w:r>
                    <w:rPr>
                      <w:color w:val="58595B"/>
                    </w:rPr>
                    <w:t>protection policies and waste management policies, and prepared changes to regulations and statutory instruments. These functions were transferred to </w:t>
                  </w:r>
                  <w:r>
                    <w:rPr>
                      <w:color w:val="58595B"/>
                      <w:spacing w:val="-3"/>
                    </w:rPr>
                    <w:t>DELWP </w:t>
                  </w:r>
                  <w:r>
                    <w:rPr>
                      <w:color w:val="58595B"/>
                    </w:rPr>
                    <w:t>following the Victorian Competition and Efficiency Commission </w:t>
                  </w:r>
                  <w:r>
                    <w:rPr>
                      <w:color w:val="58595B"/>
                      <w:spacing w:val="-5"/>
                    </w:rPr>
                    <w:t>2012 </w:t>
                  </w:r>
                  <w:r>
                    <w:rPr>
                      <w:color w:val="58595B"/>
                    </w:rPr>
                    <w:t>report, </w:t>
                  </w:r>
                  <w:r>
                    <w:rPr>
                      <w:i/>
                      <w:color w:val="58595B"/>
                    </w:rPr>
                    <w:t>A sustainable future for Victoria: Getting environmental regulation</w:t>
                  </w:r>
                  <w:r>
                    <w:rPr>
                      <w:i/>
                      <w:color w:val="58595B"/>
                      <w:spacing w:val="-7"/>
                    </w:rPr>
                    <w:t> </w:t>
                  </w:r>
                  <w:r>
                    <w:rPr>
                      <w:i/>
                      <w:color w:val="58595B"/>
                    </w:rPr>
                    <w:t>right</w:t>
                  </w:r>
                  <w:r>
                    <w:rPr>
                      <w:color w:val="58595B"/>
                    </w:rPr>
                    <w:t>.</w:t>
                  </w:r>
                  <w:r>
                    <w:rPr>
                      <w:color w:val="58595B"/>
                      <w:position w:val="7"/>
                      <w:sz w:val="11"/>
                    </w:rPr>
                    <w:t>78</w:t>
                  </w:r>
                  <w:r>
                    <w:rPr>
                      <w:color w:val="58595B"/>
                      <w:spacing w:val="17"/>
                      <w:position w:val="7"/>
                      <w:sz w:val="11"/>
                    </w:rPr>
                    <w:t> </w:t>
                  </w:r>
                  <w:r>
                    <w:rPr>
                      <w:color w:val="58595B"/>
                    </w:rPr>
                    <w:t>This</w:t>
                  </w:r>
                  <w:r>
                    <w:rPr>
                      <w:color w:val="58595B"/>
                      <w:spacing w:val="-7"/>
                    </w:rPr>
                    <w:t> </w:t>
                  </w:r>
                  <w:r>
                    <w:rPr>
                      <w:color w:val="58595B"/>
                    </w:rPr>
                    <w:t>report</w:t>
                  </w:r>
                  <w:r>
                    <w:rPr>
                      <w:color w:val="58595B"/>
                      <w:spacing w:val="-7"/>
                    </w:rPr>
                    <w:t> </w:t>
                  </w:r>
                  <w:r>
                    <w:rPr>
                      <w:color w:val="58595B"/>
                    </w:rPr>
                    <w:t>cautioned</w:t>
                  </w:r>
                  <w:r>
                    <w:rPr>
                      <w:color w:val="58595B"/>
                      <w:spacing w:val="-7"/>
                    </w:rPr>
                    <w:t> </w:t>
                  </w:r>
                  <w:r>
                    <w:rPr>
                      <w:color w:val="58595B"/>
                    </w:rPr>
                    <w:t>about</w:t>
                  </w:r>
                  <w:r>
                    <w:rPr>
                      <w:color w:val="58595B"/>
                      <w:spacing w:val="-7"/>
                    </w:rPr>
                    <w:t> </w:t>
                  </w:r>
                  <w:r>
                    <w:rPr>
                      <w:color w:val="58595B"/>
                    </w:rPr>
                    <w:t>the</w:t>
                  </w:r>
                  <w:r>
                    <w:rPr>
                      <w:color w:val="58595B"/>
                      <w:spacing w:val="-7"/>
                    </w:rPr>
                    <w:t> </w:t>
                  </w:r>
                  <w:r>
                    <w:rPr>
                      <w:color w:val="58595B"/>
                    </w:rPr>
                    <w:t>risks</w:t>
                  </w:r>
                  <w:r>
                    <w:rPr>
                      <w:color w:val="58595B"/>
                      <w:spacing w:val="-7"/>
                    </w:rPr>
                    <w:t> </w:t>
                  </w:r>
                  <w:r>
                    <w:rPr>
                      <w:color w:val="58595B"/>
                    </w:rPr>
                    <w:t>of</w:t>
                  </w:r>
                  <w:r>
                    <w:rPr>
                      <w:color w:val="58595B"/>
                      <w:spacing w:val="-7"/>
                    </w:rPr>
                    <w:t> </w:t>
                  </w:r>
                  <w:r>
                    <w:rPr>
                      <w:color w:val="58595B"/>
                    </w:rPr>
                    <w:t>regulator</w:t>
                  </w:r>
                  <w:r>
                    <w:rPr>
                      <w:color w:val="58595B"/>
                      <w:spacing w:val="-7"/>
                    </w:rPr>
                    <w:t> </w:t>
                  </w:r>
                  <w:r>
                    <w:rPr>
                      <w:color w:val="58595B"/>
                    </w:rPr>
                    <w:t>involvement</w:t>
                  </w:r>
                  <w:r>
                    <w:rPr>
                      <w:color w:val="58595B"/>
                      <w:spacing w:val="-7"/>
                    </w:rPr>
                    <w:t> </w:t>
                  </w:r>
                  <w:r>
                    <w:rPr>
                      <w:color w:val="58595B"/>
                    </w:rPr>
                    <w:t>in</w:t>
                  </w:r>
                  <w:r>
                    <w:rPr>
                      <w:color w:val="58595B"/>
                      <w:spacing w:val="-7"/>
                    </w:rPr>
                    <w:t> </w:t>
                  </w:r>
                  <w:r>
                    <w:rPr>
                      <w:color w:val="58595B"/>
                    </w:rPr>
                    <w:t>policy</w:t>
                  </w:r>
                  <w:r>
                    <w:rPr>
                      <w:color w:val="58595B"/>
                      <w:spacing w:val="-7"/>
                    </w:rPr>
                    <w:t> </w:t>
                  </w:r>
                  <w:r>
                    <w:rPr>
                      <w:color w:val="58595B"/>
                    </w:rPr>
                    <w:t>making</w:t>
                  </w:r>
                </w:p>
                <w:p>
                  <w:pPr>
                    <w:pStyle w:val="BodyText"/>
                    <w:spacing w:before="2"/>
                    <w:ind w:right="-13"/>
                  </w:pPr>
                  <w:r>
                    <w:rPr>
                      <w:color w:val="58595B"/>
                    </w:rPr>
                    <w:t>and</w:t>
                  </w:r>
                  <w:r>
                    <w:rPr>
                      <w:color w:val="58595B"/>
                      <w:spacing w:val="-7"/>
                    </w:rPr>
                    <w:t> </w:t>
                  </w:r>
                  <w:r>
                    <w:rPr>
                      <w:color w:val="58595B"/>
                    </w:rPr>
                    <w:t>established</w:t>
                  </w:r>
                  <w:r>
                    <w:rPr>
                      <w:color w:val="58595B"/>
                      <w:spacing w:val="-7"/>
                    </w:rPr>
                    <w:t> </w:t>
                  </w:r>
                  <w:r>
                    <w:rPr>
                      <w:color w:val="58595B"/>
                    </w:rPr>
                    <w:t>a</w:t>
                  </w:r>
                  <w:r>
                    <w:rPr>
                      <w:color w:val="58595B"/>
                      <w:spacing w:val="-7"/>
                    </w:rPr>
                    <w:t> </w:t>
                  </w:r>
                  <w:r>
                    <w:rPr>
                      <w:color w:val="58595B"/>
                    </w:rPr>
                    <w:t>notionally</w:t>
                  </w:r>
                  <w:r>
                    <w:rPr>
                      <w:color w:val="58595B"/>
                      <w:spacing w:val="-7"/>
                    </w:rPr>
                    <w:t> </w:t>
                  </w:r>
                  <w:r>
                    <w:rPr>
                      <w:color w:val="58595B"/>
                    </w:rPr>
                    <w:t>clear</w:t>
                  </w:r>
                  <w:r>
                    <w:rPr>
                      <w:color w:val="58595B"/>
                      <w:spacing w:val="-7"/>
                    </w:rPr>
                    <w:t> </w:t>
                  </w:r>
                  <w:r>
                    <w:rPr>
                      <w:color w:val="58595B"/>
                    </w:rPr>
                    <w:t>demarcation</w:t>
                  </w:r>
                  <w:r>
                    <w:rPr>
                      <w:color w:val="58595B"/>
                      <w:spacing w:val="-7"/>
                    </w:rPr>
                    <w:t> </w:t>
                  </w:r>
                  <w:r>
                    <w:rPr>
                      <w:color w:val="58595B"/>
                    </w:rPr>
                    <w:t>between</w:t>
                  </w:r>
                  <w:r>
                    <w:rPr>
                      <w:color w:val="58595B"/>
                      <w:spacing w:val="-7"/>
                    </w:rPr>
                    <w:t> </w:t>
                  </w:r>
                  <w:r>
                    <w:rPr>
                      <w:color w:val="58595B"/>
                    </w:rPr>
                    <w:t>the</w:t>
                  </w:r>
                  <w:r>
                    <w:rPr>
                      <w:color w:val="58595B"/>
                      <w:spacing w:val="-7"/>
                    </w:rPr>
                    <w:t> </w:t>
                  </w:r>
                  <w:r>
                    <w:rPr>
                      <w:color w:val="58595B"/>
                    </w:rPr>
                    <w:t>tasks</w:t>
                  </w:r>
                  <w:r>
                    <w:rPr>
                      <w:color w:val="58595B"/>
                      <w:spacing w:val="-7"/>
                    </w:rPr>
                    <w:t> </w:t>
                  </w:r>
                  <w:r>
                    <w:rPr>
                      <w:color w:val="58595B"/>
                    </w:rPr>
                    <w:t>of</w:t>
                  </w:r>
                  <w:r>
                    <w:rPr>
                      <w:color w:val="58595B"/>
                      <w:spacing w:val="-7"/>
                    </w:rPr>
                    <w:t> </w:t>
                  </w:r>
                  <w:r>
                    <w:rPr>
                      <w:color w:val="58595B"/>
                    </w:rPr>
                    <w:t>policy</w:t>
                  </w:r>
                  <w:r>
                    <w:rPr>
                      <w:color w:val="58595B"/>
                      <w:spacing w:val="-7"/>
                    </w:rPr>
                    <w:t> </w:t>
                  </w:r>
                  <w:r>
                    <w:rPr>
                      <w:color w:val="58595B"/>
                    </w:rPr>
                    <w:t>making</w:t>
                  </w:r>
                  <w:r>
                    <w:rPr>
                      <w:color w:val="58595B"/>
                      <w:spacing w:val="-7"/>
                    </w:rPr>
                    <w:t> </w:t>
                  </w:r>
                  <w:r>
                    <w:rPr>
                      <w:color w:val="58595B"/>
                    </w:rPr>
                    <w:t>and</w:t>
                  </w:r>
                  <w:r>
                    <w:rPr>
                      <w:color w:val="58595B"/>
                      <w:spacing w:val="-7"/>
                    </w:rPr>
                    <w:t> </w:t>
                  </w:r>
                  <w:r>
                    <w:rPr>
                      <w:color w:val="58595B"/>
                    </w:rPr>
                    <w:t>regulation.</w:t>
                  </w:r>
                </w:p>
              </w:txbxContent>
            </v:textbox>
            <w10:wrap type="none"/>
          </v:shape>
        </w:pict>
      </w:r>
      <w:r>
        <w:rPr/>
        <w:pict>
          <v:shape style="position:absolute;margin-left:89.710602pt;margin-top:502.956268pt;width:427.6pt;height:79.5pt;mso-position-horizontal-relative:page;mso-position-vertical-relative:page;z-index:-199096" type="#_x0000_t202" filled="false" stroked="false">
            <v:textbox inset="0,0,0,0">
              <w:txbxContent>
                <w:p>
                  <w:pPr>
                    <w:pStyle w:val="BodyText"/>
                    <w:spacing w:line="280" w:lineRule="auto"/>
                    <w:ind w:right="118"/>
                  </w:pPr>
                  <w:r>
                    <w:rPr>
                      <w:color w:val="58595B"/>
                    </w:rPr>
                    <w:t>This shift occurred in parallel with the EPA’s sharpened focus on compliance and enforcement. But in light of our recommendation to broaden the EPA’s focus to become more proactive, we re-examined the EPA’s role in developing policy and its relationship with DELWP as lead policy maker. We recommend authorising the EPA to lead the revision and development of statutory</w:t>
                  </w:r>
                </w:p>
                <w:p>
                  <w:pPr>
                    <w:pStyle w:val="BodyText"/>
                    <w:spacing w:line="280" w:lineRule="auto" w:before="2"/>
                  </w:pPr>
                  <w:r>
                    <w:rPr>
                      <w:color w:val="58595B"/>
                    </w:rPr>
                    <w:t>instruments and standard setting (including aspects of state environment protection policies and waste management policies), to maintain the effectiveness of its regulatory framework.</w:t>
                  </w:r>
                </w:p>
              </w:txbxContent>
            </v:textbox>
            <w10:wrap type="none"/>
          </v:shape>
        </w:pict>
      </w:r>
      <w:r>
        <w:rPr/>
        <w:pict>
          <v:shape style="position:absolute;margin-left:89.710602pt;margin-top:592.456238pt;width:434.05pt;height:66pt;mso-position-horizontal-relative:page;mso-position-vertical-relative:page;z-index:-199072" type="#_x0000_t202" filled="false" stroked="false">
            <v:textbox inset="0,0,0,0">
              <w:txbxContent>
                <w:p>
                  <w:pPr>
                    <w:pStyle w:val="BodyText"/>
                    <w:spacing w:line="280" w:lineRule="auto"/>
                    <w:ind w:right="31"/>
                  </w:pPr>
                  <w:r>
                    <w:rPr>
                      <w:color w:val="58595B"/>
                    </w:rPr>
                    <w:t>Like any regulator, the </w:t>
                  </w:r>
                  <w:r>
                    <w:rPr>
                      <w:color w:val="58595B"/>
                      <w:spacing w:val="-4"/>
                    </w:rPr>
                    <w:t>EPA </w:t>
                  </w:r>
                  <w:r>
                    <w:rPr>
                      <w:color w:val="58595B"/>
                    </w:rPr>
                    <w:t>relies on government (in this case </w:t>
                  </w:r>
                  <w:r>
                    <w:rPr>
                      <w:color w:val="58595B"/>
                      <w:spacing w:val="-3"/>
                    </w:rPr>
                    <w:t>DELWP) </w:t>
                  </w:r>
                  <w:r>
                    <w:rPr>
                      <w:color w:val="58595B"/>
                    </w:rPr>
                    <w:t>to provide high level policy settings and directions for regulatory activity. Our consultations suggested stakeholders broadly understood this arrangement. </w:t>
                  </w:r>
                  <w:r>
                    <w:rPr>
                      <w:color w:val="58595B"/>
                      <w:spacing w:val="-3"/>
                    </w:rPr>
                    <w:t>However, </w:t>
                  </w:r>
                  <w:r>
                    <w:rPr>
                      <w:color w:val="58595B"/>
                    </w:rPr>
                    <w:t>they had some practical concerns about the level of expertise within DELWP and how this may slow the process of reviewing and updating </w:t>
                  </w:r>
                  <w:r>
                    <w:rPr>
                      <w:color w:val="58595B"/>
                      <w:spacing w:val="-3"/>
                    </w:rPr>
                    <w:t>key </w:t>
                  </w:r>
                  <w:r>
                    <w:rPr>
                      <w:color w:val="58595B"/>
                    </w:rPr>
                    <w:t>policy settings. The Municipal Association of Victoria submission observed</w:t>
                  </w:r>
                  <w:r>
                    <w:rPr>
                      <w:color w:val="58595B"/>
                      <w:spacing w:val="26"/>
                    </w:rPr>
                    <w:t> </w:t>
                  </w:r>
                  <w:r>
                    <w:rPr>
                      <w:color w:val="58595B"/>
                    </w:rPr>
                    <w:t>that:</w:t>
                  </w:r>
                </w:p>
              </w:txbxContent>
            </v:textbox>
            <w10:wrap type="none"/>
          </v:shape>
        </w:pict>
      </w:r>
      <w:r>
        <w:rPr/>
        <w:pict>
          <v:shape style="position:absolute;margin-left:118.0606pt;margin-top:668.456238pt;width:376.15pt;height:39pt;mso-position-horizontal-relative:page;mso-position-vertical-relative:page;z-index:-199048" type="#_x0000_t202" filled="false" stroked="false">
            <v:textbox inset="0,0,0,0">
              <w:txbxContent>
                <w:p>
                  <w:pPr>
                    <w:spacing w:line="280" w:lineRule="auto" w:before="0"/>
                    <w:ind w:left="20" w:right="0" w:firstLine="0"/>
                    <w:jc w:val="left"/>
                    <w:rPr>
                      <w:sz w:val="20"/>
                    </w:rPr>
                  </w:pPr>
                  <w:r>
                    <w:rPr>
                      <w:i/>
                      <w:color w:val="231F20"/>
                      <w:sz w:val="20"/>
                    </w:rPr>
                    <w:t>Notionally it would seem that DELWP is the policy and legislative setting body … In reality</w:t>
                  </w:r>
                  <w:r>
                    <w:rPr>
                      <w:i/>
                      <w:color w:val="231F20"/>
                      <w:spacing w:val="-10"/>
                      <w:sz w:val="20"/>
                    </w:rPr>
                    <w:t> </w:t>
                  </w:r>
                  <w:r>
                    <w:rPr>
                      <w:i/>
                      <w:color w:val="231F20"/>
                      <w:sz w:val="20"/>
                    </w:rPr>
                    <w:t>the</w:t>
                  </w:r>
                  <w:r>
                    <w:rPr>
                      <w:i/>
                      <w:color w:val="231F20"/>
                      <w:spacing w:val="-10"/>
                      <w:sz w:val="20"/>
                    </w:rPr>
                    <w:t> </w:t>
                  </w:r>
                  <w:r>
                    <w:rPr>
                      <w:i/>
                      <w:color w:val="231F20"/>
                      <w:sz w:val="20"/>
                    </w:rPr>
                    <w:t>Department</w:t>
                  </w:r>
                  <w:r>
                    <w:rPr>
                      <w:i/>
                      <w:color w:val="231F20"/>
                      <w:spacing w:val="-10"/>
                      <w:sz w:val="20"/>
                    </w:rPr>
                    <w:t> </w:t>
                  </w:r>
                  <w:r>
                    <w:rPr>
                      <w:i/>
                      <w:color w:val="231F20"/>
                      <w:sz w:val="20"/>
                    </w:rPr>
                    <w:t>appears</w:t>
                  </w:r>
                  <w:r>
                    <w:rPr>
                      <w:i/>
                      <w:color w:val="231F20"/>
                      <w:spacing w:val="-10"/>
                      <w:sz w:val="20"/>
                    </w:rPr>
                    <w:t> </w:t>
                  </w:r>
                  <w:r>
                    <w:rPr>
                      <w:i/>
                      <w:color w:val="231F20"/>
                      <w:sz w:val="20"/>
                    </w:rPr>
                    <w:t>to</w:t>
                  </w:r>
                  <w:r>
                    <w:rPr>
                      <w:i/>
                      <w:color w:val="231F20"/>
                      <w:spacing w:val="-10"/>
                      <w:sz w:val="20"/>
                    </w:rPr>
                    <w:t> </w:t>
                  </w:r>
                  <w:r>
                    <w:rPr>
                      <w:i/>
                      <w:color w:val="231F20"/>
                      <w:spacing w:val="-4"/>
                      <w:sz w:val="20"/>
                    </w:rPr>
                    <w:t>have</w:t>
                  </w:r>
                  <w:r>
                    <w:rPr>
                      <w:i/>
                      <w:color w:val="231F20"/>
                      <w:spacing w:val="-10"/>
                      <w:sz w:val="20"/>
                    </w:rPr>
                    <w:t> </w:t>
                  </w:r>
                  <w:r>
                    <w:rPr>
                      <w:i/>
                      <w:color w:val="231F20"/>
                      <w:sz w:val="20"/>
                    </w:rPr>
                    <w:t>little</w:t>
                  </w:r>
                  <w:r>
                    <w:rPr>
                      <w:i/>
                      <w:color w:val="231F20"/>
                      <w:spacing w:val="-10"/>
                      <w:sz w:val="20"/>
                    </w:rPr>
                    <w:t> </w:t>
                  </w:r>
                  <w:r>
                    <w:rPr>
                      <w:i/>
                      <w:color w:val="231F20"/>
                      <w:sz w:val="20"/>
                    </w:rPr>
                    <w:t>policy</w:t>
                  </w:r>
                  <w:r>
                    <w:rPr>
                      <w:i/>
                      <w:color w:val="231F20"/>
                      <w:spacing w:val="-10"/>
                      <w:sz w:val="20"/>
                    </w:rPr>
                    <w:t> </w:t>
                  </w:r>
                  <w:r>
                    <w:rPr>
                      <w:i/>
                      <w:color w:val="231F20"/>
                      <w:sz w:val="20"/>
                    </w:rPr>
                    <w:t>impact</w:t>
                  </w:r>
                  <w:r>
                    <w:rPr>
                      <w:i/>
                      <w:color w:val="231F20"/>
                      <w:spacing w:val="-10"/>
                      <w:sz w:val="20"/>
                    </w:rPr>
                    <w:t> </w:t>
                  </w:r>
                  <w:r>
                    <w:rPr>
                      <w:i/>
                      <w:color w:val="231F20"/>
                      <w:sz w:val="20"/>
                    </w:rPr>
                    <w:t>in</w:t>
                  </w:r>
                  <w:r>
                    <w:rPr>
                      <w:i/>
                      <w:color w:val="231F20"/>
                      <w:spacing w:val="-10"/>
                      <w:sz w:val="20"/>
                    </w:rPr>
                    <w:t> </w:t>
                  </w:r>
                  <w:r>
                    <w:rPr>
                      <w:i/>
                      <w:color w:val="231F20"/>
                      <w:sz w:val="20"/>
                    </w:rPr>
                    <w:t>terms</w:t>
                  </w:r>
                  <w:r>
                    <w:rPr>
                      <w:i/>
                      <w:color w:val="231F20"/>
                      <w:spacing w:val="-10"/>
                      <w:sz w:val="20"/>
                    </w:rPr>
                    <w:t> </w:t>
                  </w:r>
                  <w:r>
                    <w:rPr>
                      <w:i/>
                      <w:color w:val="231F20"/>
                      <w:sz w:val="20"/>
                    </w:rPr>
                    <w:t>of</w:t>
                  </w:r>
                  <w:r>
                    <w:rPr>
                      <w:i/>
                      <w:color w:val="231F20"/>
                      <w:spacing w:val="-10"/>
                      <w:sz w:val="20"/>
                    </w:rPr>
                    <w:t> </w:t>
                  </w:r>
                  <w:r>
                    <w:rPr>
                      <w:i/>
                      <w:color w:val="231F20"/>
                      <w:spacing w:val="-3"/>
                      <w:sz w:val="20"/>
                    </w:rPr>
                    <w:t>issues</w:t>
                  </w:r>
                  <w:r>
                    <w:rPr>
                      <w:i/>
                      <w:color w:val="231F20"/>
                      <w:spacing w:val="-10"/>
                      <w:sz w:val="20"/>
                    </w:rPr>
                    <w:t> </w:t>
                  </w:r>
                  <w:r>
                    <w:rPr>
                      <w:i/>
                      <w:color w:val="231F20"/>
                      <w:sz w:val="20"/>
                    </w:rPr>
                    <w:t>of</w:t>
                  </w:r>
                  <w:r>
                    <w:rPr>
                      <w:i/>
                      <w:color w:val="231F20"/>
                      <w:spacing w:val="-10"/>
                      <w:sz w:val="20"/>
                    </w:rPr>
                    <w:t> </w:t>
                  </w:r>
                  <w:r>
                    <w:rPr>
                      <w:i/>
                      <w:color w:val="231F20"/>
                      <w:sz w:val="20"/>
                    </w:rPr>
                    <w:t>interest to the EPA. </w:t>
                  </w:r>
                  <w:r>
                    <w:rPr>
                      <w:color w:val="231F20"/>
                      <w:spacing w:val="-3"/>
                      <w:sz w:val="20"/>
                    </w:rPr>
                    <w:t>(p.</w:t>
                  </w:r>
                  <w:r>
                    <w:rPr>
                      <w:color w:val="231F20"/>
                      <w:spacing w:val="-29"/>
                      <w:sz w:val="20"/>
                    </w:rPr>
                    <w:t> </w:t>
                  </w:r>
                  <w:r>
                    <w:rPr>
                      <w:color w:val="231F20"/>
                      <w:spacing w:val="-9"/>
                      <w:sz w:val="20"/>
                    </w:rPr>
                    <w:t>9)</w:t>
                  </w:r>
                </w:p>
              </w:txbxContent>
            </v:textbox>
            <w10:wrap type="none"/>
          </v:shape>
        </w:pict>
      </w:r>
      <w:r>
        <w:rPr/>
        <w:pict>
          <v:shape style="position:absolute;margin-left:89.720596pt;margin-top:717.456238pt;width:20pt;height:12pt;mso-position-horizontal-relative:page;mso-position-vertical-relative:page;z-index:-199024" type="#_x0000_t202" filled="false" stroked="false">
            <v:textbox inset="0,0,0,0">
              <w:txbxContent>
                <w:p>
                  <w:pPr>
                    <w:pStyle w:val="BodyText"/>
                    <w:spacing w:line="224" w:lineRule="exact"/>
                  </w:pPr>
                  <w:r>
                    <w:rPr>
                      <w:color w:val="58595B"/>
                    </w:rPr>
                    <w:t>And</w:t>
                  </w:r>
                </w:p>
              </w:txbxContent>
            </v:textbox>
            <w10:wrap type="none"/>
          </v:shape>
        </w:pict>
      </w:r>
      <w:r>
        <w:rPr/>
        <w:pict>
          <v:shape style="position:absolute;margin-left:118.070602pt;margin-top:739.456238pt;width:361.65pt;height:52.5pt;mso-position-horizontal-relative:page;mso-position-vertical-relative:page;z-index:-199000" type="#_x0000_t202" filled="false" stroked="false">
            <v:textbox inset="0,0,0,0">
              <w:txbxContent>
                <w:p>
                  <w:pPr>
                    <w:spacing w:line="280" w:lineRule="auto" w:before="0"/>
                    <w:ind w:left="20" w:right="0" w:firstLine="0"/>
                    <w:jc w:val="left"/>
                    <w:rPr>
                      <w:sz w:val="20"/>
                    </w:rPr>
                  </w:pPr>
                  <w:r>
                    <w:rPr>
                      <w:i/>
                      <w:color w:val="231F20"/>
                      <w:sz w:val="20"/>
                    </w:rPr>
                    <w:t>It is critical that DELWP develop its policy skills and is capable of developing an effective policy framework for protecting environmental values and environmental management. They will, of course, need to be supported by the expertise of the EPA, however, DELWP should be the lead agency. </w:t>
                  </w:r>
                  <w:r>
                    <w:rPr>
                      <w:color w:val="231F20"/>
                      <w:sz w:val="20"/>
                    </w:rPr>
                    <w:t>(p. 22)</w:t>
                  </w:r>
                </w:p>
              </w:txbxContent>
            </v:textbox>
            <w10:wrap type="none"/>
          </v:shape>
        </w:pict>
      </w:r>
      <w:r>
        <w:rPr/>
        <w:pict>
          <v:shape style="position:absolute;margin-left:534.996094pt;margin-top:44.090015pt;width:60.3pt;height:5.25pt;mso-position-horizontal-relative:page;mso-position-vertical-relative:page;z-index:-19897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8952"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98928" from=".0pt,45.840015pt" to="60.2791pt,45.840015pt" stroked="true" strokeweight="7pt" strokecolor="#0095a7">
            <w10:wrap type="none"/>
          </v:line>
        </w:pict>
      </w:r>
      <w:r>
        <w:rPr/>
        <w:pict>
          <v:shape style="position:absolute;margin-left:69.866096pt;margin-top:40.902756pt;width:14.65pt;height:9.5pt;mso-position-horizontal-relative:page;mso-position-vertical-relative:page;z-index:-198904" type="#_x0000_t202" filled="false" stroked="false">
            <v:textbox inset="0,0,0,0">
              <w:txbxContent>
                <w:p>
                  <w:pPr>
                    <w:spacing w:before="1"/>
                    <w:ind w:left="20" w:right="0" w:firstLine="0"/>
                    <w:jc w:val="left"/>
                    <w:rPr>
                      <w:sz w:val="15"/>
                    </w:rPr>
                  </w:pPr>
                  <w:r>
                    <w:rPr>
                      <w:color w:val="58595B"/>
                      <w:sz w:val="15"/>
                    </w:rPr>
                    <w:t>100</w:t>
                  </w:r>
                </w:p>
              </w:txbxContent>
            </v:textbox>
            <w10:wrap type="none"/>
          </v:shape>
        </w:pict>
      </w:r>
      <w:r>
        <w:rPr/>
        <w:pict>
          <v:shape style="position:absolute;margin-left:95.377899pt;margin-top:40.902756pt;width:147.75pt;height:9.5pt;mso-position-horizontal-relative:page;mso-position-vertical-relative:page;z-index:-198880"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1.5pt;height:66pt;mso-position-horizontal-relative:page;mso-position-vertical-relative:page;z-index:-198856" type="#_x0000_t202" filled="false" stroked="false">
            <v:textbox inset="0,0,0,0">
              <w:txbxContent>
                <w:p>
                  <w:pPr>
                    <w:pStyle w:val="BodyText"/>
                    <w:spacing w:line="280" w:lineRule="auto"/>
                    <w:ind w:right="63"/>
                  </w:pPr>
                  <w:r>
                    <w:rPr>
                      <w:color w:val="58595B"/>
                    </w:rPr>
                    <w:t>A </w:t>
                  </w:r>
                  <w:r>
                    <w:rPr>
                      <w:color w:val="58595B"/>
                      <w:spacing w:val="-4"/>
                    </w:rPr>
                    <w:t>2014 </w:t>
                  </w:r>
                  <w:r>
                    <w:rPr>
                      <w:color w:val="58595B"/>
                    </w:rPr>
                    <w:t>OECD report takes a broader view of the role of the regulator: ‘regulators do undertake important policy functions, by virtue of their familiarity with the regulated sector and responsibility for ultimately carrying out regulatory policy’. Indeed, regulator involvement ensures government policy making is appropriately informed and translated. According to the report, regulators have  a ‘policy’ role at three</w:t>
                  </w:r>
                  <w:r>
                    <w:rPr>
                      <w:color w:val="58595B"/>
                      <w:spacing w:val="-7"/>
                    </w:rPr>
                    <w:t> </w:t>
                  </w:r>
                  <w:r>
                    <w:rPr>
                      <w:color w:val="58595B"/>
                    </w:rPr>
                    <w:t>levels:</w:t>
                  </w:r>
                </w:p>
              </w:txbxContent>
            </v:textbox>
            <w10:wrap type="none"/>
          </v:shape>
        </w:pict>
      </w:r>
      <w:r>
        <w:rPr/>
        <w:pict>
          <v:shape style="position:absolute;margin-left:98.216103pt;margin-top:181.893967pt;width:379.85pt;height:25.5pt;mso-position-horizontal-relative:page;mso-position-vertical-relative:page;z-index:-198832" type="#_x0000_t202" filled="false" stroked="false">
            <v:textbox inset="0,0,0,0">
              <w:txbxContent>
                <w:p>
                  <w:pPr>
                    <w:spacing w:line="280" w:lineRule="auto" w:before="0"/>
                    <w:ind w:left="20" w:right="0" w:firstLine="0"/>
                    <w:jc w:val="left"/>
                    <w:rPr>
                      <w:i/>
                      <w:sz w:val="20"/>
                    </w:rPr>
                  </w:pPr>
                  <w:r>
                    <w:rPr>
                      <w:i/>
                      <w:color w:val="231F20"/>
                      <w:sz w:val="20"/>
                    </w:rPr>
                    <w:t>First,</w:t>
                  </w:r>
                  <w:r>
                    <w:rPr>
                      <w:i/>
                      <w:color w:val="231F20"/>
                      <w:spacing w:val="-12"/>
                      <w:sz w:val="20"/>
                    </w:rPr>
                    <w:t> </w:t>
                  </w:r>
                  <w:r>
                    <w:rPr>
                      <w:i/>
                      <w:color w:val="231F20"/>
                      <w:spacing w:val="-3"/>
                      <w:sz w:val="20"/>
                    </w:rPr>
                    <w:t>they</w:t>
                  </w:r>
                  <w:r>
                    <w:rPr>
                      <w:i/>
                      <w:color w:val="231F20"/>
                      <w:spacing w:val="-12"/>
                      <w:sz w:val="20"/>
                    </w:rPr>
                    <w:t> </w:t>
                  </w:r>
                  <w:r>
                    <w:rPr>
                      <w:i/>
                      <w:color w:val="231F20"/>
                      <w:sz w:val="20"/>
                    </w:rPr>
                    <w:t>must</w:t>
                  </w:r>
                  <w:r>
                    <w:rPr>
                      <w:i/>
                      <w:color w:val="231F20"/>
                      <w:spacing w:val="-12"/>
                      <w:sz w:val="20"/>
                    </w:rPr>
                    <w:t> </w:t>
                  </w:r>
                  <w:r>
                    <w:rPr>
                      <w:i/>
                      <w:color w:val="231F20"/>
                      <w:spacing w:val="-3"/>
                      <w:sz w:val="20"/>
                    </w:rPr>
                    <w:t>develop</w:t>
                  </w:r>
                  <w:r>
                    <w:rPr>
                      <w:i/>
                      <w:color w:val="231F20"/>
                      <w:spacing w:val="-12"/>
                      <w:sz w:val="20"/>
                    </w:rPr>
                    <w:t> </w:t>
                  </w:r>
                  <w:r>
                    <w:rPr>
                      <w:i/>
                      <w:color w:val="231F20"/>
                      <w:sz w:val="20"/>
                    </w:rPr>
                    <w:t>more</w:t>
                  </w:r>
                  <w:r>
                    <w:rPr>
                      <w:i/>
                      <w:color w:val="231F20"/>
                      <w:spacing w:val="-12"/>
                      <w:sz w:val="20"/>
                    </w:rPr>
                    <w:t> </w:t>
                  </w:r>
                  <w:r>
                    <w:rPr>
                      <w:i/>
                      <w:color w:val="231F20"/>
                      <w:sz w:val="20"/>
                    </w:rPr>
                    <w:t>detailed</w:t>
                  </w:r>
                  <w:r>
                    <w:rPr>
                      <w:i/>
                      <w:color w:val="231F20"/>
                      <w:spacing w:val="-12"/>
                      <w:sz w:val="20"/>
                    </w:rPr>
                    <w:t> </w:t>
                  </w:r>
                  <w:r>
                    <w:rPr>
                      <w:i/>
                      <w:color w:val="231F20"/>
                      <w:sz w:val="20"/>
                    </w:rPr>
                    <w:t>(but</w:t>
                  </w:r>
                  <w:r>
                    <w:rPr>
                      <w:i/>
                      <w:color w:val="231F20"/>
                      <w:spacing w:val="-12"/>
                      <w:sz w:val="20"/>
                    </w:rPr>
                    <w:t> </w:t>
                  </w:r>
                  <w:r>
                    <w:rPr>
                      <w:i/>
                      <w:color w:val="231F20"/>
                      <w:sz w:val="20"/>
                    </w:rPr>
                    <w:t>often</w:t>
                  </w:r>
                  <w:r>
                    <w:rPr>
                      <w:i/>
                      <w:color w:val="231F20"/>
                      <w:spacing w:val="-12"/>
                      <w:sz w:val="20"/>
                    </w:rPr>
                    <w:t> </w:t>
                  </w:r>
                  <w:r>
                    <w:rPr>
                      <w:i/>
                      <w:color w:val="231F20"/>
                      <w:sz w:val="20"/>
                    </w:rPr>
                    <w:t>critical)</w:t>
                  </w:r>
                  <w:r>
                    <w:rPr>
                      <w:i/>
                      <w:color w:val="231F20"/>
                      <w:spacing w:val="-12"/>
                      <w:sz w:val="20"/>
                    </w:rPr>
                    <w:t> </w:t>
                  </w:r>
                  <w:r>
                    <w:rPr>
                      <w:i/>
                      <w:color w:val="231F20"/>
                      <w:sz w:val="20"/>
                    </w:rPr>
                    <w:t>operational</w:t>
                  </w:r>
                  <w:r>
                    <w:rPr>
                      <w:i/>
                      <w:color w:val="231F20"/>
                      <w:spacing w:val="-12"/>
                      <w:sz w:val="20"/>
                    </w:rPr>
                    <w:t> </w:t>
                  </w:r>
                  <w:r>
                    <w:rPr>
                      <w:i/>
                      <w:color w:val="231F20"/>
                      <w:sz w:val="20"/>
                    </w:rPr>
                    <w:t>policy</w:t>
                  </w:r>
                  <w:r>
                    <w:rPr>
                      <w:i/>
                      <w:color w:val="231F20"/>
                      <w:spacing w:val="-12"/>
                      <w:sz w:val="20"/>
                    </w:rPr>
                    <w:t> </w:t>
                  </w:r>
                  <w:r>
                    <w:rPr>
                      <w:i/>
                      <w:color w:val="231F20"/>
                      <w:sz w:val="20"/>
                    </w:rPr>
                    <w:t>that</w:t>
                  </w:r>
                  <w:r>
                    <w:rPr>
                      <w:i/>
                      <w:color w:val="231F20"/>
                      <w:spacing w:val="-12"/>
                      <w:sz w:val="20"/>
                    </w:rPr>
                    <w:t> </w:t>
                  </w:r>
                  <w:r>
                    <w:rPr>
                      <w:i/>
                      <w:color w:val="231F20"/>
                      <w:sz w:val="20"/>
                    </w:rPr>
                    <w:t>guides the</w:t>
                  </w:r>
                  <w:r>
                    <w:rPr>
                      <w:i/>
                      <w:color w:val="231F20"/>
                      <w:spacing w:val="-14"/>
                      <w:sz w:val="20"/>
                    </w:rPr>
                    <w:t> </w:t>
                  </w:r>
                  <w:r>
                    <w:rPr>
                      <w:i/>
                      <w:color w:val="231F20"/>
                      <w:sz w:val="20"/>
                    </w:rPr>
                    <w:t>implementation</w:t>
                  </w:r>
                  <w:r>
                    <w:rPr>
                      <w:i/>
                      <w:color w:val="231F20"/>
                      <w:spacing w:val="-14"/>
                      <w:sz w:val="20"/>
                    </w:rPr>
                    <w:t> </w:t>
                  </w:r>
                  <w:r>
                    <w:rPr>
                      <w:i/>
                      <w:color w:val="231F20"/>
                      <w:sz w:val="20"/>
                    </w:rPr>
                    <w:t>of</w:t>
                  </w:r>
                  <w:r>
                    <w:rPr>
                      <w:i/>
                      <w:color w:val="231F20"/>
                      <w:spacing w:val="-14"/>
                      <w:sz w:val="20"/>
                    </w:rPr>
                    <w:t> </w:t>
                  </w:r>
                  <w:r>
                    <w:rPr>
                      <w:i/>
                      <w:color w:val="231F20"/>
                      <w:sz w:val="20"/>
                    </w:rPr>
                    <w:t>higher</w:t>
                  </w:r>
                  <w:r>
                    <w:rPr>
                      <w:i/>
                      <w:color w:val="231F20"/>
                      <w:spacing w:val="-14"/>
                      <w:sz w:val="20"/>
                    </w:rPr>
                    <w:t> </w:t>
                  </w:r>
                  <w:r>
                    <w:rPr>
                      <w:i/>
                      <w:color w:val="231F20"/>
                      <w:spacing w:val="-3"/>
                      <w:sz w:val="20"/>
                    </w:rPr>
                    <w:t>level</w:t>
                  </w:r>
                  <w:r>
                    <w:rPr>
                      <w:i/>
                      <w:color w:val="231F20"/>
                      <w:spacing w:val="-14"/>
                      <w:sz w:val="20"/>
                    </w:rPr>
                    <w:t> </w:t>
                  </w:r>
                  <w:r>
                    <w:rPr>
                      <w:i/>
                      <w:color w:val="231F20"/>
                      <w:sz w:val="20"/>
                    </w:rPr>
                    <w:t>policy</w:t>
                  </w:r>
                  <w:r>
                    <w:rPr>
                      <w:i/>
                      <w:color w:val="231F20"/>
                      <w:spacing w:val="-14"/>
                      <w:sz w:val="20"/>
                    </w:rPr>
                    <w:t> </w:t>
                  </w:r>
                  <w:r>
                    <w:rPr>
                      <w:i/>
                      <w:color w:val="231F20"/>
                      <w:sz w:val="20"/>
                    </w:rPr>
                    <w:t>decisions</w:t>
                  </w:r>
                  <w:r>
                    <w:rPr>
                      <w:i/>
                      <w:color w:val="231F20"/>
                      <w:spacing w:val="-14"/>
                      <w:sz w:val="20"/>
                    </w:rPr>
                    <w:t> </w:t>
                  </w:r>
                  <w:r>
                    <w:rPr>
                      <w:i/>
                      <w:color w:val="231F20"/>
                      <w:sz w:val="20"/>
                    </w:rPr>
                    <w:t>made</w:t>
                  </w:r>
                  <w:r>
                    <w:rPr>
                      <w:i/>
                      <w:color w:val="231F20"/>
                      <w:spacing w:val="-14"/>
                      <w:sz w:val="20"/>
                    </w:rPr>
                    <w:t> </w:t>
                  </w:r>
                  <w:r>
                    <w:rPr>
                      <w:i/>
                      <w:color w:val="231F20"/>
                      <w:spacing w:val="-3"/>
                      <w:sz w:val="20"/>
                    </w:rPr>
                    <w:t>by</w:t>
                  </w:r>
                  <w:r>
                    <w:rPr>
                      <w:i/>
                      <w:color w:val="231F20"/>
                      <w:spacing w:val="-14"/>
                      <w:sz w:val="20"/>
                    </w:rPr>
                    <w:t> </w:t>
                  </w:r>
                  <w:r>
                    <w:rPr>
                      <w:i/>
                      <w:color w:val="231F20"/>
                      <w:sz w:val="20"/>
                    </w:rPr>
                    <w:t>ministers</w:t>
                  </w:r>
                  <w:r>
                    <w:rPr>
                      <w:i/>
                      <w:color w:val="231F20"/>
                      <w:spacing w:val="-14"/>
                      <w:sz w:val="20"/>
                    </w:rPr>
                    <w:t> </w:t>
                  </w:r>
                  <w:r>
                    <w:rPr>
                      <w:i/>
                      <w:color w:val="231F20"/>
                      <w:sz w:val="20"/>
                    </w:rPr>
                    <w:t>or</w:t>
                  </w:r>
                  <w:r>
                    <w:rPr>
                      <w:i/>
                      <w:color w:val="231F20"/>
                      <w:spacing w:val="-14"/>
                      <w:sz w:val="20"/>
                    </w:rPr>
                    <w:t> </w:t>
                  </w:r>
                  <w:r>
                    <w:rPr>
                      <w:i/>
                      <w:color w:val="231F20"/>
                      <w:sz w:val="20"/>
                    </w:rPr>
                    <w:t>the</w:t>
                  </w:r>
                  <w:r>
                    <w:rPr>
                      <w:i/>
                      <w:color w:val="231F20"/>
                      <w:spacing w:val="-14"/>
                      <w:sz w:val="20"/>
                    </w:rPr>
                    <w:t> </w:t>
                  </w:r>
                  <w:r>
                    <w:rPr>
                      <w:i/>
                      <w:color w:val="231F20"/>
                      <w:sz w:val="20"/>
                    </w:rPr>
                    <w:t>legislature.</w:t>
                  </w:r>
                </w:p>
              </w:txbxContent>
            </v:textbox>
            <w10:wrap type="none"/>
          </v:shape>
        </w:pict>
      </w:r>
      <w:r>
        <w:rPr/>
        <w:pict>
          <v:shape style="position:absolute;margin-left:98.216103pt;margin-top:217.393967pt;width:367.4pt;height:25.5pt;mso-position-horizontal-relative:page;mso-position-vertical-relative:page;z-index:-198808" type="#_x0000_t202" filled="false" stroked="false">
            <v:textbox inset="0,0,0,0">
              <w:txbxContent>
                <w:p>
                  <w:pPr>
                    <w:spacing w:line="280" w:lineRule="auto" w:before="0"/>
                    <w:ind w:left="20" w:right="17" w:firstLine="0"/>
                    <w:jc w:val="left"/>
                    <w:rPr>
                      <w:i/>
                      <w:sz w:val="20"/>
                    </w:rPr>
                  </w:pPr>
                  <w:r>
                    <w:rPr>
                      <w:i/>
                      <w:color w:val="231F20"/>
                      <w:sz w:val="20"/>
                    </w:rPr>
                    <w:t>Second, they have to develop and approve some higher level policy, where their authorising legislation has allocated the regulator greater decision making powers.</w:t>
                  </w:r>
                </w:p>
              </w:txbxContent>
            </v:textbox>
            <w10:wrap type="none"/>
          </v:shape>
        </w:pict>
      </w:r>
      <w:r>
        <w:rPr/>
        <w:pict>
          <v:shape style="position:absolute;margin-left:98.216103pt;margin-top:252.893967pt;width:372.5pt;height:52.5pt;mso-position-horizontal-relative:page;mso-position-vertical-relative:page;z-index:-198784" type="#_x0000_t202" filled="false" stroked="false">
            <v:textbox inset="0,0,0,0">
              <w:txbxContent>
                <w:p>
                  <w:pPr>
                    <w:spacing w:line="280" w:lineRule="auto" w:before="0"/>
                    <w:ind w:left="20" w:right="0" w:firstLine="0"/>
                    <w:jc w:val="left"/>
                    <w:rPr>
                      <w:sz w:val="11"/>
                    </w:rPr>
                  </w:pPr>
                  <w:r>
                    <w:rPr>
                      <w:i/>
                      <w:color w:val="231F20"/>
                      <w:sz w:val="20"/>
                    </w:rPr>
                    <w:t>Third,</w:t>
                  </w:r>
                  <w:r>
                    <w:rPr>
                      <w:i/>
                      <w:color w:val="231F20"/>
                      <w:spacing w:val="-14"/>
                      <w:sz w:val="20"/>
                    </w:rPr>
                    <w:t> </w:t>
                  </w:r>
                  <w:r>
                    <w:rPr>
                      <w:i/>
                      <w:color w:val="231F20"/>
                      <w:sz w:val="20"/>
                    </w:rPr>
                    <w:t>if</w:t>
                  </w:r>
                  <w:r>
                    <w:rPr>
                      <w:i/>
                      <w:color w:val="231F20"/>
                      <w:spacing w:val="-14"/>
                      <w:sz w:val="20"/>
                    </w:rPr>
                    <w:t> </w:t>
                  </w:r>
                  <w:r>
                    <w:rPr>
                      <w:i/>
                      <w:color w:val="231F20"/>
                      <w:sz w:val="20"/>
                    </w:rPr>
                    <w:t>policy</w:t>
                  </w:r>
                  <w:r>
                    <w:rPr>
                      <w:i/>
                      <w:color w:val="231F20"/>
                      <w:spacing w:val="-14"/>
                      <w:sz w:val="20"/>
                    </w:rPr>
                    <w:t> </w:t>
                  </w:r>
                  <w:r>
                    <w:rPr>
                      <w:i/>
                      <w:color w:val="231F20"/>
                      <w:sz w:val="20"/>
                    </w:rPr>
                    <w:t>formulation</w:t>
                  </w:r>
                  <w:r>
                    <w:rPr>
                      <w:i/>
                      <w:color w:val="231F20"/>
                      <w:spacing w:val="-14"/>
                      <w:sz w:val="20"/>
                    </w:rPr>
                    <w:t> </w:t>
                  </w:r>
                  <w:r>
                    <w:rPr>
                      <w:i/>
                      <w:color w:val="231F20"/>
                      <w:spacing w:val="-3"/>
                      <w:sz w:val="20"/>
                    </w:rPr>
                    <w:t>by</w:t>
                  </w:r>
                  <w:r>
                    <w:rPr>
                      <w:i/>
                      <w:color w:val="231F20"/>
                      <w:spacing w:val="-14"/>
                      <w:sz w:val="20"/>
                    </w:rPr>
                    <w:t> </w:t>
                  </w:r>
                  <w:r>
                    <w:rPr>
                      <w:i/>
                      <w:color w:val="231F20"/>
                      <w:sz w:val="20"/>
                    </w:rPr>
                    <w:t>ministers</w:t>
                  </w:r>
                  <w:r>
                    <w:rPr>
                      <w:i/>
                      <w:color w:val="231F20"/>
                      <w:spacing w:val="-14"/>
                      <w:sz w:val="20"/>
                    </w:rPr>
                    <w:t> </w:t>
                  </w:r>
                  <w:r>
                    <w:rPr>
                      <w:i/>
                      <w:color w:val="231F20"/>
                      <w:sz w:val="20"/>
                    </w:rPr>
                    <w:t>is</w:t>
                  </w:r>
                  <w:r>
                    <w:rPr>
                      <w:i/>
                      <w:color w:val="231F20"/>
                      <w:spacing w:val="-14"/>
                      <w:sz w:val="20"/>
                    </w:rPr>
                    <w:t> </w:t>
                  </w:r>
                  <w:r>
                    <w:rPr>
                      <w:i/>
                      <w:color w:val="231F20"/>
                      <w:sz w:val="20"/>
                    </w:rPr>
                    <w:t>to</w:t>
                  </w:r>
                  <w:r>
                    <w:rPr>
                      <w:i/>
                      <w:color w:val="231F20"/>
                      <w:spacing w:val="-14"/>
                      <w:sz w:val="20"/>
                    </w:rPr>
                    <w:t> </w:t>
                  </w:r>
                  <w:r>
                    <w:rPr>
                      <w:i/>
                      <w:color w:val="231F20"/>
                      <w:sz w:val="20"/>
                    </w:rPr>
                    <w:t>be</w:t>
                  </w:r>
                  <w:r>
                    <w:rPr>
                      <w:i/>
                      <w:color w:val="231F20"/>
                      <w:spacing w:val="-14"/>
                      <w:sz w:val="20"/>
                    </w:rPr>
                    <w:t> </w:t>
                  </w:r>
                  <w:r>
                    <w:rPr>
                      <w:i/>
                      <w:color w:val="231F20"/>
                      <w:sz w:val="20"/>
                    </w:rPr>
                    <w:t>well</w:t>
                  </w:r>
                  <w:r>
                    <w:rPr>
                      <w:i/>
                      <w:color w:val="231F20"/>
                      <w:spacing w:val="-14"/>
                      <w:sz w:val="20"/>
                    </w:rPr>
                    <w:t> </w:t>
                  </w:r>
                  <w:r>
                    <w:rPr>
                      <w:i/>
                      <w:color w:val="231F20"/>
                      <w:sz w:val="20"/>
                    </w:rPr>
                    <w:t>informed,</w:t>
                  </w:r>
                  <w:r>
                    <w:rPr>
                      <w:i/>
                      <w:color w:val="231F20"/>
                      <w:spacing w:val="-14"/>
                      <w:sz w:val="20"/>
                    </w:rPr>
                    <w:t> </w:t>
                  </w:r>
                  <w:r>
                    <w:rPr>
                      <w:i/>
                      <w:color w:val="231F20"/>
                      <w:sz w:val="20"/>
                    </w:rPr>
                    <w:t>effectively</w:t>
                  </w:r>
                  <w:r>
                    <w:rPr>
                      <w:i/>
                      <w:color w:val="231F20"/>
                      <w:spacing w:val="-14"/>
                      <w:sz w:val="20"/>
                    </w:rPr>
                    <w:t> </w:t>
                  </w:r>
                  <w:r>
                    <w:rPr>
                      <w:i/>
                      <w:color w:val="231F20"/>
                      <w:sz w:val="20"/>
                    </w:rPr>
                    <w:t>implemented and</w:t>
                  </w:r>
                  <w:r>
                    <w:rPr>
                      <w:i/>
                      <w:color w:val="231F20"/>
                      <w:spacing w:val="-10"/>
                      <w:sz w:val="20"/>
                    </w:rPr>
                    <w:t> </w:t>
                  </w:r>
                  <w:r>
                    <w:rPr>
                      <w:i/>
                      <w:color w:val="231F20"/>
                      <w:sz w:val="20"/>
                    </w:rPr>
                    <w:t>responsive</w:t>
                  </w:r>
                  <w:r>
                    <w:rPr>
                      <w:i/>
                      <w:color w:val="231F20"/>
                      <w:spacing w:val="-10"/>
                      <w:sz w:val="20"/>
                    </w:rPr>
                    <w:t> </w:t>
                  </w:r>
                  <w:r>
                    <w:rPr>
                      <w:i/>
                      <w:color w:val="231F20"/>
                      <w:sz w:val="20"/>
                    </w:rPr>
                    <w:t>to</w:t>
                  </w:r>
                  <w:r>
                    <w:rPr>
                      <w:i/>
                      <w:color w:val="231F20"/>
                      <w:spacing w:val="-10"/>
                      <w:sz w:val="20"/>
                    </w:rPr>
                    <w:t> </w:t>
                  </w:r>
                  <w:r>
                    <w:rPr>
                      <w:i/>
                      <w:color w:val="231F20"/>
                      <w:sz w:val="20"/>
                    </w:rPr>
                    <w:t>changes</w:t>
                  </w:r>
                  <w:r>
                    <w:rPr>
                      <w:i/>
                      <w:color w:val="231F20"/>
                      <w:spacing w:val="-10"/>
                      <w:sz w:val="20"/>
                    </w:rPr>
                    <w:t> </w:t>
                  </w:r>
                  <w:r>
                    <w:rPr>
                      <w:i/>
                      <w:color w:val="231F20"/>
                      <w:sz w:val="20"/>
                    </w:rPr>
                    <w:t>in</w:t>
                  </w:r>
                  <w:r>
                    <w:rPr>
                      <w:i/>
                      <w:color w:val="231F20"/>
                      <w:spacing w:val="-10"/>
                      <w:sz w:val="20"/>
                    </w:rPr>
                    <w:t> </w:t>
                  </w:r>
                  <w:r>
                    <w:rPr>
                      <w:i/>
                      <w:color w:val="231F20"/>
                      <w:sz w:val="20"/>
                    </w:rPr>
                    <w:t>the</w:t>
                  </w:r>
                  <w:r>
                    <w:rPr>
                      <w:i/>
                      <w:color w:val="231F20"/>
                      <w:spacing w:val="-10"/>
                      <w:sz w:val="20"/>
                    </w:rPr>
                    <w:t> </w:t>
                  </w:r>
                  <w:r>
                    <w:rPr>
                      <w:i/>
                      <w:color w:val="231F20"/>
                      <w:sz w:val="20"/>
                    </w:rPr>
                    <w:t>regulatory</w:t>
                  </w:r>
                  <w:r>
                    <w:rPr>
                      <w:i/>
                      <w:color w:val="231F20"/>
                      <w:spacing w:val="-10"/>
                      <w:sz w:val="20"/>
                    </w:rPr>
                    <w:t> </w:t>
                  </w:r>
                  <w:r>
                    <w:rPr>
                      <w:i/>
                      <w:color w:val="231F20"/>
                      <w:spacing w:val="-2"/>
                      <w:sz w:val="20"/>
                    </w:rPr>
                    <w:t>environment,</w:t>
                  </w:r>
                  <w:r>
                    <w:rPr>
                      <w:i/>
                      <w:color w:val="231F20"/>
                      <w:spacing w:val="-10"/>
                      <w:sz w:val="20"/>
                    </w:rPr>
                    <w:t> </w:t>
                  </w:r>
                  <w:r>
                    <w:rPr>
                      <w:i/>
                      <w:color w:val="231F20"/>
                      <w:sz w:val="20"/>
                    </w:rPr>
                    <w:t>it</w:t>
                  </w:r>
                  <w:r>
                    <w:rPr>
                      <w:i/>
                      <w:color w:val="231F20"/>
                      <w:spacing w:val="-10"/>
                      <w:sz w:val="20"/>
                    </w:rPr>
                    <w:t> </w:t>
                  </w:r>
                  <w:r>
                    <w:rPr>
                      <w:i/>
                      <w:color w:val="231F20"/>
                      <w:sz w:val="20"/>
                    </w:rPr>
                    <w:t>is</w:t>
                  </w:r>
                  <w:r>
                    <w:rPr>
                      <w:i/>
                      <w:color w:val="231F20"/>
                      <w:spacing w:val="-10"/>
                      <w:sz w:val="20"/>
                    </w:rPr>
                    <w:t> </w:t>
                  </w:r>
                  <w:r>
                    <w:rPr>
                      <w:i/>
                      <w:color w:val="231F20"/>
                      <w:sz w:val="20"/>
                    </w:rPr>
                    <w:t>critical</w:t>
                  </w:r>
                  <w:r>
                    <w:rPr>
                      <w:i/>
                      <w:color w:val="231F20"/>
                      <w:spacing w:val="-10"/>
                      <w:sz w:val="20"/>
                    </w:rPr>
                    <w:t> </w:t>
                  </w:r>
                  <w:r>
                    <w:rPr>
                      <w:i/>
                      <w:color w:val="231F20"/>
                      <w:sz w:val="20"/>
                    </w:rPr>
                    <w:t>that</w:t>
                  </w:r>
                  <w:r>
                    <w:rPr>
                      <w:i/>
                      <w:color w:val="231F20"/>
                      <w:spacing w:val="-10"/>
                      <w:sz w:val="20"/>
                    </w:rPr>
                    <w:t> </w:t>
                  </w:r>
                  <w:r>
                    <w:rPr>
                      <w:i/>
                      <w:color w:val="231F20"/>
                      <w:sz w:val="20"/>
                    </w:rPr>
                    <w:t>the</w:t>
                  </w:r>
                  <w:r>
                    <w:rPr>
                      <w:i/>
                      <w:color w:val="231F20"/>
                      <w:spacing w:val="-10"/>
                      <w:sz w:val="20"/>
                    </w:rPr>
                    <w:t> </w:t>
                  </w:r>
                  <w:r>
                    <w:rPr>
                      <w:i/>
                      <w:color w:val="231F20"/>
                      <w:spacing w:val="-3"/>
                      <w:sz w:val="20"/>
                    </w:rPr>
                    <w:t>relevant </w:t>
                  </w:r>
                  <w:r>
                    <w:rPr>
                      <w:i/>
                      <w:color w:val="231F20"/>
                      <w:sz w:val="20"/>
                    </w:rPr>
                    <w:t>regulator is </w:t>
                  </w:r>
                  <w:r>
                    <w:rPr>
                      <w:i/>
                      <w:color w:val="231F20"/>
                      <w:spacing w:val="-3"/>
                      <w:sz w:val="20"/>
                    </w:rPr>
                    <w:t>actively involved </w:t>
                  </w:r>
                  <w:r>
                    <w:rPr>
                      <w:i/>
                      <w:color w:val="231F20"/>
                      <w:sz w:val="20"/>
                    </w:rPr>
                    <w:t>early in the formulation and </w:t>
                  </w:r>
                  <w:r>
                    <w:rPr>
                      <w:i/>
                      <w:color w:val="231F20"/>
                      <w:spacing w:val="-3"/>
                      <w:sz w:val="20"/>
                    </w:rPr>
                    <w:t>subsequent </w:t>
                  </w:r>
                  <w:r>
                    <w:rPr>
                      <w:i/>
                      <w:color w:val="231F20"/>
                      <w:sz w:val="20"/>
                    </w:rPr>
                    <w:t>refinement of policy</w:t>
                  </w:r>
                  <w:r>
                    <w:rPr>
                      <w:i/>
                      <w:color w:val="231F20"/>
                      <w:spacing w:val="-6"/>
                      <w:sz w:val="20"/>
                    </w:rPr>
                    <w:t> </w:t>
                  </w:r>
                  <w:r>
                    <w:rPr>
                      <w:i/>
                      <w:color w:val="231F20"/>
                      <w:sz w:val="20"/>
                    </w:rPr>
                    <w:t>to</w:t>
                  </w:r>
                  <w:r>
                    <w:rPr>
                      <w:i/>
                      <w:color w:val="231F20"/>
                      <w:spacing w:val="-6"/>
                      <w:sz w:val="20"/>
                    </w:rPr>
                    <w:t> </w:t>
                  </w:r>
                  <w:r>
                    <w:rPr>
                      <w:i/>
                      <w:color w:val="231F20"/>
                      <w:sz w:val="20"/>
                    </w:rPr>
                    <w:t>support</w:t>
                  </w:r>
                  <w:r>
                    <w:rPr>
                      <w:i/>
                      <w:color w:val="231F20"/>
                      <w:spacing w:val="-6"/>
                      <w:sz w:val="20"/>
                    </w:rPr>
                    <w:t> </w:t>
                  </w:r>
                  <w:r>
                    <w:rPr>
                      <w:i/>
                      <w:color w:val="231F20"/>
                      <w:sz w:val="20"/>
                    </w:rPr>
                    <w:t>the</w:t>
                  </w:r>
                  <w:r>
                    <w:rPr>
                      <w:i/>
                      <w:color w:val="231F20"/>
                      <w:spacing w:val="-6"/>
                      <w:sz w:val="20"/>
                    </w:rPr>
                    <w:t> </w:t>
                  </w:r>
                  <w:r>
                    <w:rPr>
                      <w:i/>
                      <w:color w:val="231F20"/>
                      <w:spacing w:val="-3"/>
                      <w:sz w:val="20"/>
                    </w:rPr>
                    <w:t>development</w:t>
                  </w:r>
                  <w:r>
                    <w:rPr>
                      <w:i/>
                      <w:color w:val="231F20"/>
                      <w:spacing w:val="-6"/>
                      <w:sz w:val="20"/>
                    </w:rPr>
                    <w:t> </w:t>
                  </w:r>
                  <w:r>
                    <w:rPr>
                      <w:i/>
                      <w:color w:val="231F20"/>
                      <w:sz w:val="20"/>
                    </w:rPr>
                    <w:t>process</w:t>
                  </w:r>
                  <w:r>
                    <w:rPr>
                      <w:i/>
                      <w:color w:val="231F20"/>
                      <w:spacing w:val="-6"/>
                      <w:sz w:val="20"/>
                    </w:rPr>
                    <w:t> </w:t>
                  </w:r>
                  <w:r>
                    <w:rPr>
                      <w:i/>
                      <w:color w:val="231F20"/>
                      <w:sz w:val="20"/>
                    </w:rPr>
                    <w:t>led</w:t>
                  </w:r>
                  <w:r>
                    <w:rPr>
                      <w:i/>
                      <w:color w:val="231F20"/>
                      <w:spacing w:val="-6"/>
                      <w:sz w:val="20"/>
                    </w:rPr>
                    <w:t> </w:t>
                  </w:r>
                  <w:r>
                    <w:rPr>
                      <w:i/>
                      <w:color w:val="231F20"/>
                      <w:spacing w:val="-3"/>
                      <w:sz w:val="20"/>
                    </w:rPr>
                    <w:t>by</w:t>
                  </w:r>
                  <w:r>
                    <w:rPr>
                      <w:i/>
                      <w:color w:val="231F20"/>
                      <w:spacing w:val="-6"/>
                      <w:sz w:val="20"/>
                    </w:rPr>
                    <w:t> </w:t>
                  </w:r>
                  <w:r>
                    <w:rPr>
                      <w:i/>
                      <w:color w:val="231F20"/>
                      <w:sz w:val="20"/>
                    </w:rPr>
                    <w:t>the</w:t>
                  </w:r>
                  <w:r>
                    <w:rPr>
                      <w:i/>
                      <w:color w:val="231F20"/>
                      <w:spacing w:val="-6"/>
                      <w:sz w:val="20"/>
                    </w:rPr>
                    <w:t> </w:t>
                  </w:r>
                  <w:r>
                    <w:rPr>
                      <w:i/>
                      <w:color w:val="231F20"/>
                      <w:spacing w:val="-3"/>
                      <w:sz w:val="20"/>
                    </w:rPr>
                    <w:t>ministry.</w:t>
                  </w:r>
                  <w:r>
                    <w:rPr>
                      <w:color w:val="231F20"/>
                      <w:spacing w:val="-3"/>
                      <w:position w:val="7"/>
                      <w:sz w:val="11"/>
                    </w:rPr>
                    <w:t>79</w:t>
                  </w:r>
                </w:p>
              </w:txbxContent>
            </v:textbox>
            <w10:wrap type="none"/>
          </v:shape>
        </w:pict>
      </w:r>
      <w:r>
        <w:rPr/>
        <w:pict>
          <v:shape style="position:absolute;margin-left:69.866096pt;margin-top:315.409668pt;width:431.9pt;height:52.5pt;mso-position-horizontal-relative:page;mso-position-vertical-relative:page;z-index:-198760" type="#_x0000_t202" filled="false" stroked="false">
            <v:textbox inset="0,0,0,0">
              <w:txbxContent>
                <w:p>
                  <w:pPr>
                    <w:pStyle w:val="BodyText"/>
                    <w:spacing w:line="280" w:lineRule="auto"/>
                    <w:ind w:right="17"/>
                  </w:pPr>
                  <w:r>
                    <w:rPr>
                      <w:color w:val="58595B"/>
                    </w:rPr>
                    <w:t>We consider these propositions are sensible. They do not undermine the principle that regulators exist to achieve objectives that government and the Parliament deem to be in the public interest, and they operate using the powers conferred by Parliament. Nor are they likely to risk the EPA’s independence in relation to its regulatory decision making.</w:t>
                  </w:r>
                </w:p>
              </w:txbxContent>
            </v:textbox>
            <w10:wrap type="none"/>
          </v:shape>
        </w:pict>
      </w:r>
      <w:r>
        <w:rPr/>
        <w:pict>
          <v:shape style="position:absolute;margin-left:69.862701pt;margin-top:377.909668pt;width:424.6pt;height:66.05pt;mso-position-horizontal-relative:page;mso-position-vertical-relative:page;z-index:-198736" type="#_x0000_t202" filled="false" stroked="false">
            <v:textbox inset="0,0,0,0">
              <w:txbxContent>
                <w:p>
                  <w:pPr>
                    <w:pStyle w:val="BodyText"/>
                    <w:spacing w:line="280" w:lineRule="auto"/>
                    <w:ind w:right="71"/>
                  </w:pPr>
                  <w:r>
                    <w:rPr>
                      <w:color w:val="58595B"/>
                    </w:rPr>
                    <w:t>Acknowledging that the </w:t>
                  </w:r>
                  <w:r>
                    <w:rPr>
                      <w:color w:val="58595B"/>
                      <w:spacing w:val="-4"/>
                    </w:rPr>
                    <w:t>EPA </w:t>
                  </w:r>
                  <w:r>
                    <w:rPr>
                      <w:color w:val="58595B"/>
                    </w:rPr>
                    <w:t>needs to do more than simply focus on ‘rules and compliance’ is consistent with the models of modern risk-based regulation. It involves ‘explicitly embrac[ing] the expert model’ and the task of risk identification, and ‘orient[ing] </w:t>
                  </w:r>
                  <w:r>
                    <w:rPr>
                      <w:color w:val="58595B"/>
                      <w:spacing w:val="-3"/>
                    </w:rPr>
                    <w:t>one’s </w:t>
                  </w:r>
                  <w:r>
                    <w:rPr>
                      <w:color w:val="58595B"/>
                      <w:spacing w:val="2"/>
                    </w:rPr>
                    <w:t>efforts </w:t>
                  </w:r>
                  <w:r>
                    <w:rPr>
                      <w:color w:val="58595B"/>
                    </w:rPr>
                    <w:t>around the  task of risk control’.</w:t>
                  </w:r>
                  <w:r>
                    <w:rPr>
                      <w:color w:val="58595B"/>
                      <w:position w:val="7"/>
                      <w:sz w:val="11"/>
                    </w:rPr>
                    <w:t>80 </w:t>
                  </w:r>
                  <w:r>
                    <w:rPr>
                      <w:color w:val="58595B"/>
                    </w:rPr>
                    <w:t>We consider this a necessary shift to make the </w:t>
                  </w:r>
                  <w:r>
                    <w:rPr>
                      <w:color w:val="58595B"/>
                      <w:spacing w:val="-4"/>
                    </w:rPr>
                    <w:t>EPA </w:t>
                  </w:r>
                  <w:r>
                    <w:rPr>
                      <w:color w:val="58595B"/>
                    </w:rPr>
                    <w:t>a more proactive and preventative</w:t>
                  </w:r>
                  <w:r>
                    <w:rPr>
                      <w:color w:val="58595B"/>
                      <w:spacing w:val="-22"/>
                    </w:rPr>
                    <w:t> </w:t>
                  </w:r>
                  <w:r>
                    <w:rPr>
                      <w:color w:val="58595B"/>
                    </w:rPr>
                    <w:t>regulator.</w:t>
                  </w:r>
                </w:p>
              </w:txbxContent>
            </v:textbox>
            <w10:wrap type="none"/>
          </v:shape>
        </w:pict>
      </w:r>
      <w:r>
        <w:rPr/>
        <w:pict>
          <v:shape style="position:absolute;margin-left:69.862701pt;margin-top:453.913574pt;width:430.35pt;height:39pt;mso-position-horizontal-relative:page;mso-position-vertical-relative:page;z-index:-198712" type="#_x0000_t202" filled="false" stroked="false">
            <v:textbox inset="0,0,0,0">
              <w:txbxContent>
                <w:p>
                  <w:pPr>
                    <w:pStyle w:val="BodyText"/>
                    <w:spacing w:line="280" w:lineRule="auto"/>
                  </w:pPr>
                  <w:r>
                    <w:rPr>
                      <w:color w:val="58595B"/>
                    </w:rPr>
                    <w:t>It is also appropriate for the EPA to advise the government on policy, given its expertise and field experience. This advice will appropriately be about both identified risks and changes required to maintain an effective toolkit.</w:t>
                  </w:r>
                </w:p>
              </w:txbxContent>
            </v:textbox>
            <w10:wrap type="none"/>
          </v:shape>
        </w:pict>
      </w:r>
      <w:r>
        <w:rPr/>
        <w:pict>
          <v:shape style="position:absolute;margin-left:98.2127pt;margin-top:502.913574pt;width:377pt;height:39pt;mso-position-horizontal-relative:page;mso-position-vertical-relative:page;z-index:-198688" type="#_x0000_t202" filled="false" stroked="false">
            <v:textbox inset="0,0,0,0">
              <w:txbxContent>
                <w:p>
                  <w:pPr>
                    <w:spacing w:line="280" w:lineRule="auto" w:before="0"/>
                    <w:ind w:left="20" w:right="17" w:firstLine="0"/>
                    <w:jc w:val="left"/>
                    <w:rPr>
                      <w:sz w:val="11"/>
                    </w:rPr>
                  </w:pPr>
                  <w:r>
                    <w:rPr>
                      <w:i/>
                      <w:color w:val="231F20"/>
                      <w:sz w:val="20"/>
                    </w:rPr>
                    <w:t>… the experience of regulators in operating the rules can prompt Ministries to review the policy framework within which the regulators operate. Therefore regulators should have a specific and explicit advisory role on government</w:t>
                  </w:r>
                  <w:r>
                    <w:rPr>
                      <w:i/>
                      <w:color w:val="231F20"/>
                      <w:spacing w:val="1"/>
                      <w:sz w:val="20"/>
                    </w:rPr>
                    <w:t> </w:t>
                  </w:r>
                  <w:r>
                    <w:rPr>
                      <w:i/>
                      <w:color w:val="231F20"/>
                      <w:sz w:val="20"/>
                    </w:rPr>
                    <w:t>policy.</w:t>
                  </w:r>
                  <w:r>
                    <w:rPr>
                      <w:color w:val="231F20"/>
                      <w:position w:val="7"/>
                      <w:sz w:val="11"/>
                    </w:rPr>
                    <w:t>81</w:t>
                  </w:r>
                </w:p>
              </w:txbxContent>
            </v:textbox>
            <w10:wrap type="none"/>
          </v:shape>
        </w:pict>
      </w:r>
      <w:r>
        <w:rPr/>
        <w:pict>
          <v:shape style="position:absolute;margin-left:69.866096pt;margin-top:551.925354pt;width:430.85pt;height:66pt;mso-position-horizontal-relative:page;mso-position-vertical-relative:page;z-index:-198664" type="#_x0000_t202" filled="false" stroked="false">
            <v:textbox inset="0,0,0,0">
              <w:txbxContent>
                <w:p>
                  <w:pPr>
                    <w:pStyle w:val="BodyText"/>
                    <w:spacing w:line="280" w:lineRule="auto"/>
                    <w:ind w:right="17"/>
                  </w:pPr>
                  <w:r>
                    <w:rPr>
                      <w:color w:val="58595B"/>
                    </w:rPr>
                    <w:t>We support the general proposition that DELWP and, ultimately, the minister, should be responsible for overarching environmental policy, accounting for government objectives and whole-of-government considerations about coordinating environmental portfolio agencies. However, overarching policy (or big ‘P’ policy) can, and should be, distinguished from operational policy (or small ‘p’ policy), which includes setting technical and regulatory standards.</w:t>
                  </w:r>
                </w:p>
              </w:txbxContent>
            </v:textbox>
            <w10:wrap type="none"/>
          </v:shape>
        </w:pict>
      </w:r>
      <w:r>
        <w:rPr/>
        <w:pict>
          <v:shape style="position:absolute;margin-left:69.866096pt;margin-top:627.925354pt;width:435.25pt;height:147pt;mso-position-horizontal-relative:page;mso-position-vertical-relative:page;z-index:-198640" type="#_x0000_t202" filled="false" stroked="false">
            <v:textbox inset="0,0,0,0">
              <w:txbxContent>
                <w:p>
                  <w:pPr>
                    <w:pStyle w:val="BodyText"/>
                    <w:spacing w:line="280" w:lineRule="auto"/>
                  </w:pPr>
                  <w:r>
                    <w:rPr>
                      <w:color w:val="58595B"/>
                    </w:rPr>
                    <w:t>For an outcome-based approach to be successful, the outcomes that the EPA seeks to maintain must align with the high level outcomes that the Victorian Government seeks to achieve.</w:t>
                  </w:r>
                </w:p>
                <w:p>
                  <w:pPr>
                    <w:pStyle w:val="BodyText"/>
                    <w:spacing w:line="280" w:lineRule="auto" w:before="2"/>
                  </w:pPr>
                  <w:r>
                    <w:rPr>
                      <w:color w:val="58595B"/>
                    </w:rPr>
                    <w:t>Articulating the outcomes that the EPA seeks to maintain in measurable and achievable terms will often require cooperation with DELWP and other departments whose objectives and outcomes overlap with the EPA’s, such as DHHS. We recommend recasting state environmental protection policies and waste management policies to separate technical and regulatory elements from</w:t>
                  </w:r>
                </w:p>
                <w:p>
                  <w:pPr>
                    <w:pStyle w:val="BodyText"/>
                    <w:spacing w:line="280" w:lineRule="auto" w:before="2"/>
                  </w:pPr>
                  <w:r>
                    <w:rPr>
                      <w:color w:val="58595B"/>
                    </w:rPr>
                    <w:t>high level policy settings (chapter 15). We consider the EPA should formulate aspects of these policies, given its technical expertise and drawing on its experience in the field. Giving the EPA responsibility for its regulatory instruments also makes it accountable for their useability – that is, how well they meet the needs of decision makers and duty holders – and for their timely renewal and updating.</w:t>
                  </w:r>
                </w:p>
              </w:txbxContent>
            </v:textbox>
            <w10:wrap type="none"/>
          </v:shape>
        </w:pict>
      </w:r>
      <w:r>
        <w:rPr/>
        <w:pict>
          <v:shape style="position:absolute;margin-left:.0pt;margin-top:44.090015pt;width:60.3pt;height:5.25pt;mso-position-horizontal-relative:page;mso-position-vertical-relative:page;z-index:-198616"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98592"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98568" from="534.996094pt,45.840015pt" to="595.276001pt,45.840015pt" stroked="true" strokeweight="7pt" strokecolor="#0095a7">
            <w10:wrap type="none"/>
          </v:line>
        </w:pict>
      </w:r>
      <w:r>
        <w:rPr/>
        <w:pict>
          <v:shape style="position:absolute;margin-left:240.987503pt;margin-top:40.902756pt;width:284.4pt;height:9.5pt;mso-position-horizontal-relative:page;mso-position-vertical-relative:page;z-index:-198544" type="#_x0000_t202" filled="false" stroked="false">
            <v:textbox inset="0,0,0,0">
              <w:txbxContent>
                <w:p>
                  <w:pPr>
                    <w:tabs>
                      <w:tab w:pos="5421" w:val="left" w:leader="none"/>
                    </w:tabs>
                    <w:spacing w:before="1"/>
                    <w:ind w:left="20" w:right="0" w:firstLine="0"/>
                    <w:jc w:val="left"/>
                    <w:rPr>
                      <w:sz w:val="15"/>
                    </w:rPr>
                  </w:pPr>
                  <w:r>
                    <w:rPr>
                      <w:color w:val="58595B"/>
                      <w:spacing w:val="3"/>
                      <w:sz w:val="15"/>
                    </w:rPr>
                    <w:t>CHAPTER </w:t>
                  </w:r>
                  <w:r>
                    <w:rPr>
                      <w:color w:val="58595B"/>
                      <w:sz w:val="15"/>
                    </w:rPr>
                    <w:t>5    </w:t>
                  </w:r>
                  <w:r>
                    <w:rPr>
                      <w:color w:val="58595B"/>
                      <w:spacing w:val="4"/>
                      <w:sz w:val="15"/>
                    </w:rPr>
                    <w:t>CLARIFYING </w:t>
                  </w:r>
                  <w:r>
                    <w:rPr>
                      <w:color w:val="58595B"/>
                      <w:spacing w:val="3"/>
                      <w:sz w:val="15"/>
                    </w:rPr>
                    <w:t>THE </w:t>
                  </w:r>
                  <w:r>
                    <w:rPr>
                      <w:color w:val="58595B"/>
                      <w:sz w:val="15"/>
                    </w:rPr>
                    <w:t>EPA’S </w:t>
                  </w:r>
                  <w:r>
                    <w:rPr>
                      <w:color w:val="58595B"/>
                      <w:spacing w:val="3"/>
                      <w:sz w:val="15"/>
                    </w:rPr>
                    <w:t>OBJECTIVES</w:t>
                  </w:r>
                  <w:r>
                    <w:rPr>
                      <w:color w:val="58595B"/>
                      <w:spacing w:val="-6"/>
                      <w:sz w:val="15"/>
                    </w:rPr>
                    <w:t> </w:t>
                  </w:r>
                  <w:r>
                    <w:rPr>
                      <w:color w:val="58595B"/>
                      <w:spacing w:val="3"/>
                      <w:sz w:val="15"/>
                    </w:rPr>
                    <w:t>AND FUNCTIONS</w:t>
                    <w:tab/>
                  </w:r>
                  <w:r>
                    <w:rPr>
                      <w:color w:val="58595B"/>
                      <w:sz w:val="15"/>
                    </w:rPr>
                    <w:t>101</w:t>
                  </w:r>
                </w:p>
              </w:txbxContent>
            </v:textbox>
            <w10:wrap type="none"/>
          </v:shape>
        </w:pict>
      </w:r>
      <w:r>
        <w:rPr/>
        <w:pict>
          <v:shape style="position:absolute;margin-left:89.708603pt;margin-top:105.893967pt;width:424.85pt;height:85.2pt;mso-position-horizontal-relative:page;mso-position-vertical-relative:page;z-index:-198520" type="#_x0000_t202" filled="false" stroked="false">
            <v:textbox inset="0,0,0,0">
              <w:txbxContent>
                <w:p>
                  <w:pPr>
                    <w:pStyle w:val="BodyText"/>
                    <w:spacing w:line="224" w:lineRule="exact"/>
                  </w:pPr>
                  <w:r>
                    <w:rPr>
                      <w:color w:val="0095A7"/>
                    </w:rPr>
                    <w:t>5.6.2  Education and information – working with Sustainability Victoria</w:t>
                  </w:r>
                </w:p>
                <w:p>
                  <w:pPr>
                    <w:pStyle w:val="BodyText"/>
                    <w:spacing w:line="280" w:lineRule="auto" w:before="153"/>
                    <w:ind w:right="52"/>
                  </w:pPr>
                  <w:r>
                    <w:rPr>
                      <w:color w:val="58595B"/>
                    </w:rPr>
                    <w:t>We recommend the </w:t>
                  </w:r>
                  <w:r>
                    <w:rPr>
                      <w:color w:val="58595B"/>
                      <w:spacing w:val="-4"/>
                    </w:rPr>
                    <w:t>EPA </w:t>
                  </w:r>
                  <w:r>
                    <w:rPr>
                      <w:color w:val="58595B"/>
                    </w:rPr>
                    <w:t>conduct enhanced education and information programs that support compliance with environmental regulations, and reduce impacts from pollution and waste outcomes. This will be central to implementing the general duty as a new instrument focused  on broad-based action to reduce pollution impacts. We consider the </w:t>
                  </w:r>
                  <w:r>
                    <w:rPr>
                      <w:color w:val="58595B"/>
                      <w:spacing w:val="-4"/>
                    </w:rPr>
                    <w:t>EPA </w:t>
                  </w:r>
                  <w:r>
                    <w:rPr>
                      <w:color w:val="58595B"/>
                    </w:rPr>
                    <w:t>could collaborate with Sustainability Victoria on waste</w:t>
                  </w:r>
                  <w:r>
                    <w:rPr>
                      <w:color w:val="58595B"/>
                      <w:spacing w:val="5"/>
                    </w:rPr>
                    <w:t> </w:t>
                  </w:r>
                  <w:r>
                    <w:rPr>
                      <w:color w:val="58595B"/>
                    </w:rPr>
                    <w:t>programs.</w:t>
                  </w:r>
                </w:p>
              </w:txbxContent>
            </v:textbox>
            <w10:wrap type="none"/>
          </v:shape>
        </w:pict>
      </w:r>
      <w:r>
        <w:rPr/>
        <w:pict>
          <v:shape style="position:absolute;margin-left:89.707802pt;margin-top:201.063965pt;width:424.65pt;height:161.9pt;mso-position-horizontal-relative:page;mso-position-vertical-relative:page;z-index:-198496" type="#_x0000_t202" filled="false" stroked="false">
            <v:textbox inset="0,0,0,0">
              <w:txbxContent>
                <w:p>
                  <w:pPr>
                    <w:pStyle w:val="BodyText"/>
                    <w:spacing w:line="280" w:lineRule="auto"/>
                    <w:ind w:right="6"/>
                  </w:pPr>
                  <w:r>
                    <w:rPr>
                      <w:color w:val="58595B"/>
                    </w:rPr>
                    <w:t>Sustainability Victoria was established to ‘… facilitate and promote environmental sustainability in the use of resources’.</w:t>
                  </w:r>
                  <w:r>
                    <w:rPr>
                      <w:color w:val="58595B"/>
                      <w:position w:val="7"/>
                      <w:sz w:val="11"/>
                    </w:rPr>
                    <w:t>82 </w:t>
                  </w:r>
                  <w:r>
                    <w:rPr>
                      <w:color w:val="58595B"/>
                    </w:rPr>
                    <w:t>It has a significant waste management role, with a range of formal responsibilities under the EP Act, including preparing the Statewide Waste and Resource Recovery Plan.</w:t>
                  </w:r>
                  <w:r>
                    <w:rPr>
                      <w:color w:val="58595B"/>
                      <w:position w:val="7"/>
                      <w:sz w:val="11"/>
                    </w:rPr>
                    <w:t>83  </w:t>
                  </w:r>
                  <w:r>
                    <w:rPr>
                      <w:color w:val="58595B"/>
                    </w:rPr>
                    <w:t>Its functions focus on:</w:t>
                  </w:r>
                </w:p>
                <w:p>
                  <w:pPr>
                    <w:pStyle w:val="ListParagraph"/>
                    <w:numPr>
                      <w:ilvl w:val="0"/>
                      <w:numId w:val="31"/>
                    </w:numPr>
                    <w:tabs>
                      <w:tab w:pos="191" w:val="left" w:leader="none"/>
                    </w:tabs>
                    <w:spacing w:line="240" w:lineRule="auto" w:before="115" w:after="0"/>
                    <w:ind w:left="190" w:right="0" w:hanging="170"/>
                    <w:jc w:val="left"/>
                    <w:rPr>
                      <w:sz w:val="20"/>
                    </w:rPr>
                  </w:pPr>
                  <w:r>
                    <w:rPr>
                      <w:color w:val="58595B"/>
                      <w:sz w:val="20"/>
                    </w:rPr>
                    <w:t>educating and providing information for businesses and the</w:t>
                  </w:r>
                  <w:r>
                    <w:rPr>
                      <w:color w:val="58595B"/>
                      <w:spacing w:val="14"/>
                      <w:sz w:val="20"/>
                    </w:rPr>
                    <w:t> </w:t>
                  </w:r>
                  <w:r>
                    <w:rPr>
                      <w:color w:val="58595B"/>
                      <w:sz w:val="20"/>
                    </w:rPr>
                    <w:t>community</w:t>
                  </w:r>
                </w:p>
                <w:p>
                  <w:pPr>
                    <w:pStyle w:val="ListParagraph"/>
                    <w:numPr>
                      <w:ilvl w:val="0"/>
                      <w:numId w:val="31"/>
                    </w:numPr>
                    <w:tabs>
                      <w:tab w:pos="191" w:val="left" w:leader="none"/>
                    </w:tabs>
                    <w:spacing w:line="240" w:lineRule="auto" w:before="153" w:after="0"/>
                    <w:ind w:left="190" w:right="0" w:hanging="170"/>
                    <w:jc w:val="left"/>
                    <w:rPr>
                      <w:sz w:val="20"/>
                    </w:rPr>
                  </w:pPr>
                  <w:r>
                    <w:rPr>
                      <w:color w:val="58595B"/>
                      <w:sz w:val="20"/>
                    </w:rPr>
                    <w:t>facilitating and promoting environmentally sustainable practices, including resource</w:t>
                  </w:r>
                  <w:r>
                    <w:rPr>
                      <w:color w:val="58595B"/>
                      <w:spacing w:val="18"/>
                      <w:sz w:val="20"/>
                    </w:rPr>
                    <w:t> </w:t>
                  </w:r>
                  <w:r>
                    <w:rPr>
                      <w:color w:val="58595B"/>
                      <w:sz w:val="20"/>
                    </w:rPr>
                    <w:t>efficiency</w:t>
                  </w:r>
                </w:p>
                <w:p>
                  <w:pPr>
                    <w:pStyle w:val="ListParagraph"/>
                    <w:numPr>
                      <w:ilvl w:val="0"/>
                      <w:numId w:val="31"/>
                    </w:numPr>
                    <w:tabs>
                      <w:tab w:pos="191" w:val="left" w:leader="none"/>
                    </w:tabs>
                    <w:spacing w:line="240" w:lineRule="auto" w:before="153" w:after="0"/>
                    <w:ind w:left="190" w:right="0" w:hanging="170"/>
                    <w:jc w:val="left"/>
                    <w:rPr>
                      <w:sz w:val="20"/>
                    </w:rPr>
                  </w:pPr>
                  <w:r>
                    <w:rPr>
                      <w:color w:val="58595B"/>
                      <w:sz w:val="20"/>
                    </w:rPr>
                    <w:t>fostering sustainable</w:t>
                  </w:r>
                  <w:r>
                    <w:rPr>
                      <w:color w:val="58595B"/>
                      <w:spacing w:val="-3"/>
                      <w:sz w:val="20"/>
                    </w:rPr>
                    <w:t> </w:t>
                  </w:r>
                  <w:r>
                    <w:rPr>
                      <w:color w:val="58595B"/>
                      <w:sz w:val="20"/>
                    </w:rPr>
                    <w:t>markets</w:t>
                  </w:r>
                </w:p>
                <w:p>
                  <w:pPr>
                    <w:pStyle w:val="ListParagraph"/>
                    <w:numPr>
                      <w:ilvl w:val="0"/>
                      <w:numId w:val="31"/>
                    </w:numPr>
                    <w:tabs>
                      <w:tab w:pos="191" w:val="left" w:leader="none"/>
                    </w:tabs>
                    <w:spacing w:line="280" w:lineRule="auto" w:before="153" w:after="0"/>
                    <w:ind w:left="190" w:right="1326" w:hanging="170"/>
                    <w:jc w:val="left"/>
                    <w:rPr>
                      <w:sz w:val="20"/>
                    </w:rPr>
                  </w:pPr>
                  <w:r>
                    <w:rPr>
                      <w:color w:val="58595B"/>
                      <w:sz w:val="20"/>
                    </w:rPr>
                    <w:t>supporting demonstration projects and providing financial assistance to further environmental</w:t>
                  </w:r>
                  <w:r>
                    <w:rPr>
                      <w:color w:val="58595B"/>
                      <w:spacing w:val="-2"/>
                      <w:sz w:val="20"/>
                    </w:rPr>
                    <w:t> </w:t>
                  </w:r>
                  <w:r>
                    <w:rPr>
                      <w:color w:val="58595B"/>
                      <w:sz w:val="20"/>
                    </w:rPr>
                    <w:t>sustainability</w:t>
                  </w:r>
                </w:p>
                <w:p>
                  <w:pPr>
                    <w:pStyle w:val="ListParagraph"/>
                    <w:numPr>
                      <w:ilvl w:val="0"/>
                      <w:numId w:val="31"/>
                    </w:numPr>
                    <w:tabs>
                      <w:tab w:pos="191" w:val="left" w:leader="none"/>
                    </w:tabs>
                    <w:spacing w:line="240" w:lineRule="auto" w:before="115" w:after="0"/>
                    <w:ind w:left="190" w:right="0" w:hanging="170"/>
                    <w:jc w:val="left"/>
                    <w:rPr>
                      <w:sz w:val="20"/>
                    </w:rPr>
                  </w:pPr>
                  <w:r>
                    <w:rPr>
                      <w:color w:val="58595B"/>
                      <w:sz w:val="20"/>
                    </w:rPr>
                    <w:t>monitoring and reporting on waste, water and energy</w:t>
                  </w:r>
                  <w:r>
                    <w:rPr>
                      <w:color w:val="58595B"/>
                      <w:spacing w:val="4"/>
                      <w:sz w:val="20"/>
                    </w:rPr>
                    <w:t> </w:t>
                  </w:r>
                  <w:r>
                    <w:rPr>
                      <w:color w:val="58595B"/>
                      <w:sz w:val="20"/>
                    </w:rPr>
                    <w:t>targets.</w:t>
                  </w:r>
                </w:p>
              </w:txbxContent>
            </v:textbox>
            <w10:wrap type="none"/>
          </v:shape>
        </w:pict>
      </w:r>
      <w:r>
        <w:rPr/>
        <w:pict>
          <v:shape style="position:absolute;margin-left:89.709396pt;margin-top:372.917175pt;width:432.85pt;height:39pt;mso-position-horizontal-relative:page;mso-position-vertical-relative:page;z-index:-198472" type="#_x0000_t202" filled="false" stroked="false">
            <v:textbox inset="0,0,0,0">
              <w:txbxContent>
                <w:p>
                  <w:pPr>
                    <w:pStyle w:val="BodyText"/>
                    <w:spacing w:line="280" w:lineRule="auto"/>
                    <w:ind w:right="13"/>
                  </w:pPr>
                  <w:r>
                    <w:rPr>
                      <w:color w:val="58595B"/>
                    </w:rPr>
                    <w:t>Some of these functions overlap with EPA functions – in particular, relating to community and business information and education. Others could complement EPA functions – relating to grants for market and industry development that might reduce waste streams and impacts more broadly.</w:t>
                  </w:r>
                </w:p>
              </w:txbxContent>
            </v:textbox>
            <w10:wrap type="none"/>
          </v:shape>
        </w:pict>
      </w:r>
      <w:r>
        <w:rPr/>
        <w:pict>
          <v:shape style="position:absolute;margin-left:89.709396pt;margin-top:421.917175pt;width:434.25pt;height:66.05pt;mso-position-horizontal-relative:page;mso-position-vertical-relative:page;z-index:-198448" type="#_x0000_t202" filled="false" stroked="false">
            <v:textbox inset="0,0,0,0">
              <w:txbxContent>
                <w:p>
                  <w:pPr>
                    <w:pStyle w:val="BodyText"/>
                    <w:spacing w:line="280" w:lineRule="auto"/>
                    <w:ind w:hanging="1"/>
                  </w:pPr>
                  <w:r>
                    <w:rPr>
                      <w:color w:val="58595B"/>
                    </w:rPr>
                    <w:t>The EPA has a mandate to educate and inform under the current EP Act.</w:t>
                  </w:r>
                  <w:r>
                    <w:rPr>
                      <w:color w:val="58595B"/>
                      <w:position w:val="7"/>
                      <w:sz w:val="11"/>
                    </w:rPr>
                    <w:t>84 </w:t>
                  </w:r>
                  <w:r>
                    <w:rPr>
                      <w:color w:val="58595B"/>
                    </w:rPr>
                    <w:t>Its day-to-day working relationships with businesses and its technical expertise position it for education and as a source of authoritative advice. However, its role is currently very limited and has been reduced in recent years, with some programs transferred to Sustainability Victoria in response to resourcing constraints and a shift in priorities.</w:t>
                  </w:r>
                </w:p>
              </w:txbxContent>
            </v:textbox>
            <w10:wrap type="none"/>
          </v:shape>
        </w:pict>
      </w:r>
      <w:r>
        <w:rPr/>
        <w:pict>
          <v:shape style="position:absolute;margin-left:89.711601pt;margin-top:497.921478pt;width:427.1pt;height:66pt;mso-position-horizontal-relative:page;mso-position-vertical-relative:page;z-index:-198424" type="#_x0000_t202" filled="false" stroked="false">
            <v:textbox inset="0,0,0,0">
              <w:txbxContent>
                <w:p>
                  <w:pPr>
                    <w:pStyle w:val="BodyText"/>
                    <w:spacing w:line="280" w:lineRule="auto"/>
                  </w:pPr>
                  <w:r>
                    <w:rPr>
                      <w:color w:val="58595B"/>
                    </w:rPr>
                    <w:t>The EPA will need to more proactively deliver education and information in the future for several reasons. First, our proposed general duty (chapter 12) significantly increases work to support compliance. The EPA will have a positive obligation to educate and inform the community about how to reduce pollution and waste impacts. Like WorkSafe, this is fundamental to its regulatory role and cannot be delegated to another entity:</w:t>
                  </w:r>
                </w:p>
              </w:txbxContent>
            </v:textbox>
            <w10:wrap type="none"/>
          </v:shape>
        </w:pict>
      </w:r>
      <w:r>
        <w:rPr/>
        <w:pict>
          <v:shape style="position:absolute;margin-left:118.0616pt;margin-top:573.921448pt;width:368.5pt;height:52.5pt;mso-position-horizontal-relative:page;mso-position-vertical-relative:page;z-index:-198400" type="#_x0000_t202" filled="false" stroked="false">
            <v:textbox inset="0,0,0,0">
              <w:txbxContent>
                <w:p>
                  <w:pPr>
                    <w:spacing w:line="280" w:lineRule="auto" w:before="0"/>
                    <w:ind w:left="20" w:right="0" w:firstLine="0"/>
                    <w:jc w:val="left"/>
                    <w:rPr>
                      <w:i/>
                      <w:sz w:val="20"/>
                    </w:rPr>
                  </w:pPr>
                  <w:r>
                    <w:rPr>
                      <w:i/>
                      <w:color w:val="231F20"/>
                      <w:sz w:val="20"/>
                    </w:rPr>
                    <w:t>The function of maximising awareness of those rights and obligations is not merely ancillary to the Authority’s other functions: it is central and fundamental. Indeed,</w:t>
                  </w:r>
                </w:p>
                <w:p>
                  <w:pPr>
                    <w:spacing w:line="280" w:lineRule="auto" w:before="2"/>
                    <w:ind w:left="20" w:right="0" w:firstLine="0"/>
                    <w:jc w:val="left"/>
                    <w:rPr>
                      <w:sz w:val="11"/>
                    </w:rPr>
                  </w:pPr>
                  <w:r>
                    <w:rPr>
                      <w:i/>
                      <w:color w:val="231F20"/>
                      <w:sz w:val="20"/>
                    </w:rPr>
                    <w:t>it seems obvious that the education function is every bit as important as the enforcement function.</w:t>
                  </w:r>
                  <w:r>
                    <w:rPr>
                      <w:color w:val="231F20"/>
                      <w:position w:val="7"/>
                      <w:sz w:val="11"/>
                    </w:rPr>
                    <w:t>85</w:t>
                  </w:r>
                </w:p>
              </w:txbxContent>
            </v:textbox>
            <w10:wrap type="none"/>
          </v:shape>
        </w:pict>
      </w:r>
      <w:r>
        <w:rPr/>
        <w:pict>
          <v:shape style="position:absolute;margin-left:89.708603pt;margin-top:636.433289pt;width:432.65pt;height:25.5pt;mso-position-horizontal-relative:page;mso-position-vertical-relative:page;z-index:-198376" type="#_x0000_t202" filled="false" stroked="false">
            <v:textbox inset="0,0,0,0">
              <w:txbxContent>
                <w:p>
                  <w:pPr>
                    <w:pStyle w:val="BodyText"/>
                    <w:spacing w:line="224" w:lineRule="exact"/>
                  </w:pPr>
                  <w:r>
                    <w:rPr>
                      <w:color w:val="58595B"/>
                    </w:rPr>
                    <w:t>Second, education and information may play a significant preventative role in the longer term,</w:t>
                  </w:r>
                </w:p>
                <w:p>
                  <w:pPr>
                    <w:pStyle w:val="BodyText"/>
                    <w:spacing w:before="40"/>
                  </w:pPr>
                  <w:r>
                    <w:rPr>
                      <w:color w:val="58595B"/>
                    </w:rPr>
                    <w:t>by encouraging best practice beyond minimal compliance and changing norms and expectations.</w:t>
                  </w:r>
                </w:p>
              </w:txbxContent>
            </v:textbox>
            <w10:wrap type="none"/>
          </v:shape>
        </w:pict>
      </w:r>
      <w:r>
        <w:rPr/>
        <w:pict>
          <v:shape style="position:absolute;margin-left:118.058601pt;margin-top:671.933289pt;width:379pt;height:66pt;mso-position-horizontal-relative:page;mso-position-vertical-relative:page;z-index:-198352" type="#_x0000_t202" filled="false" stroked="false">
            <v:textbox inset="0,0,0,0">
              <w:txbxContent>
                <w:p>
                  <w:pPr>
                    <w:spacing w:line="280" w:lineRule="auto" w:before="0"/>
                    <w:ind w:left="20" w:right="9" w:firstLine="0"/>
                    <w:jc w:val="left"/>
                    <w:rPr>
                      <w:sz w:val="20"/>
                    </w:rPr>
                  </w:pPr>
                  <w:r>
                    <w:rPr>
                      <w:i/>
                      <w:color w:val="231F20"/>
                      <w:sz w:val="20"/>
                    </w:rPr>
                    <w:t>The EPA has a wealth of information and knowledge that they should continue to provide to local governments, business and industry and the community … A more collaborative approach to dealing with environmental issues is required from the EPA this includes working with councils, key state and federal agencies. </w:t>
                  </w:r>
                  <w:r>
                    <w:rPr>
                      <w:color w:val="231F20"/>
                      <w:sz w:val="20"/>
                    </w:rPr>
                    <w:t>(Hobsons Bay City Council submission, p. 2)</w:t>
                  </w:r>
                </w:p>
              </w:txbxContent>
            </v:textbox>
            <w10:wrap type="none"/>
          </v:shape>
        </w:pict>
      </w:r>
      <w:r>
        <w:rPr/>
        <w:pict>
          <v:shape style="position:absolute;margin-left:89.708603pt;margin-top:747.933289pt;width:404.05pt;height:25.55pt;mso-position-horizontal-relative:page;mso-position-vertical-relative:page;z-index:-198328" type="#_x0000_t202" filled="false" stroked="false">
            <v:textbox inset="0,0,0,0">
              <w:txbxContent>
                <w:p>
                  <w:pPr>
                    <w:pStyle w:val="BodyText"/>
                    <w:spacing w:line="280" w:lineRule="auto"/>
                    <w:rPr>
                      <w:sz w:val="11"/>
                    </w:rPr>
                  </w:pPr>
                  <w:r>
                    <w:rPr>
                      <w:color w:val="58595B"/>
                    </w:rPr>
                    <w:t>We do not consider that these activities will create any conflict with its enforcement roles.</w:t>
                  </w:r>
                  <w:r>
                    <w:rPr>
                      <w:color w:val="58595B"/>
                      <w:position w:val="7"/>
                      <w:sz w:val="11"/>
                    </w:rPr>
                    <w:t>86 </w:t>
                  </w:r>
                  <w:r>
                    <w:rPr>
                      <w:color w:val="58595B"/>
                    </w:rPr>
                    <w:t>They are part of the regulatory continuum that makes for effective regulation.</w:t>
                  </w:r>
                  <w:r>
                    <w:rPr>
                      <w:color w:val="58595B"/>
                      <w:position w:val="7"/>
                      <w:sz w:val="11"/>
                    </w:rPr>
                    <w:t>87</w:t>
                  </w:r>
                </w:p>
              </w:txbxContent>
            </v:textbox>
            <w10:wrap type="none"/>
          </v:shape>
        </w:pict>
      </w:r>
      <w:r>
        <w:rPr/>
        <w:pict>
          <v:shape style="position:absolute;margin-left:534.996094pt;margin-top:44.090015pt;width:60.3pt;height:5.25pt;mso-position-horizontal-relative:page;mso-position-vertical-relative:page;z-index:-19830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8280"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98256" from=".0pt,45.840015pt" to="60.2791pt,45.840015pt" stroked="true" strokeweight="7pt" strokecolor="#0095a7">
            <w10:wrap type="none"/>
          </v:line>
        </w:pict>
      </w:r>
      <w:r>
        <w:rPr/>
        <w:pict>
          <v:shape style="position:absolute;margin-left:70.866005pt;margin-top:304.598999pt;width:433.7pt;height:17.9pt;mso-position-horizontal-relative:page;mso-position-vertical-relative:page;z-index:-198232" coordorigin="1417,6092" coordsize="8674,358" path="m10091,6092l5754,6092,1417,6092,1417,6450,5754,6450,10091,6450,10091,6092e" filled="true" fillcolor="#89bfcb" stroked="false">
            <v:path arrowok="t"/>
            <v:fill type="solid"/>
            <w10:wrap type="none"/>
          </v:shape>
        </w:pict>
      </w:r>
      <w:r>
        <w:rPr/>
        <w:pict>
          <v:group style="position:absolute;margin-left:70.741096pt;margin-top:453.304321pt;width:433.95pt;height:.25pt;mso-position-horizontal-relative:page;mso-position-vertical-relative:page;z-index:-198208" coordorigin="1415,9066" coordsize="8679,5">
            <v:line style="position:absolute" from="1417,9069" to="5754,9069" stroked="true" strokeweight=".25pt" strokecolor="#939598"/>
            <v:line style="position:absolute" from="5754,9069" to="10091,9069" stroked="true" strokeweight=".25pt" strokecolor="#939598"/>
            <w10:wrap type="none"/>
          </v:group>
        </w:pict>
      </w:r>
      <w:r>
        <w:rPr/>
        <w:pict>
          <v:group style="position:absolute;margin-left:70.741096pt;margin-top:568.037598pt;width:433.95pt;height:.25pt;mso-position-horizontal-relative:page;mso-position-vertical-relative:page;z-index:-198184" coordorigin="1415,11361" coordsize="8679,5">
            <v:line style="position:absolute" from="1417,11363" to="5754,11363" stroked="true" strokeweight=".25pt" strokecolor="#939598"/>
            <v:line style="position:absolute" from="5754,11363" to="10091,11363" stroked="true" strokeweight=".25pt" strokecolor="#939598"/>
            <w10:wrap type="none"/>
          </v:group>
        </w:pict>
      </w:r>
      <w:r>
        <w:rPr/>
        <w:pict>
          <v:group style="position:absolute;margin-left:70.741096pt;margin-top:630.267029pt;width:433.95pt;height:.25pt;mso-position-horizontal-relative:page;mso-position-vertical-relative:page;z-index:-198160" coordorigin="1415,12605" coordsize="8679,5">
            <v:line style="position:absolute" from="1417,12608" to="5754,12608" stroked="true" strokeweight=".25pt" strokecolor="#939598"/>
            <v:line style="position:absolute" from="5754,12608" to="10091,12608" stroked="true" strokeweight=".25pt" strokecolor="#939598"/>
            <w10:wrap type="none"/>
          </v:group>
        </w:pict>
      </w:r>
      <w:r>
        <w:rPr/>
        <w:pict>
          <v:shape style="position:absolute;margin-left:69.866096pt;margin-top:40.902756pt;width:14.5pt;height:9.5pt;mso-position-horizontal-relative:page;mso-position-vertical-relative:page;z-index:-198136" type="#_x0000_t202" filled="false" stroked="false">
            <v:textbox inset="0,0,0,0">
              <w:txbxContent>
                <w:p>
                  <w:pPr>
                    <w:spacing w:before="1"/>
                    <w:ind w:left="20" w:right="-1" w:firstLine="0"/>
                    <w:jc w:val="left"/>
                    <w:rPr>
                      <w:sz w:val="15"/>
                    </w:rPr>
                  </w:pPr>
                  <w:r>
                    <w:rPr>
                      <w:color w:val="58595B"/>
                      <w:sz w:val="15"/>
                    </w:rPr>
                    <w:t>102</w:t>
                  </w:r>
                </w:p>
              </w:txbxContent>
            </v:textbox>
            <w10:wrap type="none"/>
          </v:shape>
        </w:pict>
      </w:r>
      <w:r>
        <w:rPr/>
        <w:pict>
          <v:shape style="position:absolute;margin-left:95.377899pt;margin-top:40.902756pt;width:147.75pt;height:9.5pt;mso-position-horizontal-relative:page;mso-position-vertical-relative:page;z-index:-19811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18.7pt;height:66pt;mso-position-horizontal-relative:page;mso-position-vertical-relative:page;z-index:-198088" type="#_x0000_t202" filled="false" stroked="false">
            <v:textbox inset="0,0,0,0">
              <w:txbxContent>
                <w:p>
                  <w:pPr>
                    <w:pStyle w:val="BodyText"/>
                    <w:spacing w:line="280" w:lineRule="auto"/>
                    <w:ind w:right="17"/>
                    <w:rPr>
                      <w:sz w:val="11"/>
                    </w:rPr>
                  </w:pPr>
                  <w:r>
                    <w:rPr>
                      <w:color w:val="58595B"/>
                    </w:rPr>
                    <w:t>We consider the EPA may form partnerships with duty holders to improve performance. However, we consider it inappropriate for it to run grant programs because of the potential for conflict of interest (that is, providing grants to those it regulates for compliance, and potentially takes enforcement action against). OECD governance principles agree that this function is not appropriate for a regulator.</w:t>
                  </w:r>
                  <w:r>
                    <w:rPr>
                      <w:color w:val="58595B"/>
                      <w:position w:val="7"/>
                      <w:sz w:val="11"/>
                    </w:rPr>
                    <w:t>88</w:t>
                  </w:r>
                </w:p>
              </w:txbxContent>
            </v:textbox>
            <w10:wrap type="none"/>
          </v:shape>
        </w:pict>
      </w:r>
      <w:r>
        <w:rPr/>
        <w:pict>
          <v:shape style="position:absolute;margin-left:69.866096pt;margin-top:181.897873pt;width:433.85pt;height:66pt;mso-position-horizontal-relative:page;mso-position-vertical-relative:page;z-index:-198064" type="#_x0000_t202" filled="false" stroked="false">
            <v:textbox inset="0,0,0,0">
              <w:txbxContent>
                <w:p>
                  <w:pPr>
                    <w:pStyle w:val="BodyText"/>
                    <w:spacing w:line="280" w:lineRule="auto"/>
                    <w:ind w:right="17"/>
                  </w:pPr>
                  <w:r>
                    <w:rPr>
                      <w:color w:val="58595B"/>
                    </w:rPr>
                    <w:t>We consider it appropriate that Sustainability Victoria leads community education activities about waste (particularly minimising waste and using resources sustainably), given its broad mandate for environmental sustainability. Such ‘upstream’ interventions may also create additional benefits ‘downstream’, by reducing waste and pollution. So, these two agencies will need to cooperate</w:t>
                  </w:r>
                </w:p>
                <w:p>
                  <w:pPr>
                    <w:pStyle w:val="BodyText"/>
                    <w:spacing w:before="2"/>
                    <w:ind w:right="17"/>
                  </w:pPr>
                  <w:r>
                    <w:rPr>
                      <w:color w:val="58595B"/>
                    </w:rPr>
                    <w:t>on many environmental problems and solutions.</w:t>
                  </w:r>
                </w:p>
              </w:txbxContent>
            </v:textbox>
            <w10:wrap type="none"/>
          </v:shape>
        </w:pict>
      </w:r>
      <w:r>
        <w:rPr/>
        <w:pict>
          <v:shape style="position:absolute;margin-left:69.866096pt;margin-top:257.897858pt;width:410.25pt;height:12pt;mso-position-horizontal-relative:page;mso-position-vertical-relative:page;z-index:-198040" type="#_x0000_t202" filled="false" stroked="false">
            <v:textbox inset="0,0,0,0">
              <w:txbxContent>
                <w:p>
                  <w:pPr>
                    <w:pStyle w:val="BodyText"/>
                    <w:spacing w:line="224" w:lineRule="exact"/>
                  </w:pPr>
                  <w:r>
                    <w:rPr>
                      <w:color w:val="58595B"/>
                    </w:rPr>
                    <w:t>Figure 5.2 describes the respective roles of the EPA and Sustainability Victoria in the future.</w:t>
                  </w:r>
                </w:p>
              </w:txbxContent>
            </v:textbox>
            <w10:wrap type="none"/>
          </v:shape>
        </w:pict>
      </w:r>
      <w:r>
        <w:rPr/>
        <w:pict>
          <v:shape style="position:absolute;margin-left:69.866096pt;margin-top:281.317871pt;width:389.05pt;height:12pt;mso-position-horizontal-relative:page;mso-position-vertical-relative:page;z-index:-198016" type="#_x0000_t202" filled="false" stroked="false">
            <v:textbox inset="0,0,0,0">
              <w:txbxContent>
                <w:p>
                  <w:pPr>
                    <w:pStyle w:val="BodyText"/>
                    <w:spacing w:line="224" w:lineRule="exact"/>
                    <w:ind w:right="-19"/>
                  </w:pPr>
                  <w:r>
                    <w:rPr>
                      <w:b/>
                      <w:color w:val="0095A7"/>
                    </w:rPr>
                    <w:t>FIGURE 5.2 </w:t>
                  </w:r>
                  <w:r>
                    <w:rPr>
                      <w:color w:val="0095A7"/>
                    </w:rPr>
                    <w:t>PROPOSED </w:t>
                  </w:r>
                  <w:r>
                    <w:rPr>
                      <w:color w:val="0095A7"/>
                      <w:spacing w:val="-3"/>
                    </w:rPr>
                    <w:t>ACTIVITIES </w:t>
                  </w:r>
                  <w:r>
                    <w:rPr>
                      <w:color w:val="0095A7"/>
                    </w:rPr>
                    <w:t>OF THE </w:t>
                  </w:r>
                  <w:r>
                    <w:rPr>
                      <w:color w:val="0095A7"/>
                      <w:spacing w:val="-5"/>
                    </w:rPr>
                    <w:t>EPA </w:t>
                  </w:r>
                  <w:r>
                    <w:rPr>
                      <w:color w:val="0095A7"/>
                    </w:rPr>
                    <w:t>AND SUSTAINABILITY VICTORIA</w:t>
                  </w:r>
                </w:p>
              </w:txbxContent>
            </v:textbox>
            <w10:wrap type="none"/>
          </v:shape>
        </w:pict>
      </w:r>
      <w:r>
        <w:rPr/>
        <w:pict>
          <v:shape style="position:absolute;margin-left:72.709801pt;margin-top:329.129181pt;width:205.35pt;height:93.7pt;mso-position-horizontal-relative:page;mso-position-vertical-relative:page;z-index:-197992" type="#_x0000_t202" filled="false" stroked="false">
            <v:textbox inset="0,0,0,0">
              <w:txbxContent>
                <w:p>
                  <w:pPr>
                    <w:spacing w:line="204" w:lineRule="exact" w:before="0"/>
                    <w:ind w:left="20" w:right="0" w:firstLine="0"/>
                    <w:jc w:val="left"/>
                    <w:rPr>
                      <w:sz w:val="18"/>
                    </w:rPr>
                  </w:pPr>
                  <w:r>
                    <w:rPr>
                      <w:color w:val="58595B"/>
                      <w:sz w:val="18"/>
                    </w:rPr>
                    <w:t>Education</w:t>
                  </w:r>
                </w:p>
                <w:p>
                  <w:pPr>
                    <w:pStyle w:val="ListParagraph"/>
                    <w:numPr>
                      <w:ilvl w:val="0"/>
                      <w:numId w:val="32"/>
                    </w:numPr>
                    <w:tabs>
                      <w:tab w:pos="247" w:val="left" w:leader="none"/>
                    </w:tabs>
                    <w:spacing w:line="254" w:lineRule="auto" w:before="69" w:after="0"/>
                    <w:ind w:left="246" w:right="17" w:hanging="226"/>
                    <w:jc w:val="left"/>
                    <w:rPr>
                      <w:sz w:val="18"/>
                    </w:rPr>
                  </w:pPr>
                  <w:r>
                    <w:rPr>
                      <w:color w:val="58595B"/>
                      <w:sz w:val="18"/>
                    </w:rPr>
                    <w:t>Broad community education on waste reduction and management, including raising awareness and encouraging behaviour change</w:t>
                  </w:r>
                  <w:r>
                    <w:rPr>
                      <w:color w:val="58595B"/>
                      <w:spacing w:val="22"/>
                      <w:sz w:val="18"/>
                    </w:rPr>
                    <w:t> </w:t>
                  </w:r>
                  <w:r>
                    <w:rPr>
                      <w:color w:val="58595B"/>
                      <w:sz w:val="18"/>
                    </w:rPr>
                    <w:t>relating</w:t>
                  </w:r>
                </w:p>
                <w:p>
                  <w:pPr>
                    <w:spacing w:before="1"/>
                    <w:ind w:left="246" w:right="0" w:firstLine="0"/>
                    <w:jc w:val="left"/>
                    <w:rPr>
                      <w:sz w:val="18"/>
                    </w:rPr>
                  </w:pPr>
                  <w:r>
                    <w:rPr>
                      <w:color w:val="58595B"/>
                      <w:sz w:val="18"/>
                    </w:rPr>
                    <w:t>to pollution and waste</w:t>
                  </w:r>
                </w:p>
                <w:p>
                  <w:pPr>
                    <w:pStyle w:val="ListParagraph"/>
                    <w:numPr>
                      <w:ilvl w:val="0"/>
                      <w:numId w:val="32"/>
                    </w:numPr>
                    <w:tabs>
                      <w:tab w:pos="247" w:val="left" w:leader="none"/>
                    </w:tabs>
                    <w:spacing w:line="254" w:lineRule="auto" w:before="69" w:after="0"/>
                    <w:ind w:left="246" w:right="36" w:hanging="226"/>
                    <w:jc w:val="both"/>
                    <w:rPr>
                      <w:sz w:val="18"/>
                    </w:rPr>
                  </w:pPr>
                  <w:r>
                    <w:rPr>
                      <w:color w:val="58595B"/>
                      <w:sz w:val="18"/>
                    </w:rPr>
                    <w:t>Across broader environmental objectives, such as sustainable development (which may reduce downstream pollution and waste</w:t>
                  </w:r>
                  <w:r>
                    <w:rPr>
                      <w:color w:val="58595B"/>
                      <w:spacing w:val="5"/>
                      <w:sz w:val="18"/>
                    </w:rPr>
                    <w:t> </w:t>
                  </w:r>
                  <w:r>
                    <w:rPr>
                      <w:color w:val="58595B"/>
                      <w:sz w:val="18"/>
                    </w:rPr>
                    <w:t>impacts)</w:t>
                  </w:r>
                </w:p>
              </w:txbxContent>
            </v:textbox>
            <w10:wrap type="none"/>
          </v:shape>
        </w:pict>
      </w:r>
      <w:r>
        <w:rPr/>
        <w:pict>
          <v:shape style="position:absolute;margin-left:289.564789pt;margin-top:329.120178pt;width:42.5pt;height:11pt;mso-position-horizontal-relative:page;mso-position-vertical-relative:page;z-index:-197968" type="#_x0000_t202" filled="false" stroked="false">
            <v:textbox inset="0,0,0,0">
              <w:txbxContent>
                <w:p>
                  <w:pPr>
                    <w:spacing w:line="204" w:lineRule="exact" w:before="0"/>
                    <w:ind w:left="20" w:right="0" w:firstLine="0"/>
                    <w:jc w:val="left"/>
                    <w:rPr>
                      <w:sz w:val="18"/>
                    </w:rPr>
                  </w:pPr>
                  <w:r>
                    <w:rPr>
                      <w:color w:val="58595B"/>
                      <w:sz w:val="18"/>
                    </w:rPr>
                    <w:t>Education</w:t>
                  </w:r>
                </w:p>
              </w:txbxContent>
            </v:textbox>
            <w10:wrap type="none"/>
          </v:shape>
        </w:pict>
      </w:r>
      <w:r>
        <w:rPr/>
        <w:pict>
          <v:shape style="position:absolute;margin-left:289.564789pt;margin-top:342.953186pt;width:5.15pt;height:11pt;mso-position-horizontal-relative:page;mso-position-vertical-relative:page;z-index:-197944" type="#_x0000_t202" filled="false" stroked="false">
            <v:textbox inset="0,0,0,0">
              <w:txbxContent>
                <w:p>
                  <w:pPr>
                    <w:spacing w:line="204" w:lineRule="exact" w:before="0"/>
                    <w:ind w:left="20" w:right="0" w:firstLine="0"/>
                    <w:jc w:val="left"/>
                    <w:rPr>
                      <w:sz w:val="18"/>
                    </w:rPr>
                  </w:pPr>
                  <w:r>
                    <w:rPr>
                      <w:color w:val="58595B"/>
                      <w:sz w:val="18"/>
                    </w:rPr>
                    <w:t>•</w:t>
                  </w:r>
                </w:p>
              </w:txbxContent>
            </v:textbox>
            <w10:wrap type="none"/>
          </v:shape>
        </w:pict>
      </w:r>
      <w:r>
        <w:rPr/>
        <w:pict>
          <v:shape style="position:absolute;margin-left:300.904785pt;margin-top:342.953186pt;width:197.9pt;height:104.7pt;mso-position-horizontal-relative:page;mso-position-vertical-relative:page;z-index:-197920" type="#_x0000_t202" filled="false" stroked="false">
            <v:textbox inset="0,0,0,0">
              <w:txbxContent>
                <w:p>
                  <w:pPr>
                    <w:spacing w:line="254" w:lineRule="auto" w:before="0"/>
                    <w:ind w:left="20" w:right="0" w:firstLine="0"/>
                    <w:jc w:val="left"/>
                    <w:rPr>
                      <w:sz w:val="18"/>
                    </w:rPr>
                  </w:pPr>
                  <w:r>
                    <w:rPr>
                      <w:color w:val="58595B"/>
                      <w:sz w:val="18"/>
                    </w:rPr>
                    <w:t>Targeted education and information to support compliance with pollution and waste controls – with enhanced requirements under the proposed general duty</w:t>
                  </w:r>
                </w:p>
                <w:p>
                  <w:pPr>
                    <w:spacing w:line="254" w:lineRule="auto" w:before="57"/>
                    <w:ind w:left="20" w:right="0" w:firstLine="0"/>
                    <w:jc w:val="left"/>
                    <w:rPr>
                      <w:sz w:val="18"/>
                    </w:rPr>
                  </w:pPr>
                  <w:r>
                    <w:rPr>
                      <w:color w:val="58595B"/>
                      <w:sz w:val="18"/>
                    </w:rPr>
                    <w:t>Initiatives do not confer direct financial benefits but can lead to reduced costs by adopting</w:t>
                  </w:r>
                </w:p>
                <w:p>
                  <w:pPr>
                    <w:spacing w:before="1"/>
                    <w:ind w:left="20" w:right="0" w:firstLine="0"/>
                    <w:jc w:val="left"/>
                    <w:rPr>
                      <w:sz w:val="18"/>
                    </w:rPr>
                  </w:pPr>
                  <w:r>
                    <w:rPr>
                      <w:color w:val="58595B"/>
                      <w:sz w:val="18"/>
                    </w:rPr>
                    <w:t>best practice</w:t>
                  </w:r>
                </w:p>
                <w:p>
                  <w:pPr>
                    <w:spacing w:line="254" w:lineRule="auto" w:before="69"/>
                    <w:ind w:left="20" w:right="0" w:firstLine="0"/>
                    <w:jc w:val="left"/>
                    <w:rPr>
                      <w:sz w:val="18"/>
                    </w:rPr>
                  </w:pPr>
                  <w:r>
                    <w:rPr>
                      <w:color w:val="58595B"/>
                      <w:sz w:val="18"/>
                    </w:rPr>
                    <w:t>Initially focused on, but not limited to, achieving compliance standards</w:t>
                  </w:r>
                </w:p>
              </w:txbxContent>
            </v:textbox>
            <w10:wrap type="none"/>
          </v:shape>
        </w:pict>
      </w:r>
      <w:r>
        <w:rPr/>
        <w:pict>
          <v:shape style="position:absolute;margin-left:289.573792pt;margin-top:389.780182pt;width:5.15pt;height:11pt;mso-position-horizontal-relative:page;mso-position-vertical-relative:page;z-index:-197896" type="#_x0000_t202" filled="false" stroked="false">
            <v:textbox inset="0,0,0,0">
              <w:txbxContent>
                <w:p>
                  <w:pPr>
                    <w:spacing w:line="204" w:lineRule="exact" w:before="0"/>
                    <w:ind w:left="20" w:right="0" w:firstLine="0"/>
                    <w:jc w:val="left"/>
                    <w:rPr>
                      <w:sz w:val="18"/>
                    </w:rPr>
                  </w:pPr>
                  <w:r>
                    <w:rPr>
                      <w:color w:val="58595B"/>
                      <w:sz w:val="18"/>
                    </w:rPr>
                    <w:t>•</w:t>
                  </w:r>
                </w:p>
              </w:txbxContent>
            </v:textbox>
            <w10:wrap type="none"/>
          </v:shape>
        </w:pict>
      </w:r>
      <w:r>
        <w:rPr/>
        <w:pict>
          <v:shape style="position:absolute;margin-left:289.573792pt;margin-top:425.609192pt;width:5.15pt;height:11pt;mso-position-horizontal-relative:page;mso-position-vertical-relative:page;z-index:-197872" type="#_x0000_t202" filled="false" stroked="false">
            <v:textbox inset="0,0,0,0">
              <w:txbxContent>
                <w:p>
                  <w:pPr>
                    <w:spacing w:line="204" w:lineRule="exact" w:before="0"/>
                    <w:ind w:left="20" w:right="0" w:firstLine="0"/>
                    <w:jc w:val="left"/>
                    <w:rPr>
                      <w:sz w:val="18"/>
                    </w:rPr>
                  </w:pPr>
                  <w:r>
                    <w:rPr>
                      <w:color w:val="58595B"/>
                      <w:sz w:val="18"/>
                    </w:rPr>
                    <w:t>•</w:t>
                  </w:r>
                </w:p>
              </w:txbxContent>
            </v:textbox>
            <w10:wrap type="none"/>
          </v:shape>
        </w:pict>
      </w:r>
      <w:r>
        <w:rPr/>
        <w:pict>
          <v:shape style="position:absolute;margin-left:72.727798pt;margin-top:460.169189pt;width:29.35pt;height:11pt;mso-position-horizontal-relative:page;mso-position-vertical-relative:page;z-index:-197848" type="#_x0000_t202" filled="false" stroked="false">
            <v:textbox inset="0,0,0,0">
              <w:txbxContent>
                <w:p>
                  <w:pPr>
                    <w:spacing w:line="204" w:lineRule="exact" w:before="0"/>
                    <w:ind w:left="20" w:right="0" w:firstLine="0"/>
                    <w:jc w:val="left"/>
                    <w:rPr>
                      <w:sz w:val="18"/>
                    </w:rPr>
                  </w:pPr>
                  <w:r>
                    <w:rPr>
                      <w:color w:val="58595B"/>
                      <w:sz w:val="18"/>
                    </w:rPr>
                    <w:t>Grants</w:t>
                  </w:r>
                </w:p>
              </w:txbxContent>
            </v:textbox>
            <w10:wrap type="none"/>
          </v:shape>
        </w:pict>
      </w:r>
      <w:r>
        <w:rPr/>
        <w:pict>
          <v:shape style="position:absolute;margin-left:289.582794pt;margin-top:460.160187pt;width:187.45pt;height:24.85pt;mso-position-horizontal-relative:page;mso-position-vertical-relative:page;z-index:-197824" type="#_x0000_t202" filled="false" stroked="false">
            <v:textbox inset="0,0,0,0">
              <w:txbxContent>
                <w:p>
                  <w:pPr>
                    <w:spacing w:line="204" w:lineRule="exact" w:before="0"/>
                    <w:ind w:left="20" w:right="0" w:firstLine="0"/>
                    <w:jc w:val="left"/>
                    <w:rPr>
                      <w:sz w:val="18"/>
                    </w:rPr>
                  </w:pPr>
                  <w:r>
                    <w:rPr>
                      <w:color w:val="58595B"/>
                      <w:sz w:val="18"/>
                    </w:rPr>
                    <w:t>Partnerships/collaboration with industry</w:t>
                  </w:r>
                </w:p>
                <w:p>
                  <w:pPr>
                    <w:pStyle w:val="ListParagraph"/>
                    <w:numPr>
                      <w:ilvl w:val="0"/>
                      <w:numId w:val="33"/>
                    </w:numPr>
                    <w:tabs>
                      <w:tab w:pos="247" w:val="left" w:leader="none"/>
                    </w:tabs>
                    <w:spacing w:line="240" w:lineRule="auto" w:before="69" w:after="0"/>
                    <w:ind w:left="246" w:right="0" w:hanging="226"/>
                    <w:jc w:val="left"/>
                    <w:rPr>
                      <w:sz w:val="18"/>
                    </w:rPr>
                  </w:pPr>
                  <w:r>
                    <w:rPr>
                      <w:color w:val="58595B"/>
                      <w:sz w:val="18"/>
                    </w:rPr>
                    <w:t>Support and advise industry as</w:t>
                  </w:r>
                  <w:r>
                    <w:rPr>
                      <w:color w:val="58595B"/>
                      <w:spacing w:val="31"/>
                      <w:sz w:val="18"/>
                    </w:rPr>
                    <w:t> </w:t>
                  </w:r>
                  <w:r>
                    <w:rPr>
                      <w:color w:val="58595B"/>
                      <w:sz w:val="18"/>
                    </w:rPr>
                    <w:t>appropriate</w:t>
                  </w:r>
                </w:p>
              </w:txbxContent>
            </v:textbox>
            <w10:wrap type="none"/>
          </v:shape>
        </w:pict>
      </w:r>
      <w:r>
        <w:rPr/>
        <w:pict>
          <v:shape style="position:absolute;margin-left:72.727798pt;margin-top:474.002197pt;width:5.15pt;height:52.5pt;mso-position-horizontal-relative:page;mso-position-vertical-relative:page;z-index:-197800" type="#_x0000_t202" filled="false" stroked="false">
            <v:textbox inset="0,0,0,0">
              <w:txbxContent>
                <w:p>
                  <w:pPr>
                    <w:spacing w:line="204" w:lineRule="exact" w:before="0"/>
                    <w:ind w:left="20" w:right="0" w:firstLine="0"/>
                    <w:jc w:val="left"/>
                    <w:rPr>
                      <w:sz w:val="18"/>
                    </w:rPr>
                  </w:pPr>
                  <w:r>
                    <w:rPr>
                      <w:color w:val="58595B"/>
                      <w:sz w:val="18"/>
                    </w:rPr>
                    <w:t>•</w:t>
                  </w:r>
                </w:p>
                <w:p>
                  <w:pPr>
                    <w:spacing w:before="69"/>
                    <w:ind w:left="20" w:right="0" w:firstLine="0"/>
                    <w:jc w:val="left"/>
                    <w:rPr>
                      <w:sz w:val="18"/>
                    </w:rPr>
                  </w:pPr>
                  <w:r>
                    <w:rPr>
                      <w:color w:val="58595B"/>
                      <w:sz w:val="18"/>
                    </w:rPr>
                    <w:t>•</w:t>
                  </w:r>
                </w:p>
                <w:p>
                  <w:pPr>
                    <w:spacing w:before="69"/>
                    <w:ind w:left="20" w:right="0" w:firstLine="0"/>
                    <w:jc w:val="left"/>
                    <w:rPr>
                      <w:sz w:val="18"/>
                    </w:rPr>
                  </w:pPr>
                  <w:r>
                    <w:rPr>
                      <w:color w:val="58595B"/>
                      <w:sz w:val="18"/>
                    </w:rPr>
                    <w:t>•</w:t>
                  </w:r>
                </w:p>
                <w:p>
                  <w:pPr>
                    <w:spacing w:before="69"/>
                    <w:ind w:left="20" w:right="0" w:firstLine="0"/>
                    <w:jc w:val="left"/>
                    <w:rPr>
                      <w:sz w:val="18"/>
                    </w:rPr>
                  </w:pPr>
                  <w:r>
                    <w:rPr>
                      <w:color w:val="58595B"/>
                      <w:sz w:val="18"/>
                    </w:rPr>
                    <w:t>•</w:t>
                  </w:r>
                </w:p>
              </w:txbxContent>
            </v:textbox>
            <w10:wrap type="none"/>
          </v:shape>
        </w:pict>
      </w:r>
      <w:r>
        <w:rPr/>
        <w:pict>
          <v:shape style="position:absolute;margin-left:84.067802pt;margin-top:474.002197pt;width:161.7pt;height:88.35pt;mso-position-horizontal-relative:page;mso-position-vertical-relative:page;z-index:-197776" type="#_x0000_t202" filled="false" stroked="false">
            <v:textbox inset="0,0,0,0">
              <w:txbxContent>
                <w:p>
                  <w:pPr>
                    <w:spacing w:line="321" w:lineRule="auto" w:before="0"/>
                    <w:ind w:left="20" w:right="362" w:firstLine="0"/>
                    <w:jc w:val="left"/>
                    <w:rPr>
                      <w:sz w:val="18"/>
                    </w:rPr>
                  </w:pPr>
                  <w:r>
                    <w:rPr>
                      <w:color w:val="58595B"/>
                      <w:sz w:val="18"/>
                    </w:rPr>
                    <w:t>Invests in market development Picks ‘winners’ to act as exemplars</w:t>
                  </w:r>
                </w:p>
                <w:p>
                  <w:pPr>
                    <w:spacing w:before="1"/>
                    <w:ind w:left="20" w:right="0" w:firstLine="0"/>
                    <w:jc w:val="left"/>
                    <w:rPr>
                      <w:sz w:val="18"/>
                    </w:rPr>
                  </w:pPr>
                  <w:r>
                    <w:rPr>
                      <w:color w:val="58595B"/>
                      <w:sz w:val="18"/>
                    </w:rPr>
                    <w:t>Achieves outcomes beyond compliance</w:t>
                  </w:r>
                </w:p>
                <w:p>
                  <w:pPr>
                    <w:spacing w:line="254" w:lineRule="auto" w:before="69"/>
                    <w:ind w:left="20" w:right="362" w:firstLine="0"/>
                    <w:jc w:val="left"/>
                    <w:rPr>
                      <w:sz w:val="18"/>
                    </w:rPr>
                  </w:pPr>
                  <w:r>
                    <w:rPr>
                      <w:color w:val="58595B"/>
                      <w:sz w:val="18"/>
                    </w:rPr>
                    <w:t>Across other environmental sustainability objectives</w:t>
                  </w:r>
                </w:p>
                <w:p>
                  <w:pPr>
                    <w:spacing w:line="254" w:lineRule="auto" w:before="57"/>
                    <w:ind w:left="20" w:right="0" w:firstLine="0"/>
                    <w:jc w:val="left"/>
                    <w:rPr>
                      <w:sz w:val="18"/>
                    </w:rPr>
                  </w:pPr>
                  <w:r>
                    <w:rPr>
                      <w:color w:val="58595B"/>
                      <w:sz w:val="18"/>
                    </w:rPr>
                    <w:t>Seeks voluntary improvements beyond compliance standards</w:t>
                  </w:r>
                </w:p>
              </w:txbxContent>
            </v:textbox>
            <w10:wrap type="none"/>
          </v:shape>
        </w:pict>
      </w:r>
      <w:r>
        <w:rPr/>
        <w:pict>
          <v:shape style="position:absolute;margin-left:72.727798pt;margin-top:540.332153pt;width:5.15pt;height:11pt;mso-position-horizontal-relative:page;mso-position-vertical-relative:page;z-index:-197752" type="#_x0000_t202" filled="false" stroked="false">
            <v:textbox inset="0,0,0,0">
              <w:txbxContent>
                <w:p>
                  <w:pPr>
                    <w:spacing w:line="204" w:lineRule="exact" w:before="0"/>
                    <w:ind w:left="20" w:right="0" w:firstLine="0"/>
                    <w:jc w:val="left"/>
                    <w:rPr>
                      <w:sz w:val="18"/>
                    </w:rPr>
                  </w:pPr>
                  <w:r>
                    <w:rPr>
                      <w:color w:val="58595B"/>
                      <w:sz w:val="18"/>
                    </w:rPr>
                    <w:t>•</w:t>
                  </w:r>
                </w:p>
              </w:txbxContent>
            </v:textbox>
            <w10:wrap type="none"/>
          </v:shape>
        </w:pict>
      </w:r>
      <w:r>
        <w:rPr/>
        <w:pict>
          <v:shape style="position:absolute;margin-left:72.736801pt;margin-top:574.892212pt;width:213.15pt;height:46.85pt;mso-position-horizontal-relative:page;mso-position-vertical-relative:page;z-index:-197728" type="#_x0000_t202" filled="false" stroked="false">
            <v:textbox inset="0,0,0,0">
              <w:txbxContent>
                <w:p>
                  <w:pPr>
                    <w:spacing w:line="204" w:lineRule="exact" w:before="0"/>
                    <w:ind w:left="20" w:right="0" w:firstLine="0"/>
                    <w:jc w:val="left"/>
                    <w:rPr>
                      <w:sz w:val="18"/>
                    </w:rPr>
                  </w:pPr>
                  <w:r>
                    <w:rPr>
                      <w:color w:val="58595B"/>
                      <w:sz w:val="18"/>
                    </w:rPr>
                    <w:t>Strategic</w:t>
                  </w:r>
                </w:p>
                <w:p>
                  <w:pPr>
                    <w:pStyle w:val="ListParagraph"/>
                    <w:numPr>
                      <w:ilvl w:val="0"/>
                      <w:numId w:val="34"/>
                    </w:numPr>
                    <w:tabs>
                      <w:tab w:pos="247" w:val="left" w:leader="none"/>
                    </w:tabs>
                    <w:spacing w:line="254" w:lineRule="auto" w:before="69" w:after="0"/>
                    <w:ind w:left="246" w:right="165" w:hanging="226"/>
                    <w:jc w:val="left"/>
                    <w:rPr>
                      <w:sz w:val="18"/>
                    </w:rPr>
                  </w:pPr>
                  <w:r>
                    <w:rPr>
                      <w:color w:val="58595B"/>
                      <w:sz w:val="18"/>
                    </w:rPr>
                    <w:t>Waste planning through the Statewide Waste and Resource Recovery Infrastructure Plan</w:t>
                  </w:r>
                  <w:r>
                    <w:rPr>
                      <w:color w:val="58595B"/>
                      <w:spacing w:val="28"/>
                      <w:sz w:val="18"/>
                    </w:rPr>
                    <w:t> </w:t>
                  </w:r>
                  <w:r>
                    <w:rPr>
                      <w:color w:val="58595B"/>
                      <w:sz w:val="18"/>
                    </w:rPr>
                    <w:t>and</w:t>
                  </w:r>
                </w:p>
                <w:p>
                  <w:pPr>
                    <w:spacing w:before="1"/>
                    <w:ind w:left="246" w:right="0" w:firstLine="0"/>
                    <w:jc w:val="left"/>
                    <w:rPr>
                      <w:sz w:val="18"/>
                    </w:rPr>
                  </w:pPr>
                  <w:r>
                    <w:rPr>
                      <w:color w:val="58595B"/>
                      <w:sz w:val="18"/>
                    </w:rPr>
                    <w:t>working with waste and resource recovery groups</w:t>
                  </w:r>
                </w:p>
              </w:txbxContent>
            </v:textbox>
            <w10:wrap type="none"/>
          </v:shape>
        </w:pict>
      </w:r>
      <w:r>
        <w:rPr/>
        <w:pict>
          <v:shape style="position:absolute;margin-left:289.591797pt;margin-top:574.883179pt;width:37.950pt;height:11pt;mso-position-horizontal-relative:page;mso-position-vertical-relative:page;z-index:-197704" type="#_x0000_t202" filled="false" stroked="false">
            <v:textbox inset="0,0,0,0">
              <w:txbxContent>
                <w:p>
                  <w:pPr>
                    <w:spacing w:line="204" w:lineRule="exact" w:before="0"/>
                    <w:ind w:left="20" w:right="0" w:firstLine="0"/>
                    <w:jc w:val="left"/>
                    <w:rPr>
                      <w:sz w:val="18"/>
                    </w:rPr>
                  </w:pPr>
                  <w:r>
                    <w:rPr>
                      <w:color w:val="58595B"/>
                      <w:sz w:val="18"/>
                    </w:rPr>
                    <w:t>Strategic</w:t>
                  </w:r>
                </w:p>
              </w:txbxContent>
            </v:textbox>
            <w10:wrap type="none"/>
          </v:shape>
        </w:pict>
      </w:r>
      <w:r>
        <w:rPr/>
        <w:pict>
          <v:shape style="position:absolute;margin-left:289.591797pt;margin-top:588.716187pt;width:5.15pt;height:24.85pt;mso-position-horizontal-relative:page;mso-position-vertical-relative:page;z-index:-197680" type="#_x0000_t202" filled="false" stroked="false">
            <v:textbox inset="0,0,0,0">
              <w:txbxContent>
                <w:p>
                  <w:pPr>
                    <w:spacing w:line="204" w:lineRule="exact" w:before="0"/>
                    <w:ind w:left="20" w:right="0" w:firstLine="0"/>
                    <w:jc w:val="left"/>
                    <w:rPr>
                      <w:sz w:val="18"/>
                    </w:rPr>
                  </w:pPr>
                  <w:r>
                    <w:rPr>
                      <w:color w:val="58595B"/>
                      <w:sz w:val="18"/>
                    </w:rPr>
                    <w:t>•</w:t>
                  </w:r>
                </w:p>
                <w:p>
                  <w:pPr>
                    <w:spacing w:before="69"/>
                    <w:ind w:left="20" w:right="0" w:firstLine="0"/>
                    <w:jc w:val="left"/>
                    <w:rPr>
                      <w:sz w:val="18"/>
                    </w:rPr>
                  </w:pPr>
                  <w:r>
                    <w:rPr>
                      <w:color w:val="58595B"/>
                      <w:sz w:val="18"/>
                    </w:rPr>
                    <w:t>•</w:t>
                  </w:r>
                </w:p>
              </w:txbxContent>
            </v:textbox>
            <w10:wrap type="none"/>
          </v:shape>
        </w:pict>
      </w:r>
      <w:r>
        <w:rPr/>
        <w:pict>
          <v:shape style="position:absolute;margin-left:300.931793pt;margin-top:588.716187pt;width:120.3pt;height:35.85pt;mso-position-horizontal-relative:page;mso-position-vertical-relative:page;z-index:-197656" type="#_x0000_t202" filled="false" stroked="false">
            <v:textbox inset="0,0,0,0">
              <w:txbxContent>
                <w:p>
                  <w:pPr>
                    <w:spacing w:line="204" w:lineRule="exact" w:before="0"/>
                    <w:ind w:left="20" w:right="0" w:firstLine="0"/>
                    <w:jc w:val="left"/>
                    <w:rPr>
                      <w:sz w:val="18"/>
                    </w:rPr>
                  </w:pPr>
                  <w:r>
                    <w:rPr>
                      <w:color w:val="58595B"/>
                      <w:sz w:val="18"/>
                    </w:rPr>
                    <w:t>Developing standards</w:t>
                  </w:r>
                </w:p>
                <w:p>
                  <w:pPr>
                    <w:spacing w:line="254" w:lineRule="auto" w:before="69"/>
                    <w:ind w:left="20" w:right="0" w:firstLine="0"/>
                    <w:jc w:val="left"/>
                    <w:rPr>
                      <w:sz w:val="18"/>
                    </w:rPr>
                  </w:pPr>
                  <w:r>
                    <w:rPr>
                      <w:color w:val="58595B"/>
                      <w:sz w:val="18"/>
                    </w:rPr>
                    <w:t>Supporting role on policy and legislative development</w:t>
                  </w:r>
                </w:p>
              </w:txbxContent>
            </v:textbox>
            <w10:wrap type="none"/>
          </v:shape>
        </w:pict>
      </w:r>
      <w:r>
        <w:rPr/>
        <w:pict>
          <v:shape style="position:absolute;margin-left:70.865997pt;margin-top:304.599030pt;width:433.7pt;height:17.9pt;mso-position-horizontal-relative:page;mso-position-vertical-relative:page;z-index:-197632" type="#_x0000_t202" filled="false" stroked="false">
            <v:textbox inset="0,0,0,0">
              <w:txbxContent>
                <w:p>
                  <w:pPr>
                    <w:tabs>
                      <w:tab w:pos="4393" w:val="left" w:leader="none"/>
                    </w:tabs>
                    <w:spacing w:before="75"/>
                    <w:ind w:left="56" w:right="631" w:firstLine="0"/>
                    <w:jc w:val="left"/>
                    <w:rPr>
                      <w:sz w:val="18"/>
                    </w:rPr>
                  </w:pPr>
                  <w:r>
                    <w:rPr>
                      <w:color w:val="FFFFFF"/>
                      <w:sz w:val="18"/>
                    </w:rPr>
                    <w:t>Sustainability Victoria as</w:t>
                  </w:r>
                  <w:r>
                    <w:rPr>
                      <w:color w:val="FFFFFF"/>
                      <w:spacing w:val="12"/>
                      <w:sz w:val="18"/>
                    </w:rPr>
                    <w:t> </w:t>
                  </w:r>
                  <w:r>
                    <w:rPr>
                      <w:color w:val="FFFFFF"/>
                      <w:sz w:val="18"/>
                    </w:rPr>
                    <w:t>market</w:t>
                  </w:r>
                  <w:r>
                    <w:rPr>
                      <w:color w:val="FFFFFF"/>
                      <w:spacing w:val="4"/>
                      <w:sz w:val="18"/>
                    </w:rPr>
                    <w:t> </w:t>
                  </w:r>
                  <w:r>
                    <w:rPr>
                      <w:color w:val="FFFFFF"/>
                      <w:sz w:val="18"/>
                    </w:rPr>
                    <w:t>developer</w:t>
                    <w:tab/>
                    <w:t>The </w:t>
                  </w:r>
                  <w:r>
                    <w:rPr>
                      <w:color w:val="FFFFFF"/>
                      <w:spacing w:val="-3"/>
                      <w:sz w:val="18"/>
                    </w:rPr>
                    <w:t>EPA </w:t>
                  </w:r>
                  <w:r>
                    <w:rPr>
                      <w:color w:val="FFFFFF"/>
                      <w:sz w:val="18"/>
                    </w:rPr>
                    <w:t>as pollution and waste</w:t>
                  </w:r>
                  <w:r>
                    <w:rPr>
                      <w:color w:val="FFFFFF"/>
                      <w:spacing w:val="12"/>
                      <w:sz w:val="18"/>
                    </w:rPr>
                    <w:t> </w:t>
                  </w:r>
                  <w:r>
                    <w:rPr>
                      <w:color w:val="FFFFFF"/>
                      <w:sz w:val="18"/>
                    </w:rPr>
                    <w:t>regulator</w:t>
                  </w:r>
                </w:p>
              </w:txbxContent>
            </v:textbox>
            <w10:wrap type="none"/>
          </v:shape>
        </w:pict>
      </w:r>
      <w:r>
        <w:rPr/>
        <w:pict>
          <v:shape style="position:absolute;margin-left:.0pt;margin-top:44.090015pt;width:60.3pt;height:5.25pt;mso-position-horizontal-relative:page;mso-position-vertical-relative:page;z-index:-197608"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97584" type="#_x0000_t202" filled="false" stroked="false">
            <v:textbox inset="0,0,0,0">
              <w:txbxContent/>
            </v:textbox>
            <w10:wrap type="none"/>
          </v:shape>
        </w:pict>
      </w:r>
      <w:r>
        <w:rPr/>
        <w:pict>
          <v:shape style="position:absolute;margin-left:70.866096pt;margin-top:442.429321pt;width:433.7pt;height:12pt;mso-position-horizontal-relative:page;mso-position-vertical-relative:page;z-index:-197560"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557.162598pt;width:433.7pt;height:12pt;mso-position-horizontal-relative:page;mso-position-vertical-relative:page;z-index:-197536"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619.392029pt;width:433.7pt;height:12pt;mso-position-horizontal-relative:page;mso-position-vertical-relative:page;z-index:-197512" type="#_x0000_t202" filled="false" stroked="false">
            <v:textbox inset="0,0,0,0">
              <w:txbxContent>
                <w:p>
                  <w:pPr>
                    <w:pStyle w:val="BodyText"/>
                    <w:spacing w:before="4"/>
                    <w:ind w:left="40"/>
                    <w:rPr>
                      <w:rFonts w:ascii="Times New Roman"/>
                      <w:sz w:val="17"/>
                    </w:rPr>
                  </w:pPr>
                </w:p>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97488" from="534.996094pt,45.840015pt" to="595.276001pt,45.840015pt" stroked="true" strokeweight="7pt" strokecolor="#0095a7">
            <w10:wrap type="none"/>
          </v:line>
        </w:pict>
      </w:r>
      <w:r>
        <w:rPr/>
        <w:pict>
          <v:rect style="position:absolute;margin-left:90.709pt;margin-top:133.461014pt;width:432.701pt;height:127.965pt;mso-position-horizontal-relative:page;mso-position-vertical-relative:page;z-index:-197464" filled="true" fillcolor="#eff6f0" stroked="false">
            <v:fill type="solid"/>
            <w10:wrap type="none"/>
          </v:rect>
        </w:pict>
      </w:r>
      <w:r>
        <w:rPr/>
        <w:pict>
          <v:rect style="position:absolute;margin-left:90.709pt;margin-top:272.765015pt;width:432.701pt;height:56.957pt;mso-position-horizontal-relative:page;mso-position-vertical-relative:page;z-index:-197440" filled="true" fillcolor="#eff6f0" stroked="false">
            <v:fill type="solid"/>
            <w10:wrap type="none"/>
          </v:rect>
        </w:pict>
      </w:r>
      <w:r>
        <w:rPr/>
        <w:pict>
          <v:rect style="position:absolute;margin-left:90.709pt;margin-top:341.061005pt;width:432.701pt;height:56.957pt;mso-position-horizontal-relative:page;mso-position-vertical-relative:page;z-index:-197416" filled="true" fillcolor="#eff6f0" stroked="false">
            <v:fill type="solid"/>
            <w10:wrap type="none"/>
          </v:rect>
        </w:pict>
      </w:r>
      <w:r>
        <w:rPr/>
        <w:pict>
          <v:rect style="position:absolute;margin-left:90.709pt;margin-top:409.357025pt;width:432.701pt;height:224.485pt;mso-position-horizontal-relative:page;mso-position-vertical-relative:page;z-index:-197392" filled="true" fillcolor="#eff6f0" stroked="false">
            <v:fill type="solid"/>
            <w10:wrap type="none"/>
          </v:rect>
        </w:pict>
      </w:r>
      <w:r>
        <w:rPr/>
        <w:pict>
          <v:shape style="position:absolute;margin-left:240.9935pt;margin-top:40.902756pt;width:258.9pt;height:9.5pt;mso-position-horizontal-relative:page;mso-position-vertical-relative:page;z-index:-197368" type="#_x0000_t202" filled="false" stroked="false">
            <v:textbox inset="0,0,0,0">
              <w:txbxContent>
                <w:p>
                  <w:pPr>
                    <w:spacing w:before="1"/>
                    <w:ind w:left="20" w:right="0" w:firstLine="0"/>
                    <w:jc w:val="left"/>
                    <w:rPr>
                      <w:sz w:val="15"/>
                    </w:rPr>
                  </w:pPr>
                  <w:r>
                    <w:rPr>
                      <w:color w:val="58595B"/>
                      <w:sz w:val="15"/>
                    </w:rPr>
                    <w:t>CHAPTER 5    CLARIFYING THE EPA’S OBJECTIVES AND FUNCTIONS</w:t>
                  </w:r>
                </w:p>
              </w:txbxContent>
            </v:textbox>
            <w10:wrap type="none"/>
          </v:shape>
        </w:pict>
      </w:r>
      <w:r>
        <w:rPr/>
        <w:pict>
          <v:shape style="position:absolute;margin-left:510.881012pt;margin-top:40.902756pt;width:14.5pt;height:9.5pt;mso-position-horizontal-relative:page;mso-position-vertical-relative:page;z-index:-197344" type="#_x0000_t202" filled="false" stroked="false">
            <v:textbox inset="0,0,0,0">
              <w:txbxContent>
                <w:p>
                  <w:pPr>
                    <w:spacing w:before="1"/>
                    <w:ind w:left="20" w:right="-1" w:firstLine="0"/>
                    <w:jc w:val="left"/>
                    <w:rPr>
                      <w:sz w:val="15"/>
                    </w:rPr>
                  </w:pPr>
                  <w:r>
                    <w:rPr>
                      <w:color w:val="58595B"/>
                      <w:sz w:val="15"/>
                    </w:rPr>
                    <w:t>103</w:t>
                  </w:r>
                </w:p>
              </w:txbxContent>
            </v:textbox>
            <w10:wrap type="none"/>
          </v:shape>
        </w:pict>
      </w:r>
      <w:r>
        <w:rPr/>
        <w:pict>
          <v:shape style="position:absolute;margin-left:89.708603pt;margin-top:105.72934pt;width:102.85pt;height:14pt;mso-position-horizontal-relative:page;mso-position-vertical-relative:page;z-index:-197320" type="#_x0000_t202" filled="false" stroked="false">
            <v:textbox inset="0,0,0,0">
              <w:txbxContent>
                <w:p>
                  <w:pPr>
                    <w:spacing w:line="265" w:lineRule="exact" w:before="0"/>
                    <w:ind w:left="20" w:right="0" w:firstLine="0"/>
                    <w:jc w:val="left"/>
                    <w:rPr>
                      <w:sz w:val="24"/>
                    </w:rPr>
                  </w:pPr>
                  <w:r>
                    <w:rPr>
                      <w:color w:val="0095A7"/>
                      <w:sz w:val="24"/>
                    </w:rPr>
                    <w:t>Recommendations</w:t>
                  </w:r>
                </w:p>
              </w:txbxContent>
            </v:textbox>
            <w10:wrap type="none"/>
          </v:shape>
        </w:pict>
      </w:r>
      <w:r>
        <w:rPr/>
        <w:pict>
          <v:shape style="position:absolute;margin-left:90.709pt;margin-top:409.357025pt;width:432.75pt;height:224.5pt;mso-position-horizontal-relative:page;mso-position-vertical-relative:page;z-index:-197296" type="#_x0000_t202" filled="false" stroked="false">
            <v:textbox inset="0,0,0,0">
              <w:txbxContent>
                <w:p>
                  <w:pPr>
                    <w:spacing w:before="128"/>
                    <w:ind w:left="170" w:right="482" w:firstLine="0"/>
                    <w:jc w:val="left"/>
                    <w:rPr>
                      <w:b/>
                      <w:sz w:val="20"/>
                    </w:rPr>
                  </w:pPr>
                  <w:r>
                    <w:rPr>
                      <w:b/>
                      <w:color w:val="808285"/>
                      <w:sz w:val="20"/>
                    </w:rPr>
                    <w:t>RECOMMENDATION 5.4</w:t>
                  </w:r>
                </w:p>
                <w:p>
                  <w:pPr>
                    <w:pStyle w:val="BodyText"/>
                    <w:spacing w:line="280" w:lineRule="auto" w:before="153"/>
                    <w:ind w:left="170" w:right="482"/>
                  </w:pPr>
                  <w:r>
                    <w:rPr>
                      <w:color w:val="58595B"/>
                    </w:rPr>
                    <w:t>Establish a simplified set of legislated decision making principles for the EPA that encompasses the following elements:</w:t>
                  </w:r>
                </w:p>
                <w:p>
                  <w:pPr>
                    <w:pStyle w:val="ListParagraph"/>
                    <w:numPr>
                      <w:ilvl w:val="0"/>
                      <w:numId w:val="35"/>
                    </w:numPr>
                    <w:tabs>
                      <w:tab w:pos="511" w:val="left" w:leader="none"/>
                    </w:tabs>
                    <w:spacing w:line="240" w:lineRule="auto" w:before="172" w:after="0"/>
                    <w:ind w:left="510" w:right="0" w:hanging="340"/>
                    <w:jc w:val="left"/>
                    <w:rPr>
                      <w:sz w:val="20"/>
                    </w:rPr>
                  </w:pPr>
                  <w:r>
                    <w:rPr>
                      <w:color w:val="58595B"/>
                      <w:sz w:val="20"/>
                    </w:rPr>
                    <w:t>Balancing of economic, social and environmental</w:t>
                  </w:r>
                  <w:r>
                    <w:rPr>
                      <w:color w:val="58595B"/>
                      <w:spacing w:val="10"/>
                      <w:sz w:val="20"/>
                    </w:rPr>
                    <w:t> </w:t>
                  </w:r>
                  <w:r>
                    <w:rPr>
                      <w:color w:val="58595B"/>
                      <w:sz w:val="20"/>
                    </w:rPr>
                    <w:t>considerations</w:t>
                  </w:r>
                </w:p>
                <w:p>
                  <w:pPr>
                    <w:pStyle w:val="BodyText"/>
                    <w:spacing w:before="3"/>
                    <w:ind w:left="0"/>
                    <w:rPr>
                      <w:rFonts w:ascii="Times New Roman"/>
                      <w:sz w:val="18"/>
                    </w:rPr>
                  </w:pPr>
                </w:p>
                <w:p>
                  <w:pPr>
                    <w:pStyle w:val="ListParagraph"/>
                    <w:numPr>
                      <w:ilvl w:val="0"/>
                      <w:numId w:val="35"/>
                    </w:numPr>
                    <w:tabs>
                      <w:tab w:pos="511" w:val="left" w:leader="none"/>
                    </w:tabs>
                    <w:spacing w:line="240" w:lineRule="auto" w:before="0" w:after="0"/>
                    <w:ind w:left="510" w:right="0" w:hanging="340"/>
                    <w:jc w:val="left"/>
                    <w:rPr>
                      <w:sz w:val="20"/>
                    </w:rPr>
                  </w:pPr>
                  <w:r>
                    <w:rPr>
                      <w:color w:val="58595B"/>
                      <w:sz w:val="20"/>
                    </w:rPr>
                    <w:t>Primacy of</w:t>
                  </w:r>
                  <w:r>
                    <w:rPr>
                      <w:color w:val="58595B"/>
                      <w:spacing w:val="-5"/>
                      <w:sz w:val="20"/>
                    </w:rPr>
                    <w:t> </w:t>
                  </w:r>
                  <w:r>
                    <w:rPr>
                      <w:color w:val="58595B"/>
                      <w:sz w:val="20"/>
                    </w:rPr>
                    <w:t>prevention</w:t>
                  </w:r>
                </w:p>
                <w:p>
                  <w:pPr>
                    <w:pStyle w:val="BodyText"/>
                    <w:spacing w:before="3"/>
                    <w:ind w:left="0"/>
                    <w:rPr>
                      <w:rFonts w:ascii="Times New Roman"/>
                      <w:sz w:val="18"/>
                    </w:rPr>
                  </w:pPr>
                </w:p>
                <w:p>
                  <w:pPr>
                    <w:pStyle w:val="ListParagraph"/>
                    <w:numPr>
                      <w:ilvl w:val="0"/>
                      <w:numId w:val="35"/>
                    </w:numPr>
                    <w:tabs>
                      <w:tab w:pos="511" w:val="left" w:leader="none"/>
                    </w:tabs>
                    <w:spacing w:line="240" w:lineRule="auto" w:before="0" w:after="0"/>
                    <w:ind w:left="510" w:right="0" w:hanging="340"/>
                    <w:jc w:val="left"/>
                    <w:rPr>
                      <w:sz w:val="20"/>
                    </w:rPr>
                  </w:pPr>
                  <w:r>
                    <w:rPr>
                      <w:color w:val="58595B"/>
                      <w:sz w:val="20"/>
                    </w:rPr>
                    <w:t>Proportionality, recognising the importance of a risk-based approach to</w:t>
                  </w:r>
                  <w:r>
                    <w:rPr>
                      <w:color w:val="58595B"/>
                      <w:spacing w:val="24"/>
                      <w:sz w:val="20"/>
                    </w:rPr>
                    <w:t> </w:t>
                  </w:r>
                  <w:r>
                    <w:rPr>
                      <w:color w:val="58595B"/>
                      <w:sz w:val="20"/>
                    </w:rPr>
                    <w:t>regulation</w:t>
                  </w:r>
                </w:p>
                <w:p>
                  <w:pPr>
                    <w:pStyle w:val="BodyText"/>
                    <w:spacing w:before="3"/>
                    <w:ind w:left="0"/>
                    <w:rPr>
                      <w:rFonts w:ascii="Times New Roman"/>
                      <w:sz w:val="18"/>
                    </w:rPr>
                  </w:pPr>
                </w:p>
                <w:p>
                  <w:pPr>
                    <w:pStyle w:val="ListParagraph"/>
                    <w:numPr>
                      <w:ilvl w:val="0"/>
                      <w:numId w:val="35"/>
                    </w:numPr>
                    <w:tabs>
                      <w:tab w:pos="511" w:val="left" w:leader="none"/>
                    </w:tabs>
                    <w:spacing w:line="240" w:lineRule="auto" w:before="0" w:after="0"/>
                    <w:ind w:left="510" w:right="0" w:hanging="340"/>
                    <w:jc w:val="left"/>
                    <w:rPr>
                      <w:sz w:val="20"/>
                    </w:rPr>
                  </w:pPr>
                  <w:r>
                    <w:rPr>
                      <w:color w:val="58595B"/>
                      <w:sz w:val="20"/>
                    </w:rPr>
                    <w:t>Intragenerational and intergenerational</w:t>
                  </w:r>
                  <w:r>
                    <w:rPr>
                      <w:color w:val="58595B"/>
                      <w:spacing w:val="5"/>
                      <w:sz w:val="20"/>
                    </w:rPr>
                    <w:t> </w:t>
                  </w:r>
                  <w:r>
                    <w:rPr>
                      <w:color w:val="58595B"/>
                      <w:sz w:val="20"/>
                    </w:rPr>
                    <w:t>equity</w:t>
                  </w:r>
                </w:p>
                <w:p>
                  <w:pPr>
                    <w:pStyle w:val="BodyText"/>
                    <w:spacing w:before="3"/>
                    <w:ind w:left="0"/>
                    <w:rPr>
                      <w:rFonts w:ascii="Times New Roman"/>
                      <w:sz w:val="18"/>
                    </w:rPr>
                  </w:pPr>
                </w:p>
                <w:p>
                  <w:pPr>
                    <w:pStyle w:val="ListParagraph"/>
                    <w:numPr>
                      <w:ilvl w:val="0"/>
                      <w:numId w:val="35"/>
                    </w:numPr>
                    <w:tabs>
                      <w:tab w:pos="511" w:val="left" w:leader="none"/>
                    </w:tabs>
                    <w:spacing w:line="240" w:lineRule="auto" w:before="0" w:after="0"/>
                    <w:ind w:left="510" w:right="0" w:hanging="340"/>
                    <w:jc w:val="left"/>
                    <w:rPr>
                      <w:sz w:val="20"/>
                    </w:rPr>
                  </w:pPr>
                  <w:r>
                    <w:rPr>
                      <w:color w:val="58595B"/>
                      <w:sz w:val="20"/>
                    </w:rPr>
                    <w:t>Shared responsibility, including recognition of the importance of the polluter pays</w:t>
                  </w:r>
                  <w:r>
                    <w:rPr>
                      <w:color w:val="58595B"/>
                      <w:spacing w:val="2"/>
                      <w:sz w:val="20"/>
                    </w:rPr>
                    <w:t> </w:t>
                  </w:r>
                  <w:r>
                    <w:rPr>
                      <w:color w:val="58595B"/>
                      <w:sz w:val="20"/>
                    </w:rPr>
                    <w:t>principle</w:t>
                  </w:r>
                </w:p>
                <w:p>
                  <w:pPr>
                    <w:pStyle w:val="BodyText"/>
                    <w:spacing w:before="3"/>
                    <w:ind w:left="0"/>
                    <w:rPr>
                      <w:rFonts w:ascii="Times New Roman"/>
                      <w:sz w:val="18"/>
                    </w:rPr>
                  </w:pPr>
                </w:p>
                <w:p>
                  <w:pPr>
                    <w:pStyle w:val="ListParagraph"/>
                    <w:numPr>
                      <w:ilvl w:val="0"/>
                      <w:numId w:val="35"/>
                    </w:numPr>
                    <w:tabs>
                      <w:tab w:pos="511" w:val="left" w:leader="none"/>
                    </w:tabs>
                    <w:spacing w:line="240" w:lineRule="auto" w:before="0" w:after="0"/>
                    <w:ind w:left="510" w:right="0" w:hanging="340"/>
                    <w:jc w:val="left"/>
                    <w:rPr>
                      <w:sz w:val="20"/>
                    </w:rPr>
                  </w:pPr>
                  <w:r>
                    <w:rPr>
                      <w:color w:val="58595B"/>
                      <w:sz w:val="20"/>
                    </w:rPr>
                    <w:t>Evidence-based decision making that accounts for the precautionary</w:t>
                  </w:r>
                  <w:r>
                    <w:rPr>
                      <w:color w:val="58595B"/>
                      <w:spacing w:val="31"/>
                      <w:sz w:val="20"/>
                    </w:rPr>
                    <w:t> </w:t>
                  </w:r>
                  <w:r>
                    <w:rPr>
                      <w:color w:val="58595B"/>
                      <w:sz w:val="20"/>
                    </w:rPr>
                    <w:t>principle</w:t>
                  </w:r>
                </w:p>
                <w:p>
                  <w:pPr>
                    <w:pStyle w:val="BodyText"/>
                    <w:spacing w:before="3"/>
                    <w:ind w:left="0"/>
                    <w:rPr>
                      <w:rFonts w:ascii="Times New Roman"/>
                      <w:sz w:val="18"/>
                    </w:rPr>
                  </w:pPr>
                </w:p>
                <w:p>
                  <w:pPr>
                    <w:pStyle w:val="ListParagraph"/>
                    <w:numPr>
                      <w:ilvl w:val="0"/>
                      <w:numId w:val="35"/>
                    </w:numPr>
                    <w:tabs>
                      <w:tab w:pos="511" w:val="left" w:leader="none"/>
                    </w:tabs>
                    <w:spacing w:line="280" w:lineRule="auto" w:before="0" w:after="0"/>
                    <w:ind w:left="510" w:right="809" w:hanging="340"/>
                    <w:jc w:val="left"/>
                    <w:rPr>
                      <w:sz w:val="20"/>
                    </w:rPr>
                  </w:pPr>
                  <w:r>
                    <w:rPr>
                      <w:color w:val="58595B"/>
                      <w:sz w:val="20"/>
                    </w:rPr>
                    <w:t>Accountability and access to decision making, noting the importance of procedural fairness, transparency and access to</w:t>
                  </w:r>
                  <w:r>
                    <w:rPr>
                      <w:color w:val="58595B"/>
                      <w:spacing w:val="12"/>
                      <w:sz w:val="20"/>
                    </w:rPr>
                    <w:t> </w:t>
                  </w:r>
                  <w:r>
                    <w:rPr>
                      <w:color w:val="58595B"/>
                      <w:sz w:val="20"/>
                    </w:rPr>
                    <w:t>information.</w:t>
                  </w:r>
                </w:p>
              </w:txbxContent>
            </v:textbox>
            <w10:wrap type="none"/>
          </v:shape>
        </w:pict>
      </w:r>
      <w:r>
        <w:rPr/>
        <w:pict>
          <v:shape style="position:absolute;margin-left:90.709pt;margin-top:341.061005pt;width:432.75pt;height:57pt;mso-position-horizontal-relative:page;mso-position-vertical-relative:page;z-index:-197272" type="#_x0000_t202" filled="false" stroked="false">
            <v:textbox inset="0,0,0,0">
              <w:txbxContent>
                <w:p>
                  <w:pPr>
                    <w:spacing w:before="128"/>
                    <w:ind w:left="170" w:right="482" w:firstLine="0"/>
                    <w:jc w:val="left"/>
                    <w:rPr>
                      <w:b/>
                      <w:sz w:val="20"/>
                    </w:rPr>
                  </w:pPr>
                  <w:r>
                    <w:rPr>
                      <w:b/>
                      <w:color w:val="808285"/>
                      <w:sz w:val="20"/>
                    </w:rPr>
                    <w:t>RECOMMENDATION 5.3</w:t>
                  </w:r>
                </w:p>
                <w:p>
                  <w:pPr>
                    <w:pStyle w:val="BodyText"/>
                    <w:spacing w:line="280" w:lineRule="auto" w:before="153"/>
                    <w:ind w:left="170" w:right="537"/>
                  </w:pPr>
                  <w:r>
                    <w:rPr>
                      <w:color w:val="58595B"/>
                    </w:rPr>
                    <w:t>Establish a statutory objective for the EPA to protect human health and the environment by reducing the harmful effects of pollution and waste.</w:t>
                  </w:r>
                </w:p>
              </w:txbxContent>
            </v:textbox>
            <w10:wrap type="none"/>
          </v:shape>
        </w:pict>
      </w:r>
      <w:r>
        <w:rPr/>
        <w:pict>
          <v:shape style="position:absolute;margin-left:90.709pt;margin-top:272.765015pt;width:432.75pt;height:57pt;mso-position-horizontal-relative:page;mso-position-vertical-relative:page;z-index:-197248" type="#_x0000_t202" filled="false" stroked="false">
            <v:textbox inset="0,0,0,0">
              <w:txbxContent>
                <w:p>
                  <w:pPr>
                    <w:spacing w:before="128"/>
                    <w:ind w:left="170" w:right="482" w:firstLine="0"/>
                    <w:jc w:val="left"/>
                    <w:rPr>
                      <w:b/>
                      <w:sz w:val="20"/>
                    </w:rPr>
                  </w:pPr>
                  <w:r>
                    <w:rPr>
                      <w:b/>
                      <w:color w:val="808285"/>
                      <w:sz w:val="20"/>
                    </w:rPr>
                    <w:t>RECOMMENDATION 5.2</w:t>
                  </w:r>
                </w:p>
                <w:p>
                  <w:pPr>
                    <w:pStyle w:val="BodyText"/>
                    <w:spacing w:line="280" w:lineRule="auto" w:before="153"/>
                    <w:ind w:left="170" w:right="482"/>
                  </w:pPr>
                  <w:r>
                    <w:rPr>
                      <w:color w:val="58595B"/>
                    </w:rPr>
                    <w:t>Prioritise creation of the EPA (Establishment) Act which defines, as a minimum, the EPA’s objective, decision making principles, functions and governance structure.</w:t>
                  </w:r>
                </w:p>
              </w:txbxContent>
            </v:textbox>
            <w10:wrap type="none"/>
          </v:shape>
        </w:pict>
      </w:r>
      <w:r>
        <w:rPr/>
        <w:pict>
          <v:shape style="position:absolute;margin-left:90.709pt;margin-top:133.461014pt;width:432.75pt;height:128pt;mso-position-horizontal-relative:page;mso-position-vertical-relative:page;z-index:-197224" type="#_x0000_t202" filled="false" stroked="false">
            <v:textbox inset="0,0,0,0">
              <w:txbxContent>
                <w:p>
                  <w:pPr>
                    <w:spacing w:before="128"/>
                    <w:ind w:left="170" w:right="482" w:firstLine="0"/>
                    <w:jc w:val="left"/>
                    <w:rPr>
                      <w:b/>
                      <w:sz w:val="20"/>
                    </w:rPr>
                  </w:pPr>
                  <w:r>
                    <w:rPr>
                      <w:b/>
                      <w:color w:val="808285"/>
                      <w:sz w:val="20"/>
                    </w:rPr>
                    <w:t>RECOMMENDATION 5.1</w:t>
                  </w:r>
                </w:p>
                <w:p>
                  <w:pPr>
                    <w:spacing w:line="280" w:lineRule="auto" w:before="153"/>
                    <w:ind w:left="170" w:right="704" w:firstLine="0"/>
                    <w:jc w:val="left"/>
                    <w:rPr>
                      <w:sz w:val="20"/>
                    </w:rPr>
                  </w:pPr>
                  <w:r>
                    <w:rPr>
                      <w:color w:val="58595B"/>
                      <w:sz w:val="20"/>
                    </w:rPr>
                    <w:t>Undertake a comprehensive overhaul of the </w:t>
                  </w:r>
                  <w:r>
                    <w:rPr>
                      <w:i/>
                      <w:color w:val="58595B"/>
                      <w:sz w:val="20"/>
                    </w:rPr>
                    <w:t>Environment Protection Act 1970</w:t>
                  </w:r>
                  <w:r>
                    <w:rPr>
                      <w:color w:val="58595B"/>
                      <w:sz w:val="20"/>
                    </w:rPr>
                    <w:t>, including to establish two separate pieces of legislation to:</w:t>
                  </w:r>
                </w:p>
                <w:p>
                  <w:pPr>
                    <w:pStyle w:val="ListParagraph"/>
                    <w:numPr>
                      <w:ilvl w:val="0"/>
                      <w:numId w:val="36"/>
                    </w:numPr>
                    <w:tabs>
                      <w:tab w:pos="511" w:val="left" w:leader="none"/>
                    </w:tabs>
                    <w:spacing w:line="280" w:lineRule="auto" w:before="172" w:after="0"/>
                    <w:ind w:left="510" w:right="1716" w:hanging="340"/>
                    <w:jc w:val="left"/>
                    <w:rPr>
                      <w:sz w:val="20"/>
                    </w:rPr>
                  </w:pPr>
                  <w:r>
                    <w:rPr>
                      <w:color w:val="58595B"/>
                      <w:sz w:val="20"/>
                    </w:rPr>
                    <w:t>Create a standalone </w:t>
                  </w:r>
                  <w:r>
                    <w:rPr>
                      <w:color w:val="58595B"/>
                      <w:spacing w:val="-4"/>
                      <w:sz w:val="20"/>
                    </w:rPr>
                    <w:t>EPA </w:t>
                  </w:r>
                  <w:r>
                    <w:rPr>
                      <w:color w:val="58595B"/>
                      <w:sz w:val="20"/>
                    </w:rPr>
                    <w:t>(Establishment) Act to facilitate role clarity and strengthened</w:t>
                  </w:r>
                  <w:r>
                    <w:rPr>
                      <w:color w:val="58595B"/>
                      <w:spacing w:val="2"/>
                      <w:sz w:val="20"/>
                    </w:rPr>
                    <w:t> </w:t>
                  </w:r>
                  <w:r>
                    <w:rPr>
                      <w:color w:val="58595B"/>
                      <w:sz w:val="20"/>
                    </w:rPr>
                    <w:t>governance</w:t>
                  </w:r>
                </w:p>
                <w:p>
                  <w:pPr>
                    <w:pStyle w:val="ListParagraph"/>
                    <w:numPr>
                      <w:ilvl w:val="0"/>
                      <w:numId w:val="36"/>
                    </w:numPr>
                    <w:tabs>
                      <w:tab w:pos="511" w:val="left" w:leader="none"/>
                    </w:tabs>
                    <w:spacing w:line="280" w:lineRule="auto" w:before="172" w:after="0"/>
                    <w:ind w:left="510" w:right="554" w:hanging="340"/>
                    <w:jc w:val="left"/>
                    <w:rPr>
                      <w:sz w:val="20"/>
                    </w:rPr>
                  </w:pPr>
                  <w:r>
                    <w:rPr>
                      <w:color w:val="58595B"/>
                      <w:sz w:val="20"/>
                    </w:rPr>
                    <w:t>Create a modernised Environment Protection Act, which applies to the </w:t>
                  </w:r>
                  <w:r>
                    <w:rPr>
                      <w:color w:val="58595B"/>
                      <w:spacing w:val="-4"/>
                      <w:sz w:val="20"/>
                    </w:rPr>
                    <w:t>EPA </w:t>
                  </w:r>
                  <w:r>
                    <w:rPr>
                      <w:color w:val="58595B"/>
                      <w:sz w:val="20"/>
                    </w:rPr>
                    <w:t>and other entities charged with reducing pollution and waste</w:t>
                  </w:r>
                  <w:r>
                    <w:rPr>
                      <w:color w:val="58595B"/>
                      <w:spacing w:val="7"/>
                      <w:sz w:val="20"/>
                    </w:rPr>
                    <w:t> </w:t>
                  </w:r>
                  <w:r>
                    <w:rPr>
                      <w:color w:val="58595B"/>
                      <w:sz w:val="20"/>
                    </w:rPr>
                    <w:t>impacts.</w:t>
                  </w:r>
                </w:p>
              </w:txbxContent>
            </v:textbox>
            <w10:wrap type="none"/>
          </v:shape>
        </w:pict>
      </w:r>
      <w:r>
        <w:rPr/>
        <w:pict>
          <v:shape style="position:absolute;margin-left:534.996094pt;margin-top:44.090015pt;width:60.3pt;height:5.25pt;mso-position-horizontal-relative:page;mso-position-vertical-relative:page;z-index:-197200"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7176"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97152" from=".0pt,45.840015pt" to="60.2791pt,45.840015pt" stroked="true" strokeweight="7pt" strokecolor="#0095a7">
            <w10:wrap type="none"/>
          </v:line>
        </w:pict>
      </w:r>
      <w:r>
        <w:rPr/>
        <w:pict>
          <v:rect style="position:absolute;margin-left:70.865997pt;margin-top:107.717018pt;width:432.701pt;height:299.001pt;mso-position-horizontal-relative:page;mso-position-vertical-relative:page;z-index:-197128" filled="true" fillcolor="#eff6f0" stroked="false">
            <v:fill type="solid"/>
            <w10:wrap type="none"/>
          </v:rect>
        </w:pict>
      </w:r>
      <w:r>
        <w:rPr/>
        <w:pict>
          <v:shape style="position:absolute;margin-left:69.866096pt;margin-top:40.902756pt;width:14.65pt;height:9.5pt;mso-position-horizontal-relative:page;mso-position-vertical-relative:page;z-index:-197104" type="#_x0000_t202" filled="false" stroked="false">
            <v:textbox inset="0,0,0,0">
              <w:txbxContent>
                <w:p>
                  <w:pPr>
                    <w:spacing w:before="1"/>
                    <w:ind w:left="20" w:right="0" w:firstLine="0"/>
                    <w:jc w:val="left"/>
                    <w:rPr>
                      <w:sz w:val="15"/>
                    </w:rPr>
                  </w:pPr>
                  <w:r>
                    <w:rPr>
                      <w:color w:val="58595B"/>
                      <w:sz w:val="15"/>
                    </w:rPr>
                    <w:t>104</w:t>
                  </w:r>
                </w:p>
              </w:txbxContent>
            </v:textbox>
            <w10:wrap type="none"/>
          </v:shape>
        </w:pict>
      </w:r>
      <w:r>
        <w:rPr/>
        <w:pict>
          <v:shape style="position:absolute;margin-left:95.377899pt;margin-top:40.902756pt;width:147.75pt;height:9.5pt;mso-position-horizontal-relative:page;mso-position-vertical-relative:page;z-index:-197080"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70.865997pt;margin-top:107.717018pt;width:432.7pt;height:299pt;mso-position-horizontal-relative:page;mso-position-vertical-relative:page;z-index:-197056" type="#_x0000_t202" filled="false" stroked="false">
            <v:textbox inset="0,0,0,0">
              <w:txbxContent>
                <w:p>
                  <w:pPr>
                    <w:spacing w:before="128"/>
                    <w:ind w:left="170" w:right="277" w:firstLine="0"/>
                    <w:jc w:val="left"/>
                    <w:rPr>
                      <w:b/>
                      <w:sz w:val="20"/>
                    </w:rPr>
                  </w:pPr>
                  <w:r>
                    <w:rPr>
                      <w:b/>
                      <w:color w:val="808285"/>
                      <w:sz w:val="20"/>
                    </w:rPr>
                    <w:t>RECOMMENDATION 5.5</w:t>
                  </w:r>
                </w:p>
                <w:p>
                  <w:pPr>
                    <w:pStyle w:val="BodyText"/>
                    <w:spacing w:before="1"/>
                    <w:ind w:left="0"/>
                    <w:rPr>
                      <w:rFonts w:ascii="Times New Roman"/>
                      <w:sz w:val="28"/>
                    </w:rPr>
                  </w:pPr>
                </w:p>
                <w:p>
                  <w:pPr>
                    <w:pStyle w:val="BodyText"/>
                    <w:ind w:left="170" w:right="277"/>
                  </w:pPr>
                  <w:r>
                    <w:rPr>
                      <w:color w:val="58595B"/>
                    </w:rPr>
                    <w:t>Establish ten high level functions for the EPA:</w:t>
                  </w:r>
                </w:p>
                <w:p>
                  <w:pPr>
                    <w:pStyle w:val="BodyText"/>
                    <w:spacing w:before="3"/>
                    <w:ind w:left="0"/>
                    <w:rPr>
                      <w:rFonts w:ascii="Times New Roman"/>
                      <w:sz w:val="18"/>
                    </w:rPr>
                  </w:pPr>
                </w:p>
                <w:p>
                  <w:pPr>
                    <w:pStyle w:val="ListParagraph"/>
                    <w:numPr>
                      <w:ilvl w:val="0"/>
                      <w:numId w:val="37"/>
                    </w:numPr>
                    <w:tabs>
                      <w:tab w:pos="511" w:val="left" w:leader="none"/>
                    </w:tabs>
                    <w:spacing w:line="240" w:lineRule="auto" w:before="0" w:after="0"/>
                    <w:ind w:left="510" w:right="0" w:hanging="340"/>
                    <w:jc w:val="left"/>
                    <w:rPr>
                      <w:sz w:val="20"/>
                    </w:rPr>
                  </w:pPr>
                  <w:r>
                    <w:rPr>
                      <w:color w:val="58595B"/>
                      <w:sz w:val="20"/>
                    </w:rPr>
                    <w:t>Monitor and identify impacts and risks to public health and the</w:t>
                  </w:r>
                  <w:r>
                    <w:rPr>
                      <w:color w:val="58595B"/>
                      <w:spacing w:val="3"/>
                      <w:sz w:val="20"/>
                    </w:rPr>
                    <w:t> </w:t>
                  </w:r>
                  <w:r>
                    <w:rPr>
                      <w:color w:val="58595B"/>
                      <w:sz w:val="20"/>
                    </w:rPr>
                    <w:t>environment</w:t>
                  </w:r>
                </w:p>
                <w:p>
                  <w:pPr>
                    <w:pStyle w:val="BodyText"/>
                    <w:spacing w:before="3"/>
                    <w:ind w:left="0"/>
                    <w:rPr>
                      <w:rFonts w:ascii="Times New Roman"/>
                      <w:sz w:val="18"/>
                    </w:rPr>
                  </w:pPr>
                </w:p>
                <w:p>
                  <w:pPr>
                    <w:pStyle w:val="ListParagraph"/>
                    <w:numPr>
                      <w:ilvl w:val="0"/>
                      <w:numId w:val="37"/>
                    </w:numPr>
                    <w:tabs>
                      <w:tab w:pos="511" w:val="left" w:leader="none"/>
                    </w:tabs>
                    <w:spacing w:line="240" w:lineRule="auto" w:before="0" w:after="0"/>
                    <w:ind w:left="510" w:right="0" w:hanging="340"/>
                    <w:jc w:val="left"/>
                    <w:rPr>
                      <w:sz w:val="20"/>
                    </w:rPr>
                  </w:pPr>
                  <w:r>
                    <w:rPr>
                      <w:color w:val="58595B"/>
                      <w:sz w:val="20"/>
                    </w:rPr>
                    <w:t>Proactively adapt tools and instruments to prevent and reduce impacts and</w:t>
                  </w:r>
                  <w:r>
                    <w:rPr>
                      <w:color w:val="58595B"/>
                      <w:spacing w:val="-10"/>
                      <w:sz w:val="20"/>
                    </w:rPr>
                    <w:t> </w:t>
                  </w:r>
                  <w:r>
                    <w:rPr>
                      <w:color w:val="58595B"/>
                      <w:sz w:val="20"/>
                    </w:rPr>
                    <w:t>risks</w:t>
                  </w:r>
                </w:p>
                <w:p>
                  <w:pPr>
                    <w:pStyle w:val="BodyText"/>
                    <w:spacing w:before="3"/>
                    <w:ind w:left="0"/>
                    <w:rPr>
                      <w:rFonts w:ascii="Times New Roman"/>
                      <w:sz w:val="18"/>
                    </w:rPr>
                  </w:pPr>
                </w:p>
                <w:p>
                  <w:pPr>
                    <w:pStyle w:val="ListParagraph"/>
                    <w:numPr>
                      <w:ilvl w:val="0"/>
                      <w:numId w:val="37"/>
                    </w:numPr>
                    <w:tabs>
                      <w:tab w:pos="511" w:val="left" w:leader="none"/>
                    </w:tabs>
                    <w:spacing w:line="240" w:lineRule="auto" w:before="0" w:after="0"/>
                    <w:ind w:left="510" w:right="0" w:hanging="340"/>
                    <w:jc w:val="left"/>
                    <w:rPr>
                      <w:sz w:val="20"/>
                    </w:rPr>
                  </w:pPr>
                  <w:r>
                    <w:rPr>
                      <w:color w:val="58595B"/>
                      <w:sz w:val="20"/>
                    </w:rPr>
                    <w:t>Advise</w:t>
                  </w:r>
                  <w:r>
                    <w:rPr>
                      <w:color w:val="58595B"/>
                      <w:spacing w:val="-6"/>
                      <w:sz w:val="20"/>
                    </w:rPr>
                    <w:t> </w:t>
                  </w:r>
                  <w:r>
                    <w:rPr>
                      <w:color w:val="58595B"/>
                      <w:sz w:val="20"/>
                    </w:rPr>
                    <w:t>government</w:t>
                  </w:r>
                </w:p>
                <w:p>
                  <w:pPr>
                    <w:pStyle w:val="BodyText"/>
                    <w:spacing w:before="3"/>
                    <w:ind w:left="0"/>
                    <w:rPr>
                      <w:rFonts w:ascii="Times New Roman"/>
                      <w:sz w:val="18"/>
                    </w:rPr>
                  </w:pPr>
                </w:p>
                <w:p>
                  <w:pPr>
                    <w:pStyle w:val="ListParagraph"/>
                    <w:numPr>
                      <w:ilvl w:val="0"/>
                      <w:numId w:val="37"/>
                    </w:numPr>
                    <w:tabs>
                      <w:tab w:pos="511" w:val="left" w:leader="none"/>
                    </w:tabs>
                    <w:spacing w:line="280" w:lineRule="auto" w:before="0" w:after="0"/>
                    <w:ind w:left="510" w:right="785" w:hanging="340"/>
                    <w:jc w:val="left"/>
                    <w:rPr>
                      <w:sz w:val="20"/>
                    </w:rPr>
                  </w:pPr>
                  <w:r>
                    <w:rPr>
                      <w:color w:val="58595B"/>
                      <w:sz w:val="20"/>
                    </w:rPr>
                    <w:t>Lead, coordinate and collaborate with local governments, joint regulators and other government</w:t>
                  </w:r>
                  <w:r>
                    <w:rPr>
                      <w:color w:val="58595B"/>
                      <w:spacing w:val="-1"/>
                      <w:sz w:val="20"/>
                    </w:rPr>
                    <w:t> </w:t>
                  </w:r>
                  <w:r>
                    <w:rPr>
                      <w:color w:val="58595B"/>
                      <w:sz w:val="20"/>
                    </w:rPr>
                    <w:t>agencies</w:t>
                  </w:r>
                </w:p>
                <w:p>
                  <w:pPr>
                    <w:pStyle w:val="ListParagraph"/>
                    <w:numPr>
                      <w:ilvl w:val="0"/>
                      <w:numId w:val="37"/>
                    </w:numPr>
                    <w:tabs>
                      <w:tab w:pos="511" w:val="left" w:leader="none"/>
                    </w:tabs>
                    <w:spacing w:line="240" w:lineRule="auto" w:before="172" w:after="0"/>
                    <w:ind w:left="510" w:right="0" w:hanging="340"/>
                    <w:jc w:val="left"/>
                    <w:rPr>
                      <w:sz w:val="20"/>
                    </w:rPr>
                  </w:pPr>
                  <w:r>
                    <w:rPr>
                      <w:color w:val="58595B"/>
                      <w:sz w:val="20"/>
                    </w:rPr>
                    <w:t>Determine and set environment protection standards (‘goal post’</w:t>
                  </w:r>
                  <w:r>
                    <w:rPr>
                      <w:color w:val="58595B"/>
                      <w:spacing w:val="-13"/>
                      <w:sz w:val="20"/>
                    </w:rPr>
                    <w:t> </w:t>
                  </w:r>
                  <w:r>
                    <w:rPr>
                      <w:color w:val="58595B"/>
                      <w:sz w:val="20"/>
                    </w:rPr>
                    <w:t>standards)</w:t>
                  </w:r>
                </w:p>
                <w:p>
                  <w:pPr>
                    <w:pStyle w:val="BodyText"/>
                    <w:spacing w:before="3"/>
                    <w:ind w:left="0"/>
                    <w:rPr>
                      <w:rFonts w:ascii="Times New Roman"/>
                      <w:sz w:val="18"/>
                    </w:rPr>
                  </w:pPr>
                </w:p>
                <w:p>
                  <w:pPr>
                    <w:pStyle w:val="ListParagraph"/>
                    <w:numPr>
                      <w:ilvl w:val="0"/>
                      <w:numId w:val="37"/>
                    </w:numPr>
                    <w:tabs>
                      <w:tab w:pos="511" w:val="left" w:leader="none"/>
                    </w:tabs>
                    <w:spacing w:line="240" w:lineRule="auto" w:before="0" w:after="0"/>
                    <w:ind w:left="510" w:right="0" w:hanging="340"/>
                    <w:jc w:val="left"/>
                    <w:rPr>
                      <w:sz w:val="20"/>
                    </w:rPr>
                  </w:pPr>
                  <w:r>
                    <w:rPr>
                      <w:color w:val="58595B"/>
                      <w:sz w:val="20"/>
                    </w:rPr>
                    <w:t>Set compliance obligations and seek to improve environmental</w:t>
                  </w:r>
                  <w:r>
                    <w:rPr>
                      <w:color w:val="58595B"/>
                      <w:spacing w:val="10"/>
                      <w:sz w:val="20"/>
                    </w:rPr>
                    <w:t> </w:t>
                  </w:r>
                  <w:r>
                    <w:rPr>
                      <w:color w:val="58595B"/>
                      <w:sz w:val="20"/>
                    </w:rPr>
                    <w:t>performance</w:t>
                  </w:r>
                </w:p>
                <w:p>
                  <w:pPr>
                    <w:pStyle w:val="BodyText"/>
                    <w:spacing w:before="3"/>
                    <w:ind w:left="0"/>
                    <w:rPr>
                      <w:rFonts w:ascii="Times New Roman"/>
                      <w:sz w:val="18"/>
                    </w:rPr>
                  </w:pPr>
                </w:p>
                <w:p>
                  <w:pPr>
                    <w:pStyle w:val="ListParagraph"/>
                    <w:numPr>
                      <w:ilvl w:val="0"/>
                      <w:numId w:val="37"/>
                    </w:numPr>
                    <w:tabs>
                      <w:tab w:pos="511" w:val="left" w:leader="none"/>
                    </w:tabs>
                    <w:spacing w:line="240" w:lineRule="auto" w:before="0" w:after="0"/>
                    <w:ind w:left="510" w:right="0" w:hanging="340"/>
                    <w:jc w:val="left"/>
                    <w:rPr>
                      <w:sz w:val="20"/>
                    </w:rPr>
                  </w:pPr>
                  <w:r>
                    <w:rPr>
                      <w:color w:val="58595B"/>
                      <w:sz w:val="20"/>
                    </w:rPr>
                    <w:t>Support</w:t>
                  </w:r>
                  <w:r>
                    <w:rPr>
                      <w:color w:val="58595B"/>
                      <w:spacing w:val="14"/>
                      <w:sz w:val="20"/>
                    </w:rPr>
                    <w:t> </w:t>
                  </w:r>
                  <w:r>
                    <w:rPr>
                      <w:color w:val="58595B"/>
                      <w:sz w:val="20"/>
                    </w:rPr>
                    <w:t>compliance</w:t>
                  </w:r>
                </w:p>
                <w:p>
                  <w:pPr>
                    <w:pStyle w:val="BodyText"/>
                    <w:spacing w:before="3"/>
                    <w:ind w:left="0"/>
                    <w:rPr>
                      <w:rFonts w:ascii="Times New Roman"/>
                      <w:sz w:val="18"/>
                    </w:rPr>
                  </w:pPr>
                </w:p>
                <w:p>
                  <w:pPr>
                    <w:pStyle w:val="ListParagraph"/>
                    <w:numPr>
                      <w:ilvl w:val="0"/>
                      <w:numId w:val="37"/>
                    </w:numPr>
                    <w:tabs>
                      <w:tab w:pos="511" w:val="left" w:leader="none"/>
                    </w:tabs>
                    <w:spacing w:line="280" w:lineRule="auto" w:before="0" w:after="0"/>
                    <w:ind w:left="510" w:right="315" w:hanging="340"/>
                    <w:jc w:val="left"/>
                    <w:rPr>
                      <w:sz w:val="20"/>
                    </w:rPr>
                  </w:pPr>
                  <w:r>
                    <w:rPr>
                      <w:color w:val="58595B"/>
                      <w:sz w:val="20"/>
                    </w:rPr>
                    <w:t>Report to, educate and engage with the community on managing risks and the condition of the</w:t>
                  </w:r>
                  <w:r>
                    <w:rPr>
                      <w:color w:val="58595B"/>
                      <w:spacing w:val="-6"/>
                      <w:sz w:val="20"/>
                    </w:rPr>
                    <w:t> </w:t>
                  </w:r>
                  <w:r>
                    <w:rPr>
                      <w:color w:val="58595B"/>
                      <w:sz w:val="20"/>
                    </w:rPr>
                    <w:t>environment</w:t>
                  </w:r>
                </w:p>
                <w:p>
                  <w:pPr>
                    <w:pStyle w:val="ListParagraph"/>
                    <w:numPr>
                      <w:ilvl w:val="0"/>
                      <w:numId w:val="37"/>
                    </w:numPr>
                    <w:tabs>
                      <w:tab w:pos="511" w:val="left" w:leader="none"/>
                    </w:tabs>
                    <w:spacing w:line="240" w:lineRule="auto" w:before="172" w:after="0"/>
                    <w:ind w:left="510" w:right="0" w:hanging="340"/>
                    <w:jc w:val="left"/>
                    <w:rPr>
                      <w:sz w:val="20"/>
                    </w:rPr>
                  </w:pPr>
                  <w:r>
                    <w:rPr>
                      <w:color w:val="58595B"/>
                      <w:sz w:val="20"/>
                    </w:rPr>
                    <w:t>Monitor compliance and enforce the</w:t>
                  </w:r>
                  <w:r>
                    <w:rPr>
                      <w:color w:val="58595B"/>
                      <w:spacing w:val="9"/>
                      <w:sz w:val="20"/>
                    </w:rPr>
                    <w:t> </w:t>
                  </w:r>
                  <w:r>
                    <w:rPr>
                      <w:color w:val="58595B"/>
                      <w:sz w:val="20"/>
                    </w:rPr>
                    <w:t>law</w:t>
                  </w:r>
                </w:p>
                <w:p>
                  <w:pPr>
                    <w:pStyle w:val="BodyText"/>
                    <w:spacing w:before="3"/>
                    <w:ind w:left="0"/>
                    <w:rPr>
                      <w:rFonts w:ascii="Times New Roman"/>
                      <w:sz w:val="18"/>
                    </w:rPr>
                  </w:pPr>
                </w:p>
                <w:p>
                  <w:pPr>
                    <w:pStyle w:val="ListParagraph"/>
                    <w:numPr>
                      <w:ilvl w:val="0"/>
                      <w:numId w:val="37"/>
                    </w:numPr>
                    <w:tabs>
                      <w:tab w:pos="511" w:val="left" w:leader="none"/>
                    </w:tabs>
                    <w:spacing w:line="240" w:lineRule="auto" w:before="0" w:after="0"/>
                    <w:ind w:left="510" w:right="0" w:hanging="340"/>
                    <w:jc w:val="left"/>
                    <w:rPr>
                      <w:sz w:val="20"/>
                    </w:rPr>
                  </w:pPr>
                  <w:r>
                    <w:rPr>
                      <w:color w:val="58595B"/>
                      <w:sz w:val="20"/>
                    </w:rPr>
                    <w:t>Evaluate the effectiveness of regulatory</w:t>
                  </w:r>
                  <w:r>
                    <w:rPr>
                      <w:color w:val="58595B"/>
                      <w:spacing w:val="3"/>
                      <w:sz w:val="20"/>
                    </w:rPr>
                    <w:t> </w:t>
                  </w:r>
                  <w:r>
                    <w:rPr>
                      <w:color w:val="58595B"/>
                      <w:sz w:val="20"/>
                    </w:rPr>
                    <w:t>interventions.</w:t>
                  </w:r>
                </w:p>
              </w:txbxContent>
            </v:textbox>
            <w10:wrap type="none"/>
          </v:shape>
        </w:pict>
      </w:r>
      <w:r>
        <w:rPr/>
        <w:pict>
          <v:shape style="position:absolute;margin-left:.0pt;margin-top:44.090015pt;width:60.3pt;height:5.25pt;mso-position-horizontal-relative:page;mso-position-vertical-relative:page;z-index:-19703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97008"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96984" from="534.996094pt,45.840015pt" to="595.276001pt,45.840015pt" stroked="true" strokeweight="7pt" strokecolor="#0095a7">
            <w10:wrap type="none"/>
          </v:line>
        </w:pict>
      </w:r>
      <w:r>
        <w:rPr/>
        <w:pict>
          <v:line style="position:absolute;mso-position-horizontal-relative:page;mso-position-vertical-relative:page;z-index:-196960" from="90.708603pt,103.331017pt" to="524.409603pt,103.331017pt" stroked="true" strokeweight=".5pt" strokecolor="#58595b">
            <w10:wrap type="none"/>
          </v:line>
        </w:pict>
      </w:r>
      <w:r>
        <w:rPr/>
        <w:pict>
          <v:shape style="position:absolute;margin-left:240.988205pt;margin-top:40.902756pt;width:284.4pt;height:9.5pt;mso-position-horizontal-relative:page;mso-position-vertical-relative:page;z-index:-196936" type="#_x0000_t202" filled="false" stroked="false">
            <v:textbox inset="0,0,0,0">
              <w:txbxContent>
                <w:p>
                  <w:pPr>
                    <w:tabs>
                      <w:tab w:pos="5416" w:val="left" w:leader="none"/>
                    </w:tabs>
                    <w:spacing w:before="1"/>
                    <w:ind w:left="20" w:right="0" w:firstLine="0"/>
                    <w:jc w:val="left"/>
                    <w:rPr>
                      <w:sz w:val="15"/>
                    </w:rPr>
                  </w:pPr>
                  <w:r>
                    <w:rPr>
                      <w:color w:val="58595B"/>
                      <w:spacing w:val="3"/>
                      <w:sz w:val="15"/>
                    </w:rPr>
                    <w:t>CHAPTER </w:t>
                  </w:r>
                  <w:r>
                    <w:rPr>
                      <w:color w:val="58595B"/>
                      <w:sz w:val="15"/>
                    </w:rPr>
                    <w:t>5    </w:t>
                  </w:r>
                  <w:r>
                    <w:rPr>
                      <w:color w:val="58595B"/>
                      <w:spacing w:val="4"/>
                      <w:sz w:val="15"/>
                    </w:rPr>
                    <w:t>CLARIFYING </w:t>
                  </w:r>
                  <w:r>
                    <w:rPr>
                      <w:color w:val="58595B"/>
                      <w:spacing w:val="3"/>
                      <w:sz w:val="15"/>
                    </w:rPr>
                    <w:t>THE </w:t>
                  </w:r>
                  <w:r>
                    <w:rPr>
                      <w:color w:val="58595B"/>
                      <w:sz w:val="15"/>
                    </w:rPr>
                    <w:t>EPA’S </w:t>
                  </w:r>
                  <w:r>
                    <w:rPr>
                      <w:color w:val="58595B"/>
                      <w:spacing w:val="3"/>
                      <w:sz w:val="15"/>
                    </w:rPr>
                    <w:t>OBJECTIVES</w:t>
                  </w:r>
                  <w:r>
                    <w:rPr>
                      <w:color w:val="58595B"/>
                      <w:spacing w:val="-6"/>
                      <w:sz w:val="15"/>
                    </w:rPr>
                    <w:t> </w:t>
                  </w:r>
                  <w:r>
                    <w:rPr>
                      <w:color w:val="58595B"/>
                      <w:spacing w:val="3"/>
                      <w:sz w:val="15"/>
                    </w:rPr>
                    <w:t>AND FUNCTIONS</w:t>
                    <w:tab/>
                  </w:r>
                  <w:r>
                    <w:rPr>
                      <w:color w:val="58595B"/>
                      <w:sz w:val="15"/>
                    </w:rPr>
                    <w:t>105</w:t>
                  </w:r>
                </w:p>
              </w:txbxContent>
            </v:textbox>
            <w10:wrap type="none"/>
          </v:shape>
        </w:pict>
      </w:r>
      <w:r>
        <w:rPr/>
        <w:pict>
          <v:shape style="position:absolute;margin-left:89.708603pt;margin-top:106.22303pt;width:5.3pt;height:8pt;mso-position-horizontal-relative:page;mso-position-vertical-relative:page;z-index:-196912" type="#_x0000_t202" filled="false" stroked="false">
            <v:textbox inset="0,0,0,0">
              <w:txbxContent>
                <w:p>
                  <w:pPr>
                    <w:spacing w:before="4"/>
                    <w:ind w:left="20" w:right="0" w:firstLine="0"/>
                    <w:jc w:val="left"/>
                    <w:rPr>
                      <w:sz w:val="12"/>
                    </w:rPr>
                  </w:pPr>
                  <w:r>
                    <w:rPr>
                      <w:color w:val="58595B"/>
                      <w:sz w:val="12"/>
                    </w:rPr>
                    <w:t>1</w:t>
                  </w:r>
                </w:p>
              </w:txbxContent>
            </v:textbox>
            <w10:wrap type="none"/>
          </v:shape>
        </w:pict>
      </w:r>
      <w:r>
        <w:rPr/>
        <w:pict>
          <v:shape style="position:absolute;margin-left:103.850601pt;margin-top:106.22303pt;width:197.2pt;height:673.75pt;mso-position-horizontal-relative:page;mso-position-vertical-relative:page;z-index:-196888" type="#_x0000_t202" filled="false" stroked="false">
            <v:textbox inset="0,0,0,0">
              <w:txbxContent>
                <w:p>
                  <w:pPr>
                    <w:spacing w:line="242" w:lineRule="auto" w:before="4"/>
                    <w:ind w:left="20" w:right="142" w:firstLine="0"/>
                    <w:jc w:val="left"/>
                    <w:rPr>
                      <w:sz w:val="12"/>
                    </w:rPr>
                  </w:pPr>
                  <w:r>
                    <w:rPr>
                      <w:color w:val="58595B"/>
                      <w:sz w:val="12"/>
                    </w:rPr>
                    <w:t>New Zealand Productivity Commission 2014, </w:t>
                  </w:r>
                  <w:r>
                    <w:rPr>
                      <w:i/>
                      <w:color w:val="58595B"/>
                      <w:sz w:val="12"/>
                    </w:rPr>
                    <w:t>Regulatory institutions and practices</w:t>
                  </w:r>
                  <w:r>
                    <w:rPr>
                      <w:color w:val="58595B"/>
                      <w:sz w:val="12"/>
                    </w:rPr>
                    <w:t>, Wellington, June, p. 7; Department of Treasury and Finance 2014, Stage two statement of expectations for regulators guidelines, Melbourne, p. 5.</w:t>
                  </w:r>
                </w:p>
                <w:p>
                  <w:pPr>
                    <w:spacing w:line="242" w:lineRule="auto" w:before="29"/>
                    <w:ind w:left="20" w:right="142" w:firstLine="0"/>
                    <w:jc w:val="left"/>
                    <w:rPr>
                      <w:sz w:val="12"/>
                    </w:rPr>
                  </w:pPr>
                  <w:r>
                    <w:rPr>
                      <w:color w:val="58595B"/>
                      <w:sz w:val="12"/>
                    </w:rPr>
                    <w:t>UK House of Lords Select Committee on Regulators 2007, </w:t>
                  </w:r>
                  <w:r>
                    <w:rPr>
                      <w:i/>
                      <w:color w:val="58595B"/>
                      <w:sz w:val="12"/>
                    </w:rPr>
                    <w:t>UK economic regulators</w:t>
                  </w:r>
                  <w:r>
                    <w:rPr>
                      <w:color w:val="58595B"/>
                      <w:sz w:val="12"/>
                    </w:rPr>
                    <w:t>, First report</w:t>
                  </w:r>
                  <w:hyperlink r:id="rId17">
                    <w:r>
                      <w:rPr>
                        <w:color w:val="58595B"/>
                        <w:sz w:val="12"/>
                      </w:rPr>
                      <w:t>, http://www.publications.parliament.</w:t>
                    </w:r>
                  </w:hyperlink>
                  <w:r>
                    <w:rPr>
                      <w:color w:val="58595B"/>
                      <w:sz w:val="12"/>
                    </w:rPr>
                    <w:t> uk/pa/ld200607/ldselect/ldrgltrs/189/18906.htm, (accessed</w:t>
                  </w:r>
                </w:p>
                <w:p>
                  <w:pPr>
                    <w:spacing w:before="0"/>
                    <w:ind w:left="20" w:right="142" w:firstLine="0"/>
                    <w:jc w:val="left"/>
                    <w:rPr>
                      <w:sz w:val="12"/>
                    </w:rPr>
                  </w:pPr>
                  <w:r>
                    <w:rPr>
                      <w:color w:val="58595B"/>
                      <w:sz w:val="12"/>
                    </w:rPr>
                    <w:t>26 February 2016), pp. 23–4.</w:t>
                  </w:r>
                </w:p>
                <w:p>
                  <w:pPr>
                    <w:spacing w:line="242" w:lineRule="auto" w:before="30"/>
                    <w:ind w:left="20" w:right="142" w:firstLine="0"/>
                    <w:jc w:val="left"/>
                    <w:rPr>
                      <w:sz w:val="12"/>
                    </w:rPr>
                  </w:pPr>
                  <w:r>
                    <w:rPr>
                      <w:color w:val="58595B"/>
                      <w:sz w:val="12"/>
                    </w:rPr>
                    <w:t>OECD 2013, </w:t>
                  </w:r>
                  <w:r>
                    <w:rPr>
                      <w:i/>
                      <w:color w:val="58595B"/>
                      <w:sz w:val="12"/>
                    </w:rPr>
                    <w:t>Principles for the governance of regulators</w:t>
                  </w:r>
                  <w:r>
                    <w:rPr>
                      <w:color w:val="58595B"/>
                      <w:sz w:val="12"/>
                    </w:rPr>
                    <w:t>. Public consultation draft, June 2013, p. 7.</w:t>
                  </w:r>
                </w:p>
                <w:p>
                  <w:pPr>
                    <w:spacing w:line="242" w:lineRule="auto" w:before="29"/>
                    <w:ind w:left="20" w:right="142" w:firstLine="0"/>
                    <w:jc w:val="left"/>
                    <w:rPr>
                      <w:sz w:val="12"/>
                    </w:rPr>
                  </w:pPr>
                  <w:r>
                    <w:rPr>
                      <w:color w:val="58595B"/>
                      <w:sz w:val="12"/>
                    </w:rPr>
                    <w:t>The Strategy Shop 2015, </w:t>
                  </w:r>
                  <w:r>
                    <w:rPr>
                      <w:i/>
                      <w:color w:val="58595B"/>
                      <w:sz w:val="12"/>
                    </w:rPr>
                    <w:t>Report on Submissions to EPA Inquiry</w:t>
                  </w:r>
                  <w:r>
                    <w:rPr>
                      <w:color w:val="58595B"/>
                      <w:sz w:val="12"/>
                    </w:rPr>
                    <w:t>, Melbourne, December, p. 19.</w:t>
                  </w:r>
                </w:p>
                <w:p>
                  <w:pPr>
                    <w:spacing w:line="242" w:lineRule="auto" w:before="29"/>
                    <w:ind w:left="20" w:right="142" w:firstLine="0"/>
                    <w:jc w:val="left"/>
                    <w:rPr>
                      <w:sz w:val="12"/>
                    </w:rPr>
                  </w:pPr>
                  <w:r>
                    <w:rPr>
                      <w:color w:val="58595B"/>
                      <w:sz w:val="12"/>
                    </w:rPr>
                    <w:t>Krpan S 2011, </w:t>
                  </w:r>
                  <w:r>
                    <w:rPr>
                      <w:i/>
                      <w:color w:val="58595B"/>
                      <w:sz w:val="12"/>
                    </w:rPr>
                    <w:t>Compliance and Enforcement Review: a review of EPA Victoria’s approach</w:t>
                  </w:r>
                  <w:r>
                    <w:rPr>
                      <w:color w:val="58595B"/>
                      <w:sz w:val="12"/>
                    </w:rPr>
                    <w:t>, Melbourne, p.  311.</w:t>
                  </w:r>
                </w:p>
                <w:p>
                  <w:pPr>
                    <w:spacing w:line="242" w:lineRule="auto" w:before="29"/>
                    <w:ind w:left="20" w:right="68" w:firstLine="0"/>
                    <w:jc w:val="left"/>
                    <w:rPr>
                      <w:sz w:val="12"/>
                    </w:rPr>
                  </w:pPr>
                  <w:r>
                    <w:rPr>
                      <w:color w:val="58595B"/>
                      <w:sz w:val="12"/>
                    </w:rPr>
                    <w:t>The Strategy Shop 2015, </w:t>
                  </w:r>
                  <w:r>
                    <w:rPr>
                      <w:i/>
                      <w:color w:val="58595B"/>
                      <w:sz w:val="12"/>
                    </w:rPr>
                    <w:t>Report on Submissions to 2015 EPA Inquiry</w:t>
                  </w:r>
                  <w:r>
                    <w:rPr>
                      <w:color w:val="58595B"/>
                      <w:sz w:val="12"/>
                    </w:rPr>
                    <w:t>, Melbourne, December, p.  43.</w:t>
                  </w:r>
                </w:p>
                <w:p>
                  <w:pPr>
                    <w:spacing w:line="242" w:lineRule="auto" w:before="29"/>
                    <w:ind w:left="20" w:right="68" w:firstLine="0"/>
                    <w:jc w:val="left"/>
                    <w:rPr>
                      <w:sz w:val="12"/>
                    </w:rPr>
                  </w:pPr>
                  <w:r>
                    <w:rPr>
                      <w:color w:val="58595B"/>
                      <w:sz w:val="12"/>
                    </w:rPr>
                    <w:t>The Strategy Shop 2015, </w:t>
                  </w:r>
                  <w:r>
                    <w:rPr>
                      <w:i/>
                      <w:color w:val="58595B"/>
                      <w:sz w:val="12"/>
                    </w:rPr>
                    <w:t>Report on Submissions to 2015 EPA Inquiry</w:t>
                  </w:r>
                  <w:r>
                    <w:rPr>
                      <w:color w:val="58595B"/>
                      <w:sz w:val="12"/>
                    </w:rPr>
                    <w:t>, Melbourne, December, p.  43.</w:t>
                  </w:r>
                </w:p>
                <w:p>
                  <w:pPr>
                    <w:spacing w:line="242" w:lineRule="auto" w:before="29"/>
                    <w:ind w:left="20" w:right="195" w:firstLine="0"/>
                    <w:jc w:val="left"/>
                    <w:rPr>
                      <w:sz w:val="12"/>
                    </w:rPr>
                  </w:pPr>
                  <w:r>
                    <w:rPr>
                      <w:color w:val="58595B"/>
                      <w:sz w:val="12"/>
                    </w:rPr>
                    <w:t>For example, </w:t>
                  </w:r>
                  <w:r>
                    <w:rPr>
                      <w:color w:val="58595B"/>
                      <w:spacing w:val="2"/>
                      <w:sz w:val="12"/>
                    </w:rPr>
                    <w:t>Part </w:t>
                  </w:r>
                  <w:r>
                    <w:rPr>
                      <w:color w:val="58595B"/>
                      <w:sz w:val="12"/>
                    </w:rPr>
                    <w:t>IX of the Act deals with the framework for waste   and resource recovery infrastructure planning, and the statutory roles   of Sustainability </w:t>
                  </w:r>
                  <w:r>
                    <w:rPr>
                      <w:color w:val="58595B"/>
                      <w:spacing w:val="2"/>
                      <w:sz w:val="12"/>
                    </w:rPr>
                    <w:t>Victoria </w:t>
                  </w:r>
                  <w:r>
                    <w:rPr>
                      <w:color w:val="58595B"/>
                      <w:sz w:val="12"/>
                    </w:rPr>
                    <w:t>and of the Waste and Resource  </w:t>
                  </w:r>
                  <w:r>
                    <w:rPr>
                      <w:color w:val="58595B"/>
                      <w:spacing w:val="7"/>
                      <w:sz w:val="12"/>
                    </w:rPr>
                    <w:t> </w:t>
                  </w:r>
                  <w:r>
                    <w:rPr>
                      <w:color w:val="58595B"/>
                      <w:sz w:val="12"/>
                    </w:rPr>
                    <w:t>Recovery</w:t>
                  </w:r>
                </w:p>
                <w:p>
                  <w:pPr>
                    <w:spacing w:line="242" w:lineRule="auto" w:before="0"/>
                    <w:ind w:left="20" w:right="142" w:firstLine="0"/>
                    <w:jc w:val="left"/>
                    <w:rPr>
                      <w:sz w:val="12"/>
                    </w:rPr>
                  </w:pPr>
                  <w:r>
                    <w:rPr>
                      <w:color w:val="58595B"/>
                      <w:sz w:val="12"/>
                    </w:rPr>
                    <w:t>Groups in developing, respectively a statewide infrastructure plan, and regional  implementation plans.</w:t>
                  </w:r>
                </w:p>
                <w:p>
                  <w:pPr>
                    <w:spacing w:before="29"/>
                    <w:ind w:left="20" w:right="142" w:firstLine="0"/>
                    <w:jc w:val="left"/>
                    <w:rPr>
                      <w:sz w:val="12"/>
                    </w:rPr>
                  </w:pPr>
                  <w:r>
                    <w:rPr>
                      <w:color w:val="58595B"/>
                      <w:sz w:val="12"/>
                    </w:rPr>
                    <w:t>Moran E QC, </w:t>
                  </w:r>
                  <w:r>
                    <w:rPr>
                      <w:i/>
                      <w:color w:val="58595B"/>
                      <w:sz w:val="12"/>
                    </w:rPr>
                    <w:t>First Memorandum of Advice</w:t>
                  </w:r>
                  <w:r>
                    <w:rPr>
                      <w:color w:val="58595B"/>
                      <w:sz w:val="12"/>
                    </w:rPr>
                    <w:t>, p.  3.</w:t>
                  </w:r>
                </w:p>
                <w:p>
                  <w:pPr>
                    <w:spacing w:line="242" w:lineRule="auto" w:before="30"/>
                    <w:ind w:left="20" w:right="68" w:firstLine="0"/>
                    <w:jc w:val="left"/>
                    <w:rPr>
                      <w:sz w:val="12"/>
                    </w:rPr>
                  </w:pPr>
                  <w:r>
                    <w:rPr>
                      <w:color w:val="58595B"/>
                      <w:sz w:val="12"/>
                    </w:rPr>
                    <w:t>‘The Victorian Government should clarify the objectives of environmental regulation by ensuring all environmental legislation and supporting guidance contain clearly stated and specific objectives.’ Victorian Competition and Efficiency Commission 2009, </w:t>
                  </w:r>
                  <w:r>
                    <w:rPr>
                      <w:i/>
                      <w:color w:val="58595B"/>
                      <w:sz w:val="12"/>
                    </w:rPr>
                    <w:t>A sustainable future for Victoria: getting environmental regulation right</w:t>
                  </w:r>
                  <w:r>
                    <w:rPr>
                      <w:color w:val="58595B"/>
                      <w:sz w:val="12"/>
                    </w:rPr>
                    <w:t>, Final Report, July, p. LVII.</w:t>
                  </w:r>
                </w:p>
                <w:p>
                  <w:pPr>
                    <w:spacing w:line="242" w:lineRule="auto" w:before="29"/>
                    <w:ind w:left="20" w:right="142" w:firstLine="0"/>
                    <w:jc w:val="left"/>
                    <w:rPr>
                      <w:sz w:val="12"/>
                    </w:rPr>
                  </w:pPr>
                  <w:r>
                    <w:rPr>
                      <w:color w:val="58595B"/>
                      <w:sz w:val="12"/>
                    </w:rPr>
                    <w:t>OECD 2014, </w:t>
                  </w:r>
                  <w:r>
                    <w:rPr>
                      <w:i/>
                      <w:color w:val="58595B"/>
                      <w:sz w:val="12"/>
                    </w:rPr>
                    <w:t>The governance of regulators</w:t>
                  </w:r>
                  <w:r>
                    <w:rPr>
                      <w:color w:val="58595B"/>
                      <w:sz w:val="12"/>
                    </w:rPr>
                    <w:t>, OECD Best Practice Principles for Regulatory Policy, OECD Publishing, p.   30.</w:t>
                  </w:r>
                </w:p>
                <w:p>
                  <w:pPr>
                    <w:spacing w:line="242" w:lineRule="auto" w:before="29"/>
                    <w:ind w:left="20" w:right="142" w:firstLine="0"/>
                    <w:jc w:val="left"/>
                    <w:rPr>
                      <w:sz w:val="12"/>
                    </w:rPr>
                  </w:pPr>
                  <w:r>
                    <w:rPr>
                      <w:color w:val="58595B"/>
                      <w:sz w:val="12"/>
                    </w:rPr>
                    <w:t>Victorian Parliament, Hansard, Legislative Assembly, 12 November 1970, p. 1825 [Borthwick, Minister for Mines].</w:t>
                  </w:r>
                </w:p>
                <w:p>
                  <w:pPr>
                    <w:spacing w:line="242" w:lineRule="auto" w:before="29"/>
                    <w:ind w:left="20" w:right="142" w:firstLine="0"/>
                    <w:jc w:val="left"/>
                    <w:rPr>
                      <w:sz w:val="12"/>
                    </w:rPr>
                  </w:pPr>
                  <w:r>
                    <w:rPr>
                      <w:color w:val="58595B"/>
                      <w:sz w:val="12"/>
                    </w:rPr>
                    <w:t>UK House of Lords Select Committee on Regulators 2007, </w:t>
                  </w:r>
                  <w:r>
                    <w:rPr>
                      <w:i/>
                      <w:color w:val="58595B"/>
                      <w:sz w:val="12"/>
                    </w:rPr>
                    <w:t>UK economic regulators</w:t>
                  </w:r>
                  <w:r>
                    <w:rPr>
                      <w:color w:val="58595B"/>
                      <w:sz w:val="12"/>
                    </w:rPr>
                    <w:t>, First report, p.  24.</w:t>
                  </w:r>
                </w:p>
                <w:p>
                  <w:pPr>
                    <w:spacing w:line="242" w:lineRule="auto" w:before="29"/>
                    <w:ind w:left="20" w:right="142" w:firstLine="0"/>
                    <w:jc w:val="left"/>
                    <w:rPr>
                      <w:sz w:val="12"/>
                    </w:rPr>
                  </w:pPr>
                  <w:r>
                    <w:rPr>
                      <w:color w:val="58595B"/>
                      <w:sz w:val="12"/>
                    </w:rPr>
                    <w:t>Including for example, listing processes under the </w:t>
                  </w:r>
                  <w:r>
                    <w:rPr>
                      <w:i/>
                      <w:color w:val="58595B"/>
                      <w:sz w:val="12"/>
                    </w:rPr>
                    <w:t>Flora and Fauna Guarantee Act 1988</w:t>
                  </w:r>
                  <w:r>
                    <w:rPr>
                      <w:color w:val="58595B"/>
                      <w:sz w:val="12"/>
                    </w:rPr>
                    <w:t>, native vegetation permitted clearing regulations, and habitat compensation and land security obligations under the Melbourne Strategic  Assessment.</w:t>
                  </w:r>
                </w:p>
                <w:p>
                  <w:pPr>
                    <w:spacing w:line="242" w:lineRule="auto" w:before="29"/>
                    <w:ind w:left="20" w:right="23" w:firstLine="0"/>
                    <w:jc w:val="left"/>
                    <w:rPr>
                      <w:sz w:val="12"/>
                    </w:rPr>
                  </w:pPr>
                  <w:r>
                    <w:rPr>
                      <w:color w:val="58595B"/>
                      <w:sz w:val="12"/>
                    </w:rPr>
                    <w:t>Australian National Audit Office 2014, </w:t>
                  </w:r>
                  <w:r>
                    <w:rPr>
                      <w:i/>
                      <w:color w:val="58595B"/>
                      <w:sz w:val="12"/>
                    </w:rPr>
                    <w:t>Administering regulation – achieving the right balance, </w:t>
                  </w:r>
                  <w:r>
                    <w:rPr>
                      <w:color w:val="58595B"/>
                      <w:sz w:val="12"/>
                    </w:rPr>
                    <w:t>Better practice guide, Canberra, June, p.   7.</w:t>
                  </w:r>
                </w:p>
                <w:p>
                  <w:pPr>
                    <w:spacing w:line="242" w:lineRule="auto" w:before="29"/>
                    <w:ind w:left="20" w:right="142" w:firstLine="0"/>
                    <w:jc w:val="left"/>
                    <w:rPr>
                      <w:sz w:val="12"/>
                    </w:rPr>
                  </w:pPr>
                  <w:r>
                    <w:rPr>
                      <w:color w:val="58595B"/>
                      <w:sz w:val="12"/>
                    </w:rPr>
                    <w:t>Dovers S 2006, </w:t>
                  </w:r>
                  <w:r>
                    <w:rPr>
                      <w:i/>
                      <w:color w:val="58595B"/>
                      <w:sz w:val="12"/>
                    </w:rPr>
                    <w:t>The dilemma of conflicting environmental outcomes; current or emerging issues</w:t>
                  </w:r>
                  <w:r>
                    <w:rPr>
                      <w:color w:val="58595B"/>
                      <w:sz w:val="12"/>
                    </w:rPr>
                    <w:t>, Paper prepared for the Australian State of the Environment Committee, Centre for Resource and Environmental Studies,  Australian  National University.</w:t>
                  </w:r>
                </w:p>
                <w:p>
                  <w:pPr>
                    <w:spacing w:line="292" w:lineRule="auto" w:before="29"/>
                    <w:ind w:left="20" w:right="1595" w:firstLine="0"/>
                    <w:jc w:val="left"/>
                    <w:rPr>
                      <w:sz w:val="12"/>
                    </w:rPr>
                  </w:pPr>
                  <w:r>
                    <w:rPr>
                      <w:i/>
                      <w:color w:val="58595B"/>
                      <w:sz w:val="12"/>
                    </w:rPr>
                    <w:t>Planning and Environment Act 1987</w:t>
                  </w:r>
                  <w:r>
                    <w:rPr>
                      <w:color w:val="58595B"/>
                      <w:sz w:val="12"/>
                    </w:rPr>
                    <w:t>. Section 1(j), </w:t>
                  </w:r>
                  <w:r>
                    <w:rPr>
                      <w:i/>
                      <w:color w:val="58595B"/>
                      <w:sz w:val="12"/>
                    </w:rPr>
                    <w:t>Water Act 1989</w:t>
                  </w:r>
                  <w:r>
                    <w:rPr>
                      <w:color w:val="58595B"/>
                      <w:sz w:val="12"/>
                    </w:rPr>
                    <w:t>.</w:t>
                  </w:r>
                </w:p>
                <w:p>
                  <w:pPr>
                    <w:spacing w:before="1"/>
                    <w:ind w:left="20" w:right="142" w:firstLine="0"/>
                    <w:jc w:val="left"/>
                    <w:rPr>
                      <w:sz w:val="12"/>
                    </w:rPr>
                  </w:pPr>
                  <w:r>
                    <w:rPr>
                      <w:color w:val="58595B"/>
                      <w:sz w:val="12"/>
                    </w:rPr>
                    <w:t>Section 5, </w:t>
                  </w:r>
                  <w:r>
                    <w:rPr>
                      <w:i/>
                      <w:color w:val="58595B"/>
                      <w:sz w:val="12"/>
                    </w:rPr>
                    <w:t>Sustainable Forests (Timber) Act  2004</w:t>
                  </w:r>
                  <w:r>
                    <w:rPr>
                      <w:color w:val="58595B"/>
                      <w:sz w:val="12"/>
                    </w:rPr>
                    <w:t>.</w:t>
                  </w:r>
                </w:p>
                <w:p>
                  <w:pPr>
                    <w:spacing w:line="242" w:lineRule="auto" w:before="30"/>
                    <w:ind w:left="20" w:right="369" w:firstLine="0"/>
                    <w:jc w:val="left"/>
                    <w:rPr>
                      <w:sz w:val="12"/>
                    </w:rPr>
                  </w:pPr>
                  <w:r>
                    <w:rPr>
                      <w:color w:val="58595B"/>
                      <w:sz w:val="12"/>
                    </w:rPr>
                    <w:t>Section 2.1(b)(i), </w:t>
                  </w:r>
                  <w:r>
                    <w:rPr>
                      <w:i/>
                      <w:color w:val="58595B"/>
                      <w:sz w:val="12"/>
                    </w:rPr>
                    <w:t>Mineral Resources (Sustainable Development) Act 1990</w:t>
                  </w:r>
                  <w:r>
                    <w:rPr>
                      <w:color w:val="58595B"/>
                      <w:sz w:val="12"/>
                    </w:rPr>
                    <w:t>.</w:t>
                  </w:r>
                </w:p>
                <w:p>
                  <w:pPr>
                    <w:spacing w:before="29"/>
                    <w:ind w:left="20" w:right="142" w:firstLine="0"/>
                    <w:jc w:val="left"/>
                    <w:rPr>
                      <w:sz w:val="12"/>
                    </w:rPr>
                  </w:pPr>
                  <w:r>
                    <w:rPr>
                      <w:color w:val="58595B"/>
                      <w:sz w:val="12"/>
                    </w:rPr>
                    <w:t>Section 10(a)(b), </w:t>
                  </w:r>
                  <w:r>
                    <w:rPr>
                      <w:i/>
                      <w:color w:val="58595B"/>
                      <w:sz w:val="12"/>
                    </w:rPr>
                    <w:t>Transport Integration Act  2010</w:t>
                  </w:r>
                  <w:r>
                    <w:rPr>
                      <w:color w:val="58595B"/>
                      <w:sz w:val="12"/>
                    </w:rPr>
                    <w:t>.</w:t>
                  </w:r>
                </w:p>
                <w:p>
                  <w:pPr>
                    <w:spacing w:line="242" w:lineRule="auto" w:before="30"/>
                    <w:ind w:left="20" w:right="142" w:firstLine="0"/>
                    <w:jc w:val="left"/>
                    <w:rPr>
                      <w:sz w:val="12"/>
                    </w:rPr>
                  </w:pPr>
                  <w:r>
                    <w:rPr>
                      <w:color w:val="58595B"/>
                      <w:sz w:val="12"/>
                    </w:rPr>
                    <w:t>Doctors for the Environment 2013, </w:t>
                  </w:r>
                  <w:r>
                    <w:rPr>
                      <w:i/>
                      <w:color w:val="58595B"/>
                      <w:sz w:val="12"/>
                    </w:rPr>
                    <w:t>The health factor: ignored by industry, overlooked by government</w:t>
                  </w:r>
                  <w:r>
                    <w:rPr>
                      <w:color w:val="58595B"/>
                      <w:sz w:val="12"/>
                    </w:rPr>
                    <w:t>, Adelaide, p.  2.</w:t>
                  </w:r>
                </w:p>
                <w:p>
                  <w:pPr>
                    <w:spacing w:line="242" w:lineRule="auto" w:before="29"/>
                    <w:ind w:left="20" w:right="23" w:firstLine="0"/>
                    <w:jc w:val="left"/>
                    <w:rPr>
                      <w:sz w:val="12"/>
                    </w:rPr>
                  </w:pPr>
                  <w:r>
                    <w:rPr>
                      <w:color w:val="58595B"/>
                      <w:sz w:val="12"/>
                    </w:rPr>
                    <w:t>World Health Organisation definition quoted in </w:t>
                  </w:r>
                  <w:r>
                    <w:rPr>
                      <w:color w:val="58595B"/>
                      <w:spacing w:val="2"/>
                      <w:sz w:val="12"/>
                    </w:rPr>
                    <w:t>Department </w:t>
                  </w:r>
                  <w:r>
                    <w:rPr>
                      <w:color w:val="58595B"/>
                      <w:sz w:val="12"/>
                    </w:rPr>
                    <w:t>of Health, South Australia </w:t>
                  </w:r>
                  <w:r>
                    <w:rPr>
                      <w:color w:val="58595B"/>
                      <w:spacing w:val="2"/>
                      <w:sz w:val="12"/>
                    </w:rPr>
                    <w:t>2008, </w:t>
                  </w:r>
                  <w:r>
                    <w:rPr>
                      <w:i/>
                      <w:color w:val="58595B"/>
                      <w:sz w:val="12"/>
                    </w:rPr>
                    <w:t>Developing local government environmental  health indicators for South Australia: a discussion paper</w:t>
                  </w:r>
                  <w:r>
                    <w:rPr>
                      <w:color w:val="58595B"/>
                      <w:sz w:val="12"/>
                    </w:rPr>
                    <w:t>, Adelaide, p.  </w:t>
                  </w:r>
                  <w:r>
                    <w:rPr>
                      <w:color w:val="58595B"/>
                      <w:spacing w:val="21"/>
                      <w:sz w:val="12"/>
                    </w:rPr>
                    <w:t> </w:t>
                  </w:r>
                  <w:r>
                    <w:rPr>
                      <w:color w:val="58595B"/>
                      <w:spacing w:val="-5"/>
                      <w:sz w:val="12"/>
                    </w:rPr>
                    <w:t>7.</w:t>
                  </w:r>
                </w:p>
                <w:p>
                  <w:pPr>
                    <w:spacing w:line="242" w:lineRule="auto" w:before="29"/>
                    <w:ind w:left="20" w:right="195" w:firstLine="0"/>
                    <w:jc w:val="left"/>
                    <w:rPr>
                      <w:sz w:val="12"/>
                    </w:rPr>
                  </w:pPr>
                  <w:r>
                    <w:rPr>
                      <w:color w:val="58595B"/>
                      <w:sz w:val="12"/>
                    </w:rPr>
                    <w:t>EPA NSW, EPA South Australia, US EPA, Cal EPA, State of Minnesota Pollution Control Agency, New York City Department of Environmental  Protection.</w:t>
                  </w:r>
                </w:p>
                <w:p>
                  <w:pPr>
                    <w:spacing w:line="242" w:lineRule="auto" w:before="29"/>
                    <w:ind w:left="20" w:right="142" w:firstLine="0"/>
                    <w:jc w:val="left"/>
                    <w:rPr>
                      <w:sz w:val="12"/>
                    </w:rPr>
                  </w:pPr>
                  <w:r>
                    <w:rPr>
                      <w:color w:val="58595B"/>
                      <w:sz w:val="12"/>
                    </w:rPr>
                    <w:t>Victorian Parliament, Hansard, Legislative Assembly, 12 November 1970, p. 1818 [Borthwick, Minister for Mines].</w:t>
                  </w:r>
                </w:p>
                <w:p>
                  <w:pPr>
                    <w:spacing w:line="242" w:lineRule="auto" w:before="29"/>
                    <w:ind w:left="20" w:right="68" w:firstLine="0"/>
                    <w:jc w:val="left"/>
                    <w:rPr>
                      <w:sz w:val="12"/>
                    </w:rPr>
                  </w:pPr>
                  <w:r>
                    <w:rPr>
                      <w:color w:val="58595B"/>
                      <w:sz w:val="12"/>
                    </w:rPr>
                    <w:t>United Nations Statistics Division, </w:t>
                  </w:r>
                  <w:r>
                    <w:rPr>
                      <w:i/>
                      <w:color w:val="58595B"/>
                      <w:sz w:val="12"/>
                    </w:rPr>
                    <w:t>System of environmental-economic accounting (SEEA)</w:t>
                  </w:r>
                  <w:hyperlink r:id="rId18">
                    <w:r>
                      <w:rPr>
                        <w:color w:val="58595B"/>
                        <w:sz w:val="12"/>
                      </w:rPr>
                      <w:t>, http://unstats.un.org/unsd/envaccounting/seea.asp</w:t>
                    </w:r>
                  </w:hyperlink>
                  <w:r>
                    <w:rPr>
                      <w:color w:val="58595B"/>
                      <w:sz w:val="12"/>
                    </w:rPr>
                    <w:t> (accessed 26 February 2016).</w:t>
                  </w:r>
                </w:p>
                <w:p>
                  <w:pPr>
                    <w:spacing w:line="242" w:lineRule="auto" w:before="29"/>
                    <w:ind w:left="20" w:right="68" w:firstLine="0"/>
                    <w:jc w:val="left"/>
                    <w:rPr>
                      <w:sz w:val="12"/>
                    </w:rPr>
                  </w:pPr>
                  <w:r>
                    <w:rPr>
                      <w:color w:val="58595B"/>
                      <w:sz w:val="12"/>
                    </w:rPr>
                    <w:t>United Nations 2014, </w:t>
                  </w:r>
                  <w:r>
                    <w:rPr>
                      <w:i/>
                      <w:color w:val="58595B"/>
                      <w:sz w:val="12"/>
                    </w:rPr>
                    <w:t>System of Environmental – Economic Accounting 2012 Central Framework</w:t>
                  </w:r>
                  <w:r>
                    <w:rPr>
                      <w:color w:val="58595B"/>
                      <w:sz w:val="12"/>
                    </w:rPr>
                    <w:t>, New York, p. 14.</w:t>
                  </w:r>
                </w:p>
                <w:p>
                  <w:pPr>
                    <w:spacing w:line="242" w:lineRule="auto" w:before="29"/>
                    <w:ind w:left="20" w:right="142" w:firstLine="0"/>
                    <w:jc w:val="left"/>
                    <w:rPr>
                      <w:sz w:val="12"/>
                    </w:rPr>
                  </w:pPr>
                  <w:r>
                    <w:rPr>
                      <w:color w:val="58595B"/>
                      <w:sz w:val="12"/>
                    </w:rPr>
                    <w:t>Dovers S 2006, </w:t>
                  </w:r>
                  <w:r>
                    <w:rPr>
                      <w:i/>
                      <w:color w:val="58595B"/>
                      <w:sz w:val="12"/>
                    </w:rPr>
                    <w:t>The dilemma of conflicting environmental outcomes: current or emerging issues</w:t>
                  </w:r>
                  <w:r>
                    <w:rPr>
                      <w:color w:val="58595B"/>
                      <w:sz w:val="12"/>
                    </w:rPr>
                    <w:t>, Paper prepared for the Australian State of the Environment Committee, Centre for Resource and Environmental Studies, Australian National University, p.  3.</w:t>
                  </w:r>
                </w:p>
                <w:p>
                  <w:pPr>
                    <w:spacing w:line="242" w:lineRule="auto" w:before="29"/>
                    <w:ind w:left="20" w:right="142" w:firstLine="0"/>
                    <w:jc w:val="left"/>
                    <w:rPr>
                      <w:sz w:val="12"/>
                    </w:rPr>
                  </w:pPr>
                  <w:hyperlink r:id="rId19">
                    <w:r>
                      <w:rPr>
                        <w:color w:val="58595B"/>
                        <w:sz w:val="12"/>
                      </w:rPr>
                      <w:t>http://www.vic.gov.au/PublicSectorInnovation/our-approach</w:t>
                    </w:r>
                  </w:hyperlink>
                  <w:r>
                    <w:rPr>
                      <w:color w:val="58595B"/>
                      <w:sz w:val="12"/>
                    </w:rPr>
                    <w:t> (accessed 19 March</w:t>
                  </w:r>
                  <w:r>
                    <w:rPr>
                      <w:color w:val="58595B"/>
                      <w:spacing w:val="6"/>
                      <w:sz w:val="12"/>
                    </w:rPr>
                    <w:t> </w:t>
                  </w:r>
                  <w:r>
                    <w:rPr>
                      <w:color w:val="58595B"/>
                      <w:sz w:val="12"/>
                    </w:rPr>
                    <w:t>2016).</w:t>
                  </w:r>
                </w:p>
                <w:p>
                  <w:pPr>
                    <w:spacing w:line="292" w:lineRule="auto" w:before="29"/>
                    <w:ind w:left="20" w:right="848" w:firstLine="0"/>
                    <w:jc w:val="left"/>
                    <w:rPr>
                      <w:sz w:val="12"/>
                    </w:rPr>
                  </w:pPr>
                  <w:r>
                    <w:rPr>
                      <w:color w:val="58595B"/>
                      <w:sz w:val="12"/>
                    </w:rPr>
                    <w:t>Sections 1B–1L, </w:t>
                  </w:r>
                  <w:r>
                    <w:rPr>
                      <w:i/>
                      <w:color w:val="58595B"/>
                      <w:sz w:val="12"/>
                    </w:rPr>
                    <w:t>Environment Protection Act 1970</w:t>
                  </w:r>
                  <w:r>
                    <w:rPr>
                      <w:color w:val="58595B"/>
                      <w:sz w:val="12"/>
                    </w:rPr>
                    <w:t>. Section 1A, </w:t>
                  </w:r>
                  <w:r>
                    <w:rPr>
                      <w:i/>
                      <w:color w:val="58595B"/>
                      <w:sz w:val="12"/>
                    </w:rPr>
                    <w:t>Environment Protection Act  1970</w:t>
                  </w:r>
                  <w:r>
                    <w:rPr>
                      <w:color w:val="58595B"/>
                      <w:sz w:val="12"/>
                    </w:rPr>
                    <w:t>.</w:t>
                  </w:r>
                </w:p>
                <w:p>
                  <w:pPr>
                    <w:spacing w:line="242" w:lineRule="auto" w:before="1"/>
                    <w:ind w:left="20" w:right="142" w:firstLine="0"/>
                    <w:jc w:val="left"/>
                    <w:rPr>
                      <w:sz w:val="12"/>
                    </w:rPr>
                  </w:pPr>
                  <w:r>
                    <w:rPr>
                      <w:color w:val="58595B"/>
                      <w:sz w:val="12"/>
                    </w:rPr>
                    <w:t>Victorian Parliament, Hansard, Legislative Assembly, 2 November 2000, p. 1457 [Garbutt, Minister for Environment and  Conservation].</w:t>
                  </w:r>
                </w:p>
                <w:p>
                  <w:pPr>
                    <w:spacing w:line="242" w:lineRule="auto" w:before="29"/>
                    <w:ind w:left="20" w:right="369" w:firstLine="0"/>
                    <w:jc w:val="left"/>
                    <w:rPr>
                      <w:sz w:val="12"/>
                    </w:rPr>
                  </w:pPr>
                  <w:r>
                    <w:rPr>
                      <w:color w:val="58595B"/>
                      <w:sz w:val="12"/>
                    </w:rPr>
                    <w:t>EPA </w:t>
                  </w:r>
                  <w:r>
                    <w:rPr>
                      <w:color w:val="58595B"/>
                      <w:spacing w:val="2"/>
                      <w:sz w:val="12"/>
                    </w:rPr>
                    <w:t>Victoria, </w:t>
                  </w:r>
                  <w:r>
                    <w:rPr>
                      <w:i/>
                      <w:color w:val="58595B"/>
                      <w:sz w:val="12"/>
                    </w:rPr>
                    <w:t>Application of the environment protection principles  to EPA’s approvals process</w:t>
                  </w:r>
                  <w:hyperlink r:id="rId20">
                    <w:r>
                      <w:rPr>
                        <w:color w:val="58595B"/>
                        <w:sz w:val="12"/>
                      </w:rPr>
                      <w:t>, http://www.epa.vic.gov.au/~/media/</w:t>
                    </w:r>
                  </w:hyperlink>
                  <w:r>
                    <w:rPr>
                      <w:color w:val="58595B"/>
                      <w:sz w:val="12"/>
                    </w:rPr>
                    <w:t> Publications/1565.pdf (accessed 26 </w:t>
                  </w:r>
                  <w:r>
                    <w:rPr>
                      <w:color w:val="58595B"/>
                      <w:spacing w:val="2"/>
                      <w:sz w:val="12"/>
                    </w:rPr>
                    <w:t>February </w:t>
                  </w:r>
                  <w:r>
                    <w:rPr>
                      <w:color w:val="58595B"/>
                      <w:spacing w:val="17"/>
                      <w:sz w:val="12"/>
                    </w:rPr>
                    <w:t> </w:t>
                  </w:r>
                  <w:r>
                    <w:rPr>
                      <w:color w:val="58595B"/>
                      <w:sz w:val="12"/>
                    </w:rPr>
                    <w:t>2016).</w:t>
                  </w:r>
                </w:p>
                <w:p>
                  <w:pPr>
                    <w:spacing w:line="242" w:lineRule="auto" w:before="29"/>
                    <w:ind w:left="20" w:right="142" w:firstLine="0"/>
                    <w:jc w:val="left"/>
                    <w:rPr>
                      <w:sz w:val="12"/>
                    </w:rPr>
                  </w:pPr>
                  <w:r>
                    <w:rPr>
                      <w:i/>
                      <w:color w:val="58595B"/>
                      <w:sz w:val="12"/>
                    </w:rPr>
                    <w:t>Phosphate Cooperative Co. of Australia Ltd v Environment Protection Authority </w:t>
                  </w:r>
                  <w:r>
                    <w:rPr>
                      <w:color w:val="58595B"/>
                      <w:sz w:val="12"/>
                    </w:rPr>
                    <w:t>1977, High Court of Australia 65 at [19] Stephen J, cited in Moran E QC, </w:t>
                  </w:r>
                  <w:r>
                    <w:rPr>
                      <w:i/>
                      <w:color w:val="58595B"/>
                      <w:sz w:val="12"/>
                    </w:rPr>
                    <w:t>First Memorandum of Advice</w:t>
                  </w:r>
                  <w:r>
                    <w:rPr>
                      <w:color w:val="58595B"/>
                      <w:sz w:val="12"/>
                    </w:rPr>
                    <w:t>, p.  10.</w:t>
                  </w:r>
                </w:p>
                <w:p>
                  <w:pPr>
                    <w:spacing w:line="242" w:lineRule="auto" w:before="29"/>
                    <w:ind w:left="20" w:right="195" w:firstLine="0"/>
                    <w:jc w:val="left"/>
                    <w:rPr>
                      <w:sz w:val="12"/>
                    </w:rPr>
                  </w:pPr>
                  <w:r>
                    <w:rPr>
                      <w:color w:val="58595B"/>
                      <w:sz w:val="12"/>
                    </w:rPr>
                    <w:t>Byres W 2013, Secretary General Basel Committee on Banking Supervision, </w:t>
                  </w:r>
                  <w:r>
                    <w:rPr>
                      <w:i/>
                      <w:color w:val="58595B"/>
                      <w:sz w:val="12"/>
                    </w:rPr>
                    <w:t>Simplicity, risk sensitivity and comparability: the regulatory balancing act</w:t>
                  </w:r>
                  <w:r>
                    <w:rPr>
                      <w:color w:val="58595B"/>
                      <w:sz w:val="12"/>
                    </w:rPr>
                    <w:t>, February, Seoul, Korea, p.  2.</w:t>
                  </w:r>
                </w:p>
                <w:p>
                  <w:pPr>
                    <w:spacing w:line="242" w:lineRule="auto" w:before="29"/>
                    <w:ind w:left="20" w:right="369" w:firstLine="0"/>
                    <w:jc w:val="left"/>
                    <w:rPr>
                      <w:sz w:val="12"/>
                    </w:rPr>
                  </w:pPr>
                  <w:r>
                    <w:rPr>
                      <w:color w:val="58595B"/>
                      <w:sz w:val="12"/>
                    </w:rPr>
                    <w:t>Australian Law Reform Commission 2003, </w:t>
                  </w:r>
                  <w:r>
                    <w:rPr>
                      <w:i/>
                      <w:color w:val="58595B"/>
                      <w:sz w:val="12"/>
                    </w:rPr>
                    <w:t>Essentially yours: the protection of human genetic information in Australia</w:t>
                  </w:r>
                  <w:r>
                    <w:rPr>
                      <w:color w:val="58595B"/>
                      <w:sz w:val="12"/>
                    </w:rPr>
                    <w:t>, ALRC report 96, May.</w:t>
                  </w:r>
                </w:p>
              </w:txbxContent>
            </v:textbox>
            <w10:wrap type="none"/>
          </v:shape>
        </w:pict>
      </w:r>
      <w:r>
        <w:rPr/>
        <w:pict>
          <v:shape style="position:absolute;margin-left:312.524597pt;margin-top:106.355026pt;width:8.85pt;height:24.85pt;mso-position-horizontal-relative:page;mso-position-vertical-relative:page;z-index:-196864" type="#_x0000_t202" filled="false" stroked="false">
            <v:textbox inset="0,0,0,0">
              <w:txbxContent>
                <w:p>
                  <w:pPr>
                    <w:spacing w:before="4"/>
                    <w:ind w:left="20" w:right="0" w:firstLine="0"/>
                    <w:jc w:val="left"/>
                    <w:rPr>
                      <w:sz w:val="12"/>
                    </w:rPr>
                  </w:pPr>
                  <w:r>
                    <w:rPr>
                      <w:color w:val="58595B"/>
                      <w:sz w:val="12"/>
                    </w:rPr>
                    <w:t>37</w:t>
                  </w:r>
                </w:p>
                <w:p>
                  <w:pPr>
                    <w:spacing w:before="30"/>
                    <w:ind w:left="20" w:right="0" w:firstLine="0"/>
                    <w:jc w:val="left"/>
                    <w:rPr>
                      <w:sz w:val="12"/>
                    </w:rPr>
                  </w:pPr>
                  <w:r>
                    <w:rPr>
                      <w:color w:val="58595B"/>
                      <w:sz w:val="12"/>
                    </w:rPr>
                    <w:t>38</w:t>
                  </w:r>
                </w:p>
                <w:p>
                  <w:pPr>
                    <w:spacing w:before="30"/>
                    <w:ind w:left="20" w:right="0" w:firstLine="0"/>
                    <w:jc w:val="left"/>
                    <w:rPr>
                      <w:sz w:val="12"/>
                    </w:rPr>
                  </w:pPr>
                  <w:r>
                    <w:rPr>
                      <w:color w:val="58595B"/>
                      <w:sz w:val="12"/>
                    </w:rPr>
                    <w:t>39</w:t>
                  </w:r>
                </w:p>
              </w:txbxContent>
            </v:textbox>
            <w10:wrap type="none"/>
          </v:shape>
        </w:pict>
      </w:r>
      <w:r>
        <w:rPr/>
        <w:pict>
          <v:shape style="position:absolute;margin-left:326.636597pt;margin-top:106.355026pt;width:197.55pt;height:679.25pt;mso-position-horizontal-relative:page;mso-position-vertical-relative:page;z-index:-196840" type="#_x0000_t202" filled="false" stroked="false">
            <v:textbox inset="0,0,0,0">
              <w:txbxContent>
                <w:p>
                  <w:pPr>
                    <w:spacing w:line="292" w:lineRule="auto" w:before="4"/>
                    <w:ind w:left="21" w:right="855" w:firstLine="0"/>
                    <w:jc w:val="left"/>
                    <w:rPr>
                      <w:sz w:val="12"/>
                    </w:rPr>
                  </w:pPr>
                  <w:r>
                    <w:rPr>
                      <w:color w:val="58595B"/>
                      <w:sz w:val="12"/>
                    </w:rPr>
                    <w:t>Moran E QC, </w:t>
                  </w:r>
                  <w:r>
                    <w:rPr>
                      <w:i/>
                      <w:color w:val="58595B"/>
                      <w:sz w:val="12"/>
                    </w:rPr>
                    <w:t>First Memorandum of Advice</w:t>
                  </w:r>
                  <w:r>
                    <w:rPr>
                      <w:color w:val="58595B"/>
                      <w:sz w:val="12"/>
                    </w:rPr>
                    <w:t>, p. 12. Sections 1B(2), (3), </w:t>
                  </w:r>
                  <w:r>
                    <w:rPr>
                      <w:i/>
                      <w:color w:val="58595B"/>
                      <w:sz w:val="12"/>
                    </w:rPr>
                    <w:t>Environment Protection Act  1970</w:t>
                  </w:r>
                  <w:r>
                    <w:rPr>
                      <w:color w:val="58595B"/>
                      <w:sz w:val="12"/>
                    </w:rPr>
                    <w:t>.</w:t>
                  </w:r>
                </w:p>
                <w:p>
                  <w:pPr>
                    <w:spacing w:line="242" w:lineRule="auto" w:before="1"/>
                    <w:ind w:left="21" w:right="493" w:firstLine="0"/>
                    <w:jc w:val="left"/>
                    <w:rPr>
                      <w:sz w:val="12"/>
                    </w:rPr>
                  </w:pPr>
                  <w:r>
                    <w:rPr>
                      <w:color w:val="58595B"/>
                      <w:sz w:val="12"/>
                    </w:rPr>
                    <w:t>Department of the Environment, Intergovernmental Agreement on the Environment, https://</w:t>
                  </w:r>
                  <w:hyperlink r:id="rId21">
                    <w:r>
                      <w:rPr>
                        <w:color w:val="58595B"/>
                        <w:sz w:val="12"/>
                      </w:rPr>
                      <w:t>www.environment.gov.au/about-</w:t>
                    </w:r>
                  </w:hyperlink>
                  <w:r>
                    <w:rPr>
                      <w:color w:val="58595B"/>
                      <w:sz w:val="12"/>
                    </w:rPr>
                    <w:t> us/esd/publications/intergovernmental-agreement    (accessed 28 February 2016).</w:t>
                  </w:r>
                </w:p>
                <w:p>
                  <w:pPr>
                    <w:spacing w:line="292" w:lineRule="auto" w:before="29"/>
                    <w:ind w:left="21" w:right="855" w:firstLine="0"/>
                    <w:jc w:val="left"/>
                    <w:rPr>
                      <w:sz w:val="12"/>
                    </w:rPr>
                  </w:pPr>
                  <w:r>
                    <w:rPr>
                      <w:color w:val="58595B"/>
                      <w:sz w:val="12"/>
                    </w:rPr>
                    <w:t>Sections 1B–1F, </w:t>
                  </w:r>
                  <w:r>
                    <w:rPr>
                      <w:i/>
                      <w:color w:val="58595B"/>
                      <w:sz w:val="12"/>
                    </w:rPr>
                    <w:t>Environment Protection Act 1970</w:t>
                  </w:r>
                  <w:r>
                    <w:rPr>
                      <w:color w:val="58595B"/>
                      <w:sz w:val="12"/>
                    </w:rPr>
                    <w:t>. Sections 1G(2), 1L(1), </w:t>
                  </w:r>
                  <w:r>
                    <w:rPr>
                      <w:i/>
                      <w:color w:val="58595B"/>
                      <w:sz w:val="12"/>
                    </w:rPr>
                    <w:t>Environment Protection Act  1970</w:t>
                  </w:r>
                  <w:r>
                    <w:rPr>
                      <w:color w:val="58595B"/>
                      <w:sz w:val="12"/>
                    </w:rPr>
                    <w:t>.</w:t>
                  </w:r>
                </w:p>
                <w:p>
                  <w:pPr>
                    <w:spacing w:line="292" w:lineRule="auto" w:before="1"/>
                    <w:ind w:left="21" w:right="493" w:firstLine="0"/>
                    <w:jc w:val="left"/>
                    <w:rPr>
                      <w:sz w:val="12"/>
                    </w:rPr>
                  </w:pPr>
                  <w:r>
                    <w:rPr>
                      <w:color w:val="58595B"/>
                      <w:sz w:val="12"/>
                    </w:rPr>
                    <w:t>Sections 1J, 1K, 1L(2)(a), (b), </w:t>
                  </w:r>
                  <w:r>
                    <w:rPr>
                      <w:i/>
                      <w:color w:val="58595B"/>
                      <w:sz w:val="12"/>
                    </w:rPr>
                    <w:t>Environment Protection Act 1970</w:t>
                  </w:r>
                  <w:r>
                    <w:rPr>
                      <w:color w:val="58595B"/>
                      <w:sz w:val="12"/>
                    </w:rPr>
                    <w:t>. Moran E QC, </w:t>
                  </w:r>
                  <w:r>
                    <w:rPr>
                      <w:i/>
                      <w:color w:val="58595B"/>
                      <w:sz w:val="12"/>
                    </w:rPr>
                    <w:t>First Memorandum of Advice</w:t>
                  </w:r>
                  <w:r>
                    <w:rPr>
                      <w:color w:val="58595B"/>
                      <w:sz w:val="12"/>
                    </w:rPr>
                    <w:t>, p.  11.</w:t>
                  </w:r>
                </w:p>
                <w:p>
                  <w:pPr>
                    <w:spacing w:line="242" w:lineRule="auto" w:before="1"/>
                    <w:ind w:left="21" w:right="62" w:firstLine="0"/>
                    <w:jc w:val="left"/>
                    <w:rPr>
                      <w:sz w:val="12"/>
                    </w:rPr>
                  </w:pPr>
                  <w:r>
                    <w:rPr>
                      <w:color w:val="58595B"/>
                      <w:sz w:val="12"/>
                    </w:rPr>
                    <w:t>For example, between sections 1B(2) and 1F(1), and between sections 1B(2) and 1D, </w:t>
                  </w:r>
                  <w:r>
                    <w:rPr>
                      <w:i/>
                      <w:color w:val="58595B"/>
                      <w:sz w:val="12"/>
                    </w:rPr>
                    <w:t>Environment Protection Act  1970</w:t>
                  </w:r>
                  <w:r>
                    <w:rPr>
                      <w:color w:val="58595B"/>
                      <w:sz w:val="12"/>
                    </w:rPr>
                    <w:t>.</w:t>
                  </w:r>
                </w:p>
                <w:p>
                  <w:pPr>
                    <w:spacing w:line="242" w:lineRule="auto" w:before="29"/>
                    <w:ind w:left="21" w:right="62" w:firstLine="0"/>
                    <w:jc w:val="left"/>
                    <w:rPr>
                      <w:sz w:val="12"/>
                    </w:rPr>
                  </w:pPr>
                  <w:r>
                    <w:rPr>
                      <w:i/>
                      <w:color w:val="58595B"/>
                      <w:sz w:val="12"/>
                    </w:rPr>
                    <w:t>Geelong Community for Good Life v EPA </w:t>
                  </w:r>
                  <w:r>
                    <w:rPr>
                      <w:color w:val="58595B"/>
                      <w:sz w:val="12"/>
                    </w:rPr>
                    <w:t>[2008] VSC 185 Cavanough J at [34] cited in Moran E QC, </w:t>
                  </w:r>
                  <w:r>
                    <w:rPr>
                      <w:i/>
                      <w:color w:val="58595B"/>
                      <w:sz w:val="12"/>
                    </w:rPr>
                    <w:t>First Memorandum of Advice</w:t>
                  </w:r>
                  <w:r>
                    <w:rPr>
                      <w:color w:val="58595B"/>
                      <w:sz w:val="12"/>
                    </w:rPr>
                    <w:t>, p.   12.</w:t>
                  </w:r>
                </w:p>
                <w:p>
                  <w:pPr>
                    <w:spacing w:line="242" w:lineRule="auto" w:before="29"/>
                    <w:ind w:left="21" w:right="365" w:firstLine="0"/>
                    <w:jc w:val="left"/>
                    <w:rPr>
                      <w:sz w:val="12"/>
                    </w:rPr>
                  </w:pPr>
                  <w:r>
                    <w:rPr>
                      <w:color w:val="58595B"/>
                      <w:sz w:val="12"/>
                    </w:rPr>
                    <w:t>EPA </w:t>
                  </w:r>
                  <w:r>
                    <w:rPr>
                      <w:color w:val="58595B"/>
                      <w:spacing w:val="2"/>
                      <w:sz w:val="12"/>
                    </w:rPr>
                    <w:t>Victoria, </w:t>
                  </w:r>
                  <w:r>
                    <w:rPr>
                      <w:i/>
                      <w:color w:val="58595B"/>
                      <w:sz w:val="12"/>
                    </w:rPr>
                    <w:t>Application of the environment protection principles  to EPA’s approvals process</w:t>
                  </w:r>
                  <w:hyperlink r:id="rId22">
                    <w:r>
                      <w:rPr>
                        <w:color w:val="58595B"/>
                        <w:sz w:val="12"/>
                      </w:rPr>
                      <w:t>, http://www.epa.vic.gov.au/our-</w:t>
                    </w:r>
                  </w:hyperlink>
                  <w:r>
                    <w:rPr>
                      <w:color w:val="58595B"/>
                      <w:sz w:val="12"/>
                    </w:rPr>
                    <w:t> work/publications/publication/2013/october/1554   </w:t>
                  </w:r>
                  <w:r>
                    <w:rPr>
                      <w:color w:val="58595B"/>
                      <w:spacing w:val="1"/>
                      <w:sz w:val="12"/>
                    </w:rPr>
                    <w:t> </w:t>
                  </w:r>
                  <w:r>
                    <w:rPr>
                      <w:color w:val="58595B"/>
                      <w:sz w:val="12"/>
                    </w:rPr>
                    <w:t>(accessed</w:t>
                  </w:r>
                </w:p>
                <w:p>
                  <w:pPr>
                    <w:spacing w:before="0"/>
                    <w:ind w:left="21" w:right="855" w:firstLine="0"/>
                    <w:jc w:val="left"/>
                    <w:rPr>
                      <w:sz w:val="12"/>
                    </w:rPr>
                  </w:pPr>
                  <w:r>
                    <w:rPr>
                      <w:color w:val="58595B"/>
                      <w:sz w:val="12"/>
                    </w:rPr>
                    <w:t>11 January 2016).</w:t>
                  </w:r>
                </w:p>
                <w:p>
                  <w:pPr>
                    <w:spacing w:line="242" w:lineRule="auto" w:before="30"/>
                    <w:ind w:left="21" w:right="162" w:firstLine="0"/>
                    <w:jc w:val="left"/>
                    <w:rPr>
                      <w:sz w:val="12"/>
                    </w:rPr>
                  </w:pPr>
                  <w:r>
                    <w:rPr>
                      <w:color w:val="58595B"/>
                      <w:sz w:val="12"/>
                    </w:rPr>
                    <w:t>For example, the </w:t>
                  </w:r>
                  <w:r>
                    <w:rPr>
                      <w:i/>
                      <w:color w:val="58595B"/>
                      <w:sz w:val="12"/>
                    </w:rPr>
                    <w:t>Wildlife Act 1975 </w:t>
                  </w:r>
                  <w:r>
                    <w:rPr>
                      <w:color w:val="58595B"/>
                      <w:sz w:val="12"/>
                    </w:rPr>
                    <w:t>or the </w:t>
                  </w:r>
                  <w:r>
                    <w:rPr>
                      <w:i/>
                      <w:color w:val="58595B"/>
                      <w:sz w:val="12"/>
                    </w:rPr>
                    <w:t>Flora and Fauna Guarantee Act 1988</w:t>
                  </w:r>
                  <w:r>
                    <w:rPr>
                      <w:color w:val="58595B"/>
                      <w:sz w:val="12"/>
                    </w:rPr>
                    <w:t>.</w:t>
                  </w:r>
                </w:p>
                <w:p>
                  <w:pPr>
                    <w:spacing w:line="242" w:lineRule="auto" w:before="29"/>
                    <w:ind w:left="20" w:right="493" w:firstLine="0"/>
                    <w:jc w:val="left"/>
                    <w:rPr>
                      <w:sz w:val="12"/>
                    </w:rPr>
                  </w:pPr>
                  <w:r>
                    <w:rPr>
                      <w:color w:val="58595B"/>
                      <w:sz w:val="12"/>
                    </w:rPr>
                    <w:t>Section 17, </w:t>
                  </w:r>
                  <w:r>
                    <w:rPr>
                      <w:i/>
                      <w:color w:val="58595B"/>
                      <w:sz w:val="12"/>
                    </w:rPr>
                    <w:t>Transport Integration Act 2010</w:t>
                  </w:r>
                  <w:r>
                    <w:rPr>
                      <w:color w:val="58595B"/>
                      <w:sz w:val="12"/>
                    </w:rPr>
                    <w:t>; Section 2(a) </w:t>
                  </w:r>
                  <w:r>
                    <w:rPr>
                      <w:i/>
                      <w:color w:val="58595B"/>
                      <w:sz w:val="12"/>
                    </w:rPr>
                    <w:t>Mineral Resources (Sustainable Development) Act  1990</w:t>
                  </w:r>
                  <w:r>
                    <w:rPr>
                      <w:color w:val="58595B"/>
                      <w:sz w:val="12"/>
                    </w:rPr>
                    <w:t>.</w:t>
                  </w:r>
                </w:p>
                <w:p>
                  <w:pPr>
                    <w:spacing w:before="29"/>
                    <w:ind w:left="20" w:right="855" w:firstLine="0"/>
                    <w:jc w:val="left"/>
                    <w:rPr>
                      <w:sz w:val="12"/>
                    </w:rPr>
                  </w:pPr>
                  <w:r>
                    <w:rPr>
                      <w:color w:val="58595B"/>
                      <w:sz w:val="12"/>
                    </w:rPr>
                    <w:t>Moran E QC, </w:t>
                  </w:r>
                  <w:r>
                    <w:rPr>
                      <w:i/>
                      <w:color w:val="58595B"/>
                      <w:sz w:val="12"/>
                    </w:rPr>
                    <w:t>First Memorandum of Advice</w:t>
                  </w:r>
                  <w:r>
                    <w:rPr>
                      <w:color w:val="58595B"/>
                      <w:sz w:val="12"/>
                    </w:rPr>
                    <w:t>, p.  12.</w:t>
                  </w:r>
                </w:p>
                <w:p>
                  <w:pPr>
                    <w:spacing w:line="242" w:lineRule="auto" w:before="30"/>
                    <w:ind w:left="20" w:right="35" w:firstLine="0"/>
                    <w:jc w:val="left"/>
                    <w:rPr>
                      <w:sz w:val="12"/>
                    </w:rPr>
                  </w:pPr>
                  <w:r>
                    <w:rPr>
                      <w:color w:val="58595B"/>
                      <w:sz w:val="12"/>
                    </w:rPr>
                    <w:t>Vinals J and Fiechter J 2010, </w:t>
                  </w:r>
                  <w:r>
                    <w:rPr>
                      <w:i/>
                      <w:color w:val="58595B"/>
                      <w:sz w:val="12"/>
                    </w:rPr>
                    <w:t>The making of good supervision: learning  to say ‘no’</w:t>
                  </w:r>
                  <w:r>
                    <w:rPr>
                      <w:color w:val="58595B"/>
                      <w:sz w:val="12"/>
                    </w:rPr>
                    <w:t>, International </w:t>
                  </w:r>
                  <w:r>
                    <w:rPr>
                      <w:color w:val="58595B"/>
                      <w:spacing w:val="2"/>
                      <w:sz w:val="12"/>
                    </w:rPr>
                    <w:t>Monetary </w:t>
                  </w:r>
                  <w:r>
                    <w:rPr>
                      <w:color w:val="58595B"/>
                      <w:sz w:val="12"/>
                    </w:rPr>
                    <w:t>Fund </w:t>
                  </w:r>
                  <w:r>
                    <w:rPr>
                      <w:color w:val="58595B"/>
                      <w:spacing w:val="2"/>
                      <w:sz w:val="12"/>
                    </w:rPr>
                    <w:t>Staff </w:t>
                  </w:r>
                  <w:r>
                    <w:rPr>
                      <w:color w:val="58595B"/>
                      <w:sz w:val="12"/>
                    </w:rPr>
                    <w:t>Position Note, May, p. </w:t>
                  </w:r>
                  <w:r>
                    <w:rPr>
                      <w:color w:val="58595B"/>
                      <w:spacing w:val="17"/>
                      <w:sz w:val="12"/>
                    </w:rPr>
                    <w:t> </w:t>
                  </w:r>
                  <w:r>
                    <w:rPr>
                      <w:color w:val="58595B"/>
                      <w:sz w:val="12"/>
                    </w:rPr>
                    <w:t>16.</w:t>
                  </w:r>
                </w:p>
                <w:p>
                  <w:pPr>
                    <w:spacing w:line="292" w:lineRule="auto" w:before="29"/>
                    <w:ind w:left="20" w:right="502" w:firstLine="0"/>
                    <w:jc w:val="left"/>
                    <w:rPr>
                      <w:sz w:val="12"/>
                    </w:rPr>
                  </w:pPr>
                  <w:r>
                    <w:rPr>
                      <w:color w:val="58595B"/>
                      <w:sz w:val="12"/>
                    </w:rPr>
                    <w:t>Sections 1B and 1F(1), </w:t>
                  </w:r>
                  <w:r>
                    <w:rPr>
                      <w:i/>
                      <w:color w:val="58595B"/>
                      <w:sz w:val="12"/>
                    </w:rPr>
                    <w:t>Environment Protection Act 1970</w:t>
                  </w:r>
                  <w:r>
                    <w:rPr>
                      <w:color w:val="58595B"/>
                      <w:sz w:val="12"/>
                    </w:rPr>
                    <w:t>. Section 1B(3), </w:t>
                  </w:r>
                  <w:r>
                    <w:rPr>
                      <w:i/>
                      <w:color w:val="58595B"/>
                      <w:sz w:val="12"/>
                    </w:rPr>
                    <w:t>Environment Protection Act  1970</w:t>
                  </w:r>
                  <w:r>
                    <w:rPr>
                      <w:color w:val="58595B"/>
                      <w:sz w:val="12"/>
                    </w:rPr>
                    <w:t>.</w:t>
                  </w:r>
                </w:p>
                <w:p>
                  <w:pPr>
                    <w:spacing w:before="1"/>
                    <w:ind w:left="20" w:right="855" w:firstLine="0"/>
                    <w:jc w:val="left"/>
                    <w:rPr>
                      <w:sz w:val="12"/>
                    </w:rPr>
                  </w:pPr>
                  <w:r>
                    <w:rPr>
                      <w:color w:val="58595B"/>
                      <w:sz w:val="12"/>
                    </w:rPr>
                    <w:t>Section 9, </w:t>
                  </w:r>
                  <w:r>
                    <w:rPr>
                      <w:i/>
                      <w:color w:val="58595B"/>
                      <w:sz w:val="12"/>
                    </w:rPr>
                    <w:t>Public Health and Wellbeing Act  2008</w:t>
                  </w:r>
                  <w:r>
                    <w:rPr>
                      <w:color w:val="58595B"/>
                      <w:sz w:val="12"/>
                    </w:rPr>
                    <w:t>.</w:t>
                  </w:r>
                </w:p>
                <w:p>
                  <w:pPr>
                    <w:spacing w:line="242" w:lineRule="auto" w:before="30"/>
                    <w:ind w:left="20" w:right="62" w:firstLine="0"/>
                    <w:jc w:val="left"/>
                    <w:rPr>
                      <w:sz w:val="12"/>
                    </w:rPr>
                  </w:pPr>
                  <w:r>
                    <w:rPr>
                      <w:color w:val="58595B"/>
                      <w:sz w:val="12"/>
                    </w:rPr>
                    <w:t>Australian Panel of Experts on Environmental Law 2015, </w:t>
                  </w:r>
                  <w:r>
                    <w:rPr>
                      <w:i/>
                      <w:color w:val="58595B"/>
                      <w:sz w:val="12"/>
                    </w:rPr>
                    <w:t>The next generation of Australia’s environmental laws</w:t>
                  </w:r>
                  <w:r>
                    <w:rPr>
                      <w:color w:val="58595B"/>
                      <w:sz w:val="12"/>
                    </w:rPr>
                    <w:t>, Introductory Paper, November, p. 8.</w:t>
                  </w:r>
                </w:p>
                <w:p>
                  <w:pPr>
                    <w:spacing w:line="292" w:lineRule="auto" w:before="29"/>
                    <w:ind w:left="20" w:right="1263" w:firstLine="0"/>
                    <w:jc w:val="left"/>
                    <w:rPr>
                      <w:sz w:val="12"/>
                    </w:rPr>
                  </w:pPr>
                  <w:r>
                    <w:rPr>
                      <w:color w:val="58595B"/>
                      <w:sz w:val="12"/>
                    </w:rPr>
                    <w:t>Section 7(1), </w:t>
                  </w:r>
                  <w:r>
                    <w:rPr>
                      <w:i/>
                      <w:color w:val="58595B"/>
                      <w:sz w:val="12"/>
                    </w:rPr>
                    <w:t>Health and Wellbeing Act 2008</w:t>
                  </w:r>
                  <w:r>
                    <w:rPr>
                      <w:color w:val="58595B"/>
                      <w:sz w:val="12"/>
                    </w:rPr>
                    <w:t>. Section 1D, </w:t>
                  </w:r>
                  <w:r>
                    <w:rPr>
                      <w:i/>
                      <w:color w:val="58595B"/>
                      <w:sz w:val="12"/>
                    </w:rPr>
                    <w:t>Environment Protection Act  1970</w:t>
                  </w:r>
                  <w:r>
                    <w:rPr>
                      <w:color w:val="58595B"/>
                      <w:sz w:val="12"/>
                    </w:rPr>
                    <w:t>.</w:t>
                  </w:r>
                </w:p>
                <w:p>
                  <w:pPr>
                    <w:spacing w:line="242" w:lineRule="auto" w:before="1"/>
                    <w:ind w:left="20" w:right="162" w:firstLine="0"/>
                    <w:jc w:val="left"/>
                    <w:rPr>
                      <w:sz w:val="12"/>
                    </w:rPr>
                  </w:pPr>
                  <w:r>
                    <w:rPr>
                      <w:color w:val="58595B"/>
                      <w:sz w:val="12"/>
                    </w:rPr>
                    <w:t>Sections 1F(2), 1F(3), 1G(1), 1G(2) and 1H, </w:t>
                  </w:r>
                  <w:r>
                    <w:rPr>
                      <w:i/>
                      <w:color w:val="58595B"/>
                      <w:sz w:val="12"/>
                    </w:rPr>
                    <w:t>Environment Protection Act 1970</w:t>
                  </w:r>
                  <w:r>
                    <w:rPr>
                      <w:color w:val="58595B"/>
                      <w:sz w:val="12"/>
                    </w:rPr>
                    <w:t>.</w:t>
                  </w:r>
                </w:p>
                <w:p>
                  <w:pPr>
                    <w:spacing w:before="29"/>
                    <w:ind w:left="20" w:right="855" w:firstLine="0"/>
                    <w:jc w:val="left"/>
                    <w:rPr>
                      <w:sz w:val="12"/>
                    </w:rPr>
                  </w:pPr>
                  <w:r>
                    <w:rPr>
                      <w:color w:val="58595B"/>
                      <w:sz w:val="12"/>
                    </w:rPr>
                    <w:t>Sections 5, 6, </w:t>
                  </w:r>
                  <w:r>
                    <w:rPr>
                      <w:i/>
                      <w:color w:val="58595B"/>
                      <w:sz w:val="12"/>
                    </w:rPr>
                    <w:t>Public Health and Wellbeing Act  2008</w:t>
                  </w:r>
                  <w:r>
                    <w:rPr>
                      <w:color w:val="58595B"/>
                      <w:sz w:val="12"/>
                    </w:rPr>
                    <w:t>.</w:t>
                  </w:r>
                </w:p>
                <w:p>
                  <w:pPr>
                    <w:spacing w:line="242" w:lineRule="auto" w:before="30"/>
                    <w:ind w:left="20" w:right="208" w:firstLine="0"/>
                    <w:jc w:val="left"/>
                    <w:rPr>
                      <w:i/>
                      <w:sz w:val="12"/>
                    </w:rPr>
                  </w:pPr>
                  <w:r>
                    <w:rPr>
                      <w:color w:val="58595B"/>
                      <w:sz w:val="12"/>
                    </w:rPr>
                    <w:t>According to the Australian Panel of Experts on Environmental Law, where  scientific knowledge  about  possible  environmental  damage is incomplete or uncertain, we should err on the side of caution and implement protective measures as if we were certain that harms will occur. Australian Panel of Experts on Environmental Law 2015,  </w:t>
                  </w:r>
                  <w:r>
                    <w:rPr>
                      <w:i/>
                      <w:color w:val="58595B"/>
                      <w:sz w:val="12"/>
                    </w:rPr>
                    <w:t>The</w:t>
                  </w:r>
                </w:p>
                <w:p>
                  <w:pPr>
                    <w:spacing w:line="242" w:lineRule="auto" w:before="0"/>
                    <w:ind w:left="20" w:right="62" w:firstLine="0"/>
                    <w:jc w:val="left"/>
                    <w:rPr>
                      <w:sz w:val="12"/>
                    </w:rPr>
                  </w:pPr>
                  <w:r>
                    <w:rPr>
                      <w:i/>
                      <w:color w:val="58595B"/>
                      <w:sz w:val="12"/>
                    </w:rPr>
                    <w:t>next generation of Australia’s environmental laws</w:t>
                  </w:r>
                  <w:r>
                    <w:rPr>
                      <w:color w:val="58595B"/>
                      <w:sz w:val="12"/>
                    </w:rPr>
                    <w:t>, Introductory Paper, November, p. 5.</w:t>
                  </w:r>
                </w:p>
                <w:p>
                  <w:pPr>
                    <w:spacing w:line="292" w:lineRule="auto" w:before="29"/>
                    <w:ind w:left="20" w:right="1263" w:firstLine="0"/>
                    <w:jc w:val="left"/>
                    <w:rPr>
                      <w:sz w:val="12"/>
                    </w:rPr>
                  </w:pPr>
                  <w:r>
                    <w:rPr>
                      <w:color w:val="58595B"/>
                      <w:sz w:val="12"/>
                    </w:rPr>
                    <w:t>Section 21, </w:t>
                  </w:r>
                  <w:r>
                    <w:rPr>
                      <w:i/>
                      <w:color w:val="58595B"/>
                      <w:sz w:val="12"/>
                    </w:rPr>
                    <w:t>Transport Integration Act 2010</w:t>
                  </w:r>
                  <w:r>
                    <w:rPr>
                      <w:color w:val="58595B"/>
                      <w:sz w:val="12"/>
                    </w:rPr>
                    <w:t>.  Moran E QC, </w:t>
                  </w:r>
                  <w:r>
                    <w:rPr>
                      <w:i/>
                      <w:color w:val="58595B"/>
                      <w:sz w:val="12"/>
                    </w:rPr>
                    <w:t>First Memorandum of Advice</w:t>
                  </w:r>
                  <w:r>
                    <w:rPr>
                      <w:color w:val="58595B"/>
                      <w:sz w:val="12"/>
                    </w:rPr>
                    <w:t>, p </w:t>
                  </w:r>
                  <w:r>
                    <w:rPr>
                      <w:color w:val="58595B"/>
                      <w:spacing w:val="18"/>
                      <w:sz w:val="12"/>
                    </w:rPr>
                    <w:t> </w:t>
                  </w:r>
                  <w:r>
                    <w:rPr>
                      <w:color w:val="58595B"/>
                      <w:sz w:val="12"/>
                    </w:rPr>
                    <w:t>13.</w:t>
                  </w:r>
                </w:p>
                <w:p>
                  <w:pPr>
                    <w:spacing w:line="242" w:lineRule="auto" w:before="1"/>
                    <w:ind w:left="20" w:right="62" w:firstLine="0"/>
                    <w:jc w:val="left"/>
                    <w:rPr>
                      <w:sz w:val="12"/>
                    </w:rPr>
                  </w:pPr>
                  <w:r>
                    <w:rPr>
                      <w:color w:val="58595B"/>
                      <w:sz w:val="12"/>
                    </w:rPr>
                    <w:t>Section 391(3), </w:t>
                  </w:r>
                  <w:r>
                    <w:rPr>
                      <w:i/>
                      <w:color w:val="58595B"/>
                      <w:sz w:val="12"/>
                    </w:rPr>
                    <w:t>Environment Protection and Biodiversity Conservation Act 1999</w:t>
                  </w:r>
                  <w:r>
                    <w:rPr>
                      <w:color w:val="58595B"/>
                      <w:sz w:val="12"/>
                    </w:rPr>
                    <w:t>.</w:t>
                  </w:r>
                </w:p>
                <w:p>
                  <w:pPr>
                    <w:spacing w:line="242" w:lineRule="auto" w:before="29"/>
                    <w:ind w:left="20" w:right="62" w:firstLine="0"/>
                    <w:jc w:val="left"/>
                    <w:rPr>
                      <w:sz w:val="12"/>
                    </w:rPr>
                  </w:pPr>
                  <w:r>
                    <w:rPr>
                      <w:color w:val="58595B"/>
                      <w:sz w:val="12"/>
                    </w:rPr>
                    <w:t>Krpan S 2011, </w:t>
                  </w:r>
                  <w:r>
                    <w:rPr>
                      <w:i/>
                      <w:color w:val="58595B"/>
                      <w:sz w:val="12"/>
                    </w:rPr>
                    <w:t>Compliance and Enforcement Review: a review of EPA Victoria’s  approach</w:t>
                  </w:r>
                  <w:r>
                    <w:rPr>
                      <w:color w:val="58595B"/>
                      <w:sz w:val="12"/>
                    </w:rPr>
                    <w:t>, Melbourne.</w:t>
                  </w:r>
                </w:p>
                <w:p>
                  <w:pPr>
                    <w:spacing w:line="242" w:lineRule="auto" w:before="29"/>
                    <w:ind w:left="20" w:right="162" w:firstLine="0"/>
                    <w:jc w:val="left"/>
                    <w:rPr>
                      <w:sz w:val="12"/>
                    </w:rPr>
                  </w:pPr>
                  <w:r>
                    <w:rPr>
                      <w:color w:val="58595B"/>
                      <w:sz w:val="12"/>
                    </w:rPr>
                    <w:t>Ombudsman Victoria 2009, </w:t>
                  </w:r>
                  <w:r>
                    <w:rPr>
                      <w:i/>
                      <w:color w:val="58595B"/>
                      <w:sz w:val="12"/>
                    </w:rPr>
                    <w:t>Brookland Greens Estate – Investigation into methane gas leaks</w:t>
                  </w:r>
                  <w:r>
                    <w:rPr>
                      <w:color w:val="58595B"/>
                      <w:sz w:val="12"/>
                    </w:rPr>
                    <w:t>, Melbourne; Victorian Auditor-General’s Office 2014,  </w:t>
                  </w:r>
                  <w:r>
                    <w:rPr>
                      <w:i/>
                      <w:color w:val="58595B"/>
                      <w:sz w:val="12"/>
                    </w:rPr>
                    <w:t>Managing  landfills</w:t>
                  </w:r>
                  <w:r>
                    <w:rPr>
                      <w:color w:val="58595B"/>
                      <w:sz w:val="12"/>
                    </w:rPr>
                    <w:t>, Melbourne.</w:t>
                  </w:r>
                </w:p>
                <w:p>
                  <w:pPr>
                    <w:spacing w:line="292" w:lineRule="auto" w:before="29"/>
                    <w:ind w:left="20" w:right="493" w:firstLine="0"/>
                    <w:jc w:val="left"/>
                    <w:rPr>
                      <w:sz w:val="12"/>
                    </w:rPr>
                  </w:pPr>
                  <w:r>
                    <w:rPr>
                      <w:color w:val="58595B"/>
                      <w:sz w:val="12"/>
                    </w:rPr>
                    <w:t>Discussions with Professor Malcolm Sparrow, September 2015. Discussions with Professor Malcolm Sparrow, December 2015.</w:t>
                  </w:r>
                </w:p>
                <w:p>
                  <w:pPr>
                    <w:spacing w:line="242" w:lineRule="auto" w:before="1"/>
                    <w:ind w:left="20" w:right="365" w:firstLine="0"/>
                    <w:jc w:val="left"/>
                    <w:rPr>
                      <w:sz w:val="12"/>
                    </w:rPr>
                  </w:pPr>
                  <w:r>
                    <w:rPr>
                      <w:color w:val="58595B"/>
                      <w:sz w:val="12"/>
                    </w:rPr>
                    <w:t>Including in submissions from: Dave Munro, Bob Penfold, Regina Gleeson, Doctors for the Environment Australia, Bellarine LandCare Group.</w:t>
                  </w:r>
                </w:p>
                <w:p>
                  <w:pPr>
                    <w:spacing w:before="29"/>
                    <w:ind w:left="20" w:right="855" w:firstLine="0"/>
                    <w:jc w:val="left"/>
                    <w:rPr>
                      <w:sz w:val="12"/>
                    </w:rPr>
                  </w:pPr>
                  <w:r>
                    <w:rPr>
                      <w:color w:val="58595B"/>
                      <w:sz w:val="12"/>
                    </w:rPr>
                    <w:t>Section 13(1), </w:t>
                  </w:r>
                  <w:r>
                    <w:rPr>
                      <w:i/>
                      <w:color w:val="58595B"/>
                      <w:sz w:val="12"/>
                    </w:rPr>
                    <w:t>Environment Protection Act  1970</w:t>
                  </w:r>
                  <w:r>
                    <w:rPr>
                      <w:color w:val="58595B"/>
                      <w:sz w:val="12"/>
                    </w:rPr>
                    <w:t>.</w:t>
                  </w:r>
                </w:p>
                <w:p>
                  <w:pPr>
                    <w:spacing w:line="242" w:lineRule="auto" w:before="30"/>
                    <w:ind w:left="20" w:right="493" w:firstLine="0"/>
                    <w:jc w:val="left"/>
                    <w:rPr>
                      <w:sz w:val="12"/>
                    </w:rPr>
                  </w:pPr>
                  <w:r>
                    <w:rPr>
                      <w:color w:val="58595B"/>
                      <w:sz w:val="12"/>
                    </w:rPr>
                    <w:t>For example, section 13(1)(nc), section 13(1)(cc), </w:t>
                  </w:r>
                  <w:r>
                    <w:rPr>
                      <w:i/>
                      <w:color w:val="58595B"/>
                      <w:sz w:val="12"/>
                    </w:rPr>
                    <w:t>Environment Protection Act 1970</w:t>
                  </w:r>
                  <w:r>
                    <w:rPr>
                      <w:color w:val="58595B"/>
                      <w:sz w:val="12"/>
                    </w:rPr>
                    <w:t>.</w:t>
                  </w:r>
                </w:p>
                <w:p>
                  <w:pPr>
                    <w:spacing w:before="29"/>
                    <w:ind w:left="20" w:right="855" w:firstLine="0"/>
                    <w:jc w:val="left"/>
                    <w:rPr>
                      <w:sz w:val="12"/>
                    </w:rPr>
                  </w:pPr>
                  <w:r>
                    <w:rPr>
                      <w:color w:val="58595B"/>
                      <w:sz w:val="12"/>
                    </w:rPr>
                    <w:t>Section 13(1)(p), </w:t>
                  </w:r>
                  <w:r>
                    <w:rPr>
                      <w:i/>
                      <w:color w:val="58595B"/>
                      <w:sz w:val="12"/>
                    </w:rPr>
                    <w:t>Environment Protection Act  1970</w:t>
                  </w:r>
                  <w:r>
                    <w:rPr>
                      <w:color w:val="58595B"/>
                      <w:sz w:val="12"/>
                    </w:rPr>
                    <w:t>.</w:t>
                  </w:r>
                </w:p>
                <w:p>
                  <w:pPr>
                    <w:spacing w:line="242" w:lineRule="auto" w:before="30"/>
                    <w:ind w:left="20" w:right="62" w:firstLine="0"/>
                    <w:jc w:val="left"/>
                    <w:rPr>
                      <w:sz w:val="12"/>
                    </w:rPr>
                  </w:pPr>
                  <w:r>
                    <w:rPr>
                      <w:color w:val="58595B"/>
                      <w:sz w:val="12"/>
                    </w:rPr>
                    <w:t>OECD 2014, </w:t>
                  </w:r>
                  <w:r>
                    <w:rPr>
                      <w:i/>
                      <w:color w:val="58595B"/>
                      <w:sz w:val="12"/>
                    </w:rPr>
                    <w:t>The governance of regulators</w:t>
                  </w:r>
                  <w:r>
                    <w:rPr>
                      <w:color w:val="58595B"/>
                      <w:sz w:val="12"/>
                    </w:rPr>
                    <w:t>, OECD Best Practice Principles for Regulatory Policy, OECD Publishing, p.   30.</w:t>
                  </w:r>
                </w:p>
                <w:p>
                  <w:pPr>
                    <w:spacing w:line="242" w:lineRule="auto" w:before="29"/>
                    <w:ind w:left="20" w:right="493" w:firstLine="0"/>
                    <w:jc w:val="left"/>
                    <w:rPr>
                      <w:sz w:val="12"/>
                    </w:rPr>
                  </w:pPr>
                  <w:r>
                    <w:rPr>
                      <w:color w:val="58595B"/>
                      <w:sz w:val="12"/>
                    </w:rPr>
                    <w:t>Section 7(2), </w:t>
                  </w:r>
                  <w:r>
                    <w:rPr>
                      <w:i/>
                      <w:color w:val="58595B"/>
                      <w:sz w:val="12"/>
                    </w:rPr>
                    <w:t>Protection of the Environment Administration Act 1991 </w:t>
                  </w:r>
                  <w:r>
                    <w:rPr>
                      <w:color w:val="58595B"/>
                      <w:sz w:val="12"/>
                    </w:rPr>
                    <w:t>(NSW).</w:t>
                  </w:r>
                </w:p>
                <w:p>
                  <w:pPr>
                    <w:spacing w:line="242" w:lineRule="auto" w:before="29"/>
                    <w:ind w:left="20" w:right="162" w:firstLine="0"/>
                    <w:jc w:val="left"/>
                    <w:rPr>
                      <w:sz w:val="12"/>
                    </w:rPr>
                  </w:pPr>
                  <w:r>
                    <w:rPr>
                      <w:color w:val="58595B"/>
                      <w:sz w:val="12"/>
                    </w:rPr>
                    <w:t>The NSW EPA regulates a wide range of subject areas, such as radiation, pesticides, coal seam gas, wind farms and native forestry. The NSW EPA is established under its own Act, and gains powers to address specific subject matters across a range of specialised Acts such as the </w:t>
                  </w:r>
                  <w:r>
                    <w:rPr>
                      <w:i/>
                      <w:color w:val="58595B"/>
                      <w:sz w:val="12"/>
                    </w:rPr>
                    <w:t>Forestry Act 2012</w:t>
                  </w:r>
                  <w:r>
                    <w:rPr>
                      <w:color w:val="58595B"/>
                      <w:sz w:val="12"/>
                    </w:rPr>
                    <w:t>.</w:t>
                  </w:r>
                </w:p>
                <w:p>
                  <w:pPr>
                    <w:spacing w:line="242" w:lineRule="auto" w:before="29"/>
                    <w:ind w:left="20" w:right="62" w:firstLine="0"/>
                    <w:jc w:val="left"/>
                    <w:rPr>
                      <w:sz w:val="12"/>
                    </w:rPr>
                  </w:pPr>
                  <w:r>
                    <w:rPr>
                      <w:color w:val="58595B"/>
                      <w:sz w:val="12"/>
                    </w:rPr>
                    <w:t>Gunningham N 2015b, </w:t>
                  </w:r>
                  <w:r>
                    <w:rPr>
                      <w:i/>
                      <w:color w:val="58595B"/>
                      <w:sz w:val="12"/>
                    </w:rPr>
                    <w:t>Options for reforming environmental law and regulation in Victoria</w:t>
                  </w:r>
                  <w:r>
                    <w:rPr>
                      <w:color w:val="58595B"/>
                      <w:sz w:val="12"/>
                    </w:rPr>
                    <w:t>. Paper 2, p.  6.</w:t>
                  </w:r>
                </w:p>
                <w:p>
                  <w:pPr>
                    <w:spacing w:line="242" w:lineRule="auto" w:before="29"/>
                    <w:ind w:left="20" w:right="298" w:firstLine="0"/>
                    <w:jc w:val="left"/>
                    <w:rPr>
                      <w:sz w:val="12"/>
                    </w:rPr>
                  </w:pPr>
                  <w:r>
                    <w:rPr>
                      <w:color w:val="58595B"/>
                      <w:sz w:val="12"/>
                    </w:rPr>
                    <w:t>For example, information services such as Beach Report, http:// yarraandbay.vic.gov.au/beach-report (accessed 12 March   2016).</w:t>
                  </w:r>
                </w:p>
                <w:p>
                  <w:pPr>
                    <w:spacing w:before="29"/>
                    <w:ind w:left="20" w:right="62" w:firstLine="0"/>
                    <w:jc w:val="left"/>
                    <w:rPr>
                      <w:sz w:val="12"/>
                    </w:rPr>
                  </w:pPr>
                  <w:r>
                    <w:rPr>
                      <w:color w:val="58595B"/>
                      <w:sz w:val="12"/>
                    </w:rPr>
                    <w:t>For example, see section 49I(1), </w:t>
                  </w:r>
                  <w:r>
                    <w:rPr>
                      <w:i/>
                      <w:color w:val="58595B"/>
                      <w:sz w:val="12"/>
                    </w:rPr>
                    <w:t>Environment Protection Act  1970</w:t>
                  </w:r>
                  <w:r>
                    <w:rPr>
                      <w:color w:val="58595B"/>
                      <w:sz w:val="12"/>
                    </w:rPr>
                    <w:t>.</w:t>
                  </w:r>
                </w:p>
                <w:p>
                  <w:pPr>
                    <w:spacing w:line="242" w:lineRule="auto" w:before="30"/>
                    <w:ind w:left="20" w:right="62" w:firstLine="0"/>
                    <w:jc w:val="left"/>
                    <w:rPr>
                      <w:sz w:val="12"/>
                    </w:rPr>
                  </w:pPr>
                  <w:r>
                    <w:rPr>
                      <w:color w:val="58595B"/>
                      <w:sz w:val="12"/>
                    </w:rPr>
                    <w:t>EPA Victoria 2014, </w:t>
                  </w:r>
                  <w:r>
                    <w:rPr>
                      <w:i/>
                      <w:color w:val="58595B"/>
                      <w:sz w:val="12"/>
                    </w:rPr>
                    <w:t>Annual report 2013-2014, Year Three. Tackling pollution at the source</w:t>
                  </w:r>
                  <w:r>
                    <w:rPr>
                      <w:color w:val="58595B"/>
                      <w:sz w:val="12"/>
                    </w:rPr>
                    <w:t>, Melbourne, p.  3.</w:t>
                  </w:r>
                </w:p>
                <w:p>
                  <w:pPr>
                    <w:spacing w:line="242" w:lineRule="auto" w:before="29"/>
                    <w:ind w:left="20" w:right="62" w:firstLine="0"/>
                    <w:jc w:val="left"/>
                    <w:rPr>
                      <w:sz w:val="12"/>
                    </w:rPr>
                  </w:pPr>
                  <w:r>
                    <w:rPr>
                      <w:color w:val="58595B"/>
                      <w:sz w:val="12"/>
                    </w:rPr>
                    <w:t>Victorian Competition and Efficiency Commission 2009, </w:t>
                  </w:r>
                  <w:r>
                    <w:rPr>
                      <w:i/>
                      <w:color w:val="58595B"/>
                      <w:sz w:val="12"/>
                    </w:rPr>
                    <w:t>A sustainable future for Victoria: Getting environmental regulation right</w:t>
                  </w:r>
                  <w:r>
                    <w:rPr>
                      <w:color w:val="58595B"/>
                      <w:sz w:val="12"/>
                    </w:rPr>
                    <w:t>, July, Melbourne, pp. 292–5. Specifically, the report identified a risk that ‘regulators will be drawn into political debates about policy issues, thereby compromising their actual or perceived independence,’ p.   293.</w:t>
                  </w:r>
                </w:p>
                <w:p>
                  <w:pPr>
                    <w:spacing w:line="242" w:lineRule="auto" w:before="29"/>
                    <w:ind w:left="20" w:right="62" w:firstLine="0"/>
                    <w:jc w:val="left"/>
                    <w:rPr>
                      <w:sz w:val="12"/>
                    </w:rPr>
                  </w:pPr>
                  <w:r>
                    <w:rPr>
                      <w:color w:val="58595B"/>
                      <w:sz w:val="12"/>
                    </w:rPr>
                    <w:t>OECD 2014, </w:t>
                  </w:r>
                  <w:r>
                    <w:rPr>
                      <w:i/>
                      <w:color w:val="58595B"/>
                      <w:sz w:val="12"/>
                    </w:rPr>
                    <w:t>The governance of regulators</w:t>
                  </w:r>
                  <w:r>
                    <w:rPr>
                      <w:color w:val="58595B"/>
                      <w:sz w:val="12"/>
                    </w:rPr>
                    <w:t>, OECD Best Practice Principles for Regulatory Policy, OECD Publishing, p.   37.</w:t>
                  </w:r>
                </w:p>
                <w:p>
                  <w:pPr>
                    <w:spacing w:line="136" w:lineRule="exact" w:before="32"/>
                    <w:ind w:left="21" w:right="62" w:hanging="2"/>
                    <w:jc w:val="left"/>
                    <w:rPr>
                      <w:sz w:val="12"/>
                    </w:rPr>
                  </w:pPr>
                  <w:r>
                    <w:rPr>
                      <w:color w:val="58595B"/>
                      <w:sz w:val="12"/>
                    </w:rPr>
                    <w:t>Der Nederlandsche Bank NV 2014, </w:t>
                  </w:r>
                  <w:r>
                    <w:rPr>
                      <w:i/>
                      <w:color w:val="58595B"/>
                      <w:sz w:val="12"/>
                    </w:rPr>
                    <w:t>Beyond finance: Financial supervision in the 21st century</w:t>
                  </w:r>
                  <w:r>
                    <w:rPr>
                      <w:color w:val="58595B"/>
                      <w:sz w:val="12"/>
                    </w:rPr>
                    <w:t>, Occasional Studies, vol. 12 no. 2, p. 10.</w:t>
                  </w:r>
                </w:p>
                <w:p>
                  <w:pPr>
                    <w:spacing w:line="242" w:lineRule="auto" w:before="28"/>
                    <w:ind w:left="21" w:right="62" w:firstLine="0"/>
                    <w:jc w:val="left"/>
                    <w:rPr>
                      <w:sz w:val="12"/>
                    </w:rPr>
                  </w:pPr>
                  <w:r>
                    <w:rPr>
                      <w:color w:val="58595B"/>
                      <w:sz w:val="12"/>
                    </w:rPr>
                    <w:t>OECD 2014, </w:t>
                  </w:r>
                  <w:r>
                    <w:rPr>
                      <w:i/>
                      <w:color w:val="58595B"/>
                      <w:sz w:val="12"/>
                    </w:rPr>
                    <w:t>The governance of regulators</w:t>
                  </w:r>
                  <w:r>
                    <w:rPr>
                      <w:color w:val="58595B"/>
                      <w:sz w:val="12"/>
                    </w:rPr>
                    <w:t>, OECD Best Practice Principles for Regulatory Policy, OECD Publishing, p.   38.</w:t>
                  </w:r>
                </w:p>
              </w:txbxContent>
            </v:textbox>
            <w10:wrap type="none"/>
          </v:shape>
        </w:pict>
      </w:r>
      <w:r>
        <w:rPr/>
        <w:pict>
          <v:shape style="position:absolute;margin-left:89.708603pt;margin-top:135.647034pt;width:5.3pt;height:8pt;mso-position-horizontal-relative:page;mso-position-vertical-relative:page;z-index:-196816" type="#_x0000_t202" filled="false" stroked="false">
            <v:textbox inset="0,0,0,0">
              <w:txbxContent>
                <w:p>
                  <w:pPr>
                    <w:spacing w:before="4"/>
                    <w:ind w:left="20" w:right="0" w:firstLine="0"/>
                    <w:jc w:val="left"/>
                    <w:rPr>
                      <w:sz w:val="12"/>
                    </w:rPr>
                  </w:pPr>
                  <w:r>
                    <w:rPr>
                      <w:color w:val="58595B"/>
                      <w:sz w:val="12"/>
                    </w:rPr>
                    <w:t>2</w:t>
                  </w:r>
                </w:p>
              </w:txbxContent>
            </v:textbox>
            <w10:wrap type="none"/>
          </v:shape>
        </w:pict>
      </w:r>
      <w:r>
        <w:rPr/>
        <w:pict>
          <v:shape style="position:absolute;margin-left:312.518585pt;margin-top:152.615021pt;width:8.9pt;height:41.7pt;mso-position-horizontal-relative:page;mso-position-vertical-relative:page;z-index:-196792" type="#_x0000_t202" filled="false" stroked="false">
            <v:textbox inset="0,0,0,0">
              <w:txbxContent>
                <w:p>
                  <w:pPr>
                    <w:spacing w:before="4"/>
                    <w:ind w:left="20" w:right="0" w:firstLine="0"/>
                    <w:jc w:val="left"/>
                    <w:rPr>
                      <w:sz w:val="12"/>
                    </w:rPr>
                  </w:pPr>
                  <w:r>
                    <w:rPr>
                      <w:color w:val="58595B"/>
                      <w:sz w:val="12"/>
                    </w:rPr>
                    <w:t>40</w:t>
                  </w:r>
                </w:p>
                <w:p>
                  <w:pPr>
                    <w:spacing w:before="30"/>
                    <w:ind w:left="20" w:right="0" w:firstLine="0"/>
                    <w:jc w:val="left"/>
                    <w:rPr>
                      <w:sz w:val="12"/>
                    </w:rPr>
                  </w:pPr>
                  <w:r>
                    <w:rPr>
                      <w:color w:val="58595B"/>
                      <w:sz w:val="12"/>
                    </w:rPr>
                    <w:t>41</w:t>
                  </w:r>
                </w:p>
                <w:p>
                  <w:pPr>
                    <w:spacing w:before="30"/>
                    <w:ind w:left="20" w:right="0" w:firstLine="0"/>
                    <w:jc w:val="left"/>
                    <w:rPr>
                      <w:sz w:val="12"/>
                    </w:rPr>
                  </w:pPr>
                  <w:r>
                    <w:rPr>
                      <w:color w:val="58595B"/>
                      <w:sz w:val="12"/>
                    </w:rPr>
                    <w:t>42</w:t>
                  </w:r>
                </w:p>
                <w:p>
                  <w:pPr>
                    <w:spacing w:before="30"/>
                    <w:ind w:left="20" w:right="0" w:firstLine="0"/>
                    <w:jc w:val="left"/>
                    <w:rPr>
                      <w:sz w:val="12"/>
                    </w:rPr>
                  </w:pPr>
                  <w:r>
                    <w:rPr>
                      <w:color w:val="58595B"/>
                      <w:sz w:val="12"/>
                    </w:rPr>
                    <w:t>43</w:t>
                  </w:r>
                </w:p>
                <w:p>
                  <w:pPr>
                    <w:spacing w:before="30"/>
                    <w:ind w:left="20" w:right="0" w:firstLine="0"/>
                    <w:jc w:val="left"/>
                    <w:rPr>
                      <w:sz w:val="12"/>
                    </w:rPr>
                  </w:pPr>
                  <w:r>
                    <w:rPr>
                      <w:color w:val="58595B"/>
                      <w:sz w:val="12"/>
                    </w:rPr>
                    <w:t>44</w:t>
                  </w:r>
                </w:p>
              </w:txbxContent>
            </v:textbox>
            <w10:wrap type="none"/>
          </v:shape>
        </w:pict>
      </w:r>
      <w:r>
        <w:rPr/>
        <w:pict>
          <v:shape style="position:absolute;margin-left:89.708603pt;margin-top:165.07103pt;width:5.3pt;height:8pt;mso-position-horizontal-relative:page;mso-position-vertical-relative:page;z-index:-196768" type="#_x0000_t202" filled="false" stroked="false">
            <v:textbox inset="0,0,0,0">
              <w:txbxContent>
                <w:p>
                  <w:pPr>
                    <w:spacing w:before="4"/>
                    <w:ind w:left="20" w:right="0" w:firstLine="0"/>
                    <w:jc w:val="left"/>
                    <w:rPr>
                      <w:sz w:val="12"/>
                    </w:rPr>
                  </w:pPr>
                  <w:r>
                    <w:rPr>
                      <w:color w:val="58595B"/>
                      <w:sz w:val="12"/>
                    </w:rPr>
                    <w:t>3</w:t>
                  </w:r>
                </w:p>
              </w:txbxContent>
            </v:textbox>
            <w10:wrap type="none"/>
          </v:shape>
        </w:pict>
      </w:r>
      <w:r>
        <w:rPr/>
        <w:pict>
          <v:shape style="position:absolute;margin-left:89.708603pt;margin-top:180.491028pt;width:5.3pt;height:8pt;mso-position-horizontal-relative:page;mso-position-vertical-relative:page;z-index:-196744" type="#_x0000_t202" filled="false" stroked="false">
            <v:textbox inset="0,0,0,0">
              <w:txbxContent>
                <w:p>
                  <w:pPr>
                    <w:spacing w:before="4"/>
                    <w:ind w:left="20" w:right="0" w:firstLine="0"/>
                    <w:jc w:val="left"/>
                    <w:rPr>
                      <w:sz w:val="12"/>
                    </w:rPr>
                  </w:pPr>
                  <w:r>
                    <w:rPr>
                      <w:color w:val="58595B"/>
                      <w:sz w:val="12"/>
                    </w:rPr>
                    <w:t>4</w:t>
                  </w:r>
                </w:p>
              </w:txbxContent>
            </v:textbox>
            <w10:wrap type="none"/>
          </v:shape>
        </w:pict>
      </w:r>
      <w:r>
        <w:rPr/>
        <w:pict>
          <v:shape style="position:absolute;margin-left:89.708603pt;margin-top:195.911026pt;width:5.3pt;height:8pt;mso-position-horizontal-relative:page;mso-position-vertical-relative:page;z-index:-196720" type="#_x0000_t202" filled="false" stroked="false">
            <v:textbox inset="0,0,0,0">
              <w:txbxContent>
                <w:p>
                  <w:pPr>
                    <w:spacing w:before="4"/>
                    <w:ind w:left="20" w:right="0" w:firstLine="0"/>
                    <w:jc w:val="left"/>
                    <w:rPr>
                      <w:sz w:val="12"/>
                    </w:rPr>
                  </w:pPr>
                  <w:r>
                    <w:rPr>
                      <w:color w:val="58595B"/>
                      <w:sz w:val="12"/>
                    </w:rPr>
                    <w:t>5</w:t>
                  </w:r>
                </w:p>
              </w:txbxContent>
            </v:textbox>
            <w10:wrap type="none"/>
          </v:shape>
        </w:pict>
      </w:r>
      <w:r>
        <w:rPr/>
        <w:pict>
          <v:shape style="position:absolute;margin-left:312.518585pt;margin-top:201.707031pt;width:8.85pt;height:8pt;mso-position-horizontal-relative:page;mso-position-vertical-relative:page;z-index:-196696" type="#_x0000_t202" filled="false" stroked="false">
            <v:textbox inset="0,0,0,0">
              <w:txbxContent>
                <w:p>
                  <w:pPr>
                    <w:spacing w:before="4"/>
                    <w:ind w:left="20" w:right="0" w:firstLine="0"/>
                    <w:jc w:val="left"/>
                    <w:rPr>
                      <w:sz w:val="12"/>
                    </w:rPr>
                  </w:pPr>
                  <w:r>
                    <w:rPr>
                      <w:color w:val="58595B"/>
                      <w:sz w:val="12"/>
                    </w:rPr>
                    <w:t>45</w:t>
                  </w:r>
                </w:p>
              </w:txbxContent>
            </v:textbox>
            <w10:wrap type="none"/>
          </v:shape>
        </w:pict>
      </w:r>
      <w:r>
        <w:rPr/>
        <w:pict>
          <v:shape style="position:absolute;margin-left:89.702599pt;margin-top:211.331024pt;width:5.3pt;height:8pt;mso-position-horizontal-relative:page;mso-position-vertical-relative:page;z-index:-196672" type="#_x0000_t202" filled="false" stroked="false">
            <v:textbox inset="0,0,0,0">
              <w:txbxContent>
                <w:p>
                  <w:pPr>
                    <w:spacing w:before="4"/>
                    <w:ind w:left="20" w:right="0" w:firstLine="0"/>
                    <w:jc w:val="left"/>
                    <w:rPr>
                      <w:sz w:val="12"/>
                    </w:rPr>
                  </w:pPr>
                  <w:r>
                    <w:rPr>
                      <w:color w:val="58595B"/>
                      <w:sz w:val="12"/>
                    </w:rPr>
                    <w:t>6</w:t>
                  </w:r>
                </w:p>
              </w:txbxContent>
            </v:textbox>
            <w10:wrap type="none"/>
          </v:shape>
        </w:pict>
      </w:r>
      <w:r>
        <w:rPr/>
        <w:pict>
          <v:shape style="position:absolute;margin-left:312.518585pt;margin-top:217.127029pt;width:8.85pt;height:8pt;mso-position-horizontal-relative:page;mso-position-vertical-relative:page;z-index:-196648" type="#_x0000_t202" filled="false" stroked="false">
            <v:textbox inset="0,0,0,0">
              <w:txbxContent>
                <w:p>
                  <w:pPr>
                    <w:spacing w:before="4"/>
                    <w:ind w:left="20" w:right="0" w:firstLine="0"/>
                    <w:jc w:val="left"/>
                    <w:rPr>
                      <w:sz w:val="12"/>
                    </w:rPr>
                  </w:pPr>
                  <w:r>
                    <w:rPr>
                      <w:color w:val="58595B"/>
                      <w:sz w:val="12"/>
                    </w:rPr>
                    <w:t>46</w:t>
                  </w:r>
                </w:p>
              </w:txbxContent>
            </v:textbox>
            <w10:wrap type="none"/>
          </v:shape>
        </w:pict>
      </w:r>
      <w:r>
        <w:rPr/>
        <w:pict>
          <v:shape style="position:absolute;margin-left:89.702599pt;margin-top:226.751022pt;width:5.3pt;height:8pt;mso-position-horizontal-relative:page;mso-position-vertical-relative:page;z-index:-196624" type="#_x0000_t202" filled="false" stroked="false">
            <v:textbox inset="0,0,0,0">
              <w:txbxContent>
                <w:p>
                  <w:pPr>
                    <w:spacing w:before="4"/>
                    <w:ind w:left="20" w:right="0" w:firstLine="0"/>
                    <w:jc w:val="left"/>
                    <w:rPr>
                      <w:sz w:val="12"/>
                    </w:rPr>
                  </w:pPr>
                  <w:r>
                    <w:rPr>
                      <w:color w:val="58595B"/>
                      <w:sz w:val="12"/>
                    </w:rPr>
                    <w:t>7</w:t>
                  </w:r>
                </w:p>
              </w:txbxContent>
            </v:textbox>
            <w10:wrap type="none"/>
          </v:shape>
        </w:pict>
      </w:r>
      <w:r>
        <w:rPr/>
        <w:pict>
          <v:shape style="position:absolute;margin-left:89.702599pt;margin-top:242.171021pt;width:5.3pt;height:8pt;mso-position-horizontal-relative:page;mso-position-vertical-relative:page;z-index:-196600" type="#_x0000_t202" filled="false" stroked="false">
            <v:textbox inset="0,0,0,0">
              <w:txbxContent>
                <w:p>
                  <w:pPr>
                    <w:spacing w:before="4"/>
                    <w:ind w:left="20" w:right="0" w:firstLine="0"/>
                    <w:jc w:val="left"/>
                    <w:rPr>
                      <w:sz w:val="12"/>
                    </w:rPr>
                  </w:pPr>
                  <w:r>
                    <w:rPr>
                      <w:color w:val="58595B"/>
                      <w:sz w:val="12"/>
                    </w:rPr>
                    <w:t>8</w:t>
                  </w:r>
                </w:p>
              </w:txbxContent>
            </v:textbox>
            <w10:wrap type="none"/>
          </v:shape>
        </w:pict>
      </w:r>
      <w:r>
        <w:rPr/>
        <w:pict>
          <v:shape style="position:absolute;margin-left:312.518585pt;margin-top:246.551025pt;width:8.450pt;height:8pt;mso-position-horizontal-relative:page;mso-position-vertical-relative:page;z-index:-196576" type="#_x0000_t202" filled="false" stroked="false">
            <v:textbox inset="0,0,0,0">
              <w:txbxContent>
                <w:p>
                  <w:pPr>
                    <w:spacing w:before="4"/>
                    <w:ind w:left="20" w:right="-5" w:firstLine="0"/>
                    <w:jc w:val="left"/>
                    <w:rPr>
                      <w:sz w:val="12"/>
                    </w:rPr>
                  </w:pPr>
                  <w:r>
                    <w:rPr>
                      <w:color w:val="58595B"/>
                      <w:sz w:val="12"/>
                    </w:rPr>
                    <w:t>47</w:t>
                  </w:r>
                </w:p>
              </w:txbxContent>
            </v:textbox>
            <w10:wrap type="none"/>
          </v:shape>
        </w:pict>
      </w:r>
      <w:r>
        <w:rPr/>
        <w:pict>
          <v:shape style="position:absolute;margin-left:312.518585pt;margin-top:261.971039pt;width:8.85pt;height:8pt;mso-position-horizontal-relative:page;mso-position-vertical-relative:page;z-index:-196552" type="#_x0000_t202" filled="false" stroked="false">
            <v:textbox inset="0,0,0,0">
              <w:txbxContent>
                <w:p>
                  <w:pPr>
                    <w:spacing w:before="4"/>
                    <w:ind w:left="20" w:right="0" w:firstLine="0"/>
                    <w:jc w:val="left"/>
                    <w:rPr>
                      <w:sz w:val="12"/>
                    </w:rPr>
                  </w:pPr>
                  <w:r>
                    <w:rPr>
                      <w:color w:val="58595B"/>
                      <w:sz w:val="12"/>
                    </w:rPr>
                    <w:t>48</w:t>
                  </w:r>
                </w:p>
              </w:txbxContent>
            </v:textbox>
            <w10:wrap type="none"/>
          </v:shape>
        </w:pict>
      </w:r>
      <w:r>
        <w:rPr/>
        <w:pict>
          <v:shape style="position:absolute;margin-left:312.506592pt;margin-top:277.391022pt;width:8.85pt;height:16.45pt;mso-position-horizontal-relative:page;mso-position-vertical-relative:page;z-index:-196528" type="#_x0000_t202" filled="false" stroked="false">
            <v:textbox inset="0,0,0,0">
              <w:txbxContent>
                <w:p>
                  <w:pPr>
                    <w:spacing w:before="4"/>
                    <w:ind w:left="20" w:right="0" w:firstLine="0"/>
                    <w:jc w:val="left"/>
                    <w:rPr>
                      <w:sz w:val="12"/>
                    </w:rPr>
                  </w:pPr>
                  <w:r>
                    <w:rPr>
                      <w:color w:val="58595B"/>
                      <w:sz w:val="12"/>
                    </w:rPr>
                    <w:t>49</w:t>
                  </w:r>
                </w:p>
                <w:p>
                  <w:pPr>
                    <w:spacing w:before="30"/>
                    <w:ind w:left="20" w:right="0" w:firstLine="0"/>
                    <w:jc w:val="left"/>
                    <w:rPr>
                      <w:sz w:val="12"/>
                    </w:rPr>
                  </w:pPr>
                  <w:r>
                    <w:rPr>
                      <w:color w:val="58595B"/>
                      <w:sz w:val="12"/>
                    </w:rPr>
                    <w:t>50</w:t>
                  </w:r>
                </w:p>
              </w:txbxContent>
            </v:textbox>
            <w10:wrap type="none"/>
          </v:shape>
        </w:pict>
      </w:r>
      <w:r>
        <w:rPr/>
        <w:pict>
          <v:shape style="position:absolute;margin-left:89.702599pt;margin-top:278.597015pt;width:8.550pt;height:16.45pt;mso-position-horizontal-relative:page;mso-position-vertical-relative:page;z-index:-196504" type="#_x0000_t202" filled="false" stroked="false">
            <v:textbox inset="0,0,0,0">
              <w:txbxContent>
                <w:p>
                  <w:pPr>
                    <w:spacing w:before="4"/>
                    <w:ind w:left="20" w:right="0" w:firstLine="0"/>
                    <w:jc w:val="left"/>
                    <w:rPr>
                      <w:sz w:val="12"/>
                    </w:rPr>
                  </w:pPr>
                  <w:r>
                    <w:rPr>
                      <w:color w:val="58595B"/>
                      <w:sz w:val="12"/>
                    </w:rPr>
                    <w:t>9</w:t>
                  </w:r>
                </w:p>
                <w:p>
                  <w:pPr>
                    <w:spacing w:before="30"/>
                    <w:ind w:left="20" w:right="-3" w:firstLine="0"/>
                    <w:jc w:val="left"/>
                    <w:rPr>
                      <w:sz w:val="12"/>
                    </w:rPr>
                  </w:pPr>
                  <w:r>
                    <w:rPr>
                      <w:color w:val="58595B"/>
                      <w:sz w:val="12"/>
                    </w:rPr>
                    <w:t>10</w:t>
                  </w:r>
                </w:p>
              </w:txbxContent>
            </v:textbox>
            <w10:wrap type="none"/>
          </v:shape>
        </w:pict>
      </w:r>
      <w:r>
        <w:rPr/>
        <w:pict>
          <v:shape style="position:absolute;margin-left:312.506592pt;margin-top:301.229034pt;width:8.950pt;height:33.3pt;mso-position-horizontal-relative:page;mso-position-vertical-relative:page;z-index:-196480" type="#_x0000_t202" filled="false" stroked="false">
            <v:textbox inset="0,0,0,0">
              <w:txbxContent>
                <w:p>
                  <w:pPr>
                    <w:spacing w:before="4"/>
                    <w:ind w:left="20" w:right="0" w:firstLine="0"/>
                    <w:jc w:val="left"/>
                    <w:rPr>
                      <w:sz w:val="12"/>
                    </w:rPr>
                  </w:pPr>
                  <w:r>
                    <w:rPr>
                      <w:color w:val="58595B"/>
                      <w:sz w:val="12"/>
                    </w:rPr>
                    <w:t>51</w:t>
                  </w:r>
                </w:p>
                <w:p>
                  <w:pPr>
                    <w:spacing w:before="30"/>
                    <w:ind w:left="20" w:right="0" w:firstLine="0"/>
                    <w:jc w:val="left"/>
                    <w:rPr>
                      <w:sz w:val="12"/>
                    </w:rPr>
                  </w:pPr>
                  <w:r>
                    <w:rPr>
                      <w:color w:val="58595B"/>
                      <w:sz w:val="12"/>
                    </w:rPr>
                    <w:t>52</w:t>
                  </w:r>
                </w:p>
                <w:p>
                  <w:pPr>
                    <w:spacing w:before="30"/>
                    <w:ind w:left="20" w:right="0" w:firstLine="0"/>
                    <w:jc w:val="left"/>
                    <w:rPr>
                      <w:sz w:val="12"/>
                    </w:rPr>
                  </w:pPr>
                  <w:r>
                    <w:rPr>
                      <w:color w:val="58595B"/>
                      <w:sz w:val="12"/>
                    </w:rPr>
                    <w:t>53</w:t>
                  </w:r>
                </w:p>
                <w:p>
                  <w:pPr>
                    <w:spacing w:before="30"/>
                    <w:ind w:left="20" w:right="0" w:firstLine="0"/>
                    <w:jc w:val="left"/>
                    <w:rPr>
                      <w:sz w:val="12"/>
                    </w:rPr>
                  </w:pPr>
                  <w:r>
                    <w:rPr>
                      <w:color w:val="58595B"/>
                      <w:sz w:val="12"/>
                    </w:rPr>
                    <w:t>54</w:t>
                  </w:r>
                </w:p>
              </w:txbxContent>
            </v:textbox>
            <w10:wrap type="none"/>
          </v:shape>
        </w:pict>
      </w:r>
      <w:r>
        <w:rPr/>
        <w:pict>
          <v:shape style="position:absolute;margin-left:89.702599pt;margin-top:330.443024pt;width:7.9pt;height:8pt;mso-position-horizontal-relative:page;mso-position-vertical-relative:page;z-index:-196456" type="#_x0000_t202" filled="false" stroked="false">
            <v:textbox inset="0,0,0,0">
              <w:txbxContent>
                <w:p>
                  <w:pPr>
                    <w:spacing w:before="4"/>
                    <w:ind w:left="20" w:right="-16" w:firstLine="0"/>
                    <w:jc w:val="left"/>
                    <w:rPr>
                      <w:sz w:val="12"/>
                    </w:rPr>
                  </w:pPr>
                  <w:r>
                    <w:rPr>
                      <w:color w:val="58595B"/>
                      <w:sz w:val="12"/>
                    </w:rPr>
                    <w:t>11</w:t>
                  </w:r>
                </w:p>
              </w:txbxContent>
            </v:textbox>
            <w10:wrap type="none"/>
          </v:shape>
        </w:pict>
      </w:r>
      <w:r>
        <w:rPr/>
        <w:pict>
          <v:shape style="position:absolute;margin-left:89.702599pt;margin-top:345.863037pt;width:8.4pt;height:8pt;mso-position-horizontal-relative:page;mso-position-vertical-relative:page;z-index:-196432" type="#_x0000_t202" filled="false" stroked="false">
            <v:textbox inset="0,0,0,0">
              <w:txbxContent>
                <w:p>
                  <w:pPr>
                    <w:spacing w:before="4"/>
                    <w:ind w:left="20" w:right="-6" w:firstLine="0"/>
                    <w:jc w:val="left"/>
                    <w:rPr>
                      <w:sz w:val="12"/>
                    </w:rPr>
                  </w:pPr>
                  <w:r>
                    <w:rPr>
                      <w:color w:val="58595B"/>
                      <w:sz w:val="12"/>
                    </w:rPr>
                    <w:t>12</w:t>
                  </w:r>
                </w:p>
              </w:txbxContent>
            </v:textbox>
            <w10:wrap type="none"/>
          </v:shape>
        </w:pict>
      </w:r>
      <w:r>
        <w:rPr/>
        <w:pict>
          <v:shape style="position:absolute;margin-left:312.50061pt;margin-top:348.905029pt;width:8.85pt;height:24.85pt;mso-position-horizontal-relative:page;mso-position-vertical-relative:page;z-index:-196408" type="#_x0000_t202" filled="false" stroked="false">
            <v:textbox inset="0,0,0,0">
              <w:txbxContent>
                <w:p>
                  <w:pPr>
                    <w:spacing w:before="4"/>
                    <w:ind w:left="20" w:right="0" w:firstLine="0"/>
                    <w:jc w:val="left"/>
                    <w:rPr>
                      <w:sz w:val="12"/>
                    </w:rPr>
                  </w:pPr>
                  <w:r>
                    <w:rPr>
                      <w:color w:val="58595B"/>
                      <w:sz w:val="12"/>
                    </w:rPr>
                    <w:t>55</w:t>
                  </w:r>
                </w:p>
                <w:p>
                  <w:pPr>
                    <w:spacing w:before="30"/>
                    <w:ind w:left="20" w:right="0" w:firstLine="0"/>
                    <w:jc w:val="left"/>
                    <w:rPr>
                      <w:sz w:val="12"/>
                    </w:rPr>
                  </w:pPr>
                  <w:r>
                    <w:rPr>
                      <w:color w:val="58595B"/>
                      <w:sz w:val="12"/>
                    </w:rPr>
                    <w:t>56</w:t>
                  </w:r>
                </w:p>
                <w:p>
                  <w:pPr>
                    <w:spacing w:before="30"/>
                    <w:ind w:left="20" w:right="0" w:firstLine="0"/>
                    <w:jc w:val="left"/>
                    <w:rPr>
                      <w:sz w:val="12"/>
                    </w:rPr>
                  </w:pPr>
                  <w:r>
                    <w:rPr>
                      <w:color w:val="58595B"/>
                      <w:sz w:val="12"/>
                    </w:rPr>
                    <w:t>57</w:t>
                  </w:r>
                </w:p>
              </w:txbxContent>
            </v:textbox>
            <w10:wrap type="none"/>
          </v:shape>
        </w:pict>
      </w:r>
      <w:r>
        <w:rPr/>
        <w:pict>
          <v:shape style="position:absolute;margin-left:89.702599pt;margin-top:361.28302pt;width:8.4pt;height:8pt;mso-position-horizontal-relative:page;mso-position-vertical-relative:page;z-index:-196384" type="#_x0000_t202" filled="false" stroked="false">
            <v:textbox inset="0,0,0,0">
              <w:txbxContent>
                <w:p>
                  <w:pPr>
                    <w:spacing w:before="4"/>
                    <w:ind w:left="20" w:right="-6" w:firstLine="0"/>
                    <w:jc w:val="left"/>
                    <w:rPr>
                      <w:sz w:val="12"/>
                    </w:rPr>
                  </w:pPr>
                  <w:r>
                    <w:rPr>
                      <w:color w:val="58595B"/>
                      <w:sz w:val="12"/>
                    </w:rPr>
                    <w:t>13</w:t>
                  </w:r>
                </w:p>
              </w:txbxContent>
            </v:textbox>
            <w10:wrap type="none"/>
          </v:shape>
        </w:pict>
      </w:r>
      <w:r>
        <w:rPr/>
        <w:pict>
          <v:shape style="position:absolute;margin-left:89.702599pt;margin-top:376.703033pt;width:8.450pt;height:8pt;mso-position-horizontal-relative:page;mso-position-vertical-relative:page;z-index:-196360" type="#_x0000_t202" filled="false" stroked="false">
            <v:textbox inset="0,0,0,0">
              <w:txbxContent>
                <w:p>
                  <w:pPr>
                    <w:spacing w:before="4"/>
                    <w:ind w:left="20" w:right="-5" w:firstLine="0"/>
                    <w:jc w:val="left"/>
                    <w:rPr>
                      <w:sz w:val="12"/>
                    </w:rPr>
                  </w:pPr>
                  <w:r>
                    <w:rPr>
                      <w:color w:val="58595B"/>
                      <w:sz w:val="12"/>
                    </w:rPr>
                    <w:t>14</w:t>
                  </w:r>
                </w:p>
              </w:txbxContent>
            </v:textbox>
            <w10:wrap type="none"/>
          </v:shape>
        </w:pict>
      </w:r>
      <w:r>
        <w:rPr/>
        <w:pict>
          <v:shape style="position:absolute;margin-left:312.494598pt;margin-top:381.161041pt;width:8.85pt;height:16.45pt;mso-position-horizontal-relative:page;mso-position-vertical-relative:page;z-index:-196336" type="#_x0000_t202" filled="false" stroked="false">
            <v:textbox inset="0,0,0,0">
              <w:txbxContent>
                <w:p>
                  <w:pPr>
                    <w:spacing w:before="4"/>
                    <w:ind w:left="20" w:right="0" w:firstLine="0"/>
                    <w:jc w:val="left"/>
                    <w:rPr>
                      <w:sz w:val="12"/>
                    </w:rPr>
                  </w:pPr>
                  <w:r>
                    <w:rPr>
                      <w:color w:val="58595B"/>
                      <w:sz w:val="12"/>
                    </w:rPr>
                    <w:t>58</w:t>
                  </w:r>
                </w:p>
                <w:p>
                  <w:pPr>
                    <w:spacing w:before="30"/>
                    <w:ind w:left="20" w:right="0" w:firstLine="0"/>
                    <w:jc w:val="left"/>
                    <w:rPr>
                      <w:sz w:val="12"/>
                    </w:rPr>
                  </w:pPr>
                  <w:r>
                    <w:rPr>
                      <w:color w:val="58595B"/>
                      <w:sz w:val="12"/>
                    </w:rPr>
                    <w:t>59</w:t>
                  </w:r>
                </w:p>
              </w:txbxContent>
            </v:textbox>
            <w10:wrap type="none"/>
          </v:shape>
        </w:pict>
      </w:r>
      <w:r>
        <w:rPr/>
        <w:pict>
          <v:shape style="position:absolute;margin-left:89.702599pt;margin-top:406.127014pt;width:8.450pt;height:8pt;mso-position-horizontal-relative:page;mso-position-vertical-relative:page;z-index:-196312" type="#_x0000_t202" filled="false" stroked="false">
            <v:textbox inset="0,0,0,0">
              <w:txbxContent>
                <w:p>
                  <w:pPr>
                    <w:spacing w:before="4"/>
                    <w:ind w:left="20" w:right="-5" w:firstLine="0"/>
                    <w:jc w:val="left"/>
                    <w:rPr>
                      <w:sz w:val="12"/>
                    </w:rPr>
                  </w:pPr>
                  <w:r>
                    <w:rPr>
                      <w:color w:val="58595B"/>
                      <w:sz w:val="12"/>
                    </w:rPr>
                    <w:t>15</w:t>
                  </w:r>
                </w:p>
              </w:txbxContent>
            </v:textbox>
            <w10:wrap type="none"/>
          </v:shape>
        </w:pict>
      </w:r>
      <w:r>
        <w:rPr/>
        <w:pict>
          <v:shape style="position:absolute;margin-left:89.702599pt;margin-top:421.547028pt;width:8.550pt;height:8pt;mso-position-horizontal-relative:page;mso-position-vertical-relative:page;z-index:-196288" type="#_x0000_t202" filled="false" stroked="false">
            <v:textbox inset="0,0,0,0">
              <w:txbxContent>
                <w:p>
                  <w:pPr>
                    <w:spacing w:before="4"/>
                    <w:ind w:left="20" w:right="-3" w:firstLine="0"/>
                    <w:jc w:val="left"/>
                    <w:rPr>
                      <w:sz w:val="12"/>
                    </w:rPr>
                  </w:pPr>
                  <w:r>
                    <w:rPr>
                      <w:color w:val="58595B"/>
                      <w:sz w:val="12"/>
                    </w:rPr>
                    <w:t>16</w:t>
                  </w:r>
                </w:p>
              </w:txbxContent>
            </v:textbox>
            <w10:wrap type="none"/>
          </v:shape>
        </w:pict>
      </w:r>
      <w:r>
        <w:rPr/>
        <w:pict>
          <v:shape style="position:absolute;margin-left:312.488586pt;margin-top:440.009033pt;width:8.9pt;height:24.85pt;mso-position-horizontal-relative:page;mso-position-vertical-relative:page;z-index:-196264" type="#_x0000_t202" filled="false" stroked="false">
            <v:textbox inset="0,0,0,0">
              <w:txbxContent>
                <w:p>
                  <w:pPr>
                    <w:spacing w:before="4"/>
                    <w:ind w:left="20" w:right="0" w:firstLine="0"/>
                    <w:jc w:val="left"/>
                    <w:rPr>
                      <w:sz w:val="12"/>
                    </w:rPr>
                  </w:pPr>
                  <w:r>
                    <w:rPr>
                      <w:color w:val="58595B"/>
                      <w:sz w:val="12"/>
                    </w:rPr>
                    <w:t>60</w:t>
                  </w:r>
                </w:p>
                <w:p>
                  <w:pPr>
                    <w:spacing w:before="30"/>
                    <w:ind w:left="20" w:right="0" w:firstLine="0"/>
                    <w:jc w:val="left"/>
                    <w:rPr>
                      <w:sz w:val="12"/>
                    </w:rPr>
                  </w:pPr>
                  <w:r>
                    <w:rPr>
                      <w:color w:val="58595B"/>
                      <w:sz w:val="12"/>
                    </w:rPr>
                    <w:t>61</w:t>
                  </w:r>
                </w:p>
                <w:p>
                  <w:pPr>
                    <w:spacing w:before="30"/>
                    <w:ind w:left="20" w:right="0" w:firstLine="0"/>
                    <w:jc w:val="left"/>
                    <w:rPr>
                      <w:sz w:val="12"/>
                    </w:rPr>
                  </w:pPr>
                  <w:r>
                    <w:rPr>
                      <w:color w:val="58595B"/>
                      <w:sz w:val="12"/>
                    </w:rPr>
                    <w:t>62</w:t>
                  </w:r>
                </w:p>
              </w:txbxContent>
            </v:textbox>
            <w10:wrap type="none"/>
          </v:shape>
        </w:pict>
      </w:r>
      <w:r>
        <w:rPr/>
        <w:pict>
          <v:shape style="position:absolute;margin-left:89.702599pt;margin-top:450.971039pt;width:8.8pt;height:33.3pt;mso-position-horizontal-relative:page;mso-position-vertical-relative:page;z-index:-196240" type="#_x0000_t202" filled="false" stroked="false">
            <v:textbox inset="0,0,0,0">
              <w:txbxContent>
                <w:p>
                  <w:pPr>
                    <w:spacing w:before="4"/>
                    <w:ind w:left="20" w:right="0" w:firstLine="0"/>
                    <w:jc w:val="left"/>
                    <w:rPr>
                      <w:sz w:val="12"/>
                    </w:rPr>
                  </w:pPr>
                  <w:r>
                    <w:rPr>
                      <w:color w:val="58595B"/>
                      <w:sz w:val="12"/>
                    </w:rPr>
                    <w:t>17</w:t>
                  </w:r>
                </w:p>
                <w:p>
                  <w:pPr>
                    <w:spacing w:before="30"/>
                    <w:ind w:left="20" w:right="0" w:firstLine="0"/>
                    <w:jc w:val="left"/>
                    <w:rPr>
                      <w:sz w:val="12"/>
                    </w:rPr>
                  </w:pPr>
                  <w:r>
                    <w:rPr>
                      <w:color w:val="58595B"/>
                      <w:sz w:val="12"/>
                    </w:rPr>
                    <w:t>18</w:t>
                  </w:r>
                </w:p>
                <w:p>
                  <w:pPr>
                    <w:spacing w:before="30"/>
                    <w:ind w:left="20" w:right="0" w:firstLine="0"/>
                    <w:jc w:val="left"/>
                    <w:rPr>
                      <w:sz w:val="12"/>
                    </w:rPr>
                  </w:pPr>
                  <w:r>
                    <w:rPr>
                      <w:color w:val="58595B"/>
                      <w:sz w:val="12"/>
                    </w:rPr>
                    <w:t>19</w:t>
                  </w:r>
                </w:p>
                <w:p>
                  <w:pPr>
                    <w:spacing w:before="30"/>
                    <w:ind w:left="20" w:right="0" w:firstLine="0"/>
                    <w:jc w:val="left"/>
                    <w:rPr>
                      <w:sz w:val="12"/>
                    </w:rPr>
                  </w:pPr>
                  <w:r>
                    <w:rPr>
                      <w:color w:val="58595B"/>
                      <w:sz w:val="12"/>
                    </w:rPr>
                    <w:t>20</w:t>
                  </w:r>
                </w:p>
              </w:txbxContent>
            </v:textbox>
            <w10:wrap type="none"/>
          </v:shape>
        </w:pict>
      </w:r>
      <w:r>
        <w:rPr/>
        <w:pict>
          <v:shape style="position:absolute;margin-left:312.482605pt;margin-top:472.265015pt;width:8.85pt;height:8pt;mso-position-horizontal-relative:page;mso-position-vertical-relative:page;z-index:-196216" type="#_x0000_t202" filled="false" stroked="false">
            <v:textbox inset="0,0,0,0">
              <w:txbxContent>
                <w:p>
                  <w:pPr>
                    <w:spacing w:before="4"/>
                    <w:ind w:left="20" w:right="0" w:firstLine="0"/>
                    <w:jc w:val="left"/>
                    <w:rPr>
                      <w:sz w:val="12"/>
                    </w:rPr>
                  </w:pPr>
                  <w:r>
                    <w:rPr>
                      <w:color w:val="58595B"/>
                      <w:sz w:val="12"/>
                    </w:rPr>
                    <w:t>63</w:t>
                  </w:r>
                </w:p>
              </w:txbxContent>
            </v:textbox>
            <w10:wrap type="none"/>
          </v:shape>
        </w:pict>
      </w:r>
      <w:r>
        <w:rPr/>
        <w:pict>
          <v:shape style="position:absolute;margin-left:312.476593pt;margin-top:487.685028pt;width:8.9pt;height:8pt;mso-position-horizontal-relative:page;mso-position-vertical-relative:page;z-index:-196192" type="#_x0000_t202" filled="false" stroked="false">
            <v:textbox inset="0,0,0,0">
              <w:txbxContent>
                <w:p>
                  <w:pPr>
                    <w:spacing w:before="4"/>
                    <w:ind w:left="20" w:right="0" w:firstLine="0"/>
                    <w:jc w:val="left"/>
                    <w:rPr>
                      <w:sz w:val="12"/>
                    </w:rPr>
                  </w:pPr>
                  <w:r>
                    <w:rPr>
                      <w:color w:val="58595B"/>
                      <w:sz w:val="12"/>
                    </w:rPr>
                    <w:t>64</w:t>
                  </w:r>
                </w:p>
              </w:txbxContent>
            </v:textbox>
            <w10:wrap type="none"/>
          </v:shape>
        </w:pict>
      </w:r>
      <w:r>
        <w:rPr/>
        <w:pict>
          <v:shape style="position:absolute;margin-left:89.696602pt;margin-top:491.64502pt;width:8.85pt;height:16.45pt;mso-position-horizontal-relative:page;mso-position-vertical-relative:page;z-index:-196168" type="#_x0000_t202" filled="false" stroked="false">
            <v:textbox inset="0,0,0,0">
              <w:txbxContent>
                <w:p>
                  <w:pPr>
                    <w:spacing w:before="4"/>
                    <w:ind w:left="20" w:right="0" w:firstLine="0"/>
                    <w:jc w:val="left"/>
                    <w:rPr>
                      <w:sz w:val="12"/>
                    </w:rPr>
                  </w:pPr>
                  <w:r>
                    <w:rPr>
                      <w:color w:val="58595B"/>
                      <w:sz w:val="12"/>
                    </w:rPr>
                    <w:t>21</w:t>
                  </w:r>
                </w:p>
                <w:p>
                  <w:pPr>
                    <w:spacing w:before="30"/>
                    <w:ind w:left="20" w:right="0" w:firstLine="0"/>
                    <w:jc w:val="left"/>
                    <w:rPr>
                      <w:sz w:val="12"/>
                    </w:rPr>
                  </w:pPr>
                  <w:r>
                    <w:rPr>
                      <w:color w:val="58595B"/>
                      <w:sz w:val="12"/>
                    </w:rPr>
                    <w:t>22</w:t>
                  </w:r>
                </w:p>
              </w:txbxContent>
            </v:textbox>
            <w10:wrap type="none"/>
          </v:shape>
        </w:pict>
      </w:r>
      <w:r>
        <w:rPr/>
        <w:pict>
          <v:shape style="position:absolute;margin-left:312.476593pt;margin-top:510.107025pt;width:8.9pt;height:24.85pt;mso-position-horizontal-relative:page;mso-position-vertical-relative:page;z-index:-196144" type="#_x0000_t202" filled="false" stroked="false">
            <v:textbox inset="0,0,0,0">
              <w:txbxContent>
                <w:p>
                  <w:pPr>
                    <w:spacing w:before="4"/>
                    <w:ind w:left="20" w:right="0" w:firstLine="0"/>
                    <w:jc w:val="left"/>
                    <w:rPr>
                      <w:sz w:val="12"/>
                    </w:rPr>
                  </w:pPr>
                  <w:r>
                    <w:rPr>
                      <w:color w:val="58595B"/>
                      <w:sz w:val="12"/>
                    </w:rPr>
                    <w:t>65</w:t>
                  </w:r>
                </w:p>
                <w:p>
                  <w:pPr>
                    <w:spacing w:before="30"/>
                    <w:ind w:left="20" w:right="0" w:firstLine="0"/>
                    <w:jc w:val="left"/>
                    <w:rPr>
                      <w:sz w:val="12"/>
                    </w:rPr>
                  </w:pPr>
                  <w:r>
                    <w:rPr>
                      <w:color w:val="58595B"/>
                      <w:sz w:val="12"/>
                    </w:rPr>
                    <w:t>66</w:t>
                  </w:r>
                </w:p>
                <w:p>
                  <w:pPr>
                    <w:spacing w:before="30"/>
                    <w:ind w:left="20" w:right="0" w:firstLine="0"/>
                    <w:jc w:val="left"/>
                    <w:rPr>
                      <w:sz w:val="12"/>
                    </w:rPr>
                  </w:pPr>
                  <w:r>
                    <w:rPr>
                      <w:color w:val="58595B"/>
                      <w:sz w:val="12"/>
                    </w:rPr>
                    <w:t>67</w:t>
                  </w:r>
                </w:p>
              </w:txbxContent>
            </v:textbox>
            <w10:wrap type="none"/>
          </v:shape>
        </w:pict>
      </w:r>
      <w:r>
        <w:rPr/>
        <w:pict>
          <v:shape style="position:absolute;margin-left:89.690598pt;margin-top:515.483032pt;width:8.8pt;height:8pt;mso-position-horizontal-relative:page;mso-position-vertical-relative:page;z-index:-196120" type="#_x0000_t202" filled="false" stroked="false">
            <v:textbox inset="0,0,0,0">
              <w:txbxContent>
                <w:p>
                  <w:pPr>
                    <w:spacing w:before="4"/>
                    <w:ind w:left="20" w:right="0" w:firstLine="0"/>
                    <w:jc w:val="left"/>
                    <w:rPr>
                      <w:sz w:val="12"/>
                    </w:rPr>
                  </w:pPr>
                  <w:r>
                    <w:rPr>
                      <w:color w:val="58595B"/>
                      <w:sz w:val="12"/>
                    </w:rPr>
                    <w:t>23</w:t>
                  </w:r>
                </w:p>
              </w:txbxContent>
            </v:textbox>
            <w10:wrap type="none"/>
          </v:shape>
        </w:pict>
      </w:r>
      <w:r>
        <w:rPr/>
        <w:pict>
          <v:shape style="position:absolute;margin-left:89.690598pt;margin-top:537.905029pt;width:8.7pt;height:8pt;mso-position-horizontal-relative:page;mso-position-vertical-relative:page;z-index:-196096" type="#_x0000_t202" filled="false" stroked="false">
            <v:textbox inset="0,0,0,0">
              <w:txbxContent>
                <w:p>
                  <w:pPr>
                    <w:spacing w:before="4"/>
                    <w:ind w:left="20" w:right="0" w:firstLine="0"/>
                    <w:jc w:val="left"/>
                    <w:rPr>
                      <w:sz w:val="12"/>
                    </w:rPr>
                  </w:pPr>
                  <w:r>
                    <w:rPr>
                      <w:color w:val="58595B"/>
                      <w:sz w:val="12"/>
                    </w:rPr>
                    <w:t>24</w:t>
                  </w:r>
                </w:p>
              </w:txbxContent>
            </v:textbox>
            <w10:wrap type="none"/>
          </v:shape>
        </w:pict>
      </w:r>
      <w:r>
        <w:rPr/>
        <w:pict>
          <v:shape style="position:absolute;margin-left:312.476593pt;margin-top:549.365051pt;width:8.85pt;height:16.45pt;mso-position-horizontal-relative:page;mso-position-vertical-relative:page;z-index:-196072" type="#_x0000_t202" filled="false" stroked="false">
            <v:textbox inset="0,0,0,0">
              <w:txbxContent>
                <w:p>
                  <w:pPr>
                    <w:spacing w:before="4"/>
                    <w:ind w:left="20" w:right="0" w:firstLine="0"/>
                    <w:jc w:val="left"/>
                    <w:rPr>
                      <w:sz w:val="12"/>
                    </w:rPr>
                  </w:pPr>
                  <w:r>
                    <w:rPr>
                      <w:color w:val="58595B"/>
                      <w:sz w:val="12"/>
                    </w:rPr>
                    <w:t>68</w:t>
                  </w:r>
                </w:p>
                <w:p>
                  <w:pPr>
                    <w:spacing w:before="30"/>
                    <w:ind w:left="20" w:right="0" w:firstLine="0"/>
                    <w:jc w:val="left"/>
                    <w:rPr>
                      <w:sz w:val="12"/>
                    </w:rPr>
                  </w:pPr>
                  <w:r>
                    <w:rPr>
                      <w:color w:val="58595B"/>
                      <w:sz w:val="12"/>
                    </w:rPr>
                    <w:t>69</w:t>
                  </w:r>
                </w:p>
              </w:txbxContent>
            </v:textbox>
            <w10:wrap type="none"/>
          </v:shape>
        </w:pict>
      </w:r>
      <w:r>
        <w:rPr/>
        <w:pict>
          <v:shape style="position:absolute;margin-left:89.684601pt;margin-top:560.327026pt;width:8.75pt;height:8pt;mso-position-horizontal-relative:page;mso-position-vertical-relative:page;z-index:-196048" type="#_x0000_t202" filled="false" stroked="false">
            <v:textbox inset="0,0,0,0">
              <w:txbxContent>
                <w:p>
                  <w:pPr>
                    <w:spacing w:before="4"/>
                    <w:ind w:left="20" w:right="0" w:firstLine="0"/>
                    <w:jc w:val="left"/>
                    <w:rPr>
                      <w:sz w:val="12"/>
                    </w:rPr>
                  </w:pPr>
                  <w:r>
                    <w:rPr>
                      <w:color w:val="58595B"/>
                      <w:sz w:val="12"/>
                    </w:rPr>
                    <w:t>25</w:t>
                  </w:r>
                </w:p>
              </w:txbxContent>
            </v:textbox>
            <w10:wrap type="none"/>
          </v:shape>
        </w:pict>
      </w:r>
      <w:r>
        <w:rPr/>
        <w:pict>
          <v:shape style="position:absolute;margin-left:312.476593pt;margin-top:573.203003pt;width:8.7pt;height:16.45pt;mso-position-horizontal-relative:page;mso-position-vertical-relative:page;z-index:-196024" type="#_x0000_t202" filled="false" stroked="false">
            <v:textbox inset="0,0,0,0">
              <w:txbxContent>
                <w:p>
                  <w:pPr>
                    <w:spacing w:before="4"/>
                    <w:ind w:left="20" w:right="0" w:firstLine="0"/>
                    <w:jc w:val="left"/>
                    <w:rPr>
                      <w:sz w:val="12"/>
                    </w:rPr>
                  </w:pPr>
                  <w:r>
                    <w:rPr>
                      <w:color w:val="58595B"/>
                      <w:sz w:val="12"/>
                    </w:rPr>
                    <w:t>70</w:t>
                  </w:r>
                </w:p>
                <w:p>
                  <w:pPr>
                    <w:spacing w:before="30"/>
                    <w:ind w:left="20" w:right="0" w:firstLine="0"/>
                    <w:jc w:val="left"/>
                    <w:rPr>
                      <w:sz w:val="12"/>
                    </w:rPr>
                  </w:pPr>
                  <w:r>
                    <w:rPr>
                      <w:color w:val="58595B"/>
                      <w:sz w:val="12"/>
                    </w:rPr>
                    <w:t>71</w:t>
                  </w:r>
                </w:p>
              </w:txbxContent>
            </v:textbox>
            <w10:wrap type="none"/>
          </v:shape>
        </w:pict>
      </w:r>
      <w:r>
        <w:rPr/>
        <w:pict>
          <v:shape style="position:absolute;margin-left:89.684601pt;margin-top:575.747009pt;width:8.8pt;height:8pt;mso-position-horizontal-relative:page;mso-position-vertical-relative:page;z-index:-196000" type="#_x0000_t202" filled="false" stroked="false">
            <v:textbox inset="0,0,0,0">
              <w:txbxContent>
                <w:p>
                  <w:pPr>
                    <w:spacing w:before="4"/>
                    <w:ind w:left="20" w:right="0" w:firstLine="0"/>
                    <w:jc w:val="left"/>
                    <w:rPr>
                      <w:sz w:val="12"/>
                    </w:rPr>
                  </w:pPr>
                  <w:r>
                    <w:rPr>
                      <w:color w:val="58595B"/>
                      <w:sz w:val="12"/>
                    </w:rPr>
                    <w:t>26</w:t>
                  </w:r>
                </w:p>
              </w:txbxContent>
            </v:textbox>
            <w10:wrap type="none"/>
          </v:shape>
        </w:pict>
      </w:r>
      <w:r>
        <w:rPr/>
        <w:pict>
          <v:shape style="position:absolute;margin-left:312.476593pt;margin-top:597.041016pt;width:8.75pt;height:8pt;mso-position-horizontal-relative:page;mso-position-vertical-relative:page;z-index:-195976" type="#_x0000_t202" filled="false" stroked="false">
            <v:textbox inset="0,0,0,0">
              <w:txbxContent>
                <w:p>
                  <w:pPr>
                    <w:spacing w:before="4"/>
                    <w:ind w:left="20" w:right="0" w:firstLine="0"/>
                    <w:jc w:val="left"/>
                    <w:rPr>
                      <w:sz w:val="12"/>
                    </w:rPr>
                  </w:pPr>
                  <w:r>
                    <w:rPr>
                      <w:color w:val="58595B"/>
                      <w:sz w:val="12"/>
                    </w:rPr>
                    <w:t>72</w:t>
                  </w:r>
                </w:p>
              </w:txbxContent>
            </v:textbox>
            <w10:wrap type="none"/>
          </v:shape>
        </w:pict>
      </w:r>
      <w:r>
        <w:rPr/>
        <w:pict>
          <v:shape style="position:absolute;margin-left:89.684601pt;margin-top:598.169006pt;width:8.75pt;height:8pt;mso-position-horizontal-relative:page;mso-position-vertical-relative:page;z-index:-195952" type="#_x0000_t202" filled="false" stroked="false">
            <v:textbox inset="0,0,0,0">
              <w:txbxContent>
                <w:p>
                  <w:pPr>
                    <w:spacing w:before="4"/>
                    <w:ind w:left="20" w:right="0" w:firstLine="0"/>
                    <w:jc w:val="left"/>
                    <w:rPr>
                      <w:sz w:val="12"/>
                    </w:rPr>
                  </w:pPr>
                  <w:r>
                    <w:rPr>
                      <w:color w:val="58595B"/>
                      <w:sz w:val="12"/>
                    </w:rPr>
                    <w:t>27</w:t>
                  </w:r>
                </w:p>
              </w:txbxContent>
            </v:textbox>
            <w10:wrap type="none"/>
          </v:shape>
        </w:pict>
      </w:r>
      <w:r>
        <w:rPr/>
        <w:pict>
          <v:shape style="position:absolute;margin-left:312.476593pt;margin-top:612.460999pt;width:8.75pt;height:8pt;mso-position-horizontal-relative:page;mso-position-vertical-relative:page;z-index:-195928" type="#_x0000_t202" filled="false" stroked="false">
            <v:textbox inset="0,0,0,0">
              <w:txbxContent>
                <w:p>
                  <w:pPr>
                    <w:spacing w:before="4"/>
                    <w:ind w:left="20" w:right="0" w:firstLine="0"/>
                    <w:jc w:val="left"/>
                    <w:rPr>
                      <w:sz w:val="12"/>
                    </w:rPr>
                  </w:pPr>
                  <w:r>
                    <w:rPr>
                      <w:color w:val="58595B"/>
                      <w:sz w:val="12"/>
                    </w:rPr>
                    <w:t>73</w:t>
                  </w:r>
                </w:p>
              </w:txbxContent>
            </v:textbox>
            <w10:wrap type="none"/>
          </v:shape>
        </w:pict>
      </w:r>
      <w:r>
        <w:rPr/>
        <w:pict>
          <v:shape style="position:absolute;margin-left:89.678596pt;margin-top:613.589050pt;width:8.75pt;height:8pt;mso-position-horizontal-relative:page;mso-position-vertical-relative:page;z-index:-195904" type="#_x0000_t202" filled="false" stroked="false">
            <v:textbox inset="0,0,0,0">
              <w:txbxContent>
                <w:p>
                  <w:pPr>
                    <w:spacing w:before="4"/>
                    <w:ind w:left="20" w:right="0" w:firstLine="0"/>
                    <w:jc w:val="left"/>
                    <w:rPr>
                      <w:sz w:val="12"/>
                    </w:rPr>
                  </w:pPr>
                  <w:r>
                    <w:rPr>
                      <w:color w:val="58595B"/>
                      <w:sz w:val="12"/>
                    </w:rPr>
                    <w:t>28</w:t>
                  </w:r>
                </w:p>
              </w:txbxContent>
            </v:textbox>
            <w10:wrap type="none"/>
          </v:shape>
        </w:pict>
      </w:r>
      <w:r>
        <w:rPr/>
        <w:pict>
          <v:shape style="position:absolute;margin-left:89.678596pt;margin-top:643.013pt;width:8.8pt;height:8pt;mso-position-horizontal-relative:page;mso-position-vertical-relative:page;z-index:-195880" type="#_x0000_t202" filled="false" stroked="false">
            <v:textbox inset="0,0,0,0">
              <w:txbxContent>
                <w:p>
                  <w:pPr>
                    <w:spacing w:before="4"/>
                    <w:ind w:left="20" w:right="0" w:firstLine="0"/>
                    <w:jc w:val="left"/>
                    <w:rPr>
                      <w:sz w:val="12"/>
                    </w:rPr>
                  </w:pPr>
                  <w:r>
                    <w:rPr>
                      <w:color w:val="58595B"/>
                      <w:sz w:val="12"/>
                    </w:rPr>
                    <w:t>29</w:t>
                  </w:r>
                </w:p>
              </w:txbxContent>
            </v:textbox>
            <w10:wrap type="none"/>
          </v:shape>
        </w:pict>
      </w:r>
      <w:r>
        <w:rPr/>
        <w:pict>
          <v:shape style="position:absolute;margin-left:312.476593pt;margin-top:648.887024pt;width:8.1pt;height:8pt;mso-position-horizontal-relative:page;mso-position-vertical-relative:page;z-index:-195856" type="#_x0000_t202" filled="false" stroked="false">
            <v:textbox inset="0,0,0,0">
              <w:txbxContent>
                <w:p>
                  <w:pPr>
                    <w:spacing w:before="4"/>
                    <w:ind w:left="20" w:right="-12" w:firstLine="0"/>
                    <w:jc w:val="left"/>
                    <w:rPr>
                      <w:sz w:val="12"/>
                    </w:rPr>
                  </w:pPr>
                  <w:r>
                    <w:rPr>
                      <w:color w:val="58595B"/>
                      <w:sz w:val="12"/>
                    </w:rPr>
                    <w:t>74</w:t>
                  </w:r>
                </w:p>
              </w:txbxContent>
            </v:textbox>
            <w10:wrap type="none"/>
          </v:shape>
        </w:pict>
      </w:r>
      <w:r>
        <w:rPr/>
        <w:pict>
          <v:shape style="position:absolute;margin-left:89.678596pt;margin-top:658.433044pt;width:8.85pt;height:24.85pt;mso-position-horizontal-relative:page;mso-position-vertical-relative:page;z-index:-195832" type="#_x0000_t202" filled="false" stroked="false">
            <v:textbox inset="0,0,0,0">
              <w:txbxContent>
                <w:p>
                  <w:pPr>
                    <w:spacing w:before="4"/>
                    <w:ind w:left="20" w:right="0" w:firstLine="0"/>
                    <w:jc w:val="left"/>
                    <w:rPr>
                      <w:sz w:val="12"/>
                    </w:rPr>
                  </w:pPr>
                  <w:r>
                    <w:rPr>
                      <w:color w:val="58595B"/>
                      <w:sz w:val="12"/>
                    </w:rPr>
                    <w:t>30</w:t>
                  </w:r>
                </w:p>
                <w:p>
                  <w:pPr>
                    <w:spacing w:before="30"/>
                    <w:ind w:left="20" w:right="0" w:firstLine="0"/>
                    <w:jc w:val="left"/>
                    <w:rPr>
                      <w:sz w:val="12"/>
                    </w:rPr>
                  </w:pPr>
                  <w:r>
                    <w:rPr>
                      <w:color w:val="58595B"/>
                      <w:sz w:val="12"/>
                    </w:rPr>
                    <w:t>31</w:t>
                  </w:r>
                </w:p>
                <w:p>
                  <w:pPr>
                    <w:spacing w:before="30"/>
                    <w:ind w:left="20" w:right="0" w:firstLine="0"/>
                    <w:jc w:val="left"/>
                    <w:rPr>
                      <w:sz w:val="12"/>
                    </w:rPr>
                  </w:pPr>
                  <w:r>
                    <w:rPr>
                      <w:color w:val="58595B"/>
                      <w:sz w:val="12"/>
                    </w:rPr>
                    <w:t>32</w:t>
                  </w:r>
                </w:p>
              </w:txbxContent>
            </v:textbox>
            <w10:wrap type="none"/>
          </v:shape>
        </w:pict>
      </w:r>
      <w:r>
        <w:rPr/>
        <w:pict>
          <v:shape style="position:absolute;margin-left:312.476593pt;margin-top:664.307007pt;width:8.65pt;height:8pt;mso-position-horizontal-relative:page;mso-position-vertical-relative:page;z-index:-195808" type="#_x0000_t202" filled="false" stroked="false">
            <v:textbox inset="0,0,0,0">
              <w:txbxContent>
                <w:p>
                  <w:pPr>
                    <w:spacing w:before="4"/>
                    <w:ind w:left="20" w:right="-1" w:firstLine="0"/>
                    <w:jc w:val="left"/>
                    <w:rPr>
                      <w:sz w:val="12"/>
                    </w:rPr>
                  </w:pPr>
                  <w:r>
                    <w:rPr>
                      <w:color w:val="58595B"/>
                      <w:sz w:val="12"/>
                    </w:rPr>
                    <w:t>75</w:t>
                  </w:r>
                </w:p>
              </w:txbxContent>
            </v:textbox>
            <w10:wrap type="none"/>
          </v:shape>
        </w:pict>
      </w:r>
      <w:r>
        <w:rPr/>
        <w:pict>
          <v:shape style="position:absolute;margin-left:312.470612pt;margin-top:679.727051pt;width:8.8pt;height:16.45pt;mso-position-horizontal-relative:page;mso-position-vertical-relative:page;z-index:-195784" type="#_x0000_t202" filled="false" stroked="false">
            <v:textbox inset="0,0,0,0">
              <w:txbxContent>
                <w:p>
                  <w:pPr>
                    <w:spacing w:before="4"/>
                    <w:ind w:left="20" w:right="0" w:firstLine="0"/>
                    <w:jc w:val="left"/>
                    <w:rPr>
                      <w:sz w:val="12"/>
                    </w:rPr>
                  </w:pPr>
                  <w:r>
                    <w:rPr>
                      <w:color w:val="58595B"/>
                      <w:sz w:val="12"/>
                    </w:rPr>
                    <w:t>76</w:t>
                  </w:r>
                </w:p>
                <w:p>
                  <w:pPr>
                    <w:spacing w:before="30"/>
                    <w:ind w:left="20" w:right="0" w:firstLine="0"/>
                    <w:jc w:val="left"/>
                    <w:rPr>
                      <w:sz w:val="12"/>
                    </w:rPr>
                  </w:pPr>
                  <w:r>
                    <w:rPr>
                      <w:color w:val="58595B"/>
                      <w:sz w:val="12"/>
                    </w:rPr>
                    <w:t>77</w:t>
                  </w:r>
                </w:p>
              </w:txbxContent>
            </v:textbox>
            <w10:wrap type="none"/>
          </v:shape>
        </w:pict>
      </w:r>
      <w:r>
        <w:rPr/>
        <w:pict>
          <v:shape style="position:absolute;margin-left:89.678596pt;margin-top:690.689026pt;width:8.85pt;height:8pt;mso-position-horizontal-relative:page;mso-position-vertical-relative:page;z-index:-195760" type="#_x0000_t202" filled="false" stroked="false">
            <v:textbox inset="0,0,0,0">
              <w:txbxContent>
                <w:p>
                  <w:pPr>
                    <w:spacing w:before="4"/>
                    <w:ind w:left="20" w:right="0" w:firstLine="0"/>
                    <w:jc w:val="left"/>
                    <w:rPr>
                      <w:sz w:val="12"/>
                    </w:rPr>
                  </w:pPr>
                  <w:r>
                    <w:rPr>
                      <w:color w:val="58595B"/>
                      <w:sz w:val="12"/>
                    </w:rPr>
                    <w:t>33</w:t>
                  </w:r>
                </w:p>
              </w:txbxContent>
            </v:textbox>
            <w10:wrap type="none"/>
          </v:shape>
        </w:pict>
      </w:r>
      <w:r>
        <w:rPr/>
        <w:pict>
          <v:shape style="position:absolute;margin-left:312.470612pt;margin-top:703.565002pt;width:8.7pt;height:8pt;mso-position-horizontal-relative:page;mso-position-vertical-relative:page;z-index:-195736" type="#_x0000_t202" filled="false" stroked="false">
            <v:textbox inset="0,0,0,0">
              <w:txbxContent>
                <w:p>
                  <w:pPr>
                    <w:spacing w:before="4"/>
                    <w:ind w:left="20" w:right="0" w:firstLine="0"/>
                    <w:jc w:val="left"/>
                    <w:rPr>
                      <w:sz w:val="12"/>
                    </w:rPr>
                  </w:pPr>
                  <w:r>
                    <w:rPr>
                      <w:color w:val="58595B"/>
                      <w:sz w:val="12"/>
                    </w:rPr>
                    <w:t>78</w:t>
                  </w:r>
                </w:p>
              </w:txbxContent>
            </v:textbox>
            <w10:wrap type="none"/>
          </v:shape>
        </w:pict>
      </w:r>
      <w:r>
        <w:rPr/>
        <w:pict>
          <v:shape style="position:absolute;margin-left:89.678596pt;margin-top:713.111023pt;width:8.9pt;height:8pt;mso-position-horizontal-relative:page;mso-position-vertical-relative:page;z-index:-195712" type="#_x0000_t202" filled="false" stroked="false">
            <v:textbox inset="0,0,0,0">
              <w:txbxContent>
                <w:p>
                  <w:pPr>
                    <w:spacing w:before="4"/>
                    <w:ind w:left="20" w:right="0" w:firstLine="0"/>
                    <w:jc w:val="left"/>
                    <w:rPr>
                      <w:sz w:val="12"/>
                    </w:rPr>
                  </w:pPr>
                  <w:r>
                    <w:rPr>
                      <w:color w:val="58595B"/>
                      <w:sz w:val="12"/>
                    </w:rPr>
                    <w:t>34</w:t>
                  </w:r>
                </w:p>
              </w:txbxContent>
            </v:textbox>
            <w10:wrap type="none"/>
          </v:shape>
        </w:pict>
      </w:r>
      <w:r>
        <w:rPr/>
        <w:pict>
          <v:shape style="position:absolute;margin-left:89.678596pt;margin-top:735.53302pt;width:8.85pt;height:8pt;mso-position-horizontal-relative:page;mso-position-vertical-relative:page;z-index:-195688" type="#_x0000_t202" filled="false" stroked="false">
            <v:textbox inset="0,0,0,0">
              <w:txbxContent>
                <w:p>
                  <w:pPr>
                    <w:spacing w:before="4"/>
                    <w:ind w:left="20" w:right="0" w:firstLine="0"/>
                    <w:jc w:val="left"/>
                    <w:rPr>
                      <w:sz w:val="12"/>
                    </w:rPr>
                  </w:pPr>
                  <w:r>
                    <w:rPr>
                      <w:color w:val="58595B"/>
                      <w:sz w:val="12"/>
                    </w:rPr>
                    <w:t>35</w:t>
                  </w:r>
                </w:p>
              </w:txbxContent>
            </v:textbox>
            <w10:wrap type="none"/>
          </v:shape>
        </w:pict>
      </w:r>
      <w:r>
        <w:rPr/>
        <w:pict>
          <v:shape style="position:absolute;margin-left:312.4646pt;margin-top:739.991028pt;width:8.75pt;height:8pt;mso-position-horizontal-relative:page;mso-position-vertical-relative:page;z-index:-195664" type="#_x0000_t202" filled="false" stroked="false">
            <v:textbox inset="0,0,0,0">
              <w:txbxContent>
                <w:p>
                  <w:pPr>
                    <w:spacing w:before="4"/>
                    <w:ind w:left="20" w:right="0" w:firstLine="0"/>
                    <w:jc w:val="left"/>
                    <w:rPr>
                      <w:sz w:val="12"/>
                    </w:rPr>
                  </w:pPr>
                  <w:r>
                    <w:rPr>
                      <w:color w:val="58595B"/>
                      <w:sz w:val="12"/>
                    </w:rPr>
                    <w:t>79</w:t>
                  </w:r>
                </w:p>
              </w:txbxContent>
            </v:textbox>
            <w10:wrap type="none"/>
          </v:shape>
        </w:pict>
      </w:r>
      <w:r>
        <w:rPr/>
        <w:pict>
          <v:shape style="position:absolute;margin-left:312.4646pt;margin-top:755.411011pt;width:8.85pt;height:8pt;mso-position-horizontal-relative:page;mso-position-vertical-relative:page;z-index:-195640" type="#_x0000_t202" filled="false" stroked="false">
            <v:textbox inset="0,0,0,0">
              <w:txbxContent>
                <w:p>
                  <w:pPr>
                    <w:spacing w:before="4"/>
                    <w:ind w:left="20" w:right="0" w:firstLine="0"/>
                    <w:jc w:val="left"/>
                    <w:rPr>
                      <w:sz w:val="12"/>
                    </w:rPr>
                  </w:pPr>
                  <w:r>
                    <w:rPr>
                      <w:color w:val="58595B"/>
                      <w:sz w:val="12"/>
                    </w:rPr>
                    <w:t>80</w:t>
                  </w:r>
                </w:p>
              </w:txbxContent>
            </v:textbox>
            <w10:wrap type="none"/>
          </v:shape>
        </w:pict>
      </w:r>
      <w:r>
        <w:rPr/>
        <w:pict>
          <v:shape style="position:absolute;margin-left:89.678596pt;margin-top:757.955017pt;width:8.85pt;height:8pt;mso-position-horizontal-relative:page;mso-position-vertical-relative:page;z-index:-195616" type="#_x0000_t202" filled="false" stroked="false">
            <v:textbox inset="0,0,0,0">
              <w:txbxContent>
                <w:p>
                  <w:pPr>
                    <w:spacing w:before="4"/>
                    <w:ind w:left="20" w:right="0" w:firstLine="0"/>
                    <w:jc w:val="left"/>
                    <w:rPr>
                      <w:sz w:val="12"/>
                    </w:rPr>
                  </w:pPr>
                  <w:r>
                    <w:rPr>
                      <w:color w:val="58595B"/>
                      <w:sz w:val="12"/>
                    </w:rPr>
                    <w:t>36</w:t>
                  </w:r>
                </w:p>
              </w:txbxContent>
            </v:textbox>
            <w10:wrap type="none"/>
          </v:shape>
        </w:pict>
      </w:r>
      <w:r>
        <w:rPr/>
        <w:pict>
          <v:shape style="position:absolute;margin-left:312.554504pt;margin-top:770.587952pt;width:8.5pt;height:8pt;mso-position-horizontal-relative:page;mso-position-vertical-relative:page;z-index:-195592" type="#_x0000_t202" filled="false" stroked="false">
            <v:textbox inset="0,0,0,0">
              <w:txbxContent>
                <w:p>
                  <w:pPr>
                    <w:spacing w:before="4"/>
                    <w:ind w:left="20" w:right="-4" w:firstLine="0"/>
                    <w:jc w:val="left"/>
                    <w:rPr>
                      <w:sz w:val="12"/>
                    </w:rPr>
                  </w:pPr>
                  <w:r>
                    <w:rPr>
                      <w:color w:val="58595B"/>
                      <w:sz w:val="12"/>
                    </w:rPr>
                    <w:t>81</w:t>
                  </w:r>
                </w:p>
              </w:txbxContent>
            </v:textbox>
            <w10:wrap type="none"/>
          </v:shape>
        </w:pict>
      </w:r>
      <w:r>
        <w:rPr/>
        <w:pict>
          <v:shape style="position:absolute;margin-left:534.996094pt;margin-top:44.090015pt;width:60.3pt;height:5.25pt;mso-position-horizontal-relative:page;mso-position-vertical-relative:page;z-index:-19556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5544" type="#_x0000_t202" filled="false" stroked="false">
            <v:textbox inset="0,0,0,0">
              <w:txbxContent/>
            </v:textbox>
            <w10:wrap type="none"/>
          </v:shape>
        </w:pict>
      </w:r>
      <w:r>
        <w:rPr/>
        <w:pict>
          <v:shape style="position:absolute;margin-left:90.708603pt;margin-top:92.331017pt;width:433.75pt;height:12pt;mso-position-horizontal-relative:page;mso-position-vertical-relative:page;z-index:-195520" type="#_x0000_t202" filled="false" stroked="false">
            <v:textbox inset="0,0,0,0">
              <w:txbxContent>
                <w:p>
                  <w:pPr>
                    <w:pStyle w:val="BodyText"/>
                    <w:spacing w:before="4"/>
                    <w:ind w:left="40"/>
                    <w:rPr>
                      <w:rFonts w:ascii="Times New Roman"/>
                      <w:sz w:val="17"/>
                    </w:rPr>
                  </w:pPr>
                </w:p>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95496" from=".0pt,45.840015pt" to="60.2791pt,45.840015pt" stroked="true" strokeweight="7pt" strokecolor="#0095a7">
            <w10:wrap type="none"/>
          </v:line>
        </w:pict>
      </w:r>
      <w:r>
        <w:rPr/>
        <w:pict>
          <v:shape style="position:absolute;margin-left:69.866096pt;margin-top:40.902756pt;width:14.65pt;height:9.5pt;mso-position-horizontal-relative:page;mso-position-vertical-relative:page;z-index:-195472" type="#_x0000_t202" filled="false" stroked="false">
            <v:textbox inset="0,0,0,0">
              <w:txbxContent>
                <w:p>
                  <w:pPr>
                    <w:spacing w:before="1"/>
                    <w:ind w:left="20" w:right="0" w:firstLine="0"/>
                    <w:jc w:val="left"/>
                    <w:rPr>
                      <w:sz w:val="15"/>
                    </w:rPr>
                  </w:pPr>
                  <w:r>
                    <w:rPr>
                      <w:color w:val="58595B"/>
                      <w:sz w:val="15"/>
                    </w:rPr>
                    <w:t>106</w:t>
                  </w:r>
                </w:p>
              </w:txbxContent>
            </v:textbox>
            <w10:wrap type="none"/>
          </v:shape>
        </w:pict>
      </w:r>
      <w:r>
        <w:rPr/>
        <w:pict>
          <v:shape style="position:absolute;margin-left:95.377899pt;margin-top:40.902756pt;width:147.75pt;height:9.5pt;mso-position-horizontal-relative:page;mso-position-vertical-relative:page;z-index:-195448"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54103pt;margin-top:106.22303pt;width:8.9pt;height:24.85pt;mso-position-horizontal-relative:page;mso-position-vertical-relative:page;z-index:-195424" type="#_x0000_t202" filled="false" stroked="false">
            <v:textbox inset="0,0,0,0">
              <w:txbxContent>
                <w:p>
                  <w:pPr>
                    <w:spacing w:before="4"/>
                    <w:ind w:left="20" w:right="0" w:firstLine="0"/>
                    <w:jc w:val="left"/>
                    <w:rPr>
                      <w:sz w:val="12"/>
                    </w:rPr>
                  </w:pPr>
                  <w:r>
                    <w:rPr>
                      <w:color w:val="58595B"/>
                      <w:sz w:val="12"/>
                    </w:rPr>
                    <w:t>82</w:t>
                  </w:r>
                </w:p>
                <w:p>
                  <w:pPr>
                    <w:spacing w:before="30"/>
                    <w:ind w:left="20" w:right="0" w:firstLine="0"/>
                    <w:jc w:val="left"/>
                    <w:rPr>
                      <w:sz w:val="12"/>
                    </w:rPr>
                  </w:pPr>
                  <w:r>
                    <w:rPr>
                      <w:color w:val="58595B"/>
                      <w:sz w:val="12"/>
                    </w:rPr>
                    <w:t>83</w:t>
                  </w:r>
                </w:p>
                <w:p>
                  <w:pPr>
                    <w:spacing w:before="30"/>
                    <w:ind w:left="20" w:right="0" w:firstLine="0"/>
                    <w:jc w:val="left"/>
                    <w:rPr>
                      <w:sz w:val="12"/>
                    </w:rPr>
                  </w:pPr>
                  <w:r>
                    <w:rPr>
                      <w:color w:val="58595B"/>
                      <w:sz w:val="12"/>
                    </w:rPr>
                    <w:t>84</w:t>
                  </w:r>
                </w:p>
              </w:txbxContent>
            </v:textbox>
            <w10:wrap type="none"/>
          </v:shape>
        </w:pict>
      </w:r>
      <w:r>
        <w:rPr/>
        <w:pict>
          <v:shape style="position:absolute;margin-left:84.0261pt;margin-top:106.22303pt;width:185.3pt;height:114.55pt;mso-position-horizontal-relative:page;mso-position-vertical-relative:page;z-index:-195400" type="#_x0000_t202" filled="false" stroked="false">
            <v:textbox inset="0,0,0,0">
              <w:txbxContent>
                <w:p>
                  <w:pPr>
                    <w:spacing w:line="292" w:lineRule="auto" w:before="4"/>
                    <w:ind w:left="20" w:right="1015" w:firstLine="0"/>
                    <w:jc w:val="left"/>
                    <w:rPr>
                      <w:sz w:val="12"/>
                    </w:rPr>
                  </w:pPr>
                  <w:r>
                    <w:rPr>
                      <w:color w:val="58595B"/>
                      <w:sz w:val="12"/>
                    </w:rPr>
                    <w:t>Section 6, </w:t>
                  </w:r>
                  <w:r>
                    <w:rPr>
                      <w:i/>
                      <w:color w:val="58595B"/>
                      <w:sz w:val="12"/>
                    </w:rPr>
                    <w:t>Sustainability Victoria Act </w:t>
                  </w:r>
                  <w:r>
                    <w:rPr>
                      <w:i/>
                      <w:color w:val="58595B"/>
                      <w:spacing w:val="2"/>
                      <w:sz w:val="12"/>
                    </w:rPr>
                    <w:t>2008</w:t>
                  </w:r>
                  <w:r>
                    <w:rPr>
                      <w:color w:val="58595B"/>
                      <w:spacing w:val="2"/>
                      <w:sz w:val="12"/>
                    </w:rPr>
                    <w:t>. </w:t>
                  </w:r>
                  <w:r>
                    <w:rPr>
                      <w:color w:val="58595B"/>
                      <w:sz w:val="12"/>
                    </w:rPr>
                    <w:t>Section </w:t>
                  </w:r>
                  <w:r>
                    <w:rPr>
                      <w:color w:val="58595B"/>
                      <w:spacing w:val="3"/>
                      <w:sz w:val="12"/>
                    </w:rPr>
                    <w:t>50AA, </w:t>
                  </w:r>
                  <w:r>
                    <w:rPr>
                      <w:i/>
                      <w:color w:val="58595B"/>
                      <w:sz w:val="12"/>
                    </w:rPr>
                    <w:t>Environment Protection Act </w:t>
                  </w:r>
                  <w:r>
                    <w:rPr>
                      <w:i/>
                      <w:color w:val="58595B"/>
                      <w:spacing w:val="14"/>
                      <w:sz w:val="12"/>
                    </w:rPr>
                    <w:t> </w:t>
                  </w:r>
                  <w:r>
                    <w:rPr>
                      <w:i/>
                      <w:color w:val="58595B"/>
                      <w:sz w:val="12"/>
                    </w:rPr>
                    <w:t>1970</w:t>
                  </w:r>
                  <w:r>
                    <w:rPr>
                      <w:color w:val="58595B"/>
                      <w:sz w:val="12"/>
                    </w:rPr>
                    <w:t>.</w:t>
                  </w:r>
                </w:p>
                <w:p>
                  <w:pPr>
                    <w:spacing w:line="242" w:lineRule="auto" w:before="1"/>
                    <w:ind w:left="20" w:right="123" w:firstLine="0"/>
                    <w:jc w:val="left"/>
                    <w:rPr>
                      <w:sz w:val="12"/>
                    </w:rPr>
                  </w:pPr>
                  <w:r>
                    <w:rPr>
                      <w:color w:val="58595B"/>
                      <w:sz w:val="12"/>
                    </w:rPr>
                    <w:t>Section 13(l) states that the EPA is to ‘provide information and education to the public regarding the protection and improvement  of the environment’. Several programs were transferred to Sustainability </w:t>
                  </w:r>
                  <w:r>
                    <w:rPr>
                      <w:color w:val="58595B"/>
                      <w:spacing w:val="12"/>
                      <w:sz w:val="12"/>
                    </w:rPr>
                    <w:t> </w:t>
                  </w:r>
                  <w:r>
                    <w:rPr>
                      <w:color w:val="58595B"/>
                      <w:sz w:val="12"/>
                    </w:rPr>
                    <w:t>Victoria.</w:t>
                  </w:r>
                </w:p>
                <w:p>
                  <w:pPr>
                    <w:spacing w:line="242" w:lineRule="auto" w:before="29"/>
                    <w:ind w:left="20" w:right="123" w:firstLine="0"/>
                    <w:jc w:val="left"/>
                    <w:rPr>
                      <w:sz w:val="12"/>
                    </w:rPr>
                  </w:pPr>
                  <w:r>
                    <w:rPr>
                      <w:color w:val="58595B"/>
                      <w:sz w:val="12"/>
                    </w:rPr>
                    <w:t>Maxwell C 2004, </w:t>
                  </w:r>
                  <w:r>
                    <w:rPr>
                      <w:i/>
                      <w:color w:val="58595B"/>
                      <w:sz w:val="12"/>
                    </w:rPr>
                    <w:t>Occupational Health and Safety Act Review</w:t>
                  </w:r>
                  <w:r>
                    <w:rPr>
                      <w:color w:val="58595B"/>
                      <w:sz w:val="12"/>
                    </w:rPr>
                    <w:t>, Melbourne, March, p. 274.</w:t>
                  </w:r>
                </w:p>
                <w:p>
                  <w:pPr>
                    <w:spacing w:line="242" w:lineRule="auto" w:before="29"/>
                    <w:ind w:left="20" w:right="123" w:firstLine="0"/>
                    <w:jc w:val="left"/>
                    <w:rPr>
                      <w:sz w:val="12"/>
                    </w:rPr>
                  </w:pPr>
                  <w:r>
                    <w:rPr>
                      <w:color w:val="58595B"/>
                      <w:sz w:val="12"/>
                    </w:rPr>
                    <w:t>Maxwell C 2004, </w:t>
                  </w:r>
                  <w:r>
                    <w:rPr>
                      <w:i/>
                      <w:color w:val="58595B"/>
                      <w:sz w:val="12"/>
                    </w:rPr>
                    <w:t>Occupational Health and Safety Act Review</w:t>
                  </w:r>
                  <w:r>
                    <w:rPr>
                      <w:color w:val="58595B"/>
                      <w:sz w:val="12"/>
                    </w:rPr>
                    <w:t>, Melbourne, March, pp.  259–64.</w:t>
                  </w:r>
                </w:p>
                <w:p>
                  <w:pPr>
                    <w:spacing w:line="242" w:lineRule="auto" w:before="29"/>
                    <w:ind w:left="20" w:right="0" w:firstLine="0"/>
                    <w:jc w:val="left"/>
                    <w:rPr>
                      <w:sz w:val="12"/>
                    </w:rPr>
                  </w:pPr>
                  <w:r>
                    <w:rPr>
                      <w:color w:val="58595B"/>
                      <w:sz w:val="12"/>
                    </w:rPr>
                    <w:t>Braithwaite J 2011, </w:t>
                  </w:r>
                  <w:r>
                    <w:rPr>
                      <w:i/>
                      <w:color w:val="58595B"/>
                      <w:sz w:val="12"/>
                    </w:rPr>
                    <w:t>The essence of responsive regulation</w:t>
                  </w:r>
                  <w:r>
                    <w:rPr>
                      <w:color w:val="58595B"/>
                      <w:sz w:val="12"/>
                    </w:rPr>
                    <w:t>, Fasken Lecture (delivered at the University of British Columbia, September 2010), UBCL Review, 44, p. 475.</w:t>
                  </w:r>
                </w:p>
                <w:p>
                  <w:pPr>
                    <w:spacing w:line="242" w:lineRule="auto" w:before="29"/>
                    <w:ind w:left="20" w:right="123" w:firstLine="0"/>
                    <w:jc w:val="left"/>
                    <w:rPr>
                      <w:sz w:val="12"/>
                    </w:rPr>
                  </w:pPr>
                  <w:r>
                    <w:rPr>
                      <w:color w:val="58595B"/>
                      <w:sz w:val="12"/>
                    </w:rPr>
                    <w:t>OECD 2014, </w:t>
                  </w:r>
                  <w:r>
                    <w:rPr>
                      <w:i/>
                      <w:color w:val="58595B"/>
                      <w:sz w:val="12"/>
                    </w:rPr>
                    <w:t>The governance of regulators</w:t>
                  </w:r>
                  <w:r>
                    <w:rPr>
                      <w:color w:val="58595B"/>
                      <w:sz w:val="12"/>
                    </w:rPr>
                    <w:t>, OECD Best Practice Principles for Regulatory Policy, OECD Publishing, p.   35.</w:t>
                  </w:r>
                </w:p>
              </w:txbxContent>
            </v:textbox>
            <w10:wrap type="none"/>
          </v:shape>
        </w:pict>
      </w:r>
      <w:r>
        <w:rPr/>
        <w:pict>
          <v:shape style="position:absolute;margin-left:69.854103pt;margin-top:152.483032pt;width:8.85pt;height:8pt;mso-position-horizontal-relative:page;mso-position-vertical-relative:page;z-index:-195376" type="#_x0000_t202" filled="false" stroked="false">
            <v:textbox inset="0,0,0,0">
              <w:txbxContent>
                <w:p>
                  <w:pPr>
                    <w:spacing w:before="4"/>
                    <w:ind w:left="20" w:right="0" w:firstLine="0"/>
                    <w:jc w:val="left"/>
                    <w:rPr>
                      <w:sz w:val="12"/>
                    </w:rPr>
                  </w:pPr>
                  <w:r>
                    <w:rPr>
                      <w:color w:val="58595B"/>
                      <w:sz w:val="12"/>
                    </w:rPr>
                    <w:t>85</w:t>
                  </w:r>
                </w:p>
              </w:txbxContent>
            </v:textbox>
            <w10:wrap type="none"/>
          </v:shape>
        </w:pict>
      </w:r>
      <w:r>
        <w:rPr/>
        <w:pict>
          <v:shape style="position:absolute;margin-left:69.854103pt;margin-top:167.90303pt;width:8.9pt;height:8pt;mso-position-horizontal-relative:page;mso-position-vertical-relative:page;z-index:-195352" type="#_x0000_t202" filled="false" stroked="false">
            <v:textbox inset="0,0,0,0">
              <w:txbxContent>
                <w:p>
                  <w:pPr>
                    <w:spacing w:before="4"/>
                    <w:ind w:left="20" w:right="0" w:firstLine="0"/>
                    <w:jc w:val="left"/>
                    <w:rPr>
                      <w:sz w:val="12"/>
                    </w:rPr>
                  </w:pPr>
                  <w:r>
                    <w:rPr>
                      <w:color w:val="58595B"/>
                      <w:sz w:val="12"/>
                    </w:rPr>
                    <w:t>86</w:t>
                  </w:r>
                </w:p>
              </w:txbxContent>
            </v:textbox>
            <w10:wrap type="none"/>
          </v:shape>
        </w:pict>
      </w:r>
      <w:r>
        <w:rPr/>
        <w:pict>
          <v:shape style="position:absolute;margin-left:69.854103pt;margin-top:183.323029pt;width:8.7pt;height:8pt;mso-position-horizontal-relative:page;mso-position-vertical-relative:page;z-index:-195328" type="#_x0000_t202" filled="false" stroked="false">
            <v:textbox inset="0,0,0,0">
              <w:txbxContent>
                <w:p>
                  <w:pPr>
                    <w:spacing w:before="4"/>
                    <w:ind w:left="20" w:right="0" w:firstLine="0"/>
                    <w:jc w:val="left"/>
                    <w:rPr>
                      <w:sz w:val="12"/>
                    </w:rPr>
                  </w:pPr>
                  <w:r>
                    <w:rPr>
                      <w:color w:val="58595B"/>
                      <w:sz w:val="12"/>
                    </w:rPr>
                    <w:t>87</w:t>
                  </w:r>
                </w:p>
              </w:txbxContent>
            </v:textbox>
            <w10:wrap type="none"/>
          </v:shape>
        </w:pict>
      </w:r>
      <w:r>
        <w:rPr/>
        <w:pict>
          <v:shape style="position:absolute;margin-left:69.854103pt;margin-top:205.745026pt;width:8.85pt;height:8pt;mso-position-horizontal-relative:page;mso-position-vertical-relative:page;z-index:-195304" type="#_x0000_t202" filled="false" stroked="false">
            <v:textbox inset="0,0,0,0">
              <w:txbxContent>
                <w:p>
                  <w:pPr>
                    <w:spacing w:before="4"/>
                    <w:ind w:left="20" w:right="0" w:firstLine="0"/>
                    <w:jc w:val="left"/>
                    <w:rPr>
                      <w:sz w:val="12"/>
                    </w:rPr>
                  </w:pPr>
                  <w:r>
                    <w:rPr>
                      <w:color w:val="58595B"/>
                      <w:sz w:val="12"/>
                    </w:rPr>
                    <w:t>88</w:t>
                  </w:r>
                </w:p>
              </w:txbxContent>
            </v:textbox>
            <w10:wrap type="none"/>
          </v:shape>
        </w:pict>
      </w:r>
      <w:r>
        <w:rPr/>
        <w:pict>
          <v:shape style="position:absolute;margin-left:.0pt;margin-top:44.090015pt;width:60.3pt;height:5.25pt;mso-position-horizontal-relative:page;mso-position-vertical-relative:page;z-index:-19528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9525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group style="position:absolute;margin-left:0pt;margin-top:.000244pt;width:598.8pt;height:841.9pt;mso-position-horizontal-relative:page;mso-position-vertical-relative:page;z-index:-195232" coordorigin="0,0" coordsize="11976,16838">
            <v:shape style="position:absolute;left:0;top:0;width:11904;height:16838" type="#_x0000_t75" stroked="false">
              <v:imagedata r:id="rId23" o:title=""/>
            </v:shape>
            <v:line style="position:absolute" from="10700,917" to="11906,917" stroked="true" strokeweight="7pt" strokecolor="#0095a7"/>
            <w10:wrap type="none"/>
          </v:group>
        </w:pict>
      </w:r>
      <w:r>
        <w:rPr/>
        <w:pict>
          <v:shape style="position:absolute;margin-left:240.991302pt;margin-top:40.902756pt;width:258.9pt;height:9.5pt;mso-position-horizontal-relative:page;mso-position-vertical-relative:page;z-index:-195208" type="#_x0000_t202" filled="false" stroked="false">
            <v:textbox inset="0,0,0,0">
              <w:txbxContent>
                <w:p>
                  <w:pPr>
                    <w:spacing w:before="1"/>
                    <w:ind w:left="20" w:right="0" w:firstLine="0"/>
                    <w:jc w:val="left"/>
                    <w:rPr>
                      <w:sz w:val="15"/>
                    </w:rPr>
                  </w:pPr>
                  <w:r>
                    <w:rPr>
                      <w:color w:val="FFFFFF"/>
                      <w:sz w:val="15"/>
                    </w:rPr>
                    <w:t>CHAPTER 5    CLARIFYING THE EPA’S OBJECTIVES AND FUNCTIONS</w:t>
                  </w:r>
                </w:p>
              </w:txbxContent>
            </v:textbox>
            <w10:wrap type="none"/>
          </v:shape>
        </w:pict>
      </w:r>
      <w:r>
        <w:rPr/>
        <w:pict>
          <v:shape style="position:absolute;margin-left:511.036285pt;margin-top:40.902756pt;width:14.35pt;height:9.5pt;mso-position-horizontal-relative:page;mso-position-vertical-relative:page;z-index:-195184" type="#_x0000_t202" filled="false" stroked="false">
            <v:textbox inset="0,0,0,0">
              <w:txbxContent>
                <w:p>
                  <w:pPr>
                    <w:spacing w:before="1"/>
                    <w:ind w:left="20" w:right="-4" w:firstLine="0"/>
                    <w:jc w:val="left"/>
                    <w:rPr>
                      <w:sz w:val="15"/>
                    </w:rPr>
                  </w:pPr>
                  <w:r>
                    <w:rPr>
                      <w:color w:val="FFFFFF"/>
                      <w:sz w:val="15"/>
                    </w:rPr>
                    <w:t>107</w:t>
                  </w:r>
                </w:p>
              </w:txbxContent>
            </v:textbox>
            <w10:wrap type="none"/>
          </v:shape>
        </w:pict>
      </w:r>
      <w:r>
        <w:rPr/>
        <w:pict>
          <v:shape style="position:absolute;margin-left:534.996094pt;margin-top:44.090015pt;width:60.3pt;height:5.25pt;mso-position-horizontal-relative:page;mso-position-vertical-relative:page;z-index:-195160"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5136" type="#_x0000_t202" filled="false" stroked="false">
            <v:textbox inset="0,0,0,0">
              <w:txbxContent/>
            </v:textbox>
            <w10:wrap type="none"/>
          </v:shape>
        </w:pict>
      </w:r>
    </w:p>
    <w:p>
      <w:pPr>
        <w:spacing w:after="0"/>
        <w:rPr>
          <w:sz w:val="2"/>
          <w:szCs w:val="2"/>
        </w:rPr>
        <w:sectPr>
          <w:pgSz w:w="11910" w:h="16840"/>
          <w:pgMar w:top="800" w:bottom="280" w:left="1680" w:right="1280"/>
        </w:sectPr>
      </w:pPr>
    </w:p>
    <w:p>
      <w:pPr>
        <w:rPr>
          <w:sz w:val="2"/>
          <w:szCs w:val="2"/>
        </w:rPr>
      </w:pPr>
      <w:r>
        <w:rPr/>
        <w:drawing>
          <wp:anchor distT="0" distB="0" distL="0" distR="0" allowOverlap="1" layoutInCell="1" locked="0" behindDoc="1" simplePos="0" relativeHeight="268240343">
            <wp:simplePos x="0" y="0"/>
            <wp:positionH relativeFrom="page">
              <wp:posOffset>0</wp:posOffset>
            </wp:positionH>
            <wp:positionV relativeFrom="page">
              <wp:posOffset>3</wp:posOffset>
            </wp:positionV>
            <wp:extent cx="7559039" cy="10692000"/>
            <wp:effectExtent l="0" t="0" r="0" b="0"/>
            <wp:wrapNone/>
            <wp:docPr id="7" name="image3.jpeg" descr=""/>
            <wp:cNvGraphicFramePr>
              <a:graphicFrameLocks noChangeAspect="1"/>
            </wp:cNvGraphicFramePr>
            <a:graphic>
              <a:graphicData uri="http://schemas.openxmlformats.org/drawingml/2006/picture">
                <pic:pic>
                  <pic:nvPicPr>
                    <pic:cNvPr id="8" name="image3.jpeg"/>
                    <pic:cNvPicPr/>
                  </pic:nvPicPr>
                  <pic:blipFill>
                    <a:blip r:embed="rId7" cstate="print"/>
                    <a:stretch>
                      <a:fillRect/>
                    </a:stretch>
                  </pic:blipFill>
                  <pic:spPr>
                    <a:xfrm>
                      <a:off x="0" y="0"/>
                      <a:ext cx="7559039" cy="10692000"/>
                    </a:xfrm>
                    <a:prstGeom prst="rect">
                      <a:avLst/>
                    </a:prstGeom>
                  </pic:spPr>
                </pic:pic>
              </a:graphicData>
            </a:graphic>
          </wp:anchor>
        </w:drawing>
      </w:r>
    </w:p>
    <w:p>
      <w:pPr>
        <w:spacing w:after="0"/>
        <w:rPr>
          <w:sz w:val="2"/>
          <w:szCs w:val="2"/>
        </w:rPr>
        <w:sectPr>
          <w:pgSz w:w="11910" w:h="16840"/>
          <w:pgMar w:top="1580" w:bottom="280" w:left="1680" w:right="1680"/>
        </w:sectPr>
      </w:pPr>
    </w:p>
    <w:p>
      <w:pPr>
        <w:rPr>
          <w:sz w:val="2"/>
          <w:szCs w:val="2"/>
        </w:rPr>
      </w:pPr>
      <w:r>
        <w:rPr/>
        <w:pict>
          <v:group style="position:absolute;margin-left:.076pt;margin-top:.000244pt;width:598.7pt;height:841.9pt;mso-position-horizontal-relative:page;mso-position-vertical-relative:page;z-index:-195088" coordorigin="2,0" coordsize="11974,16838">
            <v:shape style="position:absolute;left:2;top:0;width:11904;height:16838" type="#_x0000_t75" stroked="false">
              <v:imagedata r:id="rId8" o:title=""/>
            </v:shape>
            <v:line style="position:absolute" from="10700,917" to="11906,917" stroked="true" strokeweight="7pt" strokecolor="#0095a7"/>
            <w10:wrap type="none"/>
          </v:group>
        </w:pict>
      </w:r>
      <w:r>
        <w:rPr/>
        <w:pict>
          <v:shape style="position:absolute;margin-left:510.788788pt;margin-top:40.902756pt;width:14.6pt;height:9.5pt;mso-position-horizontal-relative:page;mso-position-vertical-relative:page;z-index:-195064" type="#_x0000_t202" filled="false" stroked="false">
            <v:textbox inset="0,0,0,0">
              <w:txbxContent>
                <w:p>
                  <w:pPr>
                    <w:spacing w:before="1"/>
                    <w:ind w:left="20" w:right="0" w:firstLine="0"/>
                    <w:jc w:val="left"/>
                    <w:rPr>
                      <w:sz w:val="15"/>
                    </w:rPr>
                  </w:pPr>
                  <w:r>
                    <w:rPr>
                      <w:color w:val="58595B"/>
                      <w:sz w:val="15"/>
                    </w:rPr>
                    <w:t>109</w:t>
                  </w:r>
                </w:p>
              </w:txbxContent>
            </v:textbox>
            <w10:wrap type="none"/>
          </v:shape>
        </w:pict>
      </w:r>
      <w:r>
        <w:rPr/>
        <w:pict>
          <v:shape style="position:absolute;margin-left:89.708702pt;margin-top:105.893967pt;width:303.3pt;height:60.75pt;mso-position-horizontal-relative:page;mso-position-vertical-relative:page;z-index:-195040" type="#_x0000_t202" filled="false" stroked="false">
            <v:textbox inset="0,0,0,0">
              <w:txbxContent>
                <w:p>
                  <w:pPr>
                    <w:spacing w:line="224" w:lineRule="exact" w:before="0"/>
                    <w:ind w:left="20" w:right="-6" w:firstLine="0"/>
                    <w:jc w:val="left"/>
                    <w:rPr>
                      <w:b/>
                      <w:sz w:val="20"/>
                    </w:rPr>
                  </w:pPr>
                  <w:r>
                    <w:rPr>
                      <w:b/>
                      <w:color w:val="0095A7"/>
                      <w:sz w:val="20"/>
                    </w:rPr>
                    <w:t>CHAPTER 6</w:t>
                  </w:r>
                </w:p>
                <w:p>
                  <w:pPr>
                    <w:spacing w:line="450" w:lineRule="exact" w:before="79"/>
                    <w:ind w:left="20" w:right="-6" w:firstLine="0"/>
                    <w:jc w:val="left"/>
                    <w:rPr>
                      <w:sz w:val="40"/>
                    </w:rPr>
                  </w:pPr>
                  <w:r>
                    <w:rPr>
                      <w:color w:val="58595B"/>
                      <w:sz w:val="40"/>
                    </w:rPr>
                    <w:t>THE EPA AS</w:t>
                  </w:r>
                </w:p>
                <w:p>
                  <w:pPr>
                    <w:spacing w:line="450" w:lineRule="exact" w:before="0"/>
                    <w:ind w:left="20" w:right="-6" w:firstLine="0"/>
                    <w:jc w:val="left"/>
                    <w:rPr>
                      <w:sz w:val="40"/>
                    </w:rPr>
                  </w:pPr>
                  <w:r>
                    <w:rPr>
                      <w:color w:val="58595B"/>
                      <w:sz w:val="40"/>
                    </w:rPr>
                    <w:t>A </w:t>
                  </w:r>
                  <w:r>
                    <w:rPr>
                      <w:color w:val="58595B"/>
                      <w:spacing w:val="-9"/>
                      <w:sz w:val="40"/>
                    </w:rPr>
                    <w:t>SCIENCE-BASED </w:t>
                  </w:r>
                  <w:r>
                    <w:rPr>
                      <w:color w:val="58595B"/>
                      <w:spacing w:val="-12"/>
                      <w:sz w:val="40"/>
                    </w:rPr>
                    <w:t>REGULATOR</w:t>
                  </w:r>
                </w:p>
              </w:txbxContent>
            </v:textbox>
            <w10:wrap type="none"/>
          </v:shape>
        </w:pict>
      </w:r>
      <w:r>
        <w:rPr/>
        <w:pict>
          <v:shape style="position:absolute;margin-left:534.996094pt;margin-top:44.090015pt;width:60.3pt;height:5.25pt;mso-position-horizontal-relative:page;mso-position-vertical-relative:page;z-index:-19501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4992" type="#_x0000_t202" filled="false" stroked="false">
            <v:textbox inset="0,0,0,0">
              <w:txbxContent/>
            </v:textbox>
            <w10:wrap type="none"/>
          </v:shape>
        </w:pict>
      </w:r>
    </w:p>
    <w:p>
      <w:pPr>
        <w:spacing w:after="0"/>
        <w:rPr>
          <w:sz w:val="2"/>
          <w:szCs w:val="2"/>
        </w:rPr>
        <w:sectPr>
          <w:pgSz w:w="11910" w:h="16840"/>
          <w:pgMar w:top="800" w:bottom="280" w:left="1680" w:right="1280"/>
        </w:sectPr>
      </w:pPr>
    </w:p>
    <w:p>
      <w:pPr>
        <w:rPr>
          <w:sz w:val="2"/>
          <w:szCs w:val="2"/>
        </w:rPr>
      </w:pPr>
      <w:r>
        <w:rPr/>
        <w:pict>
          <v:line style="position:absolute;mso-position-horizontal-relative:page;mso-position-vertical-relative:page;z-index:-194968" from=".0pt,45.840015pt" to="60.2791pt,45.840015pt" stroked="true" strokeweight="7pt" strokecolor="#0095a7">
            <w10:wrap type="none"/>
          </v:line>
        </w:pict>
      </w:r>
      <w:r>
        <w:rPr/>
        <w:pict>
          <v:rect style="position:absolute;margin-left:70.865997pt;margin-top:143.421021pt;width:432.701pt;height:190.469pt;mso-position-horizontal-relative:page;mso-position-vertical-relative:page;z-index:-194944" filled="true" fillcolor="#eff6f0" stroked="false">
            <v:fill type="solid"/>
            <w10:wrap type="none"/>
          </v:rect>
        </w:pict>
      </w:r>
      <w:r>
        <w:rPr/>
        <w:pict>
          <v:shape style="position:absolute;margin-left:69.866096pt;margin-top:40.902756pt;width:13.85pt;height:9.5pt;mso-position-horizontal-relative:page;mso-position-vertical-relative:page;z-index:-194920" type="#_x0000_t202" filled="false" stroked="false">
            <v:textbox inset="0,0,0,0">
              <w:txbxContent>
                <w:p>
                  <w:pPr>
                    <w:spacing w:before="1"/>
                    <w:ind w:left="20" w:right="-14" w:firstLine="0"/>
                    <w:jc w:val="left"/>
                    <w:rPr>
                      <w:sz w:val="15"/>
                    </w:rPr>
                  </w:pPr>
                  <w:r>
                    <w:rPr>
                      <w:color w:val="58595B"/>
                      <w:sz w:val="15"/>
                    </w:rPr>
                    <w:t>110</w:t>
                  </w:r>
                </w:p>
              </w:txbxContent>
            </v:textbox>
            <w10:wrap type="none"/>
          </v:shape>
        </w:pict>
      </w:r>
      <w:r>
        <w:rPr/>
        <w:pict>
          <v:shape style="position:absolute;margin-left:95.377899pt;margin-top:40.902756pt;width:147.75pt;height:9.5pt;mso-position-horizontal-relative:page;mso-position-vertical-relative:page;z-index:-194896"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564812pt;width:303.3pt;height:16pt;mso-position-horizontal-relative:page;mso-position-vertical-relative:page;z-index:-194872" type="#_x0000_t202" filled="false" stroked="false">
            <v:textbox inset="0,0,0,0">
              <w:txbxContent>
                <w:p>
                  <w:pPr>
                    <w:spacing w:line="306" w:lineRule="exact" w:before="0"/>
                    <w:ind w:left="20" w:right="-6" w:firstLine="0"/>
                    <w:jc w:val="left"/>
                    <w:rPr>
                      <w:sz w:val="28"/>
                    </w:rPr>
                  </w:pPr>
                  <w:r>
                    <w:rPr>
                      <w:color w:val="0095A7"/>
                      <w:sz w:val="28"/>
                    </w:rPr>
                    <w:t>THE </w:t>
                  </w:r>
                  <w:r>
                    <w:rPr>
                      <w:color w:val="0095A7"/>
                      <w:spacing w:val="-8"/>
                      <w:sz w:val="28"/>
                    </w:rPr>
                    <w:t>EPA </w:t>
                  </w:r>
                  <w:r>
                    <w:rPr>
                      <w:color w:val="0095A7"/>
                      <w:sz w:val="28"/>
                    </w:rPr>
                    <w:t>AS A SCIENCE-BASED </w:t>
                  </w:r>
                  <w:r>
                    <w:rPr>
                      <w:color w:val="0095A7"/>
                      <w:spacing w:val="-4"/>
                      <w:sz w:val="28"/>
                    </w:rPr>
                    <w:t>REGULATOR</w:t>
                  </w:r>
                </w:p>
              </w:txbxContent>
            </v:textbox>
            <w10:wrap type="none"/>
          </v:shape>
        </w:pict>
      </w:r>
      <w:r>
        <w:rPr/>
        <w:pict>
          <v:shape style="position:absolute;margin-left:69.866096pt;margin-top:355.091644pt;width:433.6pt;height:171.3pt;mso-position-horizontal-relative:page;mso-position-vertical-relative:page;z-index:-194848" type="#_x0000_t202" filled="false" stroked="false">
            <v:textbox inset="0,0,0,0">
              <w:txbxContent>
                <w:p>
                  <w:pPr>
                    <w:spacing w:line="265" w:lineRule="exact" w:before="0"/>
                    <w:ind w:left="20" w:right="768" w:firstLine="0"/>
                    <w:jc w:val="left"/>
                    <w:rPr>
                      <w:sz w:val="24"/>
                    </w:rPr>
                  </w:pPr>
                  <w:r>
                    <w:rPr>
                      <w:color w:val="0095A7"/>
                      <w:sz w:val="24"/>
                    </w:rPr>
                    <w:t>6.1  Introduction</w:t>
                  </w:r>
                </w:p>
                <w:p>
                  <w:pPr>
                    <w:pStyle w:val="BodyText"/>
                    <w:spacing w:line="280" w:lineRule="auto" w:before="145"/>
                    <w:ind w:right="495"/>
                  </w:pPr>
                  <w:r>
                    <w:rPr>
                      <w:color w:val="58595B"/>
                    </w:rPr>
                    <w:t>The scientific nature of the EPA’s work differentiates it from other regulators. The EPA is not a scientific research organisation, but applied science is fundamental to its ability to be an</w:t>
                  </w:r>
                </w:p>
                <w:p>
                  <w:pPr>
                    <w:pStyle w:val="BodyText"/>
                    <w:spacing w:line="280" w:lineRule="auto" w:before="2"/>
                  </w:pPr>
                  <w:r>
                    <w:rPr>
                      <w:color w:val="58595B"/>
                    </w:rPr>
                    <w:t>evidence-based and influential authority. Its applied science expertise underpins core regulatory functions, including:</w:t>
                  </w:r>
                </w:p>
                <w:p>
                  <w:pPr>
                    <w:pStyle w:val="ListParagraph"/>
                    <w:numPr>
                      <w:ilvl w:val="0"/>
                      <w:numId w:val="38"/>
                    </w:numPr>
                    <w:tabs>
                      <w:tab w:pos="191" w:val="left" w:leader="none"/>
                    </w:tabs>
                    <w:spacing w:line="280" w:lineRule="auto" w:before="115" w:after="0"/>
                    <w:ind w:left="190" w:right="17" w:hanging="170"/>
                    <w:jc w:val="left"/>
                    <w:rPr>
                      <w:sz w:val="20"/>
                    </w:rPr>
                  </w:pPr>
                  <w:r>
                    <w:rPr>
                      <w:color w:val="58595B"/>
                      <w:sz w:val="20"/>
                    </w:rPr>
                    <w:t>setting environmental standards, through reviews of state environment protection policy </w:t>
                  </w:r>
                  <w:r>
                    <w:rPr>
                      <w:color w:val="58595B"/>
                      <w:spacing w:val="-3"/>
                      <w:sz w:val="20"/>
                    </w:rPr>
                    <w:t>(SEPP) </w:t>
                  </w:r>
                  <w:r>
                    <w:rPr>
                      <w:color w:val="58595B"/>
                      <w:sz w:val="20"/>
                    </w:rPr>
                    <w:t>and inputs to national environmental</w:t>
                  </w:r>
                  <w:r>
                    <w:rPr>
                      <w:color w:val="58595B"/>
                      <w:spacing w:val="1"/>
                      <w:sz w:val="20"/>
                    </w:rPr>
                    <w:t> </w:t>
                  </w:r>
                  <w:r>
                    <w:rPr>
                      <w:color w:val="58595B"/>
                      <w:sz w:val="20"/>
                    </w:rPr>
                    <w:t>policies</w:t>
                  </w:r>
                </w:p>
                <w:p>
                  <w:pPr>
                    <w:pStyle w:val="ListParagraph"/>
                    <w:numPr>
                      <w:ilvl w:val="0"/>
                      <w:numId w:val="38"/>
                    </w:numPr>
                    <w:tabs>
                      <w:tab w:pos="191" w:val="left" w:leader="none"/>
                    </w:tabs>
                    <w:spacing w:line="280" w:lineRule="auto" w:before="115" w:after="0"/>
                    <w:ind w:left="190" w:right="46" w:hanging="170"/>
                    <w:jc w:val="left"/>
                    <w:rPr>
                      <w:sz w:val="20"/>
                    </w:rPr>
                  </w:pPr>
                  <w:r>
                    <w:rPr>
                      <w:color w:val="58595B"/>
                      <w:sz w:val="20"/>
                    </w:rPr>
                    <w:t>statutory decision making, such as assessing works approvals and licence applications, setting licence conditions, and taking enforcement</w:t>
                  </w:r>
                  <w:r>
                    <w:rPr>
                      <w:color w:val="58595B"/>
                      <w:spacing w:val="14"/>
                      <w:sz w:val="20"/>
                    </w:rPr>
                    <w:t> </w:t>
                  </w:r>
                  <w:r>
                    <w:rPr>
                      <w:color w:val="58595B"/>
                      <w:sz w:val="20"/>
                    </w:rPr>
                    <w:t>action</w:t>
                  </w:r>
                </w:p>
                <w:p>
                  <w:pPr>
                    <w:pStyle w:val="ListParagraph"/>
                    <w:numPr>
                      <w:ilvl w:val="0"/>
                      <w:numId w:val="38"/>
                    </w:numPr>
                    <w:tabs>
                      <w:tab w:pos="191" w:val="left" w:leader="none"/>
                    </w:tabs>
                    <w:spacing w:line="280" w:lineRule="auto" w:before="115" w:after="0"/>
                    <w:ind w:left="190" w:right="116" w:hanging="170"/>
                    <w:jc w:val="left"/>
                    <w:rPr>
                      <w:sz w:val="20"/>
                    </w:rPr>
                  </w:pPr>
                  <w:r>
                    <w:rPr>
                      <w:color w:val="58595B"/>
                      <w:sz w:val="20"/>
                    </w:rPr>
                    <w:t>communicating with duty holders and providing practical, constructive and authoritative advice on how to interpret standards, identify and manage risks, and achieve</w:t>
                  </w:r>
                  <w:r>
                    <w:rPr>
                      <w:color w:val="58595B"/>
                      <w:spacing w:val="-2"/>
                      <w:sz w:val="20"/>
                    </w:rPr>
                    <w:t> </w:t>
                  </w:r>
                  <w:r>
                    <w:rPr>
                      <w:color w:val="58595B"/>
                      <w:sz w:val="20"/>
                    </w:rPr>
                    <w:t>compliance.</w:t>
                  </w:r>
                </w:p>
              </w:txbxContent>
            </v:textbox>
            <w10:wrap type="none"/>
          </v:shape>
        </w:pict>
      </w:r>
      <w:r>
        <w:rPr/>
        <w:pict>
          <v:shape style="position:absolute;margin-left:69.876099pt;margin-top:536.391541pt;width:434.25pt;height:156.2pt;mso-position-horizontal-relative:page;mso-position-vertical-relative:page;z-index:-194824" type="#_x0000_t202" filled="false" stroked="false">
            <v:textbox inset="0,0,0,0">
              <w:txbxContent>
                <w:p>
                  <w:pPr>
                    <w:pStyle w:val="BodyText"/>
                    <w:spacing w:line="280" w:lineRule="auto"/>
                  </w:pPr>
                  <w:r>
                    <w:rPr>
                      <w:color w:val="58595B"/>
                    </w:rPr>
                    <w:t>The EPA also requires science expertise to fulfil its functions as a trusted advisor to government and the community, including:</w:t>
                  </w:r>
                </w:p>
                <w:p>
                  <w:pPr>
                    <w:pStyle w:val="ListParagraph"/>
                    <w:numPr>
                      <w:ilvl w:val="0"/>
                      <w:numId w:val="39"/>
                    </w:numPr>
                    <w:tabs>
                      <w:tab w:pos="190" w:val="left" w:leader="none"/>
                    </w:tabs>
                    <w:spacing w:line="240" w:lineRule="auto" w:before="115" w:after="0"/>
                    <w:ind w:left="190" w:right="0" w:hanging="170"/>
                    <w:jc w:val="left"/>
                    <w:rPr>
                      <w:sz w:val="20"/>
                    </w:rPr>
                  </w:pPr>
                  <w:r>
                    <w:rPr>
                      <w:color w:val="58595B"/>
                      <w:sz w:val="20"/>
                    </w:rPr>
                    <w:t>responding to significant incidents and</w:t>
                  </w:r>
                  <w:r>
                    <w:rPr>
                      <w:color w:val="58595B"/>
                      <w:spacing w:val="11"/>
                      <w:sz w:val="20"/>
                    </w:rPr>
                    <w:t> </w:t>
                  </w:r>
                  <w:r>
                    <w:rPr>
                      <w:color w:val="58595B"/>
                      <w:sz w:val="20"/>
                    </w:rPr>
                    <w:t>emergencies</w:t>
                  </w:r>
                </w:p>
                <w:p>
                  <w:pPr>
                    <w:pStyle w:val="ListParagraph"/>
                    <w:numPr>
                      <w:ilvl w:val="0"/>
                      <w:numId w:val="39"/>
                    </w:numPr>
                    <w:tabs>
                      <w:tab w:pos="190" w:val="left" w:leader="none"/>
                    </w:tabs>
                    <w:spacing w:line="280" w:lineRule="auto" w:before="153" w:after="0"/>
                    <w:ind w:left="190" w:right="672" w:hanging="170"/>
                    <w:jc w:val="left"/>
                    <w:rPr>
                      <w:sz w:val="20"/>
                    </w:rPr>
                  </w:pPr>
                  <w:r>
                    <w:rPr>
                      <w:color w:val="58595B"/>
                      <w:sz w:val="20"/>
                    </w:rPr>
                    <w:t>monitoring environmental conditions over the longer term to identify trends (for example, ambient air</w:t>
                  </w:r>
                  <w:r>
                    <w:rPr>
                      <w:color w:val="58595B"/>
                      <w:spacing w:val="-8"/>
                      <w:sz w:val="20"/>
                    </w:rPr>
                    <w:t> </w:t>
                  </w:r>
                  <w:r>
                    <w:rPr>
                      <w:color w:val="58595B"/>
                      <w:sz w:val="20"/>
                    </w:rPr>
                    <w:t>monitoring)</w:t>
                  </w:r>
                </w:p>
                <w:p>
                  <w:pPr>
                    <w:pStyle w:val="ListParagraph"/>
                    <w:numPr>
                      <w:ilvl w:val="0"/>
                      <w:numId w:val="39"/>
                    </w:numPr>
                    <w:tabs>
                      <w:tab w:pos="190" w:val="left" w:leader="none"/>
                    </w:tabs>
                    <w:spacing w:line="280" w:lineRule="auto" w:before="115" w:after="0"/>
                    <w:ind w:left="190" w:right="17" w:hanging="170"/>
                    <w:jc w:val="left"/>
                    <w:rPr>
                      <w:sz w:val="20"/>
                    </w:rPr>
                  </w:pPr>
                  <w:r>
                    <w:rPr>
                      <w:color w:val="58595B"/>
                      <w:sz w:val="20"/>
                    </w:rPr>
                    <w:t>identifying emerging issues (for example, understanding of new risks associated with chemicals and new materials, such as</w:t>
                  </w:r>
                  <w:r>
                    <w:rPr>
                      <w:color w:val="58595B"/>
                      <w:spacing w:val="-7"/>
                      <w:sz w:val="20"/>
                    </w:rPr>
                    <w:t> </w:t>
                  </w:r>
                  <w:r>
                    <w:rPr>
                      <w:color w:val="58595B"/>
                      <w:sz w:val="20"/>
                    </w:rPr>
                    <w:t>microplastics)</w:t>
                  </w:r>
                </w:p>
                <w:p>
                  <w:pPr>
                    <w:pStyle w:val="ListParagraph"/>
                    <w:numPr>
                      <w:ilvl w:val="0"/>
                      <w:numId w:val="39"/>
                    </w:numPr>
                    <w:tabs>
                      <w:tab w:pos="190" w:val="left" w:leader="none"/>
                    </w:tabs>
                    <w:spacing w:line="280" w:lineRule="auto" w:before="115" w:after="0"/>
                    <w:ind w:left="190" w:right="213" w:hanging="170"/>
                    <w:jc w:val="left"/>
                    <w:rPr>
                      <w:sz w:val="20"/>
                    </w:rPr>
                  </w:pPr>
                  <w:r>
                    <w:rPr>
                      <w:color w:val="58595B"/>
                      <w:sz w:val="20"/>
                    </w:rPr>
                    <w:t>communicating environmental information to the community (such as the Beach Report and </w:t>
                  </w:r>
                  <w:r>
                    <w:rPr>
                      <w:color w:val="58595B"/>
                      <w:spacing w:val="-3"/>
                      <w:sz w:val="20"/>
                    </w:rPr>
                    <w:t>Yarra </w:t>
                  </w:r>
                  <w:r>
                    <w:rPr>
                      <w:color w:val="58595B"/>
                      <w:sz w:val="20"/>
                    </w:rPr>
                    <w:t>Watch programs, guidance materials) and building community confidence (for example, </w:t>
                  </w:r>
                  <w:r>
                    <w:rPr>
                      <w:color w:val="58595B"/>
                      <w:spacing w:val="-4"/>
                      <w:sz w:val="20"/>
                    </w:rPr>
                    <w:t>EPA </w:t>
                  </w:r>
                  <w:r>
                    <w:rPr>
                      <w:color w:val="58595B"/>
                      <w:sz w:val="20"/>
                    </w:rPr>
                    <w:t>Citizen Science</w:t>
                  </w:r>
                  <w:r>
                    <w:rPr>
                      <w:color w:val="58595B"/>
                      <w:spacing w:val="-3"/>
                      <w:sz w:val="20"/>
                    </w:rPr>
                    <w:t> </w:t>
                  </w:r>
                  <w:r>
                    <w:rPr>
                      <w:color w:val="58595B"/>
                      <w:sz w:val="20"/>
                    </w:rPr>
                    <w:t>Program).</w:t>
                  </w:r>
                </w:p>
              </w:txbxContent>
            </v:textbox>
            <w10:wrap type="none"/>
          </v:shape>
        </w:pict>
      </w:r>
      <w:r>
        <w:rPr/>
        <w:pict>
          <v:shape style="position:absolute;margin-left:69.876099pt;margin-top:702.571594pt;width:434.7pt;height:79.5pt;mso-position-horizontal-relative:page;mso-position-vertical-relative:page;z-index:-194800" type="#_x0000_t202" filled="false" stroked="false">
            <v:textbox inset="0,0,0,0">
              <w:txbxContent>
                <w:p>
                  <w:pPr>
                    <w:pStyle w:val="BodyText"/>
                    <w:spacing w:line="280" w:lineRule="auto"/>
                    <w:ind w:right="78"/>
                  </w:pPr>
                  <w:r>
                    <w:rPr>
                      <w:color w:val="58595B"/>
                    </w:rPr>
                    <w:t>Currently, the </w:t>
                  </w:r>
                  <w:r>
                    <w:rPr>
                      <w:color w:val="58595B"/>
                      <w:spacing w:val="-7"/>
                    </w:rPr>
                    <w:t>EPA’s </w:t>
                  </w:r>
                  <w:r>
                    <w:rPr>
                      <w:color w:val="58595B"/>
                    </w:rPr>
                    <w:t>scientific expertise is based primarily in its Applied Science Group. The  group comprises 72 staff – including principal experts and senior applied scientists covering </w:t>
                  </w:r>
                  <w:r>
                    <w:rPr>
                      <w:color w:val="58595B"/>
                      <w:spacing w:val="-3"/>
                    </w:rPr>
                    <w:t>water, </w:t>
                  </w:r>
                  <w:r>
                    <w:rPr>
                      <w:color w:val="58595B"/>
                      <w:spacing w:val="-4"/>
                    </w:rPr>
                    <w:t>air, </w:t>
                  </w:r>
                  <w:r>
                    <w:rPr>
                      <w:color w:val="58595B"/>
                    </w:rPr>
                    <w:t>noise, </w:t>
                  </w:r>
                  <w:r>
                    <w:rPr>
                      <w:color w:val="58595B"/>
                      <w:spacing w:val="-3"/>
                    </w:rPr>
                    <w:t>odour, </w:t>
                  </w:r>
                  <w:r>
                    <w:rPr>
                      <w:color w:val="58595B"/>
                    </w:rPr>
                    <w:t>contaminated land and waste – and accounts for around </w:t>
                  </w:r>
                  <w:r>
                    <w:rPr>
                      <w:color w:val="58595B"/>
                      <w:spacing w:val="-4"/>
                    </w:rPr>
                    <w:t>15 </w:t>
                  </w:r>
                  <w:r>
                    <w:rPr>
                      <w:color w:val="58595B"/>
                    </w:rPr>
                    <w:t>per cent (approximately </w:t>
                  </w:r>
                  <w:r>
                    <w:rPr>
                      <w:color w:val="58595B"/>
                      <w:spacing w:val="-6"/>
                    </w:rPr>
                    <w:t>$12 </w:t>
                  </w:r>
                  <w:r>
                    <w:rPr>
                      <w:color w:val="58595B"/>
                    </w:rPr>
                    <w:t>million) of the </w:t>
                  </w:r>
                  <w:r>
                    <w:rPr>
                      <w:color w:val="58595B"/>
                      <w:spacing w:val="-5"/>
                    </w:rPr>
                    <w:t>EPA’s </w:t>
                  </w:r>
                  <w:r>
                    <w:rPr>
                      <w:color w:val="58595B"/>
                    </w:rPr>
                    <w:t>annual budget. The </w:t>
                  </w:r>
                  <w:r>
                    <w:rPr>
                      <w:color w:val="58595B"/>
                      <w:spacing w:val="-3"/>
                    </w:rPr>
                    <w:t>EPA </w:t>
                  </w:r>
                  <w:r>
                    <w:rPr>
                      <w:color w:val="58595B"/>
                    </w:rPr>
                    <w:t>also has a </w:t>
                  </w:r>
                  <w:r>
                    <w:rPr>
                      <w:color w:val="58595B"/>
                      <w:spacing w:val="2"/>
                    </w:rPr>
                    <w:t>Science </w:t>
                  </w:r>
                  <w:r>
                    <w:rPr>
                      <w:color w:val="58595B"/>
                    </w:rPr>
                    <w:t>and Engineering </w:t>
                  </w:r>
                  <w:r>
                    <w:rPr>
                      <w:color w:val="58595B"/>
                      <w:spacing w:val="2"/>
                    </w:rPr>
                    <w:t>Advisory Committee comprising </w:t>
                  </w:r>
                  <w:r>
                    <w:rPr>
                      <w:color w:val="58595B"/>
                    </w:rPr>
                    <w:t>senior, internationally </w:t>
                  </w:r>
                  <w:r>
                    <w:rPr>
                      <w:color w:val="58595B"/>
                      <w:spacing w:val="2"/>
                    </w:rPr>
                    <w:t>recognised science </w:t>
                  </w:r>
                  <w:r>
                    <w:rPr>
                      <w:color w:val="58595B"/>
                    </w:rPr>
                    <w:t>leaders, </w:t>
                  </w:r>
                  <w:r>
                    <w:rPr>
                      <w:color w:val="58595B"/>
                      <w:spacing w:val="2"/>
                    </w:rPr>
                    <w:t>which </w:t>
                  </w:r>
                  <w:r>
                    <w:rPr>
                      <w:color w:val="58595B"/>
                    </w:rPr>
                    <w:t>provides strategic </w:t>
                  </w:r>
                  <w:r>
                    <w:rPr>
                      <w:color w:val="58595B"/>
                      <w:spacing w:val="2"/>
                    </w:rPr>
                    <w:t>advice </w:t>
                  </w:r>
                  <w:r>
                    <w:rPr>
                      <w:color w:val="58595B"/>
                    </w:rPr>
                    <w:t>on technical, scientific and other</w:t>
                  </w:r>
                  <w:r>
                    <w:rPr>
                      <w:color w:val="58595B"/>
                      <w:spacing w:val="51"/>
                    </w:rPr>
                    <w:t> </w:t>
                  </w:r>
                  <w:r>
                    <w:rPr>
                      <w:color w:val="58595B"/>
                    </w:rPr>
                    <w:t>issues.</w:t>
                  </w:r>
                </w:p>
              </w:txbxContent>
            </v:textbox>
            <w10:wrap type="none"/>
          </v:shape>
        </w:pict>
      </w:r>
      <w:r>
        <w:rPr/>
        <w:pict>
          <v:shape style="position:absolute;margin-left:70.865997pt;margin-top:143.421021pt;width:432.7pt;height:190.5pt;mso-position-horizontal-relative:page;mso-position-vertical-relative:page;z-index:-194776" type="#_x0000_t202" filled="false" stroked="false">
            <v:textbox inset="0,0,0,0">
              <w:txbxContent>
                <w:p>
                  <w:pPr>
                    <w:spacing w:before="128"/>
                    <w:ind w:left="170" w:right="277" w:firstLine="0"/>
                    <w:jc w:val="left"/>
                    <w:rPr>
                      <w:b/>
                      <w:sz w:val="20"/>
                    </w:rPr>
                  </w:pPr>
                  <w:r>
                    <w:rPr>
                      <w:b/>
                      <w:color w:val="0095A7"/>
                      <w:sz w:val="20"/>
                    </w:rPr>
                    <w:t>KEY MESSAGES</w:t>
                  </w:r>
                </w:p>
                <w:p>
                  <w:pPr>
                    <w:pStyle w:val="BodyText"/>
                    <w:spacing w:line="280" w:lineRule="auto" w:before="153"/>
                    <w:ind w:left="170" w:right="498"/>
                  </w:pPr>
                  <w:r>
                    <w:rPr>
                      <w:color w:val="58595B"/>
                    </w:rPr>
                    <w:t>The EPA must be recognised as a science-based regulator that identifies, understands and responds to increasingly complex risks to public health and the environment posed by pollution and waste. This includes both short and long term risks.</w:t>
                  </w:r>
                </w:p>
                <w:p>
                  <w:pPr>
                    <w:pStyle w:val="BodyText"/>
                    <w:spacing w:line="280" w:lineRule="auto" w:before="172"/>
                    <w:ind w:left="170"/>
                  </w:pPr>
                  <w:r>
                    <w:rPr>
                      <w:color w:val="58595B"/>
                    </w:rPr>
                    <w:t>The EPA must also be a trusted source of expert and strategic advice to government, industry and the wider Victorian community.</w:t>
                  </w:r>
                </w:p>
                <w:p>
                  <w:pPr>
                    <w:pStyle w:val="BodyText"/>
                    <w:spacing w:line="280" w:lineRule="auto" w:before="172"/>
                    <w:ind w:left="170" w:right="277"/>
                  </w:pPr>
                  <w:r>
                    <w:rPr>
                      <w:color w:val="58595B"/>
                    </w:rPr>
                    <w:t>The EPA requires enhanced in-house science expertise, well networked to the broader scientific community. In particular, it needs a new capability to deal with the public health challenges associated with pollution and waste.</w:t>
                  </w:r>
                </w:p>
                <w:p>
                  <w:pPr>
                    <w:pStyle w:val="BodyText"/>
                    <w:spacing w:line="280" w:lineRule="auto" w:before="172"/>
                    <w:ind w:left="170" w:right="1133"/>
                  </w:pPr>
                  <w:r>
                    <w:rPr>
                      <w:color w:val="58595B"/>
                    </w:rPr>
                    <w:t>The EPA needs to communicate scientific information effectively to a broad range of audiences.</w:t>
                  </w:r>
                </w:p>
              </w:txbxContent>
            </v:textbox>
            <w10:wrap type="none"/>
          </v:shape>
        </w:pict>
      </w:r>
      <w:r>
        <w:rPr/>
        <w:pict>
          <v:shape style="position:absolute;margin-left:.0pt;margin-top:44.090015pt;width:60.3pt;height:5.25pt;mso-position-horizontal-relative:page;mso-position-vertical-relative:page;z-index:-19475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94728"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94704" from="534.996094pt,45.840015pt" to="595.276001pt,45.840015pt" stroked="true" strokeweight="7pt" strokecolor="#0095a7">
            <w10:wrap type="none"/>
          </v:line>
        </w:pict>
      </w:r>
      <w:r>
        <w:rPr/>
        <w:pict>
          <v:shape style="position:absolute;margin-left:280.514008pt;margin-top:40.902756pt;width:219.35pt;height:9.5pt;mso-position-horizontal-relative:page;mso-position-vertical-relative:page;z-index:-194680" type="#_x0000_t202" filled="false" stroked="false">
            <v:textbox inset="0,0,0,0">
              <w:txbxContent>
                <w:p>
                  <w:pPr>
                    <w:spacing w:before="1"/>
                    <w:ind w:left="20" w:right="0" w:firstLine="0"/>
                    <w:jc w:val="left"/>
                    <w:rPr>
                      <w:sz w:val="15"/>
                    </w:rPr>
                  </w:pPr>
                  <w:r>
                    <w:rPr>
                      <w:color w:val="58595B"/>
                      <w:sz w:val="15"/>
                    </w:rPr>
                    <w:t>CHAPTER 6    THE EPA ASA SCIENCE-BASED REGULATOR</w:t>
                  </w:r>
                </w:p>
              </w:txbxContent>
            </v:textbox>
            <w10:wrap type="none"/>
          </v:shape>
        </w:pict>
      </w:r>
      <w:r>
        <w:rPr/>
        <w:pict>
          <v:shape style="position:absolute;margin-left:511.963989pt;margin-top:40.902756pt;width:12.9pt;height:9.5pt;mso-position-horizontal-relative:page;mso-position-vertical-relative:page;z-index:-194656" type="#_x0000_t202" filled="false" stroked="false">
            <v:textbox inset="0,0,0,0">
              <w:txbxContent>
                <w:p>
                  <w:pPr>
                    <w:spacing w:before="1"/>
                    <w:ind w:left="20" w:right="0" w:firstLine="0"/>
                    <w:jc w:val="left"/>
                    <w:rPr>
                      <w:sz w:val="15"/>
                    </w:rPr>
                  </w:pPr>
                  <w:r>
                    <w:rPr>
                      <w:color w:val="58595B"/>
                      <w:spacing w:val="-11"/>
                      <w:sz w:val="15"/>
                    </w:rPr>
                    <w:t>111</w:t>
                  </w:r>
                </w:p>
              </w:txbxContent>
            </v:textbox>
            <w10:wrap type="none"/>
          </v:shape>
        </w:pict>
      </w:r>
      <w:r>
        <w:rPr/>
        <w:pict>
          <v:shape style="position:absolute;margin-left:89.708603pt;margin-top:105.893967pt;width:430.45pt;height:52.5pt;mso-position-horizontal-relative:page;mso-position-vertical-relative:page;z-index:-194632" type="#_x0000_t202" filled="false" stroked="false">
            <v:textbox inset="0,0,0,0">
              <w:txbxContent>
                <w:p>
                  <w:pPr>
                    <w:pStyle w:val="BodyText"/>
                    <w:spacing w:line="280" w:lineRule="auto"/>
                  </w:pPr>
                  <w:r>
                    <w:rPr>
                      <w:color w:val="58595B"/>
                    </w:rPr>
                    <w:t>We envisage the EPA of the future as a proactive and strategic protector of the environment and public health. To do this, it must be able to provide timely and well-informed responses to current problems and maintain up-to-date standards. The EPA receives significant demand from local government and industry stakeholders for advice.</w:t>
                  </w:r>
                </w:p>
              </w:txbxContent>
            </v:textbox>
            <w10:wrap type="none"/>
          </v:shape>
        </w:pict>
      </w:r>
      <w:r>
        <w:rPr/>
        <w:pict>
          <v:shape style="position:absolute;margin-left:118.058601pt;margin-top:168.393967pt;width:362.2pt;height:25.5pt;mso-position-horizontal-relative:page;mso-position-vertical-relative:page;z-index:-194608" type="#_x0000_t202" filled="false" stroked="false">
            <v:textbox inset="0,0,0,0">
              <w:txbxContent>
                <w:p>
                  <w:pPr>
                    <w:spacing w:line="280" w:lineRule="auto" w:before="0"/>
                    <w:ind w:left="20" w:right="0" w:firstLine="0"/>
                    <w:jc w:val="left"/>
                    <w:rPr>
                      <w:sz w:val="20"/>
                    </w:rPr>
                  </w:pPr>
                  <w:r>
                    <w:rPr>
                      <w:i/>
                      <w:color w:val="231F20"/>
                      <w:sz w:val="20"/>
                    </w:rPr>
                    <w:t>There has been a gradual but observable attrition of subject matter experts in the EPA. </w:t>
                  </w:r>
                  <w:r>
                    <w:rPr>
                      <w:color w:val="231F20"/>
                      <w:sz w:val="20"/>
                    </w:rPr>
                    <w:t>(Moreland City Council submission, p. 10)</w:t>
                  </w:r>
                </w:p>
              </w:txbxContent>
            </v:textbox>
            <w10:wrap type="none"/>
          </v:shape>
        </w:pict>
      </w:r>
      <w:r>
        <w:rPr/>
        <w:pict>
          <v:shape style="position:absolute;margin-left:89.718597pt;margin-top:203.893967pt;width:422.05pt;height:79.5pt;mso-position-horizontal-relative:page;mso-position-vertical-relative:page;z-index:-194584" type="#_x0000_t202" filled="false" stroked="false">
            <v:textbox inset="0,0,0,0">
              <w:txbxContent>
                <w:p>
                  <w:pPr>
                    <w:pStyle w:val="BodyText"/>
                    <w:spacing w:line="280" w:lineRule="auto"/>
                  </w:pPr>
                  <w:r>
                    <w:rPr>
                      <w:color w:val="58595B"/>
                    </w:rPr>
                    <w:t>The EPA must also be equipped to identify emerging problems and develop early interventions to minimise risks. The EPA’s in-house science expertise, and its capacity to draw on networks of experts is becoming more important, as knowledge expands about the serious adverse consequences of pollution and waste on health, liveability and productive capacity. It must also address changing community expectations, particularly about the transparency and timeliness of communicating information about risks.</w:t>
                  </w:r>
                </w:p>
              </w:txbxContent>
            </v:textbox>
            <w10:wrap type="none"/>
          </v:shape>
        </w:pict>
      </w:r>
      <w:r>
        <w:rPr/>
        <w:pict>
          <v:shape style="position:absolute;margin-left:89.708702pt;margin-top:296.037048pt;width:420.05pt;height:86.8pt;mso-position-horizontal-relative:page;mso-position-vertical-relative:page;z-index:-194560" type="#_x0000_t202" filled="false" stroked="false">
            <v:textbox inset="0,0,0,0">
              <w:txbxContent>
                <w:p>
                  <w:pPr>
                    <w:spacing w:line="265" w:lineRule="exact" w:before="0"/>
                    <w:ind w:left="20" w:right="346" w:firstLine="0"/>
                    <w:jc w:val="left"/>
                    <w:rPr>
                      <w:sz w:val="24"/>
                    </w:rPr>
                  </w:pPr>
                  <w:r>
                    <w:rPr>
                      <w:color w:val="0095A7"/>
                      <w:sz w:val="24"/>
                    </w:rPr>
                    <w:t>6.2  The need for increased scientific expertise in the  EPA</w:t>
                  </w:r>
                </w:p>
                <w:p>
                  <w:pPr>
                    <w:pStyle w:val="BodyText"/>
                    <w:spacing w:line="280" w:lineRule="auto" w:before="145"/>
                    <w:ind w:right="346"/>
                  </w:pPr>
                  <w:r>
                    <w:rPr>
                      <w:color w:val="58595B"/>
                    </w:rPr>
                    <w:t>Scientific capabilities are a vital ingredient of the </w:t>
                  </w:r>
                  <w:r>
                    <w:rPr>
                      <w:color w:val="58595B"/>
                      <w:spacing w:val="-7"/>
                    </w:rPr>
                    <w:t>EPA’s </w:t>
                  </w:r>
                  <w:r>
                    <w:rPr>
                      <w:color w:val="58595B"/>
                    </w:rPr>
                    <w:t>regulatory integrity and capacity  for influence. The reforms we propose throughout this report – strengthening licensing</w:t>
                  </w:r>
                  <w:r>
                    <w:rPr>
                      <w:color w:val="58595B"/>
                      <w:spacing w:val="18"/>
                    </w:rPr>
                    <w:t> </w:t>
                  </w:r>
                  <w:r>
                    <w:rPr>
                      <w:color w:val="58595B"/>
                    </w:rPr>
                    <w:t>and</w:t>
                  </w:r>
                </w:p>
                <w:p>
                  <w:pPr>
                    <w:pStyle w:val="BodyText"/>
                    <w:spacing w:line="280" w:lineRule="auto" w:before="2"/>
                    <w:ind w:right="11"/>
                  </w:pPr>
                  <w:r>
                    <w:rPr>
                      <w:color w:val="58595B"/>
                    </w:rPr>
                    <w:t>introducing a general duty (see chapter 12) – need to be underpinned by authoritative science. The EPA’s influence within government – ‘at the table’ as outlined in chapter 7 – and with business and the broader community also depends on its scientific credibility.</w:t>
                  </w:r>
                </w:p>
              </w:txbxContent>
            </v:textbox>
            <w10:wrap type="none"/>
          </v:shape>
        </w:pict>
      </w:r>
      <w:r>
        <w:rPr/>
        <w:pict>
          <v:shape style="position:absolute;margin-left:118.058701pt;margin-top:392.827057pt;width:352.75pt;height:39pt;mso-position-horizontal-relative:page;mso-position-vertical-relative:page;z-index:-194536" type="#_x0000_t202" filled="false" stroked="false">
            <v:textbox inset="0,0,0,0">
              <w:txbxContent>
                <w:p>
                  <w:pPr>
                    <w:spacing w:line="280" w:lineRule="auto" w:before="0"/>
                    <w:ind w:left="20" w:right="11" w:firstLine="0"/>
                    <w:jc w:val="left"/>
                    <w:rPr>
                      <w:sz w:val="20"/>
                    </w:rPr>
                  </w:pPr>
                  <w:r>
                    <w:rPr>
                      <w:i/>
                      <w:color w:val="231F20"/>
                      <w:sz w:val="20"/>
                    </w:rPr>
                    <w:t>It is integral to EPA’s independence as a Statutory Authority that policy is made based on the best scientific evidence available, and not influenced by political ideology… </w:t>
                  </w:r>
                  <w:r>
                    <w:rPr>
                      <w:color w:val="231F20"/>
                      <w:sz w:val="20"/>
                    </w:rPr>
                    <w:t>(Community and Public Sector Union Victoria submission, p. 28)</w:t>
                  </w:r>
                </w:p>
              </w:txbxContent>
            </v:textbox>
            <w10:wrap type="none"/>
          </v:shape>
        </w:pict>
      </w:r>
      <w:r>
        <w:rPr/>
        <w:pict>
          <v:shape style="position:absolute;margin-left:89.718697pt;margin-top:441.827057pt;width:427.5pt;height:93pt;mso-position-horizontal-relative:page;mso-position-vertical-relative:page;z-index:-194512" type="#_x0000_t202" filled="false" stroked="false">
            <v:textbox inset="0,0,0,0">
              <w:txbxContent>
                <w:p>
                  <w:pPr>
                    <w:pStyle w:val="BodyText"/>
                    <w:spacing w:line="280" w:lineRule="auto"/>
                  </w:pPr>
                  <w:r>
                    <w:rPr>
                      <w:color w:val="58595B"/>
                    </w:rPr>
                    <w:t>We recognise the strong scientific capabilities that the EPA has now, but we also recognise the difficulties of the EPA’s task in the future. Our scientific understanding of the impacts of pollution and waste has grown substantially over the decades, both in terms of their ‘breadth’ (the wide ranging spread of impacts across an environment or society), and their ‘depth’ (the length of impacts over time). Recent reports into practices and events in Victoria and their impacts on public health illustrate how dangerous environmental risks can be, and the need to adequately prevent or mitigate future problems:</w:t>
                  </w:r>
                </w:p>
              </w:txbxContent>
            </v:textbox>
            <w10:wrap type="none"/>
          </v:shape>
        </w:pict>
      </w:r>
      <w:r>
        <w:rPr/>
        <w:pict>
          <v:shape style="position:absolute;margin-left:89.718697pt;margin-top:541.99707pt;width:5.5pt;height:12pt;mso-position-horizontal-relative:page;mso-position-vertical-relative:page;z-index:-19448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98.209702pt;margin-top:541.99707pt;width:425.35pt;height:171.85pt;mso-position-horizontal-relative:page;mso-position-vertical-relative:page;z-index:-194464" type="#_x0000_t202" filled="false" stroked="false">
            <v:textbox inset="0,0,0,0">
              <w:txbxContent>
                <w:p>
                  <w:pPr>
                    <w:pStyle w:val="BodyText"/>
                    <w:spacing w:line="280" w:lineRule="auto"/>
                    <w:ind w:right="131"/>
                    <w:rPr>
                      <w:sz w:val="11"/>
                    </w:rPr>
                  </w:pPr>
                  <w:r>
                    <w:rPr>
                      <w:color w:val="58595B"/>
                    </w:rPr>
                    <w:t>The </w:t>
                  </w:r>
                  <w:r>
                    <w:rPr>
                      <w:b/>
                      <w:color w:val="58595B"/>
                    </w:rPr>
                    <w:t>Former Lands </w:t>
                  </w:r>
                  <w:r>
                    <w:rPr>
                      <w:b/>
                      <w:color w:val="58595B"/>
                      <w:spacing w:val="2"/>
                    </w:rPr>
                    <w:t>Department </w:t>
                  </w:r>
                  <w:r>
                    <w:rPr>
                      <w:b/>
                      <w:color w:val="58595B"/>
                    </w:rPr>
                    <w:t>Chemical Inquiry </w:t>
                  </w:r>
                  <w:r>
                    <w:rPr>
                      <w:b/>
                      <w:color w:val="58595B"/>
                      <w:spacing w:val="2"/>
                    </w:rPr>
                    <w:t>Report </w:t>
                  </w:r>
                  <w:r>
                    <w:rPr>
                      <w:color w:val="58595B"/>
                    </w:rPr>
                    <w:t>(November </w:t>
                  </w:r>
                  <w:r>
                    <w:rPr>
                      <w:color w:val="58595B"/>
                      <w:spacing w:val="-4"/>
                    </w:rPr>
                    <w:t>2015) </w:t>
                  </w:r>
                  <w:r>
                    <w:rPr>
                      <w:color w:val="58595B"/>
                    </w:rPr>
                    <w:t>found sprayers working for the former Department of Lands between 1965 and </w:t>
                  </w:r>
                  <w:r>
                    <w:rPr>
                      <w:color w:val="58595B"/>
                      <w:spacing w:val="-3"/>
                    </w:rPr>
                    <w:t>1981 </w:t>
                  </w:r>
                  <w:r>
                    <w:rPr>
                      <w:color w:val="58595B"/>
                    </w:rPr>
                    <w:t>were exposed to levels of</w:t>
                  </w:r>
                  <w:r>
                    <w:rPr>
                      <w:color w:val="58595B"/>
                      <w:spacing w:val="-3"/>
                    </w:rPr>
                    <w:t> </w:t>
                  </w:r>
                  <w:r>
                    <w:rPr>
                      <w:color w:val="58595B"/>
                    </w:rPr>
                    <w:t>a</w:t>
                  </w:r>
                  <w:r>
                    <w:rPr>
                      <w:color w:val="58595B"/>
                      <w:spacing w:val="-7"/>
                    </w:rPr>
                    <w:t> </w:t>
                  </w:r>
                  <w:r>
                    <w:rPr>
                      <w:color w:val="58595B"/>
                    </w:rPr>
                    <w:t>highly</w:t>
                  </w:r>
                  <w:r>
                    <w:rPr>
                      <w:color w:val="58595B"/>
                      <w:spacing w:val="-7"/>
                    </w:rPr>
                    <w:t> </w:t>
                  </w:r>
                  <w:r>
                    <w:rPr>
                      <w:color w:val="58595B"/>
                      <w:spacing w:val="-3"/>
                    </w:rPr>
                    <w:t>toxic</w:t>
                  </w:r>
                  <w:r>
                    <w:rPr>
                      <w:color w:val="58595B"/>
                      <w:spacing w:val="-7"/>
                    </w:rPr>
                    <w:t> </w:t>
                  </w:r>
                  <w:r>
                    <w:rPr>
                      <w:color w:val="58595B"/>
                      <w:spacing w:val="-3"/>
                    </w:rPr>
                    <w:t>dioxin</w:t>
                  </w:r>
                  <w:r>
                    <w:rPr>
                      <w:color w:val="58595B"/>
                      <w:spacing w:val="-7"/>
                    </w:rPr>
                    <w:t> </w:t>
                  </w:r>
                  <w:r>
                    <w:rPr>
                      <w:color w:val="58595B"/>
                      <w:spacing w:val="-3"/>
                    </w:rPr>
                    <w:t>(TCDD,</w:t>
                  </w:r>
                  <w:r>
                    <w:rPr>
                      <w:color w:val="58595B"/>
                      <w:spacing w:val="-7"/>
                    </w:rPr>
                    <w:t> </w:t>
                  </w:r>
                  <w:r>
                    <w:rPr>
                      <w:color w:val="58595B"/>
                    </w:rPr>
                    <w:t>a</w:t>
                  </w:r>
                  <w:r>
                    <w:rPr>
                      <w:color w:val="58595B"/>
                      <w:spacing w:val="-7"/>
                    </w:rPr>
                    <w:t> </w:t>
                  </w:r>
                  <w:r>
                    <w:rPr>
                      <w:color w:val="58595B"/>
                    </w:rPr>
                    <w:t>contaminant</w:t>
                  </w:r>
                  <w:r>
                    <w:rPr>
                      <w:color w:val="58595B"/>
                      <w:spacing w:val="-7"/>
                    </w:rPr>
                    <w:t> </w:t>
                  </w:r>
                  <w:r>
                    <w:rPr>
                      <w:color w:val="58595B"/>
                    </w:rPr>
                    <w:t>of</w:t>
                  </w:r>
                  <w:r>
                    <w:rPr>
                      <w:color w:val="58595B"/>
                      <w:spacing w:val="-7"/>
                    </w:rPr>
                    <w:t> </w:t>
                  </w:r>
                  <w:r>
                    <w:rPr>
                      <w:color w:val="58595B"/>
                      <w:spacing w:val="-5"/>
                    </w:rPr>
                    <w:t>2,4,5-T,</w:t>
                  </w:r>
                  <w:r>
                    <w:rPr>
                      <w:color w:val="58595B"/>
                      <w:spacing w:val="-7"/>
                    </w:rPr>
                    <w:t> </w:t>
                  </w:r>
                  <w:r>
                    <w:rPr>
                      <w:color w:val="58595B"/>
                    </w:rPr>
                    <w:t>a</w:t>
                  </w:r>
                  <w:r>
                    <w:rPr>
                      <w:color w:val="58595B"/>
                      <w:spacing w:val="-7"/>
                    </w:rPr>
                    <w:t> </w:t>
                  </w:r>
                  <w:r>
                    <w:rPr>
                      <w:color w:val="58595B"/>
                    </w:rPr>
                    <w:t>kind</w:t>
                  </w:r>
                  <w:r>
                    <w:rPr>
                      <w:color w:val="58595B"/>
                      <w:spacing w:val="-7"/>
                    </w:rPr>
                    <w:t> </w:t>
                  </w:r>
                  <w:r>
                    <w:rPr>
                      <w:color w:val="58595B"/>
                    </w:rPr>
                    <w:t>of</w:t>
                  </w:r>
                  <w:r>
                    <w:rPr>
                      <w:color w:val="58595B"/>
                      <w:spacing w:val="-7"/>
                    </w:rPr>
                    <w:t> </w:t>
                  </w:r>
                  <w:r>
                    <w:rPr>
                      <w:color w:val="58595B"/>
                      <w:spacing w:val="-3"/>
                    </w:rPr>
                    <w:t>herbicide)</w:t>
                  </w:r>
                  <w:r>
                    <w:rPr>
                      <w:color w:val="58595B"/>
                      <w:spacing w:val="-7"/>
                    </w:rPr>
                    <w:t> </w:t>
                  </w:r>
                  <w:r>
                    <w:rPr>
                      <w:color w:val="58595B"/>
                    </w:rPr>
                    <w:t>to</w:t>
                  </w:r>
                  <w:r>
                    <w:rPr>
                      <w:color w:val="58595B"/>
                      <w:spacing w:val="-7"/>
                    </w:rPr>
                    <w:t> </w:t>
                  </w:r>
                  <w:r>
                    <w:rPr>
                      <w:color w:val="58595B"/>
                    </w:rPr>
                    <w:t>more</w:t>
                  </w:r>
                  <w:r>
                    <w:rPr>
                      <w:color w:val="58595B"/>
                      <w:spacing w:val="-7"/>
                    </w:rPr>
                    <w:t> </w:t>
                  </w:r>
                  <w:r>
                    <w:rPr>
                      <w:color w:val="58595B"/>
                    </w:rPr>
                    <w:t>than</w:t>
                  </w:r>
                  <w:r>
                    <w:rPr>
                      <w:color w:val="58595B"/>
                      <w:spacing w:val="-7"/>
                    </w:rPr>
                    <w:t> </w:t>
                  </w:r>
                  <w:r>
                    <w:rPr>
                      <w:color w:val="58595B"/>
                    </w:rPr>
                    <w:t>double </w:t>
                  </w:r>
                  <w:r>
                    <w:rPr>
                      <w:color w:val="58595B"/>
                      <w:spacing w:val="-3"/>
                    </w:rPr>
                    <w:t>today’s </w:t>
                  </w:r>
                  <w:r>
                    <w:rPr>
                      <w:color w:val="58595B"/>
                    </w:rPr>
                    <w:t>standard tolerable monthly intake. The </w:t>
                  </w:r>
                  <w:r>
                    <w:rPr>
                      <w:color w:val="58595B"/>
                      <w:spacing w:val="2"/>
                    </w:rPr>
                    <w:t>chemical inquiry concluded </w:t>
                  </w:r>
                  <w:r>
                    <w:rPr>
                      <w:color w:val="58595B"/>
                    </w:rPr>
                    <w:t>sprayers </w:t>
                  </w:r>
                  <w:r>
                    <w:rPr>
                      <w:color w:val="58595B"/>
                      <w:spacing w:val="2"/>
                    </w:rPr>
                    <w:t>(pre- </w:t>
                  </w:r>
                  <w:r>
                    <w:rPr>
                      <w:color w:val="58595B"/>
                    </w:rPr>
                    <w:t>1985) who contracted soft tissue sarcomas or non-Hodgkin lymphomas may have contracted these cancers from TCDD</w:t>
                  </w:r>
                  <w:r>
                    <w:rPr>
                      <w:color w:val="58595B"/>
                      <w:spacing w:val="18"/>
                    </w:rPr>
                    <w:t> </w:t>
                  </w:r>
                  <w:r>
                    <w:rPr>
                      <w:color w:val="58595B"/>
                      <w:spacing w:val="-3"/>
                    </w:rPr>
                    <w:t>exposure.</w:t>
                  </w:r>
                  <w:r>
                    <w:rPr>
                      <w:color w:val="58595B"/>
                      <w:spacing w:val="-3"/>
                      <w:position w:val="7"/>
                      <w:sz w:val="11"/>
                    </w:rPr>
                    <w:t>1</w:t>
                  </w:r>
                </w:p>
                <w:p>
                  <w:pPr>
                    <w:spacing w:line="280" w:lineRule="auto" w:before="115"/>
                    <w:ind w:left="20" w:right="0" w:firstLine="0"/>
                    <w:jc w:val="left"/>
                    <w:rPr>
                      <w:sz w:val="11"/>
                    </w:rPr>
                  </w:pPr>
                  <w:r>
                    <w:rPr>
                      <w:color w:val="58595B"/>
                      <w:sz w:val="20"/>
                    </w:rPr>
                    <w:t>The </w:t>
                  </w:r>
                  <w:r>
                    <w:rPr>
                      <w:b/>
                      <w:color w:val="58595B"/>
                      <w:sz w:val="20"/>
                    </w:rPr>
                    <w:t>Second Hazelwood Mine Fire Inquiry Report </w:t>
                  </w:r>
                  <w:r>
                    <w:rPr>
                      <w:color w:val="58595B"/>
                      <w:sz w:val="20"/>
                    </w:rPr>
                    <w:t>(December 2015) concluded it is likely that the Hazelwood mine fire contributed to an increase in deaths in the Latrobe Valley in 2014.</w:t>
                  </w:r>
                  <w:r>
                    <w:rPr>
                      <w:color w:val="58595B"/>
                      <w:position w:val="7"/>
                      <w:sz w:val="11"/>
                    </w:rPr>
                    <w:t>2</w:t>
                  </w:r>
                </w:p>
                <w:p>
                  <w:pPr>
                    <w:spacing w:line="280" w:lineRule="auto" w:before="115"/>
                    <w:ind w:left="20" w:right="84" w:firstLine="0"/>
                    <w:jc w:val="left"/>
                    <w:rPr>
                      <w:sz w:val="11"/>
                    </w:rPr>
                  </w:pPr>
                  <w:r>
                    <w:rPr>
                      <w:color w:val="58595B"/>
                      <w:sz w:val="20"/>
                    </w:rPr>
                    <w:t>The </w:t>
                  </w:r>
                  <w:r>
                    <w:rPr>
                      <w:b/>
                      <w:color w:val="58595B"/>
                      <w:sz w:val="20"/>
                    </w:rPr>
                    <w:t>Parliamentary Inquiry into the Country Fire Authority Training College at Fiskville </w:t>
                  </w:r>
                  <w:r>
                    <w:rPr>
                      <w:color w:val="58595B"/>
                      <w:sz w:val="20"/>
                    </w:rPr>
                    <w:t>interim report noted chemicals used in firefighting training from the 1970s to the 1990s are ‘undeniably carcinogenic and toxic’. Indeed, investigations found a higher rate of some kinds of cancers in people who worked and trained at the site.</w:t>
                  </w:r>
                  <w:r>
                    <w:rPr>
                      <w:color w:val="58595B"/>
                      <w:position w:val="7"/>
                      <w:sz w:val="11"/>
                    </w:rPr>
                    <w:t>3</w:t>
                  </w:r>
                </w:p>
              </w:txbxContent>
            </v:textbox>
            <w10:wrap type="none"/>
          </v:shape>
        </w:pict>
      </w:r>
      <w:r>
        <w:rPr/>
        <w:pict>
          <v:shape style="position:absolute;margin-left:89.709702pt;margin-top:628.673462pt;width:5.5pt;height:12pt;mso-position-horizontal-relative:page;mso-position-vertical-relative:page;z-index:-19444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09702pt;margin-top:661.342651pt;width:5.5pt;height:12pt;mso-position-horizontal-relative:page;mso-position-vertical-relative:page;z-index:-19441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534.996094pt;margin-top:44.090015pt;width:60.3pt;height:5.25pt;mso-position-horizontal-relative:page;mso-position-vertical-relative:page;z-index:-19439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436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94344" from=".0pt,45.840015pt" to="60.2791pt,45.840015pt" stroked="true" strokeweight="7pt" strokecolor="#0095a7">
            <w10:wrap type="none"/>
          </v:line>
        </w:pict>
      </w:r>
      <w:r>
        <w:rPr/>
        <w:pict>
          <v:shape style="position:absolute;margin-left:69.866096pt;margin-top:40.902756pt;width:13.75pt;height:9.5pt;mso-position-horizontal-relative:page;mso-position-vertical-relative:page;z-index:-194320" type="#_x0000_t202" filled="false" stroked="false">
            <v:textbox inset="0,0,0,0">
              <w:txbxContent>
                <w:p>
                  <w:pPr>
                    <w:spacing w:before="1"/>
                    <w:ind w:left="20" w:right="-16" w:firstLine="0"/>
                    <w:jc w:val="left"/>
                    <w:rPr>
                      <w:sz w:val="15"/>
                    </w:rPr>
                  </w:pPr>
                  <w:r>
                    <w:rPr>
                      <w:color w:val="58595B"/>
                      <w:sz w:val="15"/>
                    </w:rPr>
                    <w:t>112</w:t>
                  </w:r>
                </w:p>
              </w:txbxContent>
            </v:textbox>
            <w10:wrap type="none"/>
          </v:shape>
        </w:pict>
      </w:r>
      <w:r>
        <w:rPr/>
        <w:pict>
          <v:shape style="position:absolute;margin-left:95.377899pt;margin-top:40.902756pt;width:147.75pt;height:9.5pt;mso-position-horizontal-relative:page;mso-position-vertical-relative:page;z-index:-194296"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2.15pt;height:93pt;mso-position-horizontal-relative:page;mso-position-vertical-relative:page;z-index:-194272" type="#_x0000_t202" filled="false" stroked="false">
            <v:textbox inset="0,0,0,0">
              <w:txbxContent>
                <w:p>
                  <w:pPr>
                    <w:pStyle w:val="BodyText"/>
                    <w:spacing w:line="280" w:lineRule="auto"/>
                  </w:pPr>
                  <w:r>
                    <w:rPr>
                      <w:color w:val="58595B"/>
                    </w:rPr>
                    <w:t>The causes of future problems are likely to be less visible or immediate than the large smoke stacks and other types of more obvious pollution and waste of the past. Assessing the potential impacts of the millions of chemicals and chemical compounds in existence is a daunting task for environmental regulators across the world, even before accounting for the complex and unknown interactions between chemicals in the environment. And the persistence of many substances, such as inorganic chemicals, creates the potential for a ‘long tail’ of effects across decades or generations, including cancers, birth defects and other long term health consequences.</w:t>
                  </w:r>
                </w:p>
              </w:txbxContent>
            </v:textbox>
            <w10:wrap type="none"/>
          </v:shape>
        </w:pict>
      </w:r>
      <w:r>
        <w:rPr/>
        <w:pict>
          <v:shape style="position:absolute;margin-left:69.866096pt;margin-top:208.893967pt;width:431.9pt;height:39pt;mso-position-horizontal-relative:page;mso-position-vertical-relative:page;z-index:-194248" type="#_x0000_t202" filled="false" stroked="false">
            <v:textbox inset="0,0,0,0">
              <w:txbxContent>
                <w:p>
                  <w:pPr>
                    <w:pStyle w:val="BodyText"/>
                    <w:spacing w:line="280" w:lineRule="auto"/>
                    <w:ind w:right="17"/>
                  </w:pPr>
                  <w:r>
                    <w:rPr>
                      <w:color w:val="58595B"/>
                    </w:rPr>
                    <w:t>Adding to this complexity is the increased pace of technological change, creating new engineering methods, new chemicals and new technologies for industrial practices. For example, new nano materials such as microplastics are very hard to detect or remove.</w:t>
                  </w:r>
                </w:p>
              </w:txbxContent>
            </v:textbox>
            <w10:wrap type="none"/>
          </v:shape>
        </w:pict>
      </w:r>
      <w:r>
        <w:rPr/>
        <w:pict>
          <v:shape style="position:absolute;margin-left:69.866096pt;margin-top:257.893982pt;width:428.1pt;height:93pt;mso-position-horizontal-relative:page;mso-position-vertical-relative:page;z-index:-194224" type="#_x0000_t202" filled="false" stroked="false">
            <v:textbox inset="0,0,0,0">
              <w:txbxContent>
                <w:p>
                  <w:pPr>
                    <w:pStyle w:val="BodyText"/>
                    <w:spacing w:line="280" w:lineRule="auto"/>
                    <w:rPr>
                      <w:sz w:val="11"/>
                    </w:rPr>
                  </w:pPr>
                  <w:r>
                    <w:rPr>
                      <w:color w:val="58595B"/>
                    </w:rPr>
                    <w:t>Despite increases in our scientific understanding, there will always be uncertainty about the causes and effects of pollution and waste. The EPA must address change and complexity in the presence of this uncertainty. The EPA, and the community, must be confident about its scientific capabilities to make the best decision given the circumstances, balancing the potential harms of a substance or practice with the potential costs of restricting or prohibiting their use. That is, the EPA must be able to make robust judgements about the underlying causes of adverse impacts, and seek to avoid harms where they are avoidable.</w:t>
                  </w:r>
                  <w:r>
                    <w:rPr>
                      <w:color w:val="58595B"/>
                      <w:position w:val="7"/>
                      <w:sz w:val="11"/>
                    </w:rPr>
                    <w:t>4</w:t>
                  </w:r>
                </w:p>
              </w:txbxContent>
            </v:textbox>
            <w10:wrap type="none"/>
          </v:shape>
        </w:pict>
      </w:r>
      <w:r>
        <w:rPr/>
        <w:pict>
          <v:shape style="position:absolute;margin-left:69.866096pt;margin-top:360.905762pt;width:426.7pt;height:79.5pt;mso-position-horizontal-relative:page;mso-position-vertical-relative:page;z-index:-194200" type="#_x0000_t202" filled="false" stroked="false">
            <v:textbox inset="0,0,0,0">
              <w:txbxContent>
                <w:p>
                  <w:pPr>
                    <w:pStyle w:val="BodyText"/>
                    <w:spacing w:line="280" w:lineRule="auto"/>
                  </w:pPr>
                  <w:r>
                    <w:rPr>
                      <w:color w:val="58595B"/>
                    </w:rPr>
                    <w:t>Maintaining currency of knowledge is, and will continue to </w:t>
                  </w:r>
                  <w:r>
                    <w:rPr>
                      <w:color w:val="58595B"/>
                      <w:spacing w:val="-3"/>
                    </w:rPr>
                    <w:t>be, </w:t>
                  </w:r>
                  <w:r>
                    <w:rPr>
                      <w:color w:val="58595B"/>
                    </w:rPr>
                    <w:t>a challenge for a </w:t>
                  </w:r>
                  <w:r>
                    <w:rPr>
                      <w:color w:val="58595B"/>
                      <w:spacing w:val="-3"/>
                    </w:rPr>
                    <w:t>relatively small </w:t>
                  </w:r>
                  <w:r>
                    <w:rPr>
                      <w:color w:val="58595B"/>
                      <w:spacing w:val="-4"/>
                    </w:rPr>
                    <w:t>regulator. </w:t>
                  </w:r>
                  <w:r>
                    <w:rPr>
                      <w:color w:val="58595B"/>
                      <w:spacing w:val="-9"/>
                    </w:rPr>
                    <w:t>To </w:t>
                  </w:r>
                  <w:r>
                    <w:rPr>
                      <w:color w:val="58595B"/>
                    </w:rPr>
                    <w:t>best face this challenge, the </w:t>
                  </w:r>
                  <w:r>
                    <w:rPr>
                      <w:color w:val="58595B"/>
                      <w:spacing w:val="-5"/>
                    </w:rPr>
                    <w:t>EPA </w:t>
                  </w:r>
                  <w:r>
                    <w:rPr>
                      <w:color w:val="58595B"/>
                    </w:rPr>
                    <w:t>of the future needs stronger scientific capabilities and to tap </w:t>
                  </w:r>
                  <w:r>
                    <w:rPr>
                      <w:color w:val="58595B"/>
                      <w:spacing w:val="-3"/>
                    </w:rPr>
                    <w:t>into </w:t>
                  </w:r>
                  <w:r>
                    <w:rPr>
                      <w:color w:val="58595B"/>
                    </w:rPr>
                    <w:t>global networks. It needs access to data for monitoring. It needs recognised leadership</w:t>
                  </w:r>
                  <w:r>
                    <w:rPr>
                      <w:color w:val="58595B"/>
                      <w:spacing w:val="-12"/>
                    </w:rPr>
                    <w:t> </w:t>
                  </w:r>
                  <w:r>
                    <w:rPr>
                      <w:color w:val="58595B"/>
                    </w:rPr>
                    <w:t>for</w:t>
                  </w:r>
                  <w:r>
                    <w:rPr>
                      <w:color w:val="58595B"/>
                      <w:spacing w:val="-12"/>
                    </w:rPr>
                    <w:t> </w:t>
                  </w:r>
                  <w:r>
                    <w:rPr>
                      <w:color w:val="58595B"/>
                    </w:rPr>
                    <w:t>its</w:t>
                  </w:r>
                  <w:r>
                    <w:rPr>
                      <w:color w:val="58595B"/>
                      <w:spacing w:val="-12"/>
                    </w:rPr>
                    <w:t> </w:t>
                  </w:r>
                  <w:r>
                    <w:rPr>
                      <w:color w:val="58595B"/>
                    </w:rPr>
                    <w:t>scientific</w:t>
                  </w:r>
                  <w:r>
                    <w:rPr>
                      <w:color w:val="58595B"/>
                      <w:spacing w:val="-12"/>
                    </w:rPr>
                    <w:t> </w:t>
                  </w:r>
                  <w:r>
                    <w:rPr>
                      <w:color w:val="58595B"/>
                    </w:rPr>
                    <w:t>work,</w:t>
                  </w:r>
                  <w:r>
                    <w:rPr>
                      <w:color w:val="58595B"/>
                      <w:spacing w:val="-12"/>
                    </w:rPr>
                    <w:t> </w:t>
                  </w:r>
                  <w:r>
                    <w:rPr>
                      <w:color w:val="58595B"/>
                    </w:rPr>
                    <w:t>to</w:t>
                  </w:r>
                  <w:r>
                    <w:rPr>
                      <w:color w:val="58595B"/>
                      <w:spacing w:val="-12"/>
                    </w:rPr>
                    <w:t> </w:t>
                  </w:r>
                  <w:r>
                    <w:rPr>
                      <w:color w:val="58595B"/>
                    </w:rPr>
                    <w:t>provide</w:t>
                  </w:r>
                  <w:r>
                    <w:rPr>
                      <w:color w:val="58595B"/>
                      <w:spacing w:val="-12"/>
                    </w:rPr>
                    <w:t> </w:t>
                  </w:r>
                  <w:r>
                    <w:rPr>
                      <w:color w:val="58595B"/>
                    </w:rPr>
                    <w:t>strategic</w:t>
                  </w:r>
                  <w:r>
                    <w:rPr>
                      <w:color w:val="58595B"/>
                      <w:spacing w:val="-12"/>
                    </w:rPr>
                    <w:t> </w:t>
                  </w:r>
                  <w:r>
                    <w:rPr>
                      <w:color w:val="58595B"/>
                    </w:rPr>
                    <w:t>direction</w:t>
                  </w:r>
                  <w:r>
                    <w:rPr>
                      <w:color w:val="58595B"/>
                      <w:spacing w:val="-12"/>
                    </w:rPr>
                    <w:t> </w:t>
                  </w:r>
                  <w:r>
                    <w:rPr>
                      <w:color w:val="58595B"/>
                    </w:rPr>
                    <w:t>and</w:t>
                  </w:r>
                  <w:r>
                    <w:rPr>
                      <w:color w:val="58595B"/>
                      <w:spacing w:val="-12"/>
                    </w:rPr>
                    <w:t> </w:t>
                  </w:r>
                  <w:r>
                    <w:rPr>
                      <w:color w:val="58595B"/>
                    </w:rPr>
                    <w:t>to</w:t>
                  </w:r>
                  <w:r>
                    <w:rPr>
                      <w:color w:val="58595B"/>
                      <w:spacing w:val="-12"/>
                    </w:rPr>
                    <w:t> </w:t>
                  </w:r>
                  <w:r>
                    <w:rPr>
                      <w:color w:val="58595B"/>
                    </w:rPr>
                    <w:t>effectively</w:t>
                  </w:r>
                  <w:r>
                    <w:rPr>
                      <w:color w:val="58595B"/>
                      <w:spacing w:val="-12"/>
                    </w:rPr>
                    <w:t> </w:t>
                  </w:r>
                  <w:r>
                    <w:rPr>
                      <w:color w:val="58595B"/>
                    </w:rPr>
                    <w:t>and</w:t>
                  </w:r>
                  <w:r>
                    <w:rPr>
                      <w:color w:val="58595B"/>
                      <w:spacing w:val="-12"/>
                    </w:rPr>
                    <w:t> </w:t>
                  </w:r>
                  <w:r>
                    <w:rPr>
                      <w:color w:val="58595B"/>
                      <w:spacing w:val="-2"/>
                    </w:rPr>
                    <w:t>authoritatively </w:t>
                  </w:r>
                  <w:r>
                    <w:rPr>
                      <w:color w:val="58595B"/>
                    </w:rPr>
                    <w:t>communicate</w:t>
                  </w:r>
                  <w:r>
                    <w:rPr>
                      <w:color w:val="58595B"/>
                      <w:spacing w:val="-10"/>
                    </w:rPr>
                    <w:t> </w:t>
                  </w:r>
                  <w:r>
                    <w:rPr>
                      <w:color w:val="58595B"/>
                    </w:rPr>
                    <w:t>scientific</w:t>
                  </w:r>
                  <w:r>
                    <w:rPr>
                      <w:color w:val="58595B"/>
                      <w:spacing w:val="-10"/>
                    </w:rPr>
                    <w:t> </w:t>
                  </w:r>
                  <w:r>
                    <w:rPr>
                      <w:color w:val="58595B"/>
                    </w:rPr>
                    <w:t>issues.</w:t>
                  </w:r>
                  <w:r>
                    <w:rPr>
                      <w:color w:val="58595B"/>
                      <w:spacing w:val="-10"/>
                    </w:rPr>
                    <w:t> </w:t>
                  </w:r>
                  <w:r>
                    <w:rPr>
                      <w:color w:val="58595B"/>
                    </w:rPr>
                    <w:t>And</w:t>
                  </w:r>
                  <w:r>
                    <w:rPr>
                      <w:color w:val="58595B"/>
                      <w:spacing w:val="-10"/>
                    </w:rPr>
                    <w:t> </w:t>
                  </w:r>
                  <w:r>
                    <w:rPr>
                      <w:color w:val="58595B"/>
                    </w:rPr>
                    <w:t>it</w:t>
                  </w:r>
                  <w:r>
                    <w:rPr>
                      <w:color w:val="58595B"/>
                      <w:spacing w:val="-10"/>
                    </w:rPr>
                    <w:t> </w:t>
                  </w:r>
                  <w:r>
                    <w:rPr>
                      <w:color w:val="58595B"/>
                    </w:rPr>
                    <w:t>needs</w:t>
                  </w:r>
                  <w:r>
                    <w:rPr>
                      <w:color w:val="58595B"/>
                      <w:spacing w:val="-10"/>
                    </w:rPr>
                    <w:t> </w:t>
                  </w:r>
                  <w:r>
                    <w:rPr>
                      <w:color w:val="58595B"/>
                    </w:rPr>
                    <w:t>to</w:t>
                  </w:r>
                  <w:r>
                    <w:rPr>
                      <w:color w:val="58595B"/>
                      <w:spacing w:val="-10"/>
                    </w:rPr>
                    <w:t> </w:t>
                  </w:r>
                  <w:r>
                    <w:rPr>
                      <w:color w:val="58595B"/>
                    </w:rPr>
                    <w:t>bring</w:t>
                  </w:r>
                  <w:r>
                    <w:rPr>
                      <w:color w:val="58595B"/>
                      <w:spacing w:val="-10"/>
                    </w:rPr>
                    <w:t> </w:t>
                  </w:r>
                  <w:r>
                    <w:rPr>
                      <w:color w:val="58595B"/>
                    </w:rPr>
                    <w:t>health</w:t>
                  </w:r>
                  <w:r>
                    <w:rPr>
                      <w:color w:val="58595B"/>
                      <w:spacing w:val="-10"/>
                    </w:rPr>
                    <w:t> </w:t>
                  </w:r>
                  <w:r>
                    <w:rPr>
                      <w:color w:val="58595B"/>
                    </w:rPr>
                    <w:t>and</w:t>
                  </w:r>
                  <w:r>
                    <w:rPr>
                      <w:color w:val="58595B"/>
                      <w:spacing w:val="-10"/>
                    </w:rPr>
                    <w:t> </w:t>
                  </w:r>
                  <w:r>
                    <w:rPr>
                      <w:color w:val="58595B"/>
                      <w:spacing w:val="-3"/>
                    </w:rPr>
                    <w:t>environmental</w:t>
                  </w:r>
                  <w:r>
                    <w:rPr>
                      <w:color w:val="58595B"/>
                      <w:spacing w:val="-10"/>
                    </w:rPr>
                    <w:t> </w:t>
                  </w:r>
                  <w:r>
                    <w:rPr>
                      <w:color w:val="58595B"/>
                    </w:rPr>
                    <w:t>experts</w:t>
                  </w:r>
                  <w:r>
                    <w:rPr>
                      <w:color w:val="58595B"/>
                      <w:spacing w:val="-10"/>
                    </w:rPr>
                    <w:t> </w:t>
                  </w:r>
                  <w:r>
                    <w:rPr>
                      <w:color w:val="58595B"/>
                    </w:rPr>
                    <w:t>together</w:t>
                  </w:r>
                  <w:r>
                    <w:rPr>
                      <w:color w:val="58595B"/>
                      <w:spacing w:val="-10"/>
                    </w:rPr>
                    <w:t> </w:t>
                  </w:r>
                  <w:r>
                    <w:rPr>
                      <w:color w:val="58595B"/>
                    </w:rPr>
                    <w:t>to build</w:t>
                  </w:r>
                  <w:r>
                    <w:rPr>
                      <w:color w:val="58595B"/>
                      <w:spacing w:val="-12"/>
                    </w:rPr>
                    <w:t> </w:t>
                  </w:r>
                  <w:r>
                    <w:rPr>
                      <w:color w:val="58595B"/>
                    </w:rPr>
                    <w:t>critical</w:t>
                  </w:r>
                  <w:r>
                    <w:rPr>
                      <w:color w:val="58595B"/>
                      <w:spacing w:val="-12"/>
                    </w:rPr>
                    <w:t> </w:t>
                  </w:r>
                  <w:r>
                    <w:rPr>
                      <w:color w:val="58595B"/>
                    </w:rPr>
                    <w:t>mass</w:t>
                  </w:r>
                  <w:r>
                    <w:rPr>
                      <w:color w:val="58595B"/>
                      <w:spacing w:val="-12"/>
                    </w:rPr>
                    <w:t> </w:t>
                  </w:r>
                  <w:r>
                    <w:rPr>
                      <w:color w:val="58595B"/>
                    </w:rPr>
                    <w:t>to</w:t>
                  </w:r>
                  <w:r>
                    <w:rPr>
                      <w:color w:val="58595B"/>
                      <w:spacing w:val="-12"/>
                    </w:rPr>
                    <w:t> </w:t>
                  </w:r>
                  <w:r>
                    <w:rPr>
                      <w:color w:val="58595B"/>
                    </w:rPr>
                    <w:t>better</w:t>
                  </w:r>
                  <w:r>
                    <w:rPr>
                      <w:color w:val="58595B"/>
                      <w:spacing w:val="-12"/>
                    </w:rPr>
                    <w:t> </w:t>
                  </w:r>
                  <w:r>
                    <w:rPr>
                      <w:color w:val="58595B"/>
                    </w:rPr>
                    <w:t>identify</w:t>
                  </w:r>
                  <w:r>
                    <w:rPr>
                      <w:color w:val="58595B"/>
                      <w:spacing w:val="-12"/>
                    </w:rPr>
                    <w:t> </w:t>
                  </w:r>
                  <w:r>
                    <w:rPr>
                      <w:color w:val="58595B"/>
                    </w:rPr>
                    <w:t>and</w:t>
                  </w:r>
                  <w:r>
                    <w:rPr>
                      <w:color w:val="58595B"/>
                      <w:spacing w:val="-12"/>
                    </w:rPr>
                    <w:t> </w:t>
                  </w:r>
                  <w:r>
                    <w:rPr>
                      <w:color w:val="58595B"/>
                    </w:rPr>
                    <w:t>understand</w:t>
                  </w:r>
                  <w:r>
                    <w:rPr>
                      <w:color w:val="58595B"/>
                      <w:spacing w:val="-12"/>
                    </w:rPr>
                    <w:t> </w:t>
                  </w:r>
                  <w:r>
                    <w:rPr>
                      <w:color w:val="58595B"/>
                    </w:rPr>
                    <w:t>risks</w:t>
                  </w:r>
                  <w:r>
                    <w:rPr>
                      <w:color w:val="58595B"/>
                      <w:spacing w:val="-12"/>
                    </w:rPr>
                    <w:t> </w:t>
                  </w:r>
                  <w:r>
                    <w:rPr>
                      <w:color w:val="58595B"/>
                    </w:rPr>
                    <w:t>to</w:t>
                  </w:r>
                  <w:r>
                    <w:rPr>
                      <w:color w:val="58595B"/>
                      <w:spacing w:val="-12"/>
                    </w:rPr>
                    <w:t> </w:t>
                  </w:r>
                  <w:r>
                    <w:rPr>
                      <w:color w:val="58595B"/>
                    </w:rPr>
                    <w:t>public</w:t>
                  </w:r>
                  <w:r>
                    <w:rPr>
                      <w:color w:val="58595B"/>
                      <w:spacing w:val="-12"/>
                    </w:rPr>
                    <w:t> </w:t>
                  </w:r>
                  <w:r>
                    <w:rPr>
                      <w:color w:val="58595B"/>
                    </w:rPr>
                    <w:t>health</w:t>
                  </w:r>
                  <w:r>
                    <w:rPr>
                      <w:color w:val="58595B"/>
                      <w:spacing w:val="-12"/>
                    </w:rPr>
                    <w:t> </w:t>
                  </w:r>
                  <w:r>
                    <w:rPr>
                      <w:color w:val="58595B"/>
                    </w:rPr>
                    <w:t>from</w:t>
                  </w:r>
                  <w:r>
                    <w:rPr>
                      <w:color w:val="58595B"/>
                      <w:spacing w:val="-12"/>
                    </w:rPr>
                    <w:t> </w:t>
                  </w:r>
                  <w:r>
                    <w:rPr>
                      <w:color w:val="58595B"/>
                    </w:rPr>
                    <w:t>pollution</w:t>
                  </w:r>
                  <w:r>
                    <w:rPr>
                      <w:color w:val="58595B"/>
                      <w:spacing w:val="-12"/>
                    </w:rPr>
                    <w:t> </w:t>
                  </w:r>
                  <w:r>
                    <w:rPr>
                      <w:color w:val="58595B"/>
                    </w:rPr>
                    <w:t>and</w:t>
                  </w:r>
                  <w:r>
                    <w:rPr>
                      <w:color w:val="58595B"/>
                      <w:spacing w:val="-12"/>
                    </w:rPr>
                    <w:t> </w:t>
                  </w:r>
                  <w:r>
                    <w:rPr>
                      <w:color w:val="58595B"/>
                      <w:spacing w:val="-3"/>
                    </w:rPr>
                    <w:t>waste.</w:t>
                  </w:r>
                </w:p>
              </w:txbxContent>
            </v:textbox>
            <w10:wrap type="none"/>
          </v:shape>
        </w:pict>
      </w:r>
      <w:r>
        <w:rPr/>
        <w:pict>
          <v:shape style="position:absolute;margin-left:69.865097pt;margin-top:453.041046pt;width:433.8pt;height:73.3pt;mso-position-horizontal-relative:page;mso-position-vertical-relative:page;z-index:-194176" type="#_x0000_t202" filled="false" stroked="false">
            <v:textbox inset="0,0,0,0">
              <w:txbxContent>
                <w:p>
                  <w:pPr>
                    <w:spacing w:line="265" w:lineRule="exact" w:before="0"/>
                    <w:ind w:left="20" w:right="0" w:firstLine="0"/>
                    <w:jc w:val="left"/>
                    <w:rPr>
                      <w:sz w:val="24"/>
                    </w:rPr>
                  </w:pPr>
                  <w:r>
                    <w:rPr>
                      <w:color w:val="0095A7"/>
                      <w:sz w:val="24"/>
                    </w:rPr>
                    <w:t>6.3  Enhancing EPA’s scientific capabilities</w:t>
                  </w:r>
                </w:p>
                <w:p>
                  <w:pPr>
                    <w:pStyle w:val="BodyText"/>
                    <w:spacing w:line="280" w:lineRule="auto" w:before="145"/>
                    <w:rPr>
                      <w:sz w:val="11"/>
                    </w:rPr>
                  </w:pPr>
                  <w:r>
                    <w:rPr>
                      <w:color w:val="58595B"/>
                    </w:rPr>
                    <w:t>Recent EPA reforms have led to a greater focus on data analysis, synthesis and translation. The recently created Applied Science Group brings together the EPA’s scientists, engineers, analysts, social scientists and technicians.</w:t>
                  </w:r>
                  <w:r>
                    <w:rPr>
                      <w:color w:val="58595B"/>
                      <w:position w:val="7"/>
                      <w:sz w:val="11"/>
                    </w:rPr>
                    <w:t>5 </w:t>
                  </w:r>
                  <w:r>
                    <w:rPr>
                      <w:color w:val="58595B"/>
                    </w:rPr>
                    <w:t>It has also improved its environmental monitoring and science communication capabilities, for example through its Citizen Science Program.</w:t>
                  </w:r>
                  <w:r>
                    <w:rPr>
                      <w:color w:val="58595B"/>
                      <w:position w:val="7"/>
                      <w:sz w:val="11"/>
                    </w:rPr>
                    <w:t>6</w:t>
                  </w:r>
                </w:p>
              </w:txbxContent>
            </v:textbox>
            <w10:wrap type="none"/>
          </v:shape>
        </w:pict>
      </w:r>
      <w:r>
        <w:rPr/>
        <w:pict>
          <v:shape style="position:absolute;margin-left:69.866096pt;margin-top:536.334839pt;width:398.7pt;height:25.5pt;mso-position-horizontal-relative:page;mso-position-vertical-relative:page;z-index:-194152" type="#_x0000_t202" filled="false" stroked="false">
            <v:textbox inset="0,0,0,0">
              <w:txbxContent>
                <w:p>
                  <w:pPr>
                    <w:pStyle w:val="BodyText"/>
                    <w:spacing w:line="280" w:lineRule="auto"/>
                    <w:ind w:right="-4"/>
                  </w:pPr>
                  <w:r>
                    <w:rPr>
                      <w:color w:val="58595B"/>
                    </w:rPr>
                    <w:t>However, the EPA recognises it still has capability gaps in key pollution and waste issues, especially waste, chemicals, major industries, groundwater, noise and odour.</w:t>
                  </w:r>
                </w:p>
              </w:txbxContent>
            </v:textbox>
            <w10:wrap type="none"/>
          </v:shape>
        </w:pict>
      </w:r>
      <w:r>
        <w:rPr/>
        <w:pict>
          <v:shape style="position:absolute;margin-left:69.866096pt;margin-top:571.834839pt;width:397.8pt;height:25.5pt;mso-position-horizontal-relative:page;mso-position-vertical-relative:page;z-index:-194128" type="#_x0000_t202" filled="false" stroked="false">
            <v:textbox inset="0,0,0,0">
              <w:txbxContent>
                <w:p>
                  <w:pPr>
                    <w:pStyle w:val="BodyText"/>
                    <w:spacing w:line="280" w:lineRule="auto"/>
                  </w:pPr>
                  <w:r>
                    <w:rPr>
                      <w:color w:val="58595B"/>
                    </w:rPr>
                    <w:t>The EPA needs sufficient expertise at a senior level to perform its advisory functions with authority and to be influential within government.</w:t>
                  </w:r>
                </w:p>
              </w:txbxContent>
            </v:textbox>
            <w10:wrap type="none"/>
          </v:shape>
        </w:pict>
      </w:r>
      <w:r>
        <w:rPr/>
        <w:pict>
          <v:shape style="position:absolute;margin-left:69.866096pt;margin-top:607.334839pt;width:427.85pt;height:139.2pt;mso-position-horizontal-relative:page;mso-position-vertical-relative:page;z-index:-194104" type="#_x0000_t202" filled="false" stroked="false">
            <v:textbox inset="0,0,0,0">
              <w:txbxContent>
                <w:p>
                  <w:pPr>
                    <w:pStyle w:val="BodyText"/>
                    <w:spacing w:line="280" w:lineRule="auto"/>
                    <w:ind w:right="85"/>
                    <w:jc w:val="both"/>
                  </w:pPr>
                  <w:r>
                    <w:rPr>
                      <w:color w:val="58595B"/>
                    </w:rPr>
                    <w:t>To address current gaps and to respond to future demands – and to be the more proactive and preventative regulator of the future that we envisage – the EPA needs strengthened capabilities in the following areas:</w:t>
                  </w:r>
                </w:p>
                <w:p>
                  <w:pPr>
                    <w:pStyle w:val="ListParagraph"/>
                    <w:numPr>
                      <w:ilvl w:val="0"/>
                      <w:numId w:val="40"/>
                    </w:numPr>
                    <w:tabs>
                      <w:tab w:pos="190" w:val="left" w:leader="none"/>
                    </w:tabs>
                    <w:spacing w:line="280" w:lineRule="auto" w:before="115" w:after="0"/>
                    <w:ind w:left="190" w:right="47" w:hanging="170"/>
                    <w:jc w:val="left"/>
                    <w:rPr>
                      <w:sz w:val="20"/>
                    </w:rPr>
                  </w:pPr>
                  <w:r>
                    <w:rPr>
                      <w:b/>
                      <w:color w:val="58595B"/>
                      <w:sz w:val="20"/>
                    </w:rPr>
                    <w:t>Science to inform operational decisions and regulatory design and review </w:t>
                  </w:r>
                  <w:r>
                    <w:rPr>
                      <w:color w:val="58595B"/>
                      <w:sz w:val="20"/>
                    </w:rPr>
                    <w:t>– Regulatory decisions must be based on relevant information about the level of harm and risk,</w:t>
                  </w:r>
                  <w:r>
                    <w:rPr>
                      <w:color w:val="58595B"/>
                      <w:spacing w:val="-2"/>
                      <w:sz w:val="20"/>
                    </w:rPr>
                    <w:t> </w:t>
                  </w:r>
                  <w:r>
                    <w:rPr>
                      <w:color w:val="58595B"/>
                      <w:sz w:val="20"/>
                    </w:rPr>
                    <w:t>and</w:t>
                  </w:r>
                </w:p>
                <w:p>
                  <w:pPr>
                    <w:pStyle w:val="BodyText"/>
                    <w:spacing w:line="280" w:lineRule="auto" w:before="2"/>
                    <w:ind w:left="189"/>
                    <w:rPr>
                      <w:sz w:val="11"/>
                    </w:rPr>
                  </w:pPr>
                  <w:r>
                    <w:rPr>
                      <w:color w:val="58595B"/>
                    </w:rPr>
                    <w:t>a systematic analysis of the evidence. As part of this, the EPA needs to understand the quality and completeness of evidence and any potential biases.</w:t>
                  </w:r>
                  <w:r>
                    <w:rPr>
                      <w:color w:val="58595B"/>
                      <w:position w:val="7"/>
                      <w:sz w:val="11"/>
                    </w:rPr>
                    <w:t>7 </w:t>
                  </w:r>
                  <w:r>
                    <w:rPr>
                      <w:color w:val="58595B"/>
                    </w:rPr>
                    <w:t>Science-based regulatory decisions require ‘… a contemporary understanding of science, the identification and analysis of issues, the use of logic, and the documentation of risk assessment and risk management advice and decisions.’</w:t>
                  </w:r>
                  <w:r>
                    <w:rPr>
                      <w:color w:val="58595B"/>
                      <w:position w:val="7"/>
                      <w:sz w:val="11"/>
                    </w:rPr>
                    <w:t>8</w:t>
                  </w:r>
                </w:p>
              </w:txbxContent>
            </v:textbox>
            <w10:wrap type="none"/>
          </v:shape>
        </w:pict>
      </w:r>
      <w:r>
        <w:rPr/>
        <w:pict>
          <v:shape style="position:absolute;margin-left:.0pt;margin-top:44.090015pt;width:60.3pt;height:5.25pt;mso-position-horizontal-relative:page;mso-position-vertical-relative:page;z-index:-19408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9405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94032" from="534.996094pt,45.840015pt" to="595.276001pt,45.840015pt" stroked="true" strokeweight="7pt" strokecolor="#0095a7">
            <w10:wrap type="none"/>
          </v:line>
        </w:pict>
      </w:r>
      <w:r>
        <w:rPr/>
        <w:pict>
          <v:rect style="position:absolute;margin-left:90.709pt;margin-top:269.840027pt;width:432.701pt;height:170.627pt;mso-position-horizontal-relative:page;mso-position-vertical-relative:page;z-index:-194008" filled="true" fillcolor="#eaf2f3" stroked="false">
            <v:fill type="solid"/>
            <w10:wrap type="none"/>
          </v:rect>
        </w:pict>
      </w:r>
      <w:r>
        <w:rPr/>
        <w:pict>
          <v:shape style="position:absolute;margin-left:280.512512pt;margin-top:40.902756pt;width:244.85pt;height:9.5pt;mso-position-horizontal-relative:page;mso-position-vertical-relative:page;z-index:-193984" type="#_x0000_t202" filled="false" stroked="false">
            <v:textbox inset="0,0,0,0">
              <w:txbxContent>
                <w:p>
                  <w:pPr>
                    <w:tabs>
                      <w:tab w:pos="4642" w:val="left" w:leader="none"/>
                    </w:tabs>
                    <w:spacing w:before="1"/>
                    <w:ind w:left="20" w:right="0" w:firstLine="0"/>
                    <w:jc w:val="left"/>
                    <w:rPr>
                      <w:sz w:val="15"/>
                    </w:rPr>
                  </w:pPr>
                  <w:r>
                    <w:rPr>
                      <w:color w:val="58595B"/>
                      <w:spacing w:val="3"/>
                      <w:sz w:val="15"/>
                    </w:rPr>
                    <w:t>CHAPTER </w:t>
                  </w:r>
                  <w:r>
                    <w:rPr>
                      <w:color w:val="58595B"/>
                      <w:sz w:val="15"/>
                    </w:rPr>
                    <w:t>6    </w:t>
                  </w:r>
                  <w:r>
                    <w:rPr>
                      <w:color w:val="58595B"/>
                      <w:spacing w:val="3"/>
                      <w:sz w:val="15"/>
                    </w:rPr>
                    <w:t>THE </w:t>
                  </w:r>
                  <w:r>
                    <w:rPr>
                      <w:color w:val="58595B"/>
                      <w:sz w:val="15"/>
                    </w:rPr>
                    <w:t>EPA ASA</w:t>
                  </w:r>
                  <w:r>
                    <w:rPr>
                      <w:color w:val="58595B"/>
                      <w:spacing w:val="-1"/>
                      <w:sz w:val="15"/>
                    </w:rPr>
                    <w:t> </w:t>
                  </w:r>
                  <w:r>
                    <w:rPr>
                      <w:color w:val="58595B"/>
                      <w:spacing w:val="3"/>
                      <w:sz w:val="15"/>
                    </w:rPr>
                    <w:t>SCIENCE-BASED</w:t>
                  </w:r>
                  <w:r>
                    <w:rPr>
                      <w:color w:val="58595B"/>
                      <w:spacing w:val="4"/>
                      <w:sz w:val="15"/>
                    </w:rPr>
                    <w:t> </w:t>
                  </w:r>
                  <w:r>
                    <w:rPr>
                      <w:color w:val="58595B"/>
                      <w:spacing w:val="2"/>
                      <w:sz w:val="15"/>
                    </w:rPr>
                    <w:t>REGULATOR</w:t>
                    <w:tab/>
                  </w:r>
                  <w:r>
                    <w:rPr>
                      <w:color w:val="58595B"/>
                      <w:spacing w:val="-6"/>
                      <w:sz w:val="15"/>
                    </w:rPr>
                    <w:t>113</w:t>
                  </w:r>
                </w:p>
              </w:txbxContent>
            </v:textbox>
            <w10:wrap type="none"/>
          </v:shape>
        </w:pict>
      </w:r>
      <w:r>
        <w:rPr/>
        <w:pict>
          <v:shape style="position:absolute;margin-left:89.709602pt;margin-top:105.893967pt;width:415.85pt;height:93pt;mso-position-horizontal-relative:page;mso-position-vertical-relative:page;z-index:-193960" type="#_x0000_t202" filled="false" stroked="false">
            <v:textbox inset="0,0,0,0">
              <w:txbxContent>
                <w:p>
                  <w:pPr>
                    <w:pStyle w:val="ListParagraph"/>
                    <w:numPr>
                      <w:ilvl w:val="0"/>
                      <w:numId w:val="41"/>
                    </w:numPr>
                    <w:tabs>
                      <w:tab w:pos="190" w:val="left" w:leader="none"/>
                    </w:tabs>
                    <w:spacing w:line="280" w:lineRule="auto" w:before="0" w:after="0"/>
                    <w:ind w:left="190" w:right="17" w:hanging="170"/>
                    <w:jc w:val="left"/>
                    <w:rPr>
                      <w:sz w:val="20"/>
                    </w:rPr>
                  </w:pPr>
                  <w:r>
                    <w:rPr>
                      <w:b/>
                      <w:color w:val="58595B"/>
                      <w:sz w:val="20"/>
                    </w:rPr>
                    <w:t>Science for surveillance and risk scanning </w:t>
                  </w:r>
                  <w:r>
                    <w:rPr>
                      <w:color w:val="58595B"/>
                      <w:sz w:val="20"/>
                    </w:rPr>
                    <w:t>– The recently established Advisory and Intelligence Unit (part of the Applied Sciences Group) is intended to improve the </w:t>
                  </w:r>
                  <w:r>
                    <w:rPr>
                      <w:color w:val="58595B"/>
                      <w:spacing w:val="-7"/>
                      <w:sz w:val="20"/>
                    </w:rPr>
                    <w:t>EPA’s </w:t>
                  </w:r>
                  <w:r>
                    <w:rPr>
                      <w:color w:val="58595B"/>
                      <w:sz w:val="20"/>
                    </w:rPr>
                    <w:t>understanding of the industrial and regulatory landscape, environmental and community impacts, and how best to intervene and make improvements. The unit operates at strategic, operational and tactical levels. This activity will be more important in the future, as the </w:t>
                  </w:r>
                  <w:r>
                    <w:rPr>
                      <w:color w:val="58595B"/>
                      <w:spacing w:val="-4"/>
                      <w:sz w:val="20"/>
                    </w:rPr>
                    <w:t>EPA </w:t>
                  </w:r>
                  <w:r>
                    <w:rPr>
                      <w:color w:val="58595B"/>
                      <w:sz w:val="20"/>
                    </w:rPr>
                    <w:t>seeks to be more preventative and influential, in particular to support targeted compliance activity for the general duty (see chapter</w:t>
                  </w:r>
                  <w:r>
                    <w:rPr>
                      <w:color w:val="58595B"/>
                      <w:spacing w:val="3"/>
                      <w:sz w:val="20"/>
                    </w:rPr>
                    <w:t> </w:t>
                  </w:r>
                  <w:r>
                    <w:rPr>
                      <w:color w:val="58595B"/>
                      <w:spacing w:val="-5"/>
                      <w:sz w:val="20"/>
                    </w:rPr>
                    <w:t>12).</w:t>
                  </w:r>
                </w:p>
              </w:txbxContent>
            </v:textbox>
            <w10:wrap type="none"/>
          </v:shape>
        </w:pict>
      </w:r>
      <w:r>
        <w:rPr/>
        <w:pict>
          <v:shape style="position:absolute;margin-left:89.709602pt;margin-top:208.893967pt;width:424.45pt;height:52.5pt;mso-position-horizontal-relative:page;mso-position-vertical-relative:page;z-index:-193936" type="#_x0000_t202" filled="false" stroked="false">
            <v:textbox inset="0,0,0,0">
              <w:txbxContent>
                <w:p>
                  <w:pPr>
                    <w:pStyle w:val="BodyText"/>
                    <w:spacing w:line="280" w:lineRule="auto"/>
                    <w:ind w:right="10"/>
                  </w:pPr>
                  <w:r>
                    <w:rPr>
                      <w:color w:val="58595B"/>
                    </w:rPr>
                    <w:t>Box 6.1 demonstrates the potential of this future scanning work. In the future, the EPA will need to expand its capabilities relating to predicting and avoiding pollution, modelling and forecasting business needs and horizon scanning. It will also need improved hardware capabilities in data gathering and analytics technologies (discussed below and in chapter 20).</w:t>
                  </w:r>
                </w:p>
              </w:txbxContent>
            </v:textbox>
            <w10:wrap type="none"/>
          </v:shape>
        </w:pict>
      </w:r>
      <w:r>
        <w:rPr/>
        <w:pict>
          <v:shape style="position:absolute;margin-left:89.708603pt;margin-top:461.667725pt;width:428.8pt;height:86.8pt;mso-position-horizontal-relative:page;mso-position-vertical-relative:page;z-index:-193912" type="#_x0000_t202" filled="false" stroked="false">
            <v:textbox inset="0,0,0,0">
              <w:txbxContent>
                <w:p>
                  <w:pPr>
                    <w:spacing w:line="265" w:lineRule="exact" w:before="0"/>
                    <w:ind w:left="20" w:right="0" w:firstLine="0"/>
                    <w:jc w:val="left"/>
                    <w:rPr>
                      <w:sz w:val="24"/>
                    </w:rPr>
                  </w:pPr>
                  <w:r>
                    <w:rPr>
                      <w:color w:val="0095A7"/>
                      <w:sz w:val="24"/>
                    </w:rPr>
                    <w:t>6.4  Leveraging external expertise</w:t>
                  </w:r>
                </w:p>
                <w:p>
                  <w:pPr>
                    <w:pStyle w:val="BodyText"/>
                    <w:spacing w:line="280" w:lineRule="auto" w:before="145"/>
                  </w:pPr>
                  <w:r>
                    <w:rPr>
                      <w:color w:val="58595B"/>
                    </w:rPr>
                    <w:t>The EPA needs internal expertise for its regulatory decision making and to support its advisory and influencing roles. But no organisation can be an expert on every relevant issue. And this will be increasingly so as the issues facing the EPA become more complex and numerous. Given this, the EPA will need to expand its links with independent experts, universities and research facilities, as well as with regulators in Victoria and other jurisdictions.</w:t>
                  </w:r>
                </w:p>
              </w:txbxContent>
            </v:textbox>
            <w10:wrap type="none"/>
          </v:shape>
        </w:pict>
      </w:r>
      <w:r>
        <w:rPr/>
        <w:pict>
          <v:shape style="position:absolute;margin-left:89.698601pt;margin-top:558.457642pt;width:418.55pt;height:137.050pt;mso-position-horizontal-relative:page;mso-position-vertical-relative:page;z-index:-193888" type="#_x0000_t202" filled="false" stroked="false">
            <v:textbox inset="0,0,0,0">
              <w:txbxContent>
                <w:p>
                  <w:pPr>
                    <w:pStyle w:val="BodyText"/>
                    <w:spacing w:line="224" w:lineRule="exact"/>
                  </w:pPr>
                  <w:r>
                    <w:rPr>
                      <w:color w:val="58595B"/>
                    </w:rPr>
                    <w:t>This approach builds on current EPA practices, such as:</w:t>
                  </w:r>
                </w:p>
                <w:p>
                  <w:pPr>
                    <w:pStyle w:val="ListParagraph"/>
                    <w:numPr>
                      <w:ilvl w:val="0"/>
                      <w:numId w:val="42"/>
                    </w:numPr>
                    <w:tabs>
                      <w:tab w:pos="191" w:val="left" w:leader="none"/>
                    </w:tabs>
                    <w:spacing w:line="280" w:lineRule="auto" w:before="153" w:after="0"/>
                    <w:ind w:left="190" w:right="17" w:hanging="170"/>
                    <w:jc w:val="left"/>
                    <w:rPr>
                      <w:sz w:val="20"/>
                    </w:rPr>
                  </w:pPr>
                  <w:r>
                    <w:rPr>
                      <w:color w:val="58595B"/>
                      <w:sz w:val="20"/>
                    </w:rPr>
                    <w:t>working with other </w:t>
                  </w:r>
                  <w:r>
                    <w:rPr>
                      <w:color w:val="58595B"/>
                      <w:spacing w:val="-3"/>
                      <w:sz w:val="20"/>
                    </w:rPr>
                    <w:t>EPAs </w:t>
                  </w:r>
                  <w:r>
                    <w:rPr>
                      <w:color w:val="58595B"/>
                      <w:sz w:val="20"/>
                    </w:rPr>
                    <w:t>across Australia to coordinate specialisation in particular fields and sharing this expertise, for example for standard</w:t>
                  </w:r>
                  <w:r>
                    <w:rPr>
                      <w:color w:val="58595B"/>
                      <w:spacing w:val="8"/>
                      <w:sz w:val="20"/>
                    </w:rPr>
                    <w:t> </w:t>
                  </w:r>
                  <w:r>
                    <w:rPr>
                      <w:color w:val="58595B"/>
                      <w:sz w:val="20"/>
                    </w:rPr>
                    <w:t>setting</w:t>
                  </w:r>
                </w:p>
                <w:p>
                  <w:pPr>
                    <w:pStyle w:val="ListParagraph"/>
                    <w:numPr>
                      <w:ilvl w:val="0"/>
                      <w:numId w:val="42"/>
                    </w:numPr>
                    <w:tabs>
                      <w:tab w:pos="190" w:val="left" w:leader="none"/>
                    </w:tabs>
                    <w:spacing w:line="280" w:lineRule="auto" w:before="115" w:after="0"/>
                    <w:ind w:left="190" w:right="259" w:hanging="170"/>
                    <w:jc w:val="left"/>
                    <w:rPr>
                      <w:sz w:val="20"/>
                    </w:rPr>
                  </w:pPr>
                  <w:r>
                    <w:rPr>
                      <w:color w:val="58595B"/>
                      <w:sz w:val="20"/>
                    </w:rPr>
                    <w:t>developing formal relationships with organisations for specific research areas, such as the Cooperative Research Centre for Contamination Assessment and Remediation of</w:t>
                  </w:r>
                  <w:r>
                    <w:rPr>
                      <w:color w:val="58595B"/>
                      <w:spacing w:val="13"/>
                      <w:sz w:val="20"/>
                    </w:rPr>
                    <w:t> </w:t>
                  </w:r>
                  <w:r>
                    <w:rPr>
                      <w:color w:val="58595B"/>
                      <w:sz w:val="20"/>
                    </w:rPr>
                    <w:t>the</w:t>
                  </w:r>
                </w:p>
                <w:p>
                  <w:pPr>
                    <w:pStyle w:val="BodyText"/>
                    <w:spacing w:line="280" w:lineRule="auto" w:before="2"/>
                    <w:ind w:left="190"/>
                    <w:rPr>
                      <w:sz w:val="11"/>
                    </w:rPr>
                  </w:pPr>
                  <w:r>
                    <w:rPr>
                      <w:color w:val="58595B"/>
                    </w:rPr>
                    <w:t>Environment, the social research group BehaviourWorks, the cooperative green chemistry partnership Victorian Centre for Sustainable Chemical Manufacturing, and the Centre for Aquatic Pollution, Identification and Management</w:t>
                  </w:r>
                  <w:r>
                    <w:rPr>
                      <w:color w:val="58595B"/>
                      <w:position w:val="7"/>
                      <w:sz w:val="11"/>
                    </w:rPr>
                    <w:t>11</w:t>
                  </w:r>
                </w:p>
                <w:p>
                  <w:pPr>
                    <w:pStyle w:val="ListParagraph"/>
                    <w:numPr>
                      <w:ilvl w:val="0"/>
                      <w:numId w:val="42"/>
                    </w:numPr>
                    <w:tabs>
                      <w:tab w:pos="191" w:val="left" w:leader="none"/>
                    </w:tabs>
                    <w:spacing w:line="240" w:lineRule="auto" w:before="115" w:after="0"/>
                    <w:ind w:left="190" w:right="0" w:hanging="170"/>
                    <w:jc w:val="left"/>
                    <w:rPr>
                      <w:sz w:val="20"/>
                    </w:rPr>
                  </w:pPr>
                  <w:r>
                    <w:rPr>
                      <w:color w:val="58595B"/>
                      <w:sz w:val="20"/>
                    </w:rPr>
                    <w:t>sourcing international expertise where appropriate and as</w:t>
                  </w:r>
                  <w:r>
                    <w:rPr>
                      <w:color w:val="58595B"/>
                      <w:spacing w:val="11"/>
                      <w:sz w:val="20"/>
                    </w:rPr>
                    <w:t> </w:t>
                  </w:r>
                  <w:r>
                    <w:rPr>
                      <w:color w:val="58595B"/>
                      <w:sz w:val="20"/>
                    </w:rPr>
                    <w:t>needed.</w:t>
                  </w:r>
                </w:p>
              </w:txbxContent>
            </v:textbox>
            <w10:wrap type="none"/>
          </v:shape>
        </w:pict>
      </w:r>
      <w:r>
        <w:rPr/>
        <w:pict>
          <v:shape style="position:absolute;margin-left:89.706596pt;margin-top:705.469482pt;width:425.15pt;height:66.05pt;mso-position-horizontal-relative:page;mso-position-vertical-relative:page;z-index:-193864" type="#_x0000_t202" filled="false" stroked="false">
            <v:textbox inset="0,0,0,0">
              <w:txbxContent>
                <w:p>
                  <w:pPr>
                    <w:pStyle w:val="BodyText"/>
                    <w:spacing w:line="280" w:lineRule="auto"/>
                  </w:pPr>
                  <w:r>
                    <w:rPr>
                      <w:color w:val="58595B"/>
                    </w:rPr>
                    <w:t>According to the EPA, recent partnerships have delivered high impact benefits in the short term (to all partners) and returns on financial investments. They also provided development opportunities for staff, including establishing networks with leading experts.</w:t>
                  </w:r>
                  <w:r>
                    <w:rPr>
                      <w:color w:val="58595B"/>
                      <w:position w:val="7"/>
                      <w:sz w:val="11"/>
                    </w:rPr>
                    <w:t>12 </w:t>
                  </w:r>
                  <w:r>
                    <w:rPr>
                      <w:color w:val="58595B"/>
                    </w:rPr>
                    <w:t>Building on past successful projects, the EPA and its academic partners have identified broader strategic priorities, highlighting the potential for greater financial leverage and expanded opportunities.</w:t>
                  </w:r>
                </w:p>
              </w:txbxContent>
            </v:textbox>
            <w10:wrap type="none"/>
          </v:shape>
        </w:pict>
      </w:r>
      <w:r>
        <w:rPr/>
        <w:pict>
          <v:shape style="position:absolute;margin-left:90.709pt;margin-top:269.840027pt;width:432.75pt;height:170.65pt;mso-position-horizontal-relative:page;mso-position-vertical-relative:page;z-index:-193840" type="#_x0000_t202" filled="false" stroked="false">
            <v:textbox inset="0,0,0,0">
              <w:txbxContent>
                <w:p>
                  <w:pPr>
                    <w:spacing w:before="128"/>
                    <w:ind w:left="170" w:right="482" w:firstLine="0"/>
                    <w:jc w:val="left"/>
                    <w:rPr>
                      <w:sz w:val="11"/>
                    </w:rPr>
                  </w:pPr>
                  <w:r>
                    <w:rPr>
                      <w:b/>
                      <w:color w:val="0095A7"/>
                      <w:sz w:val="20"/>
                    </w:rPr>
                    <w:t>BOX 6.1  </w:t>
                  </w:r>
                  <w:r>
                    <w:rPr>
                      <w:color w:val="0095A7"/>
                      <w:sz w:val="20"/>
                    </w:rPr>
                    <w:t>FUTURE AIR QUALITY REPORT</w:t>
                  </w:r>
                  <w:r>
                    <w:rPr>
                      <w:color w:val="0095A7"/>
                      <w:position w:val="7"/>
                      <w:sz w:val="11"/>
                    </w:rPr>
                    <w:t>9</w:t>
                  </w:r>
                </w:p>
                <w:p>
                  <w:pPr>
                    <w:pStyle w:val="BodyText"/>
                    <w:spacing w:line="280" w:lineRule="auto" w:before="96"/>
                    <w:ind w:left="170" w:right="161"/>
                  </w:pPr>
                  <w:r>
                    <w:rPr>
                      <w:color w:val="58595B"/>
                    </w:rPr>
                    <w:t>The EPA’s Future air quality report is an example of how the EPA, cooperating with other scientific institutions, uses science and analytics to forecast longer term environmental risks and inform preventative measures. The report focuses on likely trends up to 2030. It analyses factors that affect air quality, how they will evolve over time, and their cumulative effects on air quality. Traffic volume is expected to increase, for example, but improved vehicle technology means exhaust pollution is likely to fall.</w:t>
                  </w:r>
                </w:p>
                <w:p>
                  <w:pPr>
                    <w:pStyle w:val="BodyText"/>
                    <w:spacing w:line="280" w:lineRule="auto" w:before="172"/>
                    <w:ind w:left="170" w:right="161"/>
                  </w:pPr>
                  <w:r>
                    <w:rPr>
                      <w:color w:val="58595B"/>
                    </w:rPr>
                    <w:t>The report combines expertise in climate science, emissions estimation, atmospheric modelling and population projections, as well as an advanced computer model for predicting trends.</w:t>
                  </w:r>
                  <w:r>
                    <w:rPr>
                      <w:color w:val="58595B"/>
                      <w:position w:val="7"/>
                      <w:sz w:val="11"/>
                    </w:rPr>
                    <w:t>10 </w:t>
                  </w:r>
                  <w:r>
                    <w:rPr>
                      <w:color w:val="58595B"/>
                    </w:rPr>
                    <w:t>The EPA will use the findings to inform future state environment protection policies and the National Plan for Clean Air.</w:t>
                  </w:r>
                </w:p>
              </w:txbxContent>
            </v:textbox>
            <w10:wrap type="none"/>
          </v:shape>
        </w:pict>
      </w:r>
      <w:r>
        <w:rPr/>
        <w:pict>
          <v:shape style="position:absolute;margin-left:534.996094pt;margin-top:44.090015pt;width:60.3pt;height:5.25pt;mso-position-horizontal-relative:page;mso-position-vertical-relative:page;z-index:-19381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3792"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93768" from=".0pt,45.840015pt" to="60.2791pt,45.840015pt" stroked="true" strokeweight="7pt" strokecolor="#0095a7">
            <w10:wrap type="none"/>
          </v:line>
        </w:pict>
      </w:r>
      <w:r>
        <w:rPr/>
        <w:pict>
          <v:shape style="position:absolute;margin-left:69.866096pt;margin-top:40.902756pt;width:13.75pt;height:9.5pt;mso-position-horizontal-relative:page;mso-position-vertical-relative:page;z-index:-193744" type="#_x0000_t202" filled="false" stroked="false">
            <v:textbox inset="0,0,0,0">
              <w:txbxContent>
                <w:p>
                  <w:pPr>
                    <w:spacing w:before="1"/>
                    <w:ind w:left="20" w:right="-16" w:firstLine="0"/>
                    <w:jc w:val="left"/>
                    <w:rPr>
                      <w:sz w:val="15"/>
                    </w:rPr>
                  </w:pPr>
                  <w:r>
                    <w:rPr>
                      <w:color w:val="58595B"/>
                      <w:sz w:val="15"/>
                    </w:rPr>
                    <w:t>114</w:t>
                  </w:r>
                </w:p>
              </w:txbxContent>
            </v:textbox>
            <w10:wrap type="none"/>
          </v:shape>
        </w:pict>
      </w:r>
      <w:r>
        <w:rPr/>
        <w:pict>
          <v:shape style="position:absolute;margin-left:95.377899pt;margin-top:40.902756pt;width:147.75pt;height:9.5pt;mso-position-horizontal-relative:page;mso-position-vertical-relative:page;z-index:-193720"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23.4pt;height:39pt;mso-position-horizontal-relative:page;mso-position-vertical-relative:page;z-index:-193696" type="#_x0000_t202" filled="false" stroked="false">
            <v:textbox inset="0,0,0,0">
              <w:txbxContent>
                <w:p>
                  <w:pPr>
                    <w:pStyle w:val="BodyText"/>
                    <w:spacing w:line="224" w:lineRule="exact"/>
                  </w:pPr>
                  <w:r>
                    <w:rPr>
                      <w:color w:val="58595B"/>
                    </w:rPr>
                    <w:t>The EPA could also use external peer review or independent advice from external   experts</w:t>
                  </w:r>
                </w:p>
                <w:p>
                  <w:pPr>
                    <w:pStyle w:val="BodyText"/>
                    <w:spacing w:line="280" w:lineRule="auto" w:before="40"/>
                  </w:pPr>
                  <w:r>
                    <w:rPr>
                      <w:color w:val="58595B"/>
                    </w:rPr>
                    <w:t>or organisations. This approach would be particularly helpful to provide additional transparency and confidence for public risk communications (including health warnings) on complex issues.</w:t>
                  </w:r>
                </w:p>
              </w:txbxContent>
            </v:textbox>
            <w10:wrap type="none"/>
          </v:shape>
        </w:pict>
      </w:r>
      <w:r>
        <w:rPr/>
        <w:pict>
          <v:shape style="position:absolute;margin-left:69.866096pt;margin-top:154.893967pt;width:404.75pt;height:25.5pt;mso-position-horizontal-relative:page;mso-position-vertical-relative:page;z-index:-193672" type="#_x0000_t202" filled="false" stroked="false">
            <v:textbox inset="0,0,0,0">
              <w:txbxContent>
                <w:p>
                  <w:pPr>
                    <w:pStyle w:val="BodyText"/>
                    <w:spacing w:line="280" w:lineRule="auto"/>
                  </w:pPr>
                  <w:r>
                    <w:rPr>
                      <w:color w:val="58595B"/>
                    </w:rPr>
                    <w:t>Other organisations – and not just environmental regulators – are also an important source of expertise.</w:t>
                  </w:r>
                </w:p>
              </w:txbxContent>
            </v:textbox>
            <w10:wrap type="none"/>
          </v:shape>
        </w:pict>
      </w:r>
      <w:r>
        <w:rPr/>
        <w:pict>
          <v:shape style="position:absolute;margin-left:98.216103pt;margin-top:190.393967pt;width:378.25pt;height:66pt;mso-position-horizontal-relative:page;mso-position-vertical-relative:page;z-index:-193648" type="#_x0000_t202" filled="false" stroked="false">
            <v:textbox inset="0,0,0,0">
              <w:txbxContent>
                <w:p>
                  <w:pPr>
                    <w:spacing w:line="280" w:lineRule="auto" w:before="0"/>
                    <w:ind w:left="20" w:right="0" w:firstLine="0"/>
                    <w:jc w:val="left"/>
                    <w:rPr>
                      <w:i/>
                      <w:sz w:val="20"/>
                    </w:rPr>
                  </w:pPr>
                  <w:r>
                    <w:rPr>
                      <w:i/>
                      <w:color w:val="231F20"/>
                      <w:sz w:val="20"/>
                    </w:rPr>
                    <w:t>The</w:t>
                  </w:r>
                  <w:r>
                    <w:rPr>
                      <w:i/>
                      <w:color w:val="231F20"/>
                      <w:spacing w:val="-10"/>
                      <w:sz w:val="20"/>
                    </w:rPr>
                    <w:t> </w:t>
                  </w:r>
                  <w:r>
                    <w:rPr>
                      <w:i/>
                      <w:color w:val="231F20"/>
                      <w:sz w:val="20"/>
                    </w:rPr>
                    <w:t>Discussion</w:t>
                  </w:r>
                  <w:r>
                    <w:rPr>
                      <w:i/>
                      <w:color w:val="231F20"/>
                      <w:spacing w:val="-10"/>
                      <w:sz w:val="20"/>
                    </w:rPr>
                    <w:t> </w:t>
                  </w:r>
                  <w:r>
                    <w:rPr>
                      <w:i/>
                      <w:color w:val="231F20"/>
                      <w:sz w:val="20"/>
                    </w:rPr>
                    <w:t>Paper</w:t>
                  </w:r>
                  <w:r>
                    <w:rPr>
                      <w:i/>
                      <w:color w:val="231F20"/>
                      <w:spacing w:val="-10"/>
                      <w:sz w:val="20"/>
                    </w:rPr>
                    <w:t> </w:t>
                  </w:r>
                  <w:r>
                    <w:rPr>
                      <w:i/>
                      <w:color w:val="231F20"/>
                      <w:sz w:val="20"/>
                    </w:rPr>
                    <w:t>recognises</w:t>
                  </w:r>
                  <w:r>
                    <w:rPr>
                      <w:i/>
                      <w:color w:val="231F20"/>
                      <w:spacing w:val="-10"/>
                      <w:sz w:val="20"/>
                    </w:rPr>
                    <w:t> </w:t>
                  </w:r>
                  <w:r>
                    <w:rPr>
                      <w:i/>
                      <w:color w:val="231F20"/>
                      <w:sz w:val="20"/>
                    </w:rPr>
                    <w:t>the</w:t>
                  </w:r>
                  <w:r>
                    <w:rPr>
                      <w:i/>
                      <w:color w:val="231F20"/>
                      <w:spacing w:val="-10"/>
                      <w:sz w:val="20"/>
                    </w:rPr>
                    <w:t> </w:t>
                  </w:r>
                  <w:r>
                    <w:rPr>
                      <w:i/>
                      <w:color w:val="231F20"/>
                      <w:spacing w:val="-3"/>
                      <w:sz w:val="20"/>
                    </w:rPr>
                    <w:t>potential</w:t>
                  </w:r>
                  <w:r>
                    <w:rPr>
                      <w:i/>
                      <w:color w:val="231F20"/>
                      <w:spacing w:val="-10"/>
                      <w:sz w:val="20"/>
                    </w:rPr>
                    <w:t> </w:t>
                  </w:r>
                  <w:r>
                    <w:rPr>
                      <w:i/>
                      <w:color w:val="231F20"/>
                      <w:sz w:val="20"/>
                    </w:rPr>
                    <w:t>for</w:t>
                  </w:r>
                  <w:r>
                    <w:rPr>
                      <w:i/>
                      <w:color w:val="231F20"/>
                      <w:spacing w:val="-10"/>
                      <w:sz w:val="20"/>
                    </w:rPr>
                    <w:t> </w:t>
                  </w:r>
                  <w:r>
                    <w:rPr>
                      <w:i/>
                      <w:color w:val="231F20"/>
                      <w:spacing w:val="-6"/>
                      <w:sz w:val="20"/>
                    </w:rPr>
                    <w:t>EPA’s</w:t>
                  </w:r>
                  <w:r>
                    <w:rPr>
                      <w:i/>
                      <w:color w:val="231F20"/>
                      <w:spacing w:val="-10"/>
                      <w:sz w:val="20"/>
                    </w:rPr>
                    <w:t> </w:t>
                  </w:r>
                  <w:r>
                    <w:rPr>
                      <w:i/>
                      <w:color w:val="231F20"/>
                      <w:sz w:val="20"/>
                    </w:rPr>
                    <w:t>scientific</w:t>
                  </w:r>
                  <w:r>
                    <w:rPr>
                      <w:i/>
                      <w:color w:val="231F20"/>
                      <w:spacing w:val="-10"/>
                      <w:sz w:val="20"/>
                    </w:rPr>
                    <w:t> </w:t>
                  </w:r>
                  <w:r>
                    <w:rPr>
                      <w:i/>
                      <w:color w:val="231F20"/>
                      <w:sz w:val="20"/>
                    </w:rPr>
                    <w:t>capacity</w:t>
                  </w:r>
                  <w:r>
                    <w:rPr>
                      <w:i/>
                      <w:color w:val="231F20"/>
                      <w:spacing w:val="-10"/>
                      <w:sz w:val="20"/>
                    </w:rPr>
                    <w:t> </w:t>
                  </w:r>
                  <w:r>
                    <w:rPr>
                      <w:i/>
                      <w:color w:val="231F20"/>
                      <w:sz w:val="20"/>
                    </w:rPr>
                    <w:t>to</w:t>
                  </w:r>
                  <w:r>
                    <w:rPr>
                      <w:i/>
                      <w:color w:val="231F20"/>
                      <w:spacing w:val="-10"/>
                      <w:sz w:val="20"/>
                    </w:rPr>
                    <w:t> </w:t>
                  </w:r>
                  <w:r>
                    <w:rPr>
                      <w:i/>
                      <w:color w:val="231F20"/>
                      <w:sz w:val="20"/>
                    </w:rPr>
                    <w:t>be</w:t>
                  </w:r>
                  <w:r>
                    <w:rPr>
                      <w:i/>
                      <w:color w:val="231F20"/>
                      <w:spacing w:val="-10"/>
                      <w:sz w:val="20"/>
                    </w:rPr>
                    <w:t> </w:t>
                  </w:r>
                  <w:r>
                    <w:rPr>
                      <w:i/>
                      <w:color w:val="231F20"/>
                      <w:sz w:val="20"/>
                    </w:rPr>
                    <w:t>more </w:t>
                  </w:r>
                  <w:r>
                    <w:rPr>
                      <w:i/>
                      <w:color w:val="231F20"/>
                      <w:spacing w:val="-2"/>
                      <w:sz w:val="20"/>
                    </w:rPr>
                    <w:t>widely </w:t>
                  </w:r>
                  <w:r>
                    <w:rPr>
                      <w:i/>
                      <w:color w:val="231F20"/>
                      <w:sz w:val="20"/>
                    </w:rPr>
                    <w:t>utilised as a source of </w:t>
                  </w:r>
                  <w:r>
                    <w:rPr>
                      <w:i/>
                      <w:color w:val="231F20"/>
                      <w:spacing w:val="-2"/>
                      <w:sz w:val="20"/>
                    </w:rPr>
                    <w:t>authoritative </w:t>
                  </w:r>
                  <w:r>
                    <w:rPr>
                      <w:i/>
                      <w:color w:val="231F20"/>
                      <w:sz w:val="20"/>
                    </w:rPr>
                    <w:t>and </w:t>
                  </w:r>
                  <w:r>
                    <w:rPr>
                      <w:i/>
                      <w:color w:val="231F20"/>
                      <w:spacing w:val="-3"/>
                      <w:sz w:val="20"/>
                    </w:rPr>
                    <w:t>independent </w:t>
                  </w:r>
                  <w:r>
                    <w:rPr>
                      <w:i/>
                      <w:color w:val="231F20"/>
                      <w:sz w:val="20"/>
                    </w:rPr>
                    <w:t>advice. </w:t>
                  </w:r>
                  <w:r>
                    <w:rPr>
                      <w:i/>
                      <w:color w:val="231F20"/>
                      <w:spacing w:val="-3"/>
                      <w:sz w:val="20"/>
                    </w:rPr>
                    <w:t>We </w:t>
                  </w:r>
                  <w:r>
                    <w:rPr>
                      <w:i/>
                      <w:color w:val="231F20"/>
                      <w:sz w:val="20"/>
                    </w:rPr>
                    <w:t>note in this context</w:t>
                  </w:r>
                  <w:r>
                    <w:rPr>
                      <w:i/>
                      <w:color w:val="231F20"/>
                      <w:spacing w:val="-8"/>
                      <w:sz w:val="20"/>
                    </w:rPr>
                    <w:t> </w:t>
                  </w:r>
                  <w:r>
                    <w:rPr>
                      <w:i/>
                      <w:color w:val="231F20"/>
                      <w:sz w:val="20"/>
                    </w:rPr>
                    <w:t>that</w:t>
                  </w:r>
                  <w:r>
                    <w:rPr>
                      <w:i/>
                      <w:color w:val="231F20"/>
                      <w:spacing w:val="-8"/>
                      <w:sz w:val="20"/>
                    </w:rPr>
                    <w:t> </w:t>
                  </w:r>
                  <w:r>
                    <w:rPr>
                      <w:i/>
                      <w:color w:val="231F20"/>
                      <w:spacing w:val="-3"/>
                      <w:sz w:val="20"/>
                    </w:rPr>
                    <w:t>entities</w:t>
                  </w:r>
                  <w:r>
                    <w:rPr>
                      <w:i/>
                      <w:color w:val="231F20"/>
                      <w:spacing w:val="-8"/>
                      <w:sz w:val="20"/>
                    </w:rPr>
                    <w:t> </w:t>
                  </w:r>
                  <w:r>
                    <w:rPr>
                      <w:i/>
                      <w:color w:val="231F20"/>
                      <w:sz w:val="20"/>
                    </w:rPr>
                    <w:t>such</w:t>
                  </w:r>
                  <w:r>
                    <w:rPr>
                      <w:i/>
                      <w:color w:val="231F20"/>
                      <w:spacing w:val="-8"/>
                      <w:sz w:val="20"/>
                    </w:rPr>
                    <w:t> </w:t>
                  </w:r>
                  <w:r>
                    <w:rPr>
                      <w:i/>
                      <w:color w:val="231F20"/>
                      <w:sz w:val="20"/>
                    </w:rPr>
                    <w:t>as</w:t>
                  </w:r>
                  <w:r>
                    <w:rPr>
                      <w:i/>
                      <w:color w:val="231F20"/>
                      <w:spacing w:val="-8"/>
                      <w:sz w:val="20"/>
                    </w:rPr>
                    <w:t> </w:t>
                  </w:r>
                  <w:r>
                    <w:rPr>
                      <w:i/>
                      <w:color w:val="231F20"/>
                      <w:sz w:val="20"/>
                    </w:rPr>
                    <w:t>the</w:t>
                  </w:r>
                  <w:r>
                    <w:rPr>
                      <w:i/>
                      <w:color w:val="231F20"/>
                      <w:spacing w:val="-8"/>
                      <w:sz w:val="20"/>
                    </w:rPr>
                    <w:t> </w:t>
                  </w:r>
                  <w:r>
                    <w:rPr>
                      <w:i/>
                      <w:color w:val="231F20"/>
                      <w:sz w:val="20"/>
                    </w:rPr>
                    <w:t>Department</w:t>
                  </w:r>
                  <w:r>
                    <w:rPr>
                      <w:i/>
                      <w:color w:val="231F20"/>
                      <w:spacing w:val="-8"/>
                      <w:sz w:val="20"/>
                    </w:rPr>
                    <w:t> </w:t>
                  </w:r>
                  <w:r>
                    <w:rPr>
                      <w:i/>
                      <w:color w:val="231F20"/>
                      <w:sz w:val="20"/>
                    </w:rPr>
                    <w:t>of</w:t>
                  </w:r>
                  <w:r>
                    <w:rPr>
                      <w:i/>
                      <w:color w:val="231F20"/>
                      <w:spacing w:val="-8"/>
                      <w:sz w:val="20"/>
                    </w:rPr>
                    <w:t> </w:t>
                  </w:r>
                  <w:r>
                    <w:rPr>
                      <w:i/>
                      <w:color w:val="231F20"/>
                      <w:spacing w:val="-3"/>
                      <w:sz w:val="20"/>
                    </w:rPr>
                    <w:t>Environment</w:t>
                  </w:r>
                  <w:r>
                    <w:rPr>
                      <w:i/>
                      <w:color w:val="231F20"/>
                      <w:spacing w:val="-8"/>
                      <w:sz w:val="20"/>
                    </w:rPr>
                    <w:t> </w:t>
                  </w:r>
                  <w:r>
                    <w:rPr>
                      <w:i/>
                      <w:color w:val="231F20"/>
                      <w:sz w:val="20"/>
                    </w:rPr>
                    <w:t>Land</w:t>
                  </w:r>
                  <w:r>
                    <w:rPr>
                      <w:i/>
                      <w:color w:val="231F20"/>
                      <w:spacing w:val="-8"/>
                      <w:sz w:val="20"/>
                    </w:rPr>
                    <w:t> </w:t>
                  </w:r>
                  <w:r>
                    <w:rPr>
                      <w:i/>
                      <w:color w:val="231F20"/>
                      <w:spacing w:val="-3"/>
                      <w:sz w:val="20"/>
                    </w:rPr>
                    <w:t>Water</w:t>
                  </w:r>
                  <w:r>
                    <w:rPr>
                      <w:i/>
                      <w:color w:val="231F20"/>
                      <w:spacing w:val="-8"/>
                      <w:sz w:val="20"/>
                    </w:rPr>
                    <w:t> </w:t>
                  </w:r>
                  <w:r>
                    <w:rPr>
                      <w:i/>
                      <w:color w:val="231F20"/>
                      <w:sz w:val="20"/>
                    </w:rPr>
                    <w:t>and</w:t>
                  </w:r>
                  <w:r>
                    <w:rPr>
                      <w:i/>
                      <w:color w:val="231F20"/>
                      <w:spacing w:val="-8"/>
                      <w:sz w:val="20"/>
                    </w:rPr>
                    <w:t> </w:t>
                  </w:r>
                  <w:r>
                    <w:rPr>
                      <w:i/>
                      <w:color w:val="231F20"/>
                      <w:spacing w:val="-2"/>
                      <w:sz w:val="20"/>
                    </w:rPr>
                    <w:t>Planning, </w:t>
                  </w:r>
                  <w:r>
                    <w:rPr>
                      <w:i/>
                      <w:color w:val="231F20"/>
                      <w:sz w:val="20"/>
                    </w:rPr>
                    <w:t>and its portfolio agencies such as the </w:t>
                  </w:r>
                  <w:r>
                    <w:rPr>
                      <w:i/>
                      <w:color w:val="231F20"/>
                      <w:spacing w:val="-4"/>
                      <w:sz w:val="20"/>
                    </w:rPr>
                    <w:t>Trust, have </w:t>
                  </w:r>
                  <w:r>
                    <w:rPr>
                      <w:i/>
                      <w:color w:val="231F20"/>
                      <w:sz w:val="20"/>
                    </w:rPr>
                    <w:t>additional but complementary scientific</w:t>
                  </w:r>
                  <w:r>
                    <w:rPr>
                      <w:i/>
                      <w:color w:val="231F20"/>
                      <w:spacing w:val="-15"/>
                      <w:sz w:val="20"/>
                    </w:rPr>
                    <w:t> </w:t>
                  </w:r>
                  <w:r>
                    <w:rPr>
                      <w:i/>
                      <w:color w:val="231F20"/>
                      <w:sz w:val="20"/>
                    </w:rPr>
                    <w:t>capacity</w:t>
                  </w:r>
                  <w:r>
                    <w:rPr>
                      <w:i/>
                      <w:color w:val="231F20"/>
                      <w:spacing w:val="-15"/>
                      <w:sz w:val="20"/>
                    </w:rPr>
                    <w:t> </w:t>
                  </w:r>
                  <w:r>
                    <w:rPr>
                      <w:i/>
                      <w:color w:val="231F20"/>
                      <w:sz w:val="20"/>
                    </w:rPr>
                    <w:t>that</w:t>
                  </w:r>
                  <w:r>
                    <w:rPr>
                      <w:i/>
                      <w:color w:val="231F20"/>
                      <w:spacing w:val="-15"/>
                      <w:sz w:val="20"/>
                    </w:rPr>
                    <w:t> </w:t>
                  </w:r>
                  <w:r>
                    <w:rPr>
                      <w:i/>
                      <w:color w:val="231F20"/>
                      <w:sz w:val="20"/>
                    </w:rPr>
                    <w:t>could</w:t>
                  </w:r>
                  <w:r>
                    <w:rPr>
                      <w:i/>
                      <w:color w:val="231F20"/>
                      <w:spacing w:val="-15"/>
                      <w:sz w:val="20"/>
                    </w:rPr>
                    <w:t> </w:t>
                  </w:r>
                  <w:r>
                    <w:rPr>
                      <w:i/>
                      <w:color w:val="231F20"/>
                      <w:sz w:val="20"/>
                    </w:rPr>
                    <w:t>bolster</w:t>
                  </w:r>
                  <w:r>
                    <w:rPr>
                      <w:i/>
                      <w:color w:val="231F20"/>
                      <w:spacing w:val="-15"/>
                      <w:sz w:val="20"/>
                    </w:rPr>
                    <w:t> </w:t>
                  </w:r>
                  <w:r>
                    <w:rPr>
                      <w:i/>
                      <w:color w:val="231F20"/>
                      <w:spacing w:val="-3"/>
                      <w:sz w:val="20"/>
                    </w:rPr>
                    <w:t>EPA</w:t>
                  </w:r>
                  <w:r>
                    <w:rPr>
                      <w:i/>
                      <w:color w:val="231F20"/>
                      <w:spacing w:val="-15"/>
                      <w:sz w:val="20"/>
                    </w:rPr>
                    <w:t> </w:t>
                  </w:r>
                  <w:r>
                    <w:rPr>
                      <w:i/>
                      <w:color w:val="231F20"/>
                      <w:sz w:val="20"/>
                    </w:rPr>
                    <w:t>capability</w:t>
                  </w:r>
                  <w:r>
                    <w:rPr>
                      <w:i/>
                      <w:color w:val="231F20"/>
                      <w:spacing w:val="-15"/>
                      <w:sz w:val="20"/>
                    </w:rPr>
                    <w:t> </w:t>
                  </w:r>
                  <w:r>
                    <w:rPr>
                      <w:i/>
                      <w:color w:val="231F20"/>
                      <w:sz w:val="20"/>
                    </w:rPr>
                    <w:t>in</w:t>
                  </w:r>
                  <w:r>
                    <w:rPr>
                      <w:i/>
                      <w:color w:val="231F20"/>
                      <w:spacing w:val="-15"/>
                      <w:sz w:val="20"/>
                    </w:rPr>
                    <w:t> </w:t>
                  </w:r>
                  <w:r>
                    <w:rPr>
                      <w:i/>
                      <w:color w:val="231F20"/>
                      <w:sz w:val="20"/>
                    </w:rPr>
                    <w:t>appropriate</w:t>
                  </w:r>
                  <w:r>
                    <w:rPr>
                      <w:i/>
                      <w:color w:val="231F20"/>
                      <w:spacing w:val="-15"/>
                      <w:sz w:val="20"/>
                    </w:rPr>
                    <w:t> </w:t>
                  </w:r>
                  <w:r>
                    <w:rPr>
                      <w:i/>
                      <w:color w:val="231F20"/>
                      <w:sz w:val="20"/>
                    </w:rPr>
                    <w:t>partnerships.</w:t>
                  </w:r>
                </w:p>
              </w:txbxContent>
            </v:textbox>
            <w10:wrap type="none"/>
          </v:shape>
        </w:pict>
      </w:r>
      <w:r>
        <w:rPr/>
        <w:pict>
          <v:shape style="position:absolute;margin-left:98.216103pt;margin-top:266.393982pt;width:367.45pt;height:25.5pt;mso-position-horizontal-relative:page;mso-position-vertical-relative:page;z-index:-193624" type="#_x0000_t202" filled="false" stroked="false">
            <v:textbox inset="0,0,0,0">
              <w:txbxContent>
                <w:p>
                  <w:pPr>
                    <w:spacing w:line="280" w:lineRule="auto" w:before="0"/>
                    <w:ind w:left="20" w:right="5" w:firstLine="0"/>
                    <w:jc w:val="left"/>
                    <w:rPr>
                      <w:sz w:val="20"/>
                    </w:rPr>
                  </w:pPr>
                  <w:r>
                    <w:rPr>
                      <w:i/>
                      <w:color w:val="231F20"/>
                      <w:sz w:val="20"/>
                    </w:rPr>
                    <w:t>Both the Trust and EPA work with a number of key protection agencies in common and this could be built upon. </w:t>
                  </w:r>
                  <w:r>
                    <w:rPr>
                      <w:color w:val="231F20"/>
                      <w:sz w:val="20"/>
                    </w:rPr>
                    <w:t>(Trust For Nature submission, pp. 7–8)</w:t>
                  </w:r>
                </w:p>
              </w:txbxContent>
            </v:textbox>
            <w10:wrap type="none"/>
          </v:shape>
        </w:pict>
      </w:r>
      <w:r>
        <w:rPr/>
        <w:pict>
          <v:shape style="position:absolute;margin-left:69.866096pt;margin-top:304.541046pt;width:431.55pt;height:100.3pt;mso-position-horizontal-relative:page;mso-position-vertical-relative:page;z-index:-193600" type="#_x0000_t202" filled="false" stroked="false">
            <v:textbox inset="0,0,0,0">
              <w:txbxContent>
                <w:p>
                  <w:pPr>
                    <w:spacing w:line="265" w:lineRule="exact" w:before="0"/>
                    <w:ind w:left="20" w:right="8" w:firstLine="0"/>
                    <w:jc w:val="left"/>
                    <w:rPr>
                      <w:sz w:val="24"/>
                    </w:rPr>
                  </w:pPr>
                  <w:r>
                    <w:rPr>
                      <w:color w:val="0095A7"/>
                      <w:sz w:val="24"/>
                    </w:rPr>
                    <w:t>6.5  Monitoring networks</w:t>
                  </w:r>
                </w:p>
                <w:p>
                  <w:pPr>
                    <w:pStyle w:val="BodyText"/>
                    <w:spacing w:line="280" w:lineRule="auto" w:before="145"/>
                    <w:ind w:right="275"/>
                  </w:pPr>
                  <w:r>
                    <w:rPr>
                      <w:color w:val="58595B"/>
                    </w:rPr>
                    <w:t>Monitoring networks are necessary to provide data on </w:t>
                  </w:r>
                  <w:r>
                    <w:rPr>
                      <w:color w:val="58595B"/>
                      <w:spacing w:val="-3"/>
                    </w:rPr>
                    <w:t>key </w:t>
                  </w:r>
                  <w:r>
                    <w:rPr>
                      <w:color w:val="58595B"/>
                    </w:rPr>
                    <w:t>indicators (for example, ambient  air quality and water quality) as a basis for understanding environmental quality, background population exposures and trends over time. Monitoring can also be used to test and monitor specific point sources. </w:t>
                  </w:r>
                  <w:r>
                    <w:rPr>
                      <w:color w:val="58595B"/>
                      <w:spacing w:val="-5"/>
                    </w:rPr>
                    <w:t>Taken </w:t>
                  </w:r>
                  <w:r>
                    <w:rPr>
                      <w:color w:val="58595B"/>
                    </w:rPr>
                    <w:t>together, these data improve the </w:t>
                  </w:r>
                  <w:r>
                    <w:rPr>
                      <w:color w:val="58595B"/>
                      <w:spacing w:val="-7"/>
                    </w:rPr>
                    <w:t>EPA’s </w:t>
                  </w:r>
                  <w:r>
                    <w:rPr>
                      <w:color w:val="58595B"/>
                    </w:rPr>
                    <w:t>ability to identify risk</w:t>
                  </w:r>
                  <w:r>
                    <w:rPr>
                      <w:color w:val="58595B"/>
                      <w:spacing w:val="22"/>
                    </w:rPr>
                    <w:t> </w:t>
                  </w:r>
                  <w:r>
                    <w:rPr>
                      <w:color w:val="58595B"/>
                    </w:rPr>
                    <w:t>and</w:t>
                  </w:r>
                </w:p>
                <w:p>
                  <w:pPr>
                    <w:pStyle w:val="BodyText"/>
                    <w:spacing w:line="280" w:lineRule="auto" w:before="2"/>
                    <w:ind w:right="8"/>
                  </w:pPr>
                  <w:r>
                    <w:rPr>
                      <w:color w:val="58595B"/>
                    </w:rPr>
                    <w:t>inform incident and emergency responses. They can also improve practice in the community and by industry, if collected and published in a coordinated and transparent way.</w:t>
                  </w:r>
                </w:p>
              </w:txbxContent>
            </v:textbox>
            <w10:wrap type="none"/>
          </v:shape>
        </w:pict>
      </w:r>
      <w:r>
        <w:rPr/>
        <w:pict>
          <v:shape style="position:absolute;margin-left:98.216103pt;margin-top:414.830963pt;width:375.4pt;height:52.5pt;mso-position-horizontal-relative:page;mso-position-vertical-relative:page;z-index:-193576" type="#_x0000_t202" filled="false" stroked="false">
            <v:textbox inset="0,0,0,0">
              <w:txbxContent>
                <w:p>
                  <w:pPr>
                    <w:spacing w:line="280" w:lineRule="auto" w:before="0"/>
                    <w:ind w:left="20" w:right="0" w:firstLine="0"/>
                    <w:jc w:val="left"/>
                    <w:rPr>
                      <w:sz w:val="20"/>
                    </w:rPr>
                  </w:pPr>
                  <w:r>
                    <w:rPr>
                      <w:i/>
                      <w:color w:val="231F20"/>
                      <w:sz w:val="20"/>
                    </w:rPr>
                    <w:t>The EPA … needs to continue to undertake adequate monitoring of the environment so that emerging issues, such as the appearance of chemicals of concern, are detected and promptly addressed. </w:t>
                  </w:r>
                  <w:r>
                    <w:rPr>
                      <w:color w:val="231F20"/>
                      <w:sz w:val="20"/>
                    </w:rPr>
                    <w:t>(Centre for Aquatic Pollution Identification and Management submission, p. 1)</w:t>
                  </w:r>
                </w:p>
              </w:txbxContent>
            </v:textbox>
            <w10:wrap type="none"/>
          </v:shape>
        </w:pict>
      </w:r>
      <w:r>
        <w:rPr/>
        <w:pict>
          <v:shape style="position:absolute;margin-left:69.865097pt;margin-top:477.330963pt;width:433.2pt;height:106.55pt;mso-position-horizontal-relative:page;mso-position-vertical-relative:page;z-index:-193552" type="#_x0000_t202" filled="false" stroked="false">
            <v:textbox inset="0,0,0,0">
              <w:txbxContent>
                <w:p>
                  <w:pPr>
                    <w:pStyle w:val="BodyText"/>
                    <w:spacing w:line="280" w:lineRule="auto"/>
                    <w:rPr>
                      <w:sz w:val="11"/>
                    </w:rPr>
                  </w:pPr>
                  <w:r>
                    <w:rPr>
                      <w:color w:val="58595B"/>
                    </w:rPr>
                    <w:t>The EPA already has monitoring technology and technical capabilities. Its air quality monitoring stations, based mostly in metropolitan Melbourne and the Latrobe Valley, collect data on visibility, particulate matter (PM10, PM2.5</w:t>
                  </w:r>
                  <w:r>
                    <w:rPr>
                      <w:color w:val="58595B"/>
                      <w:position w:val="7"/>
                      <w:sz w:val="11"/>
                    </w:rPr>
                    <w:t>13</w:t>
                  </w:r>
                  <w:r>
                    <w:rPr>
                      <w:color w:val="58595B"/>
                    </w:rPr>
                    <w:t>), ozone, nitrogen dioxide, carbon monoxide and sulphur dioxide, for example. The EPA website provides hourly, 24-hour and weekly information on air quality indicators.</w:t>
                  </w:r>
                  <w:r>
                    <w:rPr>
                      <w:color w:val="58595B"/>
                      <w:position w:val="7"/>
                      <w:sz w:val="11"/>
                    </w:rPr>
                    <w:t>14 </w:t>
                  </w:r>
                  <w:r>
                    <w:rPr>
                      <w:color w:val="58595B"/>
                    </w:rPr>
                    <w:t>It deploys monitors to measure general air quality over large areas, localised air quality conditions and for rapid response to incidents.</w:t>
                  </w:r>
                  <w:r>
                    <w:rPr>
                      <w:color w:val="58595B"/>
                      <w:position w:val="7"/>
                      <w:sz w:val="11"/>
                    </w:rPr>
                    <w:t>15 </w:t>
                  </w:r>
                  <w:r>
                    <w:rPr>
                      <w:color w:val="58595B"/>
                    </w:rPr>
                    <w:t>Similarly, the EPA’s Beach Report provides swimming advice for 36 beaches around Port Phillip Bay that may be adversely affected by sewerage contamination in storm water after rain events.</w:t>
                  </w:r>
                  <w:r>
                    <w:rPr>
                      <w:color w:val="58595B"/>
                      <w:position w:val="7"/>
                      <w:sz w:val="11"/>
                    </w:rPr>
                    <w:t>16</w:t>
                  </w:r>
                </w:p>
              </w:txbxContent>
            </v:textbox>
            <w10:wrap type="none"/>
          </v:shape>
        </w:pict>
      </w:r>
      <w:r>
        <w:rPr/>
        <w:pict>
          <v:shape style="position:absolute;margin-left:69.866096pt;margin-top:593.842773pt;width:433.8pt;height:66pt;mso-position-horizontal-relative:page;mso-position-vertical-relative:page;z-index:-193528" type="#_x0000_t202" filled="false" stroked="false">
            <v:textbox inset="0,0,0,0">
              <w:txbxContent>
                <w:p>
                  <w:pPr>
                    <w:pStyle w:val="BodyText"/>
                    <w:spacing w:line="280" w:lineRule="auto"/>
                    <w:ind w:right="9"/>
                    <w:rPr>
                      <w:sz w:val="11"/>
                    </w:rPr>
                  </w:pPr>
                  <w:r>
                    <w:rPr>
                      <w:color w:val="58595B"/>
                    </w:rPr>
                    <w:t>To strengthen these monitoring capabilities and take advantage of new technologies, we recommend a review of the adequacy of the EPA’s air and water monitoring networks, particularly for air quality, given the public health impacts of air pollution. This review should also consider options to improve data sharing and accessibility and community communications (for example, through SMS or mobile app services).</w:t>
                  </w:r>
                  <w:r>
                    <w:rPr>
                      <w:color w:val="58595B"/>
                      <w:position w:val="7"/>
                      <w:sz w:val="11"/>
                    </w:rPr>
                    <w:t>17</w:t>
                  </w:r>
                </w:p>
              </w:txbxContent>
            </v:textbox>
            <w10:wrap type="none"/>
          </v:shape>
        </w:pict>
      </w:r>
      <w:r>
        <w:rPr/>
        <w:pict>
          <v:shape style="position:absolute;margin-left:98.212601pt;margin-top:669.84668pt;width:385.8pt;height:25.5pt;mso-position-horizontal-relative:page;mso-position-vertical-relative:page;z-index:-193504" type="#_x0000_t202" filled="false" stroked="false">
            <v:textbox inset="0,0,0,0">
              <w:txbxContent>
                <w:p>
                  <w:pPr>
                    <w:spacing w:line="280" w:lineRule="auto" w:before="0"/>
                    <w:ind w:left="20" w:right="0" w:firstLine="0"/>
                    <w:jc w:val="left"/>
                    <w:rPr>
                      <w:sz w:val="20"/>
                    </w:rPr>
                  </w:pPr>
                  <w:r>
                    <w:rPr>
                      <w:i/>
                      <w:color w:val="231F20"/>
                      <w:spacing w:val="2"/>
                      <w:sz w:val="20"/>
                    </w:rPr>
                    <w:t>[T]he</w:t>
                  </w:r>
                  <w:r>
                    <w:rPr>
                      <w:i/>
                      <w:color w:val="231F20"/>
                      <w:spacing w:val="-8"/>
                      <w:sz w:val="20"/>
                    </w:rPr>
                    <w:t> </w:t>
                  </w:r>
                  <w:r>
                    <w:rPr>
                      <w:i/>
                      <w:color w:val="231F20"/>
                      <w:sz w:val="20"/>
                    </w:rPr>
                    <w:t>Victorian</w:t>
                  </w:r>
                  <w:r>
                    <w:rPr>
                      <w:i/>
                      <w:color w:val="231F20"/>
                      <w:spacing w:val="-8"/>
                      <w:sz w:val="20"/>
                    </w:rPr>
                    <w:t> </w:t>
                  </w:r>
                  <w:r>
                    <w:rPr>
                      <w:i/>
                      <w:color w:val="231F20"/>
                      <w:spacing w:val="-3"/>
                      <w:sz w:val="20"/>
                    </w:rPr>
                    <w:t>EPA</w:t>
                  </w:r>
                  <w:r>
                    <w:rPr>
                      <w:i/>
                      <w:color w:val="231F20"/>
                      <w:spacing w:val="-8"/>
                      <w:sz w:val="20"/>
                    </w:rPr>
                    <w:t> </w:t>
                  </w:r>
                  <w:r>
                    <w:rPr>
                      <w:i/>
                      <w:color w:val="231F20"/>
                      <w:sz w:val="20"/>
                    </w:rPr>
                    <w:t>must</w:t>
                  </w:r>
                  <w:r>
                    <w:rPr>
                      <w:i/>
                      <w:color w:val="231F20"/>
                      <w:spacing w:val="-8"/>
                      <w:sz w:val="20"/>
                    </w:rPr>
                    <w:t> </w:t>
                  </w:r>
                  <w:r>
                    <w:rPr>
                      <w:i/>
                      <w:color w:val="231F20"/>
                      <w:sz w:val="20"/>
                    </w:rPr>
                    <w:t>conduct</w:t>
                  </w:r>
                  <w:r>
                    <w:rPr>
                      <w:i/>
                      <w:color w:val="231F20"/>
                      <w:spacing w:val="-8"/>
                      <w:sz w:val="20"/>
                    </w:rPr>
                    <w:t> </w:t>
                  </w:r>
                  <w:r>
                    <w:rPr>
                      <w:i/>
                      <w:color w:val="231F20"/>
                      <w:spacing w:val="-3"/>
                      <w:sz w:val="20"/>
                    </w:rPr>
                    <w:t>measurements</w:t>
                  </w:r>
                  <w:r>
                    <w:rPr>
                      <w:i/>
                      <w:color w:val="231F20"/>
                      <w:spacing w:val="-8"/>
                      <w:sz w:val="20"/>
                    </w:rPr>
                    <w:t> </w:t>
                  </w:r>
                  <w:r>
                    <w:rPr>
                      <w:i/>
                      <w:color w:val="231F20"/>
                      <w:sz w:val="20"/>
                    </w:rPr>
                    <w:t>in</w:t>
                  </w:r>
                  <w:r>
                    <w:rPr>
                      <w:i/>
                      <w:color w:val="231F20"/>
                      <w:spacing w:val="-8"/>
                      <w:sz w:val="20"/>
                    </w:rPr>
                    <w:t> </w:t>
                  </w:r>
                  <w:r>
                    <w:rPr>
                      <w:i/>
                      <w:color w:val="231F20"/>
                      <w:sz w:val="20"/>
                    </w:rPr>
                    <w:t>a</w:t>
                  </w:r>
                  <w:r>
                    <w:rPr>
                      <w:i/>
                      <w:color w:val="231F20"/>
                      <w:spacing w:val="-8"/>
                      <w:sz w:val="20"/>
                    </w:rPr>
                    <w:t> </w:t>
                  </w:r>
                  <w:r>
                    <w:rPr>
                      <w:i/>
                      <w:color w:val="231F20"/>
                      <w:spacing w:val="-2"/>
                      <w:sz w:val="20"/>
                    </w:rPr>
                    <w:t>manner</w:t>
                  </w:r>
                  <w:r>
                    <w:rPr>
                      <w:i/>
                      <w:color w:val="231F20"/>
                      <w:spacing w:val="-8"/>
                      <w:sz w:val="20"/>
                    </w:rPr>
                    <w:t> </w:t>
                  </w:r>
                  <w:r>
                    <w:rPr>
                      <w:i/>
                      <w:color w:val="231F20"/>
                      <w:sz w:val="20"/>
                    </w:rPr>
                    <w:t>that</w:t>
                  </w:r>
                  <w:r>
                    <w:rPr>
                      <w:i/>
                      <w:color w:val="231F20"/>
                      <w:spacing w:val="-8"/>
                      <w:sz w:val="20"/>
                    </w:rPr>
                    <w:t> </w:t>
                  </w:r>
                  <w:r>
                    <w:rPr>
                      <w:i/>
                      <w:color w:val="231F20"/>
                      <w:sz w:val="20"/>
                    </w:rPr>
                    <w:t>is</w:t>
                  </w:r>
                  <w:r>
                    <w:rPr>
                      <w:i/>
                      <w:color w:val="231F20"/>
                      <w:spacing w:val="-8"/>
                      <w:sz w:val="20"/>
                    </w:rPr>
                    <w:t> </w:t>
                  </w:r>
                  <w:r>
                    <w:rPr>
                      <w:i/>
                      <w:color w:val="231F20"/>
                      <w:sz w:val="20"/>
                    </w:rPr>
                    <w:t>useful</w:t>
                  </w:r>
                  <w:r>
                    <w:rPr>
                      <w:i/>
                      <w:color w:val="231F20"/>
                      <w:spacing w:val="-8"/>
                      <w:sz w:val="20"/>
                    </w:rPr>
                    <w:t> </w:t>
                  </w:r>
                  <w:r>
                    <w:rPr>
                      <w:i/>
                      <w:color w:val="231F20"/>
                      <w:sz w:val="20"/>
                    </w:rPr>
                    <w:t>and</w:t>
                  </w:r>
                  <w:r>
                    <w:rPr>
                      <w:i/>
                      <w:color w:val="231F20"/>
                      <w:spacing w:val="-8"/>
                      <w:sz w:val="20"/>
                    </w:rPr>
                    <w:t> </w:t>
                  </w:r>
                  <w:r>
                    <w:rPr>
                      <w:i/>
                      <w:color w:val="231F20"/>
                      <w:spacing w:val="-3"/>
                      <w:sz w:val="20"/>
                    </w:rPr>
                    <w:t>relevant </w:t>
                  </w:r>
                  <w:r>
                    <w:rPr>
                      <w:i/>
                      <w:color w:val="231F20"/>
                      <w:sz w:val="20"/>
                    </w:rPr>
                    <w:t>for</w:t>
                  </w:r>
                  <w:r>
                    <w:rPr>
                      <w:i/>
                      <w:color w:val="231F20"/>
                      <w:spacing w:val="-12"/>
                      <w:sz w:val="20"/>
                    </w:rPr>
                    <w:t> </w:t>
                  </w:r>
                  <w:r>
                    <w:rPr>
                      <w:i/>
                      <w:color w:val="231F20"/>
                      <w:sz w:val="20"/>
                    </w:rPr>
                    <w:t>public</w:t>
                  </w:r>
                  <w:r>
                    <w:rPr>
                      <w:i/>
                      <w:color w:val="231F20"/>
                      <w:spacing w:val="-12"/>
                      <w:sz w:val="20"/>
                    </w:rPr>
                    <w:t> </w:t>
                  </w:r>
                  <w:r>
                    <w:rPr>
                      <w:i/>
                      <w:color w:val="231F20"/>
                      <w:sz w:val="20"/>
                    </w:rPr>
                    <w:t>health</w:t>
                  </w:r>
                  <w:r>
                    <w:rPr>
                      <w:i/>
                      <w:color w:val="231F20"/>
                      <w:spacing w:val="-12"/>
                      <w:sz w:val="20"/>
                    </w:rPr>
                    <w:t> </w:t>
                  </w:r>
                  <w:r>
                    <w:rPr>
                      <w:i/>
                      <w:color w:val="231F20"/>
                      <w:sz w:val="20"/>
                    </w:rPr>
                    <w:t>outcomes.</w:t>
                  </w:r>
                  <w:r>
                    <w:rPr>
                      <w:i/>
                      <w:color w:val="231F20"/>
                      <w:spacing w:val="-13"/>
                      <w:sz w:val="20"/>
                    </w:rPr>
                    <w:t> </w:t>
                  </w:r>
                  <w:r>
                    <w:rPr>
                      <w:color w:val="231F20"/>
                      <w:sz w:val="20"/>
                    </w:rPr>
                    <w:t>(Doctors</w:t>
                  </w:r>
                  <w:r>
                    <w:rPr>
                      <w:color w:val="231F20"/>
                      <w:spacing w:val="-12"/>
                      <w:sz w:val="20"/>
                    </w:rPr>
                    <w:t> </w:t>
                  </w:r>
                  <w:r>
                    <w:rPr>
                      <w:color w:val="231F20"/>
                      <w:sz w:val="20"/>
                    </w:rPr>
                    <w:t>for</w:t>
                  </w:r>
                  <w:r>
                    <w:rPr>
                      <w:color w:val="231F20"/>
                      <w:spacing w:val="-12"/>
                      <w:sz w:val="20"/>
                    </w:rPr>
                    <w:t> </w:t>
                  </w:r>
                  <w:r>
                    <w:rPr>
                      <w:color w:val="231F20"/>
                      <w:sz w:val="20"/>
                    </w:rPr>
                    <w:t>the</w:t>
                  </w:r>
                  <w:r>
                    <w:rPr>
                      <w:color w:val="231F20"/>
                      <w:spacing w:val="-12"/>
                      <w:sz w:val="20"/>
                    </w:rPr>
                    <w:t> </w:t>
                  </w:r>
                  <w:r>
                    <w:rPr>
                      <w:color w:val="231F20"/>
                      <w:spacing w:val="-3"/>
                      <w:sz w:val="20"/>
                    </w:rPr>
                    <w:t>Environment</w:t>
                  </w:r>
                  <w:r>
                    <w:rPr>
                      <w:color w:val="231F20"/>
                      <w:spacing w:val="-12"/>
                      <w:sz w:val="20"/>
                    </w:rPr>
                    <w:t> </w:t>
                  </w:r>
                  <w:r>
                    <w:rPr>
                      <w:color w:val="231F20"/>
                      <w:sz w:val="20"/>
                    </w:rPr>
                    <w:t>Australia</w:t>
                  </w:r>
                  <w:r>
                    <w:rPr>
                      <w:color w:val="231F20"/>
                      <w:spacing w:val="-12"/>
                      <w:sz w:val="20"/>
                    </w:rPr>
                    <w:t> </w:t>
                  </w:r>
                  <w:r>
                    <w:rPr>
                      <w:color w:val="231F20"/>
                      <w:sz w:val="20"/>
                    </w:rPr>
                    <w:t>submission,</w:t>
                  </w:r>
                  <w:r>
                    <w:rPr>
                      <w:color w:val="231F20"/>
                      <w:spacing w:val="-12"/>
                      <w:sz w:val="20"/>
                    </w:rPr>
                    <w:t> </w:t>
                  </w:r>
                  <w:r>
                    <w:rPr>
                      <w:color w:val="231F20"/>
                      <w:spacing w:val="-3"/>
                      <w:sz w:val="20"/>
                    </w:rPr>
                    <w:t>p.</w:t>
                  </w:r>
                  <w:r>
                    <w:rPr>
                      <w:color w:val="231F20"/>
                      <w:spacing w:val="-12"/>
                      <w:sz w:val="20"/>
                    </w:rPr>
                    <w:t> </w:t>
                  </w:r>
                  <w:r>
                    <w:rPr>
                      <w:color w:val="231F20"/>
                      <w:spacing w:val="-5"/>
                      <w:sz w:val="20"/>
                    </w:rPr>
                    <w:t>9)</w:t>
                  </w:r>
                </w:p>
              </w:txbxContent>
            </v:textbox>
            <w10:wrap type="none"/>
          </v:shape>
        </w:pict>
      </w:r>
      <w:r>
        <w:rPr/>
        <w:pict>
          <v:shape style="position:absolute;margin-left:69.862602pt;margin-top:705.34668pt;width:428pt;height:25.5pt;mso-position-horizontal-relative:page;mso-position-vertical-relative:page;z-index:-193480" type="#_x0000_t202" filled="false" stroked="false">
            <v:textbox inset="0,0,0,0">
              <w:txbxContent>
                <w:p>
                  <w:pPr>
                    <w:pStyle w:val="BodyText"/>
                    <w:spacing w:line="280" w:lineRule="auto"/>
                  </w:pPr>
                  <w:r>
                    <w:rPr>
                      <w:color w:val="58595B"/>
                    </w:rPr>
                    <w:t>This review should consider developments in monitoring technology, including cheaper monitors and technologies to deliver monitoring equipment, such as drones.</w:t>
                  </w:r>
                </w:p>
              </w:txbxContent>
            </v:textbox>
            <w10:wrap type="none"/>
          </v:shape>
        </w:pict>
      </w:r>
      <w:r>
        <w:rPr/>
        <w:pict>
          <v:shape style="position:absolute;margin-left:98.212601pt;margin-top:740.84668pt;width:367.85pt;height:39pt;mso-position-horizontal-relative:page;mso-position-vertical-relative:page;z-index:-193456" type="#_x0000_t202" filled="false" stroked="false">
            <v:textbox inset="0,0,0,0">
              <w:txbxContent>
                <w:p>
                  <w:pPr>
                    <w:spacing w:line="280" w:lineRule="auto" w:before="0"/>
                    <w:ind w:left="20" w:right="0" w:firstLine="0"/>
                    <w:jc w:val="left"/>
                    <w:rPr>
                      <w:sz w:val="20"/>
                    </w:rPr>
                  </w:pPr>
                  <w:r>
                    <w:rPr>
                      <w:i/>
                      <w:color w:val="231F20"/>
                      <w:sz w:val="20"/>
                    </w:rPr>
                    <w:t>Emerging technology has produced low cost mobile air quality monitoring devices with the capacity to link together and create a vast, accessible network of real time air quality data. </w:t>
                  </w:r>
                  <w:r>
                    <w:rPr>
                      <w:color w:val="231F20"/>
                      <w:sz w:val="20"/>
                    </w:rPr>
                    <w:t>(Clare Walter and Professor Lou Irving submission, p. 4)</w:t>
                  </w:r>
                </w:p>
              </w:txbxContent>
            </v:textbox>
            <w10:wrap type="none"/>
          </v:shape>
        </w:pict>
      </w:r>
      <w:r>
        <w:rPr/>
        <w:pict>
          <v:shape style="position:absolute;margin-left:.0pt;margin-top:44.090015pt;width:60.3pt;height:5.25pt;mso-position-horizontal-relative:page;mso-position-vertical-relative:page;z-index:-19343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93408"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93384" from="534.996094pt,45.840015pt" to="595.276001pt,45.840015pt" stroked="true" strokeweight="7pt" strokecolor="#0095a7">
            <w10:wrap type="none"/>
          </v:line>
        </w:pict>
      </w:r>
      <w:r>
        <w:rPr/>
        <w:pict>
          <v:shape style="position:absolute;margin-left:280.512512pt;margin-top:40.902756pt;width:219.35pt;height:9.5pt;mso-position-horizontal-relative:page;mso-position-vertical-relative:page;z-index:-193360" type="#_x0000_t202" filled="false" stroked="false">
            <v:textbox inset="0,0,0,0">
              <w:txbxContent>
                <w:p>
                  <w:pPr>
                    <w:spacing w:before="1"/>
                    <w:ind w:left="20" w:right="0" w:firstLine="0"/>
                    <w:jc w:val="left"/>
                    <w:rPr>
                      <w:sz w:val="15"/>
                    </w:rPr>
                  </w:pPr>
                  <w:r>
                    <w:rPr>
                      <w:color w:val="58595B"/>
                      <w:sz w:val="15"/>
                    </w:rPr>
                    <w:t>CHAPTER 6    THE EPA ASA SCIENCE-BASED REGULATOR</w:t>
                  </w:r>
                </w:p>
              </w:txbxContent>
            </v:textbox>
            <w10:wrap type="none"/>
          </v:shape>
        </w:pict>
      </w:r>
      <w:r>
        <w:rPr/>
        <w:pict>
          <v:shape style="position:absolute;margin-left:511.617493pt;margin-top:40.902756pt;width:13.75pt;height:9.5pt;mso-position-horizontal-relative:page;mso-position-vertical-relative:page;z-index:-193336" type="#_x0000_t202" filled="false" stroked="false">
            <v:textbox inset="0,0,0,0">
              <w:txbxContent>
                <w:p>
                  <w:pPr>
                    <w:spacing w:before="1"/>
                    <w:ind w:left="20" w:right="-16" w:firstLine="0"/>
                    <w:jc w:val="left"/>
                    <w:rPr>
                      <w:sz w:val="15"/>
                    </w:rPr>
                  </w:pPr>
                  <w:r>
                    <w:rPr>
                      <w:color w:val="58595B"/>
                      <w:sz w:val="15"/>
                    </w:rPr>
                    <w:t>115</w:t>
                  </w:r>
                </w:p>
              </w:txbxContent>
            </v:textbox>
            <w10:wrap type="none"/>
          </v:shape>
        </w:pict>
      </w:r>
      <w:r>
        <w:rPr/>
        <w:pict>
          <v:shape style="position:absolute;margin-left:89.698601pt;margin-top:105.893967pt;width:391.3pt;height:115.7pt;mso-position-horizontal-relative:page;mso-position-vertical-relative:page;z-index:-193312" type="#_x0000_t202" filled="false" stroked="false">
            <v:textbox inset="0,0,0,0">
              <w:txbxContent>
                <w:p>
                  <w:pPr>
                    <w:pStyle w:val="BodyText"/>
                    <w:spacing w:line="224" w:lineRule="exact"/>
                  </w:pPr>
                  <w:r>
                    <w:rPr>
                      <w:color w:val="58595B"/>
                    </w:rPr>
                    <w:t>Other key considerations for this review of monitoring capability include:</w:t>
                  </w:r>
                </w:p>
                <w:p>
                  <w:pPr>
                    <w:pStyle w:val="ListParagraph"/>
                    <w:numPr>
                      <w:ilvl w:val="0"/>
                      <w:numId w:val="43"/>
                    </w:numPr>
                    <w:tabs>
                      <w:tab w:pos="191" w:val="left" w:leader="none"/>
                    </w:tabs>
                    <w:spacing w:line="280" w:lineRule="auto" w:before="153" w:after="0"/>
                    <w:ind w:left="190" w:right="17" w:hanging="170"/>
                    <w:jc w:val="left"/>
                    <w:rPr>
                      <w:sz w:val="20"/>
                    </w:rPr>
                  </w:pPr>
                  <w:r>
                    <w:rPr>
                      <w:color w:val="58595B"/>
                      <w:sz w:val="20"/>
                    </w:rPr>
                    <w:t>monitoring with sufficient geographical coverage to provide robust data for all ambient and rapid response</w:t>
                  </w:r>
                  <w:r>
                    <w:rPr>
                      <w:color w:val="58595B"/>
                      <w:spacing w:val="3"/>
                      <w:sz w:val="20"/>
                    </w:rPr>
                    <w:t> </w:t>
                  </w:r>
                  <w:r>
                    <w:rPr>
                      <w:color w:val="58595B"/>
                      <w:sz w:val="20"/>
                    </w:rPr>
                    <w:t>needs</w:t>
                  </w:r>
                </w:p>
                <w:p>
                  <w:pPr>
                    <w:pStyle w:val="ListParagraph"/>
                    <w:numPr>
                      <w:ilvl w:val="0"/>
                      <w:numId w:val="43"/>
                    </w:numPr>
                    <w:tabs>
                      <w:tab w:pos="191" w:val="left" w:leader="none"/>
                    </w:tabs>
                    <w:spacing w:line="240" w:lineRule="auto" w:before="115" w:after="0"/>
                    <w:ind w:left="190" w:right="0" w:hanging="170"/>
                    <w:jc w:val="left"/>
                    <w:rPr>
                      <w:sz w:val="20"/>
                    </w:rPr>
                  </w:pPr>
                  <w:r>
                    <w:rPr>
                      <w:color w:val="58595B"/>
                      <w:sz w:val="20"/>
                    </w:rPr>
                    <w:t>rapid analysis and delivery of information for decision</w:t>
                  </w:r>
                  <w:r>
                    <w:rPr>
                      <w:color w:val="58595B"/>
                      <w:spacing w:val="12"/>
                      <w:sz w:val="20"/>
                    </w:rPr>
                    <w:t> </w:t>
                  </w:r>
                  <w:r>
                    <w:rPr>
                      <w:color w:val="58595B"/>
                      <w:sz w:val="20"/>
                    </w:rPr>
                    <w:t>making</w:t>
                  </w:r>
                </w:p>
                <w:p>
                  <w:pPr>
                    <w:pStyle w:val="ListParagraph"/>
                    <w:numPr>
                      <w:ilvl w:val="0"/>
                      <w:numId w:val="43"/>
                    </w:numPr>
                    <w:tabs>
                      <w:tab w:pos="191" w:val="left" w:leader="none"/>
                    </w:tabs>
                    <w:spacing w:line="240" w:lineRule="auto" w:before="153" w:after="0"/>
                    <w:ind w:left="190" w:right="0" w:hanging="170"/>
                    <w:jc w:val="left"/>
                    <w:rPr>
                      <w:sz w:val="20"/>
                    </w:rPr>
                  </w:pPr>
                  <w:r>
                    <w:rPr>
                      <w:color w:val="58595B"/>
                      <w:sz w:val="20"/>
                    </w:rPr>
                    <w:t>increased capability in modelling and predictive</w:t>
                  </w:r>
                  <w:r>
                    <w:rPr>
                      <w:color w:val="58595B"/>
                      <w:spacing w:val="19"/>
                      <w:sz w:val="20"/>
                    </w:rPr>
                    <w:t> </w:t>
                  </w:r>
                  <w:r>
                    <w:rPr>
                      <w:color w:val="58595B"/>
                      <w:sz w:val="20"/>
                    </w:rPr>
                    <w:t>services</w:t>
                  </w:r>
                </w:p>
                <w:p>
                  <w:pPr>
                    <w:pStyle w:val="ListParagraph"/>
                    <w:numPr>
                      <w:ilvl w:val="0"/>
                      <w:numId w:val="43"/>
                    </w:numPr>
                    <w:tabs>
                      <w:tab w:pos="190" w:val="left" w:leader="none"/>
                    </w:tabs>
                    <w:spacing w:line="280" w:lineRule="auto" w:before="153" w:after="0"/>
                    <w:ind w:left="190" w:right="1368" w:hanging="170"/>
                    <w:jc w:val="left"/>
                    <w:rPr>
                      <w:sz w:val="20"/>
                    </w:rPr>
                  </w:pPr>
                  <w:r>
                    <w:rPr>
                      <w:color w:val="58595B"/>
                      <w:sz w:val="20"/>
                    </w:rPr>
                    <w:t>publishing data that is easily understood, fit-for-purpose and meets the community’s</w:t>
                  </w:r>
                  <w:r>
                    <w:rPr>
                      <w:color w:val="58595B"/>
                      <w:spacing w:val="2"/>
                      <w:sz w:val="20"/>
                    </w:rPr>
                    <w:t> </w:t>
                  </w:r>
                  <w:r>
                    <w:rPr>
                      <w:color w:val="58595B"/>
                      <w:sz w:val="20"/>
                    </w:rPr>
                    <w:t>expectations.</w:t>
                  </w:r>
                </w:p>
              </w:txbxContent>
            </v:textbox>
            <w10:wrap type="none"/>
          </v:shape>
        </w:pict>
      </w:r>
      <w:r>
        <w:rPr/>
        <w:pict>
          <v:shape style="position:absolute;margin-left:89.698601pt;margin-top:231.573975pt;width:411.25pt;height:25.5pt;mso-position-horizontal-relative:page;mso-position-vertical-relative:page;z-index:-193288" type="#_x0000_t202" filled="false" stroked="false">
            <v:textbox inset="0,0,0,0">
              <w:txbxContent>
                <w:p>
                  <w:pPr>
                    <w:pStyle w:val="BodyText"/>
                    <w:spacing w:line="280" w:lineRule="auto"/>
                    <w:ind w:right="9"/>
                  </w:pPr>
                  <w:r>
                    <w:rPr>
                      <w:color w:val="58595B"/>
                    </w:rPr>
                    <w:t>The EPA is currently considering improvements to its air monitoring network, which could be incorporated into a broader monitoring capability review and plan.</w:t>
                  </w:r>
                </w:p>
              </w:txbxContent>
            </v:textbox>
            <w10:wrap type="none"/>
          </v:shape>
        </w:pict>
      </w:r>
      <w:r>
        <w:rPr/>
        <w:pict>
          <v:shape style="position:absolute;margin-left:89.708603pt;margin-top:269.710327pt;width:413.45pt;height:100.3pt;mso-position-horizontal-relative:page;mso-position-vertical-relative:page;z-index:-193264" type="#_x0000_t202" filled="false" stroked="false">
            <v:textbox inset="0,0,0,0">
              <w:txbxContent>
                <w:p>
                  <w:pPr>
                    <w:spacing w:line="265" w:lineRule="exact" w:before="0"/>
                    <w:ind w:left="20" w:right="47" w:firstLine="0"/>
                    <w:jc w:val="left"/>
                    <w:rPr>
                      <w:sz w:val="24"/>
                    </w:rPr>
                  </w:pPr>
                  <w:r>
                    <w:rPr>
                      <w:color w:val="0095A7"/>
                      <w:sz w:val="24"/>
                    </w:rPr>
                    <w:t>6.6  Leadership and science communication: a Chief Environmental Scientist</w:t>
                  </w:r>
                </w:p>
                <w:p>
                  <w:pPr>
                    <w:pStyle w:val="BodyText"/>
                    <w:spacing w:line="280" w:lineRule="auto" w:before="145"/>
                    <w:ind w:right="47"/>
                  </w:pPr>
                  <w:r>
                    <w:rPr>
                      <w:color w:val="58595B"/>
                    </w:rPr>
                    <w:t>We recommend creating a new position of Chief Environmental Scientist as part of the  </w:t>
                  </w:r>
                  <w:r>
                    <w:rPr>
                      <w:color w:val="58595B"/>
                      <w:spacing w:val="-7"/>
                    </w:rPr>
                    <w:t>EPA’s </w:t>
                  </w:r>
                  <w:r>
                    <w:rPr>
                      <w:color w:val="58595B"/>
                    </w:rPr>
                    <w:t>senior executive structure. The Chief Environmental Scientist will provide the </w:t>
                  </w:r>
                  <w:r>
                    <w:rPr>
                      <w:color w:val="58595B"/>
                      <w:spacing w:val="-4"/>
                    </w:rPr>
                    <w:t>EPA  </w:t>
                  </w:r>
                  <w:r>
                    <w:rPr>
                      <w:color w:val="58595B"/>
                    </w:rPr>
                    <w:t>and the Victorian community with an authoritative and expert voice on environmental issues. At a practical level, the Chief Environmental Scientist will commission and review advice  and conclusions from the </w:t>
                  </w:r>
                  <w:r>
                    <w:rPr>
                      <w:color w:val="58595B"/>
                      <w:spacing w:val="-7"/>
                    </w:rPr>
                    <w:t>EPA’s </w:t>
                  </w:r>
                  <w:r>
                    <w:rPr>
                      <w:color w:val="58595B"/>
                    </w:rPr>
                    <w:t>scientific experts and be a </w:t>
                  </w:r>
                  <w:r>
                    <w:rPr>
                      <w:color w:val="58595B"/>
                      <w:spacing w:val="-3"/>
                    </w:rPr>
                    <w:t>key </w:t>
                  </w:r>
                  <w:r>
                    <w:rPr>
                      <w:color w:val="58595B"/>
                    </w:rPr>
                    <w:t>point of liaison for the </w:t>
                  </w:r>
                  <w:r>
                    <w:rPr>
                      <w:color w:val="58595B"/>
                      <w:spacing w:val="-4"/>
                    </w:rPr>
                    <w:t>EPA </w:t>
                  </w:r>
                  <w:r>
                    <w:rPr>
                      <w:color w:val="58595B"/>
                    </w:rPr>
                    <w:t>within</w:t>
                  </w:r>
                  <w:r>
                    <w:rPr>
                      <w:color w:val="58595B"/>
                      <w:spacing w:val="-3"/>
                    </w:rPr>
                    <w:t> </w:t>
                  </w:r>
                  <w:r>
                    <w:rPr>
                      <w:color w:val="58595B"/>
                    </w:rPr>
                    <w:t>government.</w:t>
                  </w:r>
                </w:p>
              </w:txbxContent>
            </v:textbox>
            <w10:wrap type="none"/>
          </v:shape>
        </w:pict>
      </w:r>
      <w:r>
        <w:rPr/>
        <w:pict>
          <v:shape style="position:absolute;margin-left:89.708603pt;margin-top:380.000275pt;width:433.5pt;height:93pt;mso-position-horizontal-relative:page;mso-position-vertical-relative:page;z-index:-193240" type="#_x0000_t202" filled="false" stroked="false">
            <v:textbox inset="0,0,0,0">
              <w:txbxContent>
                <w:p>
                  <w:pPr>
                    <w:pStyle w:val="BodyText"/>
                    <w:spacing w:line="280" w:lineRule="auto"/>
                    <w:ind w:right="14"/>
                  </w:pPr>
                  <w:r>
                    <w:rPr>
                      <w:color w:val="58595B"/>
                    </w:rPr>
                    <w:t>The Chief Environmental Scientist position extends the potential of the EPA’s existing principal expert structure. First, it will allow the EPA to more effectively deploy its expertise – within government and externally. Second, it provides a voice for EPA’s scientific and technical work at the senior executive level, and with the EPA Board – via membership of the Science, Engineering and Health subcommittee of the Board (see chapter 19). Third, it provides greater standing,</w:t>
                  </w:r>
                </w:p>
                <w:p>
                  <w:pPr>
                    <w:pStyle w:val="BodyText"/>
                    <w:spacing w:line="280" w:lineRule="auto" w:before="2"/>
                    <w:ind w:right="647"/>
                  </w:pPr>
                  <w:r>
                    <w:rPr>
                      <w:color w:val="58595B"/>
                    </w:rPr>
                    <w:t>a potential career path for EPA scientists, and signals to the profession that the EPA takes science seriously.</w:t>
                  </w:r>
                </w:p>
              </w:txbxContent>
            </v:textbox>
            <w10:wrap type="none"/>
          </v:shape>
        </w:pict>
      </w:r>
      <w:r>
        <w:rPr/>
        <w:pict>
          <v:shape style="position:absolute;margin-left:89.708603pt;margin-top:483.000275pt;width:431.1pt;height:66.05pt;mso-position-horizontal-relative:page;mso-position-vertical-relative:page;z-index:-193216" type="#_x0000_t202" filled="false" stroked="false">
            <v:textbox inset="0,0,0,0">
              <w:txbxContent>
                <w:p>
                  <w:pPr>
                    <w:pStyle w:val="BodyText"/>
                    <w:spacing w:line="280" w:lineRule="auto"/>
                    <w:ind w:right="532"/>
                  </w:pPr>
                  <w:r>
                    <w:rPr>
                      <w:color w:val="58595B"/>
                    </w:rPr>
                    <w:t>We consider this role should be an enduring feature of the organisation and therefore that  it should be legislated as part of the </w:t>
                  </w:r>
                  <w:r>
                    <w:rPr>
                      <w:color w:val="58595B"/>
                      <w:spacing w:val="-4"/>
                    </w:rPr>
                    <w:t>EPA </w:t>
                  </w:r>
                  <w:r>
                    <w:rPr>
                      <w:color w:val="58595B"/>
                    </w:rPr>
                    <w:t>(Establishment) Act. This approach attaches the appropriate authority to the role. It is based on the model for Victoria’s Chief Health</w:t>
                  </w:r>
                  <w:r>
                    <w:rPr>
                      <w:color w:val="58595B"/>
                      <w:spacing w:val="9"/>
                    </w:rPr>
                    <w:t> </w:t>
                  </w:r>
                  <w:r>
                    <w:rPr>
                      <w:color w:val="58595B"/>
                    </w:rPr>
                    <w:t>Officer,</w:t>
                  </w:r>
                </w:p>
                <w:p>
                  <w:pPr>
                    <w:spacing w:line="280" w:lineRule="auto" w:before="2"/>
                    <w:ind w:left="20" w:right="0" w:hanging="1"/>
                    <w:jc w:val="left"/>
                    <w:rPr>
                      <w:sz w:val="20"/>
                    </w:rPr>
                  </w:pPr>
                  <w:r>
                    <w:rPr>
                      <w:color w:val="58595B"/>
                      <w:sz w:val="20"/>
                    </w:rPr>
                    <w:t>which is a legislated position under the </w:t>
                  </w:r>
                  <w:r>
                    <w:rPr>
                      <w:i/>
                      <w:color w:val="58595B"/>
                      <w:sz w:val="20"/>
                    </w:rPr>
                    <w:t>Public Health and Wellbeing Act 2008</w:t>
                  </w:r>
                  <w:r>
                    <w:rPr>
                      <w:color w:val="58595B"/>
                      <w:position w:val="7"/>
                      <w:sz w:val="11"/>
                    </w:rPr>
                    <w:t>18 </w:t>
                  </w:r>
                  <w:r>
                    <w:rPr>
                      <w:color w:val="58595B"/>
                      <w:sz w:val="20"/>
                    </w:rPr>
                    <w:t>with the following functions and powers:</w:t>
                  </w:r>
                </w:p>
              </w:txbxContent>
            </v:textbox>
            <w10:wrap type="none"/>
          </v:shape>
        </w:pict>
      </w:r>
      <w:r>
        <w:rPr/>
        <w:pict>
          <v:shape style="position:absolute;margin-left:89.709801pt;margin-top:554.758057pt;width:13.65pt;height:12pt;mso-position-horizontal-relative:page;mso-position-vertical-relative:page;z-index:-193192" type="#_x0000_t202" filled="false" stroked="false">
            <v:textbox inset="0,0,0,0">
              <w:txbxContent>
                <w:p>
                  <w:pPr>
                    <w:spacing w:line="224" w:lineRule="exact" w:before="0"/>
                    <w:ind w:left="20" w:right="-12" w:firstLine="0"/>
                    <w:jc w:val="left"/>
                    <w:rPr>
                      <w:i/>
                      <w:sz w:val="20"/>
                    </w:rPr>
                  </w:pPr>
                  <w:r>
                    <w:rPr>
                      <w:i/>
                      <w:color w:val="58595B"/>
                      <w:sz w:val="20"/>
                    </w:rPr>
                    <w:t>(a)</w:t>
                  </w:r>
                </w:p>
              </w:txbxContent>
            </v:textbox>
            <w10:wrap type="none"/>
          </v:shape>
        </w:pict>
      </w:r>
      <w:r>
        <w:rPr/>
        <w:pict>
          <v:shape style="position:absolute;margin-left:106.719803pt;margin-top:554.758057pt;width:386.35pt;height:119.25pt;mso-position-horizontal-relative:page;mso-position-vertical-relative:page;z-index:-193168" type="#_x0000_t202" filled="false" stroked="false">
            <v:textbox inset="0,0,0,0">
              <w:txbxContent>
                <w:p>
                  <w:pPr>
                    <w:spacing w:line="280" w:lineRule="auto" w:before="0"/>
                    <w:ind w:left="20" w:right="933" w:firstLine="0"/>
                    <w:jc w:val="left"/>
                    <w:rPr>
                      <w:i/>
                      <w:sz w:val="20"/>
                    </w:rPr>
                  </w:pPr>
                  <w:r>
                    <w:rPr>
                      <w:i/>
                      <w:color w:val="58595B"/>
                      <w:sz w:val="20"/>
                    </w:rPr>
                    <w:t>to develop and implement strategies to promote and protect public health and wellbeing;</w:t>
                  </w:r>
                </w:p>
                <w:p>
                  <w:pPr>
                    <w:spacing w:line="280" w:lineRule="auto" w:before="87"/>
                    <w:ind w:left="20" w:right="15" w:firstLine="0"/>
                    <w:jc w:val="left"/>
                    <w:rPr>
                      <w:i/>
                      <w:sz w:val="20"/>
                    </w:rPr>
                  </w:pPr>
                  <w:r>
                    <w:rPr>
                      <w:i/>
                      <w:color w:val="58595B"/>
                      <w:sz w:val="20"/>
                    </w:rPr>
                    <w:t>to provide advice to the Minister or the Secretary on matters relating to public health and wellbeing;</w:t>
                  </w:r>
                </w:p>
                <w:p>
                  <w:pPr>
                    <w:spacing w:line="280" w:lineRule="auto" w:before="87"/>
                    <w:ind w:left="20" w:right="15" w:firstLine="0"/>
                    <w:jc w:val="left"/>
                    <w:rPr>
                      <w:i/>
                      <w:sz w:val="20"/>
                    </w:rPr>
                  </w:pPr>
                  <w:r>
                    <w:rPr>
                      <w:i/>
                      <w:color w:val="58595B"/>
                      <w:sz w:val="20"/>
                    </w:rPr>
                    <w:t>to publish on a biennial basis and make available in an accessible manner to members of the public a comprehensive report on public health and wellbeing in Victoria;</w:t>
                  </w:r>
                </w:p>
                <w:p>
                  <w:pPr>
                    <w:spacing w:line="280" w:lineRule="auto" w:before="87"/>
                    <w:ind w:left="20" w:right="15" w:firstLine="0"/>
                    <w:jc w:val="left"/>
                    <w:rPr>
                      <w:i/>
                      <w:sz w:val="11"/>
                    </w:rPr>
                  </w:pPr>
                  <w:r>
                    <w:rPr>
                      <w:i/>
                      <w:color w:val="58595B"/>
                      <w:sz w:val="20"/>
                    </w:rPr>
                    <w:t>to perform any other functions or exercise any powers specified under this Act or any other Act or under any regulations made under this or any other Act.</w:t>
                  </w:r>
                  <w:r>
                    <w:rPr>
                      <w:i/>
                      <w:color w:val="58595B"/>
                      <w:position w:val="7"/>
                      <w:sz w:val="11"/>
                    </w:rPr>
                    <w:t>19</w:t>
                  </w:r>
                </w:p>
              </w:txbxContent>
            </v:textbox>
            <w10:wrap type="none"/>
          </v:shape>
        </w:pict>
      </w:r>
      <w:r>
        <w:rPr/>
        <w:pict>
          <v:shape style="position:absolute;margin-left:89.709801pt;margin-top:586.008057pt;width:13.9pt;height:12pt;mso-position-horizontal-relative:page;mso-position-vertical-relative:page;z-index:-193144" type="#_x0000_t202" filled="false" stroked="false">
            <v:textbox inset="0,0,0,0">
              <w:txbxContent>
                <w:p>
                  <w:pPr>
                    <w:spacing w:line="224" w:lineRule="exact" w:before="0"/>
                    <w:ind w:left="20" w:right="-7" w:firstLine="0"/>
                    <w:jc w:val="left"/>
                    <w:rPr>
                      <w:i/>
                      <w:sz w:val="20"/>
                    </w:rPr>
                  </w:pPr>
                  <w:r>
                    <w:rPr>
                      <w:i/>
                      <w:color w:val="58595B"/>
                      <w:sz w:val="20"/>
                    </w:rPr>
                    <w:t>(b)</w:t>
                  </w:r>
                </w:p>
              </w:txbxContent>
            </v:textbox>
            <w10:wrap type="none"/>
          </v:shape>
        </w:pict>
      </w:r>
      <w:r>
        <w:rPr/>
        <w:pict>
          <v:shape style="position:absolute;margin-left:89.709801pt;margin-top:617.258057pt;width:13.15pt;height:12pt;mso-position-horizontal-relative:page;mso-position-vertical-relative:page;z-index:-193120" type="#_x0000_t202" filled="false" stroked="false">
            <v:textbox inset="0,0,0,0">
              <w:txbxContent>
                <w:p>
                  <w:pPr>
                    <w:spacing w:line="224" w:lineRule="exact" w:before="0"/>
                    <w:ind w:left="20" w:right="-11" w:firstLine="0"/>
                    <w:jc w:val="left"/>
                    <w:rPr>
                      <w:i/>
                      <w:sz w:val="20"/>
                    </w:rPr>
                  </w:pPr>
                  <w:r>
                    <w:rPr>
                      <w:i/>
                      <w:color w:val="58595B"/>
                      <w:sz w:val="20"/>
                    </w:rPr>
                    <w:t>(c)</w:t>
                  </w:r>
                </w:p>
              </w:txbxContent>
            </v:textbox>
            <w10:wrap type="none"/>
          </v:shape>
        </w:pict>
      </w:r>
      <w:r>
        <w:rPr/>
        <w:pict>
          <v:shape style="position:absolute;margin-left:89.709801pt;margin-top:648.508057pt;width:13.95pt;height:12pt;mso-position-horizontal-relative:page;mso-position-vertical-relative:page;z-index:-193096" type="#_x0000_t202" filled="false" stroked="false">
            <v:textbox inset="0,0,0,0">
              <w:txbxContent>
                <w:p>
                  <w:pPr>
                    <w:spacing w:line="224" w:lineRule="exact" w:before="0"/>
                    <w:ind w:left="20" w:right="-6" w:firstLine="0"/>
                    <w:jc w:val="left"/>
                    <w:rPr>
                      <w:i/>
                      <w:sz w:val="20"/>
                    </w:rPr>
                  </w:pPr>
                  <w:r>
                    <w:rPr>
                      <w:i/>
                      <w:color w:val="58595B"/>
                      <w:sz w:val="20"/>
                    </w:rPr>
                    <w:t>(d)</w:t>
                  </w:r>
                </w:p>
              </w:txbxContent>
            </v:textbox>
            <w10:wrap type="none"/>
          </v:shape>
        </w:pict>
      </w:r>
      <w:r>
        <w:rPr/>
        <w:pict>
          <v:shape style="position:absolute;margin-left:534.996094pt;margin-top:44.090015pt;width:60.3pt;height:5.25pt;mso-position-horizontal-relative:page;mso-position-vertical-relative:page;z-index:-19307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304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93024" from=".0pt,45.840015pt" to="60.2791pt,45.840015pt" stroked="true" strokeweight="7pt" strokecolor="#0095a7">
            <w10:wrap type="none"/>
          </v:line>
        </w:pict>
      </w:r>
      <w:r>
        <w:rPr/>
        <w:pict>
          <v:shape style="position:absolute;margin-left:69.866096pt;margin-top:40.902756pt;width:13.85pt;height:9.5pt;mso-position-horizontal-relative:page;mso-position-vertical-relative:page;z-index:-193000" type="#_x0000_t202" filled="false" stroked="false">
            <v:textbox inset="0,0,0,0">
              <w:txbxContent>
                <w:p>
                  <w:pPr>
                    <w:spacing w:before="1"/>
                    <w:ind w:left="20" w:right="-14" w:firstLine="0"/>
                    <w:jc w:val="left"/>
                    <w:rPr>
                      <w:sz w:val="15"/>
                    </w:rPr>
                  </w:pPr>
                  <w:r>
                    <w:rPr>
                      <w:color w:val="58595B"/>
                      <w:sz w:val="15"/>
                    </w:rPr>
                    <w:t>116</w:t>
                  </w:r>
                </w:p>
              </w:txbxContent>
            </v:textbox>
            <w10:wrap type="none"/>
          </v:shape>
        </w:pict>
      </w:r>
      <w:r>
        <w:rPr/>
        <w:pict>
          <v:shape style="position:absolute;margin-left:95.377899pt;margin-top:40.902756pt;width:147.75pt;height:9.5pt;mso-position-horizontal-relative:page;mso-position-vertical-relative:page;z-index:-192976"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18.15pt;height:150.550pt;mso-position-horizontal-relative:page;mso-position-vertical-relative:page;z-index:-192952" type="#_x0000_t202" filled="false" stroked="false">
            <v:textbox inset="0,0,0,0">
              <w:txbxContent>
                <w:p>
                  <w:pPr>
                    <w:pStyle w:val="BodyText"/>
                    <w:spacing w:line="280" w:lineRule="auto"/>
                    <w:ind w:right="137"/>
                  </w:pPr>
                  <w:r>
                    <w:rPr>
                      <w:color w:val="58595B"/>
                    </w:rPr>
                    <w:t>We do not consider that it is appropriate or necessary for the Chief Environmental Scientist to have statutory powers like those of the Chief Health Officer. But detailing the following </w:t>
                  </w:r>
                  <w:r>
                    <w:rPr>
                      <w:color w:val="58595B"/>
                      <w:spacing w:val="-3"/>
                    </w:rPr>
                    <w:t>key </w:t>
                  </w:r>
                  <w:r>
                    <w:rPr>
                      <w:color w:val="58595B"/>
                    </w:rPr>
                    <w:t>functions in legislation is important for</w:t>
                  </w:r>
                  <w:r>
                    <w:rPr>
                      <w:color w:val="58595B"/>
                      <w:spacing w:val="20"/>
                    </w:rPr>
                    <w:t> </w:t>
                  </w:r>
                  <w:r>
                    <w:rPr>
                      <w:color w:val="58595B"/>
                    </w:rPr>
                    <w:t>transparency:</w:t>
                  </w:r>
                </w:p>
                <w:p>
                  <w:pPr>
                    <w:pStyle w:val="ListParagraph"/>
                    <w:numPr>
                      <w:ilvl w:val="0"/>
                      <w:numId w:val="44"/>
                    </w:numPr>
                    <w:tabs>
                      <w:tab w:pos="190" w:val="left" w:leader="none"/>
                    </w:tabs>
                    <w:spacing w:line="280" w:lineRule="auto" w:before="115" w:after="0"/>
                    <w:ind w:left="190" w:right="103" w:hanging="170"/>
                    <w:jc w:val="left"/>
                    <w:rPr>
                      <w:sz w:val="20"/>
                    </w:rPr>
                  </w:pPr>
                  <w:r>
                    <w:rPr>
                      <w:color w:val="58595B"/>
                      <w:sz w:val="20"/>
                    </w:rPr>
                    <w:t>to advise the </w:t>
                  </w:r>
                  <w:r>
                    <w:rPr>
                      <w:color w:val="58595B"/>
                      <w:spacing w:val="-4"/>
                      <w:sz w:val="20"/>
                    </w:rPr>
                    <w:t>EPA </w:t>
                  </w:r>
                  <w:r>
                    <w:rPr>
                      <w:color w:val="58595B"/>
                      <w:sz w:val="20"/>
                    </w:rPr>
                    <w:t>Chief Executive </w:t>
                  </w:r>
                  <w:r>
                    <w:rPr>
                      <w:color w:val="58595B"/>
                      <w:spacing w:val="2"/>
                      <w:sz w:val="20"/>
                    </w:rPr>
                    <w:t>Officer </w:t>
                  </w:r>
                  <w:r>
                    <w:rPr>
                      <w:color w:val="58595B"/>
                      <w:spacing w:val="-4"/>
                      <w:sz w:val="20"/>
                    </w:rPr>
                    <w:t>(CEO) </w:t>
                  </w:r>
                  <w:r>
                    <w:rPr>
                      <w:color w:val="58595B"/>
                      <w:sz w:val="20"/>
                    </w:rPr>
                    <w:t>on scientific matters relating to preventing or minimising harms from pollution and</w:t>
                  </w:r>
                  <w:r>
                    <w:rPr>
                      <w:color w:val="58595B"/>
                      <w:spacing w:val="2"/>
                      <w:sz w:val="20"/>
                    </w:rPr>
                    <w:t> </w:t>
                  </w:r>
                  <w:r>
                    <w:rPr>
                      <w:color w:val="58595B"/>
                      <w:sz w:val="20"/>
                    </w:rPr>
                    <w:t>waste</w:t>
                  </w:r>
                </w:p>
                <w:p>
                  <w:pPr>
                    <w:pStyle w:val="ListParagraph"/>
                    <w:numPr>
                      <w:ilvl w:val="0"/>
                      <w:numId w:val="44"/>
                    </w:numPr>
                    <w:tabs>
                      <w:tab w:pos="190" w:val="left" w:leader="none"/>
                    </w:tabs>
                    <w:spacing w:line="280" w:lineRule="auto" w:before="115" w:after="0"/>
                    <w:ind w:left="190" w:right="17" w:hanging="170"/>
                    <w:jc w:val="left"/>
                    <w:rPr>
                      <w:sz w:val="20"/>
                    </w:rPr>
                  </w:pPr>
                  <w:r>
                    <w:rPr>
                      <w:color w:val="58595B"/>
                      <w:sz w:val="20"/>
                    </w:rPr>
                    <w:t>to advise the Chief Health Officer, including in response to requests, for example about environmental conditions that may give rise to health risks and on technical assessment of environmental health issues, in the context of incident and emergency response and as part of proactive risk</w:t>
                  </w:r>
                  <w:r>
                    <w:rPr>
                      <w:color w:val="58595B"/>
                      <w:spacing w:val="-1"/>
                      <w:sz w:val="20"/>
                    </w:rPr>
                    <w:t> </w:t>
                  </w:r>
                  <w:r>
                    <w:rPr>
                      <w:color w:val="58595B"/>
                      <w:sz w:val="20"/>
                    </w:rPr>
                    <w:t>management</w:t>
                  </w:r>
                </w:p>
                <w:p>
                  <w:pPr>
                    <w:pStyle w:val="ListParagraph"/>
                    <w:numPr>
                      <w:ilvl w:val="0"/>
                      <w:numId w:val="44"/>
                    </w:numPr>
                    <w:tabs>
                      <w:tab w:pos="190" w:val="left" w:leader="none"/>
                    </w:tabs>
                    <w:spacing w:line="240" w:lineRule="auto" w:before="115" w:after="0"/>
                    <w:ind w:left="190" w:right="0" w:hanging="170"/>
                    <w:jc w:val="left"/>
                    <w:rPr>
                      <w:sz w:val="20"/>
                    </w:rPr>
                  </w:pPr>
                  <w:r>
                    <w:rPr>
                      <w:color w:val="58595B"/>
                      <w:sz w:val="20"/>
                    </w:rPr>
                    <w:t>to advise other </w:t>
                  </w:r>
                  <w:r>
                    <w:rPr>
                      <w:color w:val="58595B"/>
                      <w:spacing w:val="-3"/>
                      <w:sz w:val="20"/>
                    </w:rPr>
                    <w:t>key </w:t>
                  </w:r>
                  <w:r>
                    <w:rPr>
                      <w:color w:val="58595B"/>
                      <w:sz w:val="20"/>
                    </w:rPr>
                    <w:t>functionaries as necessary, such as the Chief Veterinary</w:t>
                  </w:r>
                  <w:r>
                    <w:rPr>
                      <w:color w:val="58595B"/>
                      <w:spacing w:val="13"/>
                      <w:sz w:val="20"/>
                    </w:rPr>
                    <w:t> </w:t>
                  </w:r>
                  <w:r>
                    <w:rPr>
                      <w:color w:val="58595B"/>
                      <w:sz w:val="20"/>
                    </w:rPr>
                    <w:t>Officer.</w:t>
                  </w:r>
                </w:p>
              </w:txbxContent>
            </v:textbox>
            <w10:wrap type="none"/>
          </v:shape>
        </w:pict>
      </w:r>
      <w:r>
        <w:rPr/>
        <w:pict>
          <v:shape style="position:absolute;margin-left:69.866096pt;margin-top:266.403961pt;width:435.45pt;height:66pt;mso-position-horizontal-relative:page;mso-position-vertical-relative:page;z-index:-192928" type="#_x0000_t202" filled="false" stroked="false">
            <v:textbox inset="0,0,0,0">
              <w:txbxContent>
                <w:p>
                  <w:pPr>
                    <w:pStyle w:val="BodyText"/>
                    <w:spacing w:line="280" w:lineRule="auto"/>
                    <w:ind w:right="311"/>
                  </w:pPr>
                  <w:r>
                    <w:rPr>
                      <w:color w:val="58595B"/>
                    </w:rPr>
                    <w:t>The Chief Environmental Scientist is intended to operate with a sufficient degree of authority  to be a trusted source of advice and to provide strategic oversight of </w:t>
                  </w:r>
                  <w:r>
                    <w:rPr>
                      <w:color w:val="58595B"/>
                      <w:spacing w:val="-7"/>
                    </w:rPr>
                    <w:t>EPA’s </w:t>
                  </w:r>
                  <w:r>
                    <w:rPr>
                      <w:color w:val="58595B"/>
                    </w:rPr>
                    <w:t>scientific work.</w:t>
                  </w:r>
                  <w:r>
                    <w:rPr>
                      <w:color w:val="58595B"/>
                      <w:spacing w:val="17"/>
                    </w:rPr>
                    <w:t> </w:t>
                  </w:r>
                  <w:r>
                    <w:rPr>
                      <w:color w:val="58595B"/>
                    </w:rPr>
                    <w:t>The</w:t>
                  </w:r>
                </w:p>
                <w:p>
                  <w:pPr>
                    <w:pStyle w:val="BodyText"/>
                    <w:spacing w:line="280" w:lineRule="auto" w:before="2"/>
                    <w:ind w:right="17"/>
                    <w:jc w:val="both"/>
                  </w:pPr>
                  <w:r>
                    <w:rPr>
                      <w:color w:val="58595B"/>
                    </w:rPr>
                    <w:t>position should therefore report directly to the CEO. We also recommend the Chief Environmental Scientist attends all meetings of the EPA Board’s Science, Engineering and Health subcommittee as an observer.</w:t>
                  </w:r>
                </w:p>
              </w:txbxContent>
            </v:textbox>
            <w10:wrap type="none"/>
          </v:shape>
        </w:pict>
      </w:r>
      <w:r>
        <w:rPr/>
        <w:pict>
          <v:shape style="position:absolute;margin-left:69.866096pt;margin-top:342.403961pt;width:433.05pt;height:79.5pt;mso-position-horizontal-relative:page;mso-position-vertical-relative:page;z-index:-192904" type="#_x0000_t202" filled="false" stroked="false">
            <v:textbox inset="0,0,0,0">
              <w:txbxContent>
                <w:p>
                  <w:pPr>
                    <w:pStyle w:val="BodyText"/>
                    <w:spacing w:line="280" w:lineRule="auto"/>
                  </w:pPr>
                  <w:r>
                    <w:rPr>
                      <w:color w:val="58595B"/>
                    </w:rPr>
                    <w:t>The Chief Environmental Scientist provides the EPA with a clear point of liaison between its scientific experts and those in other key areas of government, such as the Chief Health Officer and the Chief Veterinary Officer. This is important if threats and emergencies require coordinated action across different domains. It will help the EPA to deliver timely advice in response</w:t>
                  </w:r>
                </w:p>
                <w:p>
                  <w:pPr>
                    <w:pStyle w:val="BodyText"/>
                    <w:spacing w:line="280" w:lineRule="auto" w:before="2"/>
                  </w:pPr>
                  <w:r>
                    <w:rPr>
                      <w:color w:val="58595B"/>
                    </w:rPr>
                    <w:t>to incidents and emergencies – where EPA data and expertise is needed to inform health assessments and warnings.</w:t>
                  </w:r>
                </w:p>
              </w:txbxContent>
            </v:textbox>
            <w10:wrap type="none"/>
          </v:shape>
        </w:pict>
      </w:r>
      <w:r>
        <w:rPr/>
        <w:pict>
          <v:shape style="position:absolute;margin-left:69.866096pt;margin-top:431.903961pt;width:431.85pt;height:66pt;mso-position-horizontal-relative:page;mso-position-vertical-relative:page;z-index:-192880" type="#_x0000_t202" filled="false" stroked="false">
            <v:textbox inset="0,0,0,0">
              <w:txbxContent>
                <w:p>
                  <w:pPr>
                    <w:pStyle w:val="BodyText"/>
                    <w:spacing w:line="280" w:lineRule="auto"/>
                    <w:ind w:right="14"/>
                  </w:pPr>
                  <w:r>
                    <w:rPr>
                      <w:color w:val="58595B"/>
                    </w:rPr>
                    <w:t>The Chief Environmental Scientist will advise the Chief Health Officer directly. This will also allow for coordination of risk communication (for example, relating to asbestos) to ensure consistent messages. The Chief Environmental Scientist will also work with the Chief Health Officer on designing monitoring and surveillance studies conducted by EPA’s environmental health group (discussed below) and agreeing on methods to communicate study results.</w:t>
                  </w:r>
                </w:p>
              </w:txbxContent>
            </v:textbox>
            <w10:wrap type="none"/>
          </v:shape>
        </w:pict>
      </w:r>
      <w:r>
        <w:rPr/>
        <w:pict>
          <v:shape style="position:absolute;margin-left:69.866096pt;margin-top:510.54895pt;width:405.3pt;height:100.3pt;mso-position-horizontal-relative:page;mso-position-vertical-relative:page;z-index:-192856" type="#_x0000_t202" filled="false" stroked="false">
            <v:textbox inset="0,0,0,0">
              <w:txbxContent>
                <w:p>
                  <w:pPr>
                    <w:spacing w:line="265" w:lineRule="exact" w:before="0"/>
                    <w:ind w:left="20" w:right="0" w:firstLine="0"/>
                    <w:jc w:val="left"/>
                    <w:rPr>
                      <w:sz w:val="24"/>
                    </w:rPr>
                  </w:pPr>
                  <w:r>
                    <w:rPr>
                      <w:color w:val="0095A7"/>
                      <w:sz w:val="24"/>
                    </w:rPr>
                    <w:t>6.7  Strengthening the EPA’s capacity to protect public  health</w:t>
                  </w:r>
                </w:p>
                <w:p>
                  <w:pPr>
                    <w:spacing w:line="280" w:lineRule="auto" w:before="145"/>
                    <w:ind w:left="586" w:right="0" w:firstLine="0"/>
                    <w:jc w:val="left"/>
                    <w:rPr>
                      <w:sz w:val="20"/>
                    </w:rPr>
                  </w:pPr>
                  <w:r>
                    <w:rPr>
                      <w:i/>
                      <w:color w:val="231F20"/>
                      <w:sz w:val="20"/>
                    </w:rPr>
                    <w:t>A clearer role for the EPA on issues that affect our health and wellbeing. Individual citizens have very little capacity to manage their exposure to pollution. The EPA needs a much stronger role when it comes to protecting human health. Communities need greater clarity around who is responsible for protecting us from noise, air pollution and other things that affect our health and wellbeing. </w:t>
                  </w:r>
                  <w:r>
                    <w:rPr>
                      <w:color w:val="231F20"/>
                      <w:sz w:val="20"/>
                    </w:rPr>
                    <w:t>(Maribyrnong Truck Action Group submission, p. 6)</w:t>
                  </w:r>
                </w:p>
              </w:txbxContent>
            </v:textbox>
            <w10:wrap type="none"/>
          </v:shape>
        </w:pict>
      </w:r>
      <w:r>
        <w:rPr/>
        <w:pict>
          <v:shape style="position:absolute;margin-left:69.862602pt;margin-top:620.838745pt;width:430.45pt;height:66pt;mso-position-horizontal-relative:page;mso-position-vertical-relative:page;z-index:-192832" type="#_x0000_t202" filled="false" stroked="false">
            <v:textbox inset="0,0,0,0">
              <w:txbxContent>
                <w:p>
                  <w:pPr>
                    <w:pStyle w:val="BodyText"/>
                    <w:spacing w:line="280" w:lineRule="auto"/>
                  </w:pPr>
                  <w:r>
                    <w:rPr>
                      <w:color w:val="58595B"/>
                    </w:rPr>
                    <w:t>We propose a strengthened focus on managing pollution and waste risks to prevent harm to public health in Victoria. We reflected this focus in our proposed objective and functions for the EPA, and as we considered the adequacy of its tools, instruments and specialist capabilities. But we also recommend enhancing the EPA’s technical capability on public health, to complement other measures to reduce risks to public health.</w:t>
                  </w:r>
                </w:p>
              </w:txbxContent>
            </v:textbox>
            <w10:wrap type="none"/>
          </v:shape>
        </w:pict>
      </w:r>
      <w:r>
        <w:rPr/>
        <w:pict>
          <v:shape style="position:absolute;margin-left:69.862602pt;margin-top:696.838745pt;width:423.7pt;height:52.5pt;mso-position-horizontal-relative:page;mso-position-vertical-relative:page;z-index:-192808" type="#_x0000_t202" filled="false" stroked="false">
            <v:textbox inset="0,0,0,0">
              <w:txbxContent>
                <w:p>
                  <w:pPr>
                    <w:pStyle w:val="BodyText"/>
                    <w:spacing w:line="280" w:lineRule="auto"/>
                  </w:pPr>
                  <w:r>
                    <w:rPr>
                      <w:color w:val="58595B"/>
                    </w:rPr>
                    <w:t>Despite the growing understanding of the risks pollution and waste pose to public health, public health experts argue investment in protecting against these risks has fallen over time, both in Victoria and across Australia more generally. This is despite growing evidence of the health benefits of environmental protection.</w:t>
                  </w:r>
                </w:p>
              </w:txbxContent>
            </v:textbox>
            <w10:wrap type="none"/>
          </v:shape>
        </w:pict>
      </w:r>
      <w:r>
        <w:rPr/>
        <w:pict>
          <v:shape style="position:absolute;margin-left:.0pt;margin-top:44.090015pt;width:60.3pt;height:5.25pt;mso-position-horizontal-relative:page;mso-position-vertical-relative:page;z-index:-192784"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92760"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92736" from="534.996094pt,45.840015pt" to="595.276001pt,45.840015pt" stroked="true" strokeweight="7pt" strokecolor="#0095a7">
            <w10:wrap type="none"/>
          </v:line>
        </w:pict>
      </w:r>
      <w:r>
        <w:rPr/>
        <w:pict>
          <v:shape style="position:absolute;margin-left:280.512512pt;margin-top:40.902756pt;width:219.35pt;height:9.5pt;mso-position-horizontal-relative:page;mso-position-vertical-relative:page;z-index:-192712" type="#_x0000_t202" filled="false" stroked="false">
            <v:textbox inset="0,0,0,0">
              <w:txbxContent>
                <w:p>
                  <w:pPr>
                    <w:spacing w:before="1"/>
                    <w:ind w:left="20" w:right="0" w:firstLine="0"/>
                    <w:jc w:val="left"/>
                    <w:rPr>
                      <w:sz w:val="15"/>
                    </w:rPr>
                  </w:pPr>
                  <w:r>
                    <w:rPr>
                      <w:color w:val="58595B"/>
                      <w:sz w:val="15"/>
                    </w:rPr>
                    <w:t>CHAPTER 6    THE EPA ASA SCIENCE-BASED REGULATOR</w:t>
                  </w:r>
                </w:p>
              </w:txbxContent>
            </v:textbox>
            <w10:wrap type="none"/>
          </v:shape>
        </w:pict>
      </w:r>
      <w:r>
        <w:rPr/>
        <w:pict>
          <v:shape style="position:absolute;margin-left:511.752502pt;margin-top:40.902756pt;width:13.65pt;height:9.5pt;mso-position-horizontal-relative:page;mso-position-vertical-relative:page;z-index:-192688" type="#_x0000_t202" filled="false" stroked="false">
            <v:textbox inset="0,0,0,0">
              <w:txbxContent>
                <w:p>
                  <w:pPr>
                    <w:spacing w:before="1"/>
                    <w:ind w:left="20" w:right="-18" w:firstLine="0"/>
                    <w:jc w:val="left"/>
                    <w:rPr>
                      <w:sz w:val="15"/>
                    </w:rPr>
                  </w:pPr>
                  <w:r>
                    <w:rPr>
                      <w:color w:val="58595B"/>
                      <w:sz w:val="15"/>
                    </w:rPr>
                    <w:t>117</w:t>
                  </w:r>
                </w:p>
              </w:txbxContent>
            </v:textbox>
            <w10:wrap type="none"/>
          </v:shape>
        </w:pict>
      </w:r>
      <w:r>
        <w:rPr/>
        <w:pict>
          <v:shape style="position:absolute;margin-left:118.055099pt;margin-top:105.893967pt;width:370.55pt;height:52.5pt;mso-position-horizontal-relative:page;mso-position-vertical-relative:page;z-index:-192664" type="#_x0000_t202" filled="false" stroked="false">
            <v:textbox inset="0,0,0,0">
              <w:txbxContent>
                <w:p>
                  <w:pPr>
                    <w:spacing w:line="280" w:lineRule="auto" w:before="0"/>
                    <w:ind w:left="20" w:right="0" w:firstLine="0"/>
                    <w:jc w:val="left"/>
                    <w:rPr>
                      <w:sz w:val="11"/>
                    </w:rPr>
                  </w:pPr>
                  <w:r>
                    <w:rPr>
                      <w:i/>
                      <w:color w:val="231F20"/>
                      <w:sz w:val="20"/>
                    </w:rPr>
                    <w:t>Modest improvements in PM2.5 in relatively clean regions (North America, Europe) would result in surprisingly large avoided mortality, owing to demographic factors and the nonlinear concentration-response relationship that describes the risk of particulate matter in relation to several important causes of death.</w:t>
                  </w:r>
                  <w:r>
                    <w:rPr>
                      <w:color w:val="231F20"/>
                      <w:position w:val="7"/>
                      <w:sz w:val="11"/>
                    </w:rPr>
                    <w:t>20</w:t>
                  </w:r>
                </w:p>
              </w:txbxContent>
            </v:textbox>
            <w10:wrap type="none"/>
          </v:shape>
        </w:pict>
      </w:r>
      <w:r>
        <w:rPr/>
        <w:pict>
          <v:shape style="position:absolute;margin-left:89.708603pt;margin-top:168.397873pt;width:422.5pt;height:39pt;mso-position-horizontal-relative:page;mso-position-vertical-relative:page;z-index:-192640" type="#_x0000_t202" filled="false" stroked="false">
            <v:textbox inset="0,0,0,0">
              <w:txbxContent>
                <w:p>
                  <w:pPr>
                    <w:pStyle w:val="BodyText"/>
                    <w:spacing w:line="280" w:lineRule="auto"/>
                  </w:pPr>
                  <w:r>
                    <w:rPr>
                      <w:color w:val="58595B"/>
                    </w:rPr>
                    <w:t>Past successes in addressing more obvious forms of point source pollution in the 20th Century may have created complacency about these risks, with resources being allocated to more obvious or immediate risks:</w:t>
                  </w:r>
                </w:p>
              </w:txbxContent>
            </v:textbox>
            <w10:wrap type="none"/>
          </v:shape>
        </w:pict>
      </w:r>
      <w:r>
        <w:rPr/>
        <w:pict>
          <v:shape style="position:absolute;margin-left:118.058601pt;margin-top:217.397873pt;width:338pt;height:25.5pt;mso-position-horizontal-relative:page;mso-position-vertical-relative:page;z-index:-192616" type="#_x0000_t202" filled="false" stroked="false">
            <v:textbox inset="0,0,0,0">
              <w:txbxContent>
                <w:p>
                  <w:pPr>
                    <w:spacing w:line="280" w:lineRule="auto" w:before="0"/>
                    <w:ind w:left="20" w:right="16" w:firstLine="0"/>
                    <w:jc w:val="left"/>
                    <w:rPr>
                      <w:sz w:val="11"/>
                    </w:rPr>
                  </w:pPr>
                  <w:r>
                    <w:rPr>
                      <w:i/>
                      <w:color w:val="231F20"/>
                      <w:sz w:val="20"/>
                    </w:rPr>
                    <w:t>Environmental hazards rarely result in immediate illness and adverse health outcomes may result from an accumulation of exposures.</w:t>
                  </w:r>
                  <w:r>
                    <w:rPr>
                      <w:color w:val="231F20"/>
                      <w:position w:val="7"/>
                      <w:sz w:val="11"/>
                    </w:rPr>
                    <w:t>21</w:t>
                  </w:r>
                </w:p>
              </w:txbxContent>
            </v:textbox>
            <w10:wrap type="none"/>
          </v:shape>
        </w:pict>
      </w:r>
      <w:r>
        <w:rPr/>
        <w:pict>
          <v:shape style="position:absolute;margin-left:89.708603pt;margin-top:252.905762pt;width:425.7pt;height:25.5pt;mso-position-horizontal-relative:page;mso-position-vertical-relative:page;z-index:-192592" type="#_x0000_t202" filled="false" stroked="false">
            <v:textbox inset="0,0,0,0">
              <w:txbxContent>
                <w:p>
                  <w:pPr>
                    <w:pStyle w:val="BodyText"/>
                    <w:spacing w:line="280" w:lineRule="auto"/>
                  </w:pPr>
                  <w:r>
                    <w:rPr>
                      <w:color w:val="58595B"/>
                    </w:rPr>
                    <w:t>This trend is exacerbated by the lack of data about pollution and waste impacts on public health to track issues, and hence identify these risks:</w:t>
                  </w:r>
                </w:p>
              </w:txbxContent>
            </v:textbox>
            <w10:wrap type="none"/>
          </v:shape>
        </w:pict>
      </w:r>
      <w:r>
        <w:rPr/>
        <w:pict>
          <v:shape style="position:absolute;margin-left:118.058601pt;margin-top:288.405762pt;width:374.25pt;height:25.5pt;mso-position-horizontal-relative:page;mso-position-vertical-relative:page;z-index:-192568" type="#_x0000_t202" filled="false" stroked="false">
            <v:textbox inset="0,0,0,0">
              <w:txbxContent>
                <w:p>
                  <w:pPr>
                    <w:spacing w:line="280" w:lineRule="auto" w:before="0"/>
                    <w:ind w:left="20" w:right="0" w:firstLine="0"/>
                    <w:jc w:val="left"/>
                    <w:rPr>
                      <w:sz w:val="11"/>
                    </w:rPr>
                  </w:pPr>
                  <w:r>
                    <w:rPr>
                      <w:i/>
                      <w:color w:val="231F20"/>
                      <w:sz w:val="20"/>
                    </w:rPr>
                    <w:t>[I]t has been widely acknowledged that evidentiary environmental health information is lacking at all levels of government throughout the world.</w:t>
                  </w:r>
                  <w:r>
                    <w:rPr>
                      <w:color w:val="231F20"/>
                      <w:position w:val="7"/>
                      <w:sz w:val="11"/>
                    </w:rPr>
                    <w:t>22</w:t>
                  </w:r>
                </w:p>
              </w:txbxContent>
            </v:textbox>
            <w10:wrap type="none"/>
          </v:shape>
        </w:pict>
      </w:r>
      <w:r>
        <w:rPr/>
        <w:pict>
          <v:shape style="position:absolute;margin-left:89.708603pt;margin-top:323.913574pt;width:435.3pt;height:12pt;mso-position-horizontal-relative:page;mso-position-vertical-relative:page;z-index:-192544" type="#_x0000_t202" filled="false" stroked="false">
            <v:textbox inset="0,0,0,0">
              <w:txbxContent>
                <w:p>
                  <w:pPr>
                    <w:pStyle w:val="BodyText"/>
                    <w:spacing w:line="224" w:lineRule="exact"/>
                  </w:pPr>
                  <w:r>
                    <w:rPr>
                      <w:color w:val="58595B"/>
                    </w:rPr>
                    <w:t>This lack of investment is in contrast to the focus and investment in the clinical healthcare system:</w:t>
                  </w:r>
                </w:p>
              </w:txbxContent>
            </v:textbox>
            <w10:wrap type="none"/>
          </v:shape>
        </w:pict>
      </w:r>
      <w:r>
        <w:rPr/>
        <w:pict>
          <v:shape style="position:absolute;margin-left:118.058601pt;margin-top:345.913574pt;width:363.55pt;height:52.5pt;mso-position-horizontal-relative:page;mso-position-vertical-relative:page;z-index:-192520" type="#_x0000_t202" filled="false" stroked="false">
            <v:textbox inset="0,0,0,0">
              <w:txbxContent>
                <w:p>
                  <w:pPr>
                    <w:spacing w:line="280" w:lineRule="auto" w:before="0"/>
                    <w:ind w:left="20" w:right="0" w:firstLine="0"/>
                    <w:jc w:val="left"/>
                    <w:rPr>
                      <w:sz w:val="11"/>
                    </w:rPr>
                  </w:pPr>
                  <w:r>
                    <w:rPr>
                      <w:i/>
                      <w:color w:val="231F20"/>
                      <w:sz w:val="20"/>
                    </w:rPr>
                    <w:t>As a result of the growth of the individual and predominantly remedial (medical intervention focused) healthcare industry throughout the 20th Century, public and environmental health was relegated to the position of poor cousin, both in popular profile and allocation of resources.</w:t>
                  </w:r>
                  <w:r>
                    <w:rPr>
                      <w:color w:val="231F20"/>
                      <w:position w:val="7"/>
                      <w:sz w:val="11"/>
                    </w:rPr>
                    <w:t>23</w:t>
                  </w:r>
                </w:p>
              </w:txbxContent>
            </v:textbox>
            <w10:wrap type="none"/>
          </v:shape>
        </w:pict>
      </w:r>
      <w:r>
        <w:rPr/>
        <w:pict>
          <v:shape style="position:absolute;margin-left:89.698601pt;margin-top:412.673462pt;width:420.6pt;height:71.7pt;mso-position-horizontal-relative:page;mso-position-vertical-relative:page;z-index:-192496" type="#_x0000_t202" filled="false" stroked="false">
            <v:textbox inset="0,0,0,0">
              <w:txbxContent>
                <w:p>
                  <w:pPr>
                    <w:pStyle w:val="BodyText"/>
                    <w:spacing w:line="224" w:lineRule="exact"/>
                  </w:pPr>
                  <w:r>
                    <w:rPr>
                      <w:color w:val="0095A7"/>
                    </w:rPr>
                    <w:t>6.7.1  Consolidating and enhancing Victoria’s environmental health capabilities</w:t>
                  </w:r>
                </w:p>
                <w:p>
                  <w:pPr>
                    <w:pStyle w:val="BodyText"/>
                    <w:spacing w:line="280" w:lineRule="auto" w:before="153"/>
                  </w:pPr>
                  <w:r>
                    <w:rPr>
                      <w:color w:val="58595B"/>
                    </w:rPr>
                    <w:t>We consider that Victoria needs an enhanced environmental health capability – to address current and emerging issues, to support the government’s commitment to prevention and resilience as priorities for emergency management, and to meet the community’s expectations for risk management and more timely and accessible risk information.</w:t>
                  </w:r>
                </w:p>
              </w:txbxContent>
            </v:textbox>
            <w10:wrap type="none"/>
          </v:shape>
        </w:pict>
      </w:r>
      <w:r>
        <w:rPr/>
        <w:pict>
          <v:shape style="position:absolute;margin-left:89.698601pt;margin-top:494.343475pt;width:425.75pt;height:52.5pt;mso-position-horizontal-relative:page;mso-position-vertical-relative:page;z-index:-192472" type="#_x0000_t202" filled="false" stroked="false">
            <v:textbox inset="0,0,0,0">
              <w:txbxContent>
                <w:p>
                  <w:pPr>
                    <w:pStyle w:val="BodyText"/>
                    <w:spacing w:line="280" w:lineRule="auto"/>
                    <w:ind w:right="30"/>
                  </w:pPr>
                  <w:r>
                    <w:rPr>
                      <w:color w:val="58595B"/>
                    </w:rPr>
                    <w:t>We propose establishing a new specialist environmental health group within the </w:t>
                  </w:r>
                  <w:r>
                    <w:rPr>
                      <w:color w:val="58595B"/>
                      <w:spacing w:val="-4"/>
                    </w:rPr>
                    <w:t>EPA </w:t>
                  </w:r>
                  <w:r>
                    <w:rPr>
                      <w:color w:val="58595B"/>
                    </w:rPr>
                    <w:t>that would consolidate and build the expertise currently available in DHHS and the EPA. This will provide  a critical mass of expertise, better integrate the work of DHHS and the EPA, and leverage the </w:t>
                  </w:r>
                  <w:r>
                    <w:rPr>
                      <w:color w:val="58595B"/>
                      <w:spacing w:val="-7"/>
                    </w:rPr>
                    <w:t>EPA’s </w:t>
                  </w:r>
                  <w:r>
                    <w:rPr>
                      <w:color w:val="58595B"/>
                    </w:rPr>
                    <w:t>understanding of pollution and waste problems and its strong scientific</w:t>
                  </w:r>
                  <w:r>
                    <w:rPr>
                      <w:color w:val="58595B"/>
                      <w:spacing w:val="14"/>
                    </w:rPr>
                    <w:t> </w:t>
                  </w:r>
                  <w:r>
                    <w:rPr>
                      <w:color w:val="58595B"/>
                    </w:rPr>
                    <w:t>base.</w:t>
                  </w:r>
                </w:p>
              </w:txbxContent>
            </v:textbox>
            <w10:wrap type="none"/>
          </v:shape>
        </w:pict>
      </w:r>
      <w:r>
        <w:rPr/>
        <w:pict>
          <v:shape style="position:absolute;margin-left:89.698601pt;margin-top:556.843445pt;width:433.45pt;height:52.5pt;mso-position-horizontal-relative:page;mso-position-vertical-relative:page;z-index:-192448" type="#_x0000_t202" filled="false" stroked="false">
            <v:textbox inset="0,0,0,0">
              <w:txbxContent>
                <w:p>
                  <w:pPr>
                    <w:pStyle w:val="BodyText"/>
                    <w:spacing w:line="280" w:lineRule="auto"/>
                  </w:pPr>
                  <w:r>
                    <w:rPr>
                      <w:color w:val="58595B"/>
                    </w:rPr>
                    <w:t>The EPA’s existing scientific expertise makes it ideal to host this consolidated and enhanced environmental health group, with relevant staff from DHHS working alongside the EPA’s existing scientific staff. We recognise that DHHS will need ongoing resources, to support the Chief Health Officer in liaising with the EPA and to fulfil DHHS’s broader public health remit.</w:t>
                  </w:r>
                </w:p>
              </w:txbxContent>
            </v:textbox>
            <w10:wrap type="none"/>
          </v:shape>
        </w:pict>
      </w:r>
      <w:r>
        <w:rPr/>
        <w:pict>
          <v:shape style="position:absolute;margin-left:89.698601pt;margin-top:619.343445pt;width:418.2pt;height:39pt;mso-position-horizontal-relative:page;mso-position-vertical-relative:page;z-index:-192424" type="#_x0000_t202" filled="false" stroked="false">
            <v:textbox inset="0,0,0,0">
              <w:txbxContent>
                <w:p>
                  <w:pPr>
                    <w:pStyle w:val="BodyText"/>
                    <w:spacing w:line="280" w:lineRule="auto"/>
                  </w:pPr>
                  <w:r>
                    <w:rPr>
                      <w:color w:val="58595B"/>
                    </w:rPr>
                    <w:t>The environmental health group will fill critical capabilities that are currently not addressed by either the EPA or DHHS. In particular, the group will need increased technical capabilities and additional resources (see chapters 20 and 21).</w:t>
                  </w:r>
                </w:p>
              </w:txbxContent>
            </v:textbox>
            <w10:wrap type="none"/>
          </v:shape>
        </w:pict>
      </w:r>
      <w:r>
        <w:rPr/>
        <w:pict>
          <v:shape style="position:absolute;margin-left:89.698601pt;margin-top:668.343445pt;width:430.5pt;height:39pt;mso-position-horizontal-relative:page;mso-position-vertical-relative:page;z-index:-192400" type="#_x0000_t202" filled="false" stroked="false">
            <v:textbox inset="0,0,0,0">
              <w:txbxContent>
                <w:p>
                  <w:pPr>
                    <w:pStyle w:val="BodyText"/>
                    <w:spacing w:line="280" w:lineRule="auto"/>
                  </w:pPr>
                  <w:r>
                    <w:rPr>
                      <w:color w:val="58595B"/>
                    </w:rPr>
                    <w:t>We do not propose altering the arrangements for communicating public health risk, which should remain the Chief Health Officer’s responsibility. Similarly, DHHS should retain responsibility for wider public health outcomes.</w:t>
                  </w:r>
                </w:p>
              </w:txbxContent>
            </v:textbox>
            <w10:wrap type="none"/>
          </v:shape>
        </w:pict>
      </w:r>
      <w:r>
        <w:rPr/>
        <w:pict>
          <v:shape style="position:absolute;margin-left:89.698601pt;margin-top:717.343445pt;width:423.05pt;height:12pt;mso-position-horizontal-relative:page;mso-position-vertical-relative:page;z-index:-192376" type="#_x0000_t202" filled="false" stroked="false">
            <v:textbox inset="0,0,0,0">
              <w:txbxContent>
                <w:p>
                  <w:pPr>
                    <w:pStyle w:val="BodyText"/>
                    <w:spacing w:line="224" w:lineRule="exact"/>
                    <w:ind w:right="-17"/>
                  </w:pPr>
                  <w:r>
                    <w:rPr>
                      <w:color w:val="58595B"/>
                    </w:rPr>
                    <w:t>Figure 6.1 summarises how we propose enhancing the EPA’s functions to protect public health.</w:t>
                  </w:r>
                </w:p>
              </w:txbxContent>
            </v:textbox>
            <w10:wrap type="none"/>
          </v:shape>
        </w:pict>
      </w:r>
      <w:r>
        <w:rPr/>
        <w:pict>
          <v:shape style="position:absolute;margin-left:534.996094pt;margin-top:44.090015pt;width:60.3pt;height:5.25pt;mso-position-horizontal-relative:page;mso-position-vertical-relative:page;z-index:-19235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232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92304" from=".0pt,45.840015pt" to="60.2791pt,45.840015pt" stroked="true" strokeweight="7pt" strokecolor="#0095a7">
            <w10:wrap type="none"/>
          </v:line>
        </w:pict>
      </w:r>
      <w:r>
        <w:rPr/>
        <w:pict>
          <v:group style="position:absolute;margin-left:70.865997pt;margin-top:131.171021pt;width:433.7pt;height:624.2pt;mso-position-horizontal-relative:page;mso-position-vertical-relative:page;z-index:-192280" coordorigin="1417,2623" coordsize="8674,12484">
            <v:rect style="position:absolute;left:1417;top:14388;width:8674;height:720" filled="true" fillcolor="#8dc7a0" stroked="false">
              <v:fill type="solid"/>
            </v:rect>
            <v:rect style="position:absolute;left:1417;top:2623;width:8664;height:2058" filled="true" fillcolor="#73b6c3" stroked="false">
              <v:fill type="solid"/>
            </v:rect>
            <v:rect style="position:absolute;left:1417;top:4969;width:8664;height:1969" filled="true" fillcolor="#40a5b4" stroked="false">
              <v:fill type="solid"/>
            </v:rect>
            <v:shape style="position:absolute;left:5332;top:4681;width:441;height:230" coordorigin="5332,4681" coordsize="441,230" path="m5773,4681l5332,4681,5562,4910,5773,4681xe" filled="true" fillcolor="#d1d3d4" stroked="false">
              <v:path arrowok="t"/>
              <v:fill type="solid"/>
            </v:shape>
            <v:rect style="position:absolute;left:1417;top:7224;width:8674;height:1753" filled="true" fillcolor="#0095a7" stroked="false">
              <v:fill type="solid"/>
            </v:rect>
            <v:shape style="position:absolute;left:5333;top:6938;width:441;height:230" coordorigin="5333,6938" coordsize="441,230" path="m5774,6938l5333,6938,5563,7167,5774,6938xe" filled="true" fillcolor="#d1d3d4" stroked="false">
              <v:path arrowok="t"/>
              <v:fill type="solid"/>
            </v:shape>
            <v:rect style="position:absolute;left:1417;top:9262;width:8646;height:2714" filled="true" fillcolor="#31ac6f" stroked="false">
              <v:fill type="solid"/>
            </v:rect>
            <v:shape style="position:absolute;left:5332;top:8977;width:441;height:230" coordorigin="5332,8977" coordsize="441,230" path="m5773,8977l5332,8977,5561,9207,5773,8977xe" filled="true" fillcolor="#d1d3d4" stroked="false">
              <v:path arrowok="t"/>
              <v:fill type="solid"/>
            </v:shape>
            <v:rect style="position:absolute;left:1417;top:12263;width:8674;height:1838" filled="true" fillcolor="#67b987" stroked="false">
              <v:fill type="solid"/>
            </v:rect>
            <v:shape style="position:absolute;left:5332;top:11977;width:442;height:2354" coordorigin="5332,11977" coordsize="442,2354" path="m5773,14101l5332,14101,5561,14330,5773,14101m5773,11977l5333,11977,5562,12206,5773,11977e" filled="true" fillcolor="#d1d3d4" stroked="false">
              <v:path arrowok="t"/>
              <v:fill type="solid"/>
            </v:shape>
            <w10:wrap type="none"/>
          </v:group>
        </w:pict>
      </w:r>
      <w:r>
        <w:rPr/>
        <w:pict>
          <v:shape style="position:absolute;margin-left:69.866096pt;margin-top:40.902756pt;width:13.8pt;height:9.5pt;mso-position-horizontal-relative:page;mso-position-vertical-relative:page;z-index:-192256" type="#_x0000_t202" filled="false" stroked="false">
            <v:textbox inset="0,0,0,0">
              <w:txbxContent>
                <w:p>
                  <w:pPr>
                    <w:spacing w:before="1"/>
                    <w:ind w:left="20" w:right="-15" w:firstLine="0"/>
                    <w:jc w:val="left"/>
                    <w:rPr>
                      <w:sz w:val="15"/>
                    </w:rPr>
                  </w:pPr>
                  <w:r>
                    <w:rPr>
                      <w:color w:val="58595B"/>
                      <w:sz w:val="15"/>
                    </w:rPr>
                    <w:t>118</w:t>
                  </w:r>
                </w:p>
              </w:txbxContent>
            </v:textbox>
            <w10:wrap type="none"/>
          </v:shape>
        </w:pict>
      </w:r>
      <w:r>
        <w:rPr/>
        <w:pict>
          <v:shape style="position:absolute;margin-left:95.377899pt;margin-top:40.902756pt;width:147.75pt;height:9.5pt;mso-position-horizontal-relative:page;mso-position-vertical-relative:page;z-index:-19223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343.85pt;height:12pt;mso-position-horizontal-relative:page;mso-position-vertical-relative:page;z-index:-192208" type="#_x0000_t202" filled="false" stroked="false">
            <v:textbox inset="0,0,0,0">
              <w:txbxContent>
                <w:p>
                  <w:pPr>
                    <w:pStyle w:val="BodyText"/>
                    <w:spacing w:line="224" w:lineRule="exact"/>
                  </w:pPr>
                  <w:r>
                    <w:rPr>
                      <w:b/>
                      <w:color w:val="0095A7"/>
                    </w:rPr>
                    <w:t>FIGURE </w:t>
                  </w:r>
                  <w:r>
                    <w:rPr>
                      <w:b/>
                      <w:color w:val="0095A7"/>
                      <w:spacing w:val="-6"/>
                    </w:rPr>
                    <w:t>6.1 </w:t>
                  </w:r>
                  <w:r>
                    <w:rPr>
                      <w:color w:val="0095A7"/>
                      <w:spacing w:val="-6"/>
                    </w:rPr>
                    <w:t>EPA’S </w:t>
                  </w:r>
                  <w:r>
                    <w:rPr>
                      <w:color w:val="0095A7"/>
                    </w:rPr>
                    <w:t>NEW FUNCTIONS FOR </w:t>
                  </w:r>
                  <w:r>
                    <w:rPr>
                      <w:color w:val="0095A7"/>
                      <w:spacing w:val="-3"/>
                    </w:rPr>
                    <w:t>PROTECTING </w:t>
                  </w:r>
                  <w:r>
                    <w:rPr>
                      <w:color w:val="0095A7"/>
                    </w:rPr>
                    <w:t>PUBLIC </w:t>
                  </w:r>
                  <w:r>
                    <w:rPr>
                      <w:color w:val="0095A7"/>
                      <w:spacing w:val="-3"/>
                    </w:rPr>
                    <w:t>HEALTH</w:t>
                  </w:r>
                </w:p>
              </w:txbxContent>
            </v:textbox>
            <w10:wrap type="none"/>
          </v:shape>
        </w:pict>
      </w:r>
      <w:r>
        <w:rPr/>
        <w:pict>
          <v:shape style="position:absolute;margin-left:70.865997pt;margin-top:719.376038pt;width:433.7pt;height:36pt;mso-position-horizontal-relative:page;mso-position-vertical-relative:page;z-index:-192184" type="#_x0000_t202" filled="false" stroked="false">
            <v:textbox inset="0,0,0,0">
              <w:txbxContent>
                <w:p>
                  <w:pPr>
                    <w:pStyle w:val="BodyText"/>
                    <w:spacing w:before="68"/>
                    <w:ind w:left="118" w:right="631"/>
                  </w:pPr>
                  <w:r>
                    <w:rPr>
                      <w:color w:val="FFFFFF"/>
                    </w:rPr>
                    <w:t>6. EVALUATE</w:t>
                  </w:r>
                </w:p>
                <w:p>
                  <w:pPr>
                    <w:spacing w:before="122"/>
                    <w:ind w:left="108" w:right="631" w:firstLine="0"/>
                    <w:jc w:val="left"/>
                    <w:rPr>
                      <w:b/>
                      <w:sz w:val="18"/>
                    </w:rPr>
                  </w:pPr>
                  <w:r>
                    <w:rPr>
                      <w:b/>
                      <w:color w:val="FFFFFF"/>
                      <w:sz w:val="18"/>
                    </w:rPr>
                    <w:t>Assess the effectiveness of interventions on health outcomes</w:t>
                  </w:r>
                </w:p>
              </w:txbxContent>
            </v:textbox>
            <w10:wrap type="none"/>
          </v:shape>
        </w:pict>
      </w:r>
      <w:r>
        <w:rPr/>
        <w:pict>
          <v:shape style="position:absolute;margin-left:70.865997pt;margin-top:613.134033pt;width:433.7pt;height:91.95pt;mso-position-horizontal-relative:page;mso-position-vertical-relative:page;z-index:-192160" type="#_x0000_t202" filled="false" stroked="false">
            <v:textbox inset="0,0,0,0">
              <w:txbxContent>
                <w:p>
                  <w:pPr>
                    <w:pStyle w:val="BodyText"/>
                    <w:spacing w:before="68"/>
                    <w:ind w:left="117" w:right="631"/>
                  </w:pPr>
                  <w:r>
                    <w:rPr>
                      <w:color w:val="FFFFFF"/>
                    </w:rPr>
                    <w:t>5. ENFORCE</w:t>
                  </w:r>
                </w:p>
                <w:p>
                  <w:pPr>
                    <w:spacing w:line="352" w:lineRule="auto" w:before="122"/>
                    <w:ind w:left="120" w:right="631" w:firstLine="0"/>
                    <w:jc w:val="left"/>
                    <w:rPr>
                      <w:b/>
                      <w:sz w:val="18"/>
                    </w:rPr>
                  </w:pPr>
                  <w:r>
                    <w:rPr>
                      <w:b/>
                      <w:color w:val="FFFFFF"/>
                      <w:sz w:val="18"/>
                    </w:rPr>
                    <w:t>More timely and decisive responses to strengthen deterrence and improve risk management Regulatory response: high risk, large scale</w:t>
                  </w:r>
                </w:p>
                <w:p>
                  <w:pPr>
                    <w:spacing w:line="254" w:lineRule="auto" w:before="3"/>
                    <w:ind w:left="116" w:right="0" w:hanging="10"/>
                    <w:jc w:val="left"/>
                    <w:rPr>
                      <w:b/>
                      <w:sz w:val="18"/>
                    </w:rPr>
                  </w:pPr>
                  <w:r>
                    <w:rPr>
                      <w:b/>
                      <w:color w:val="FFFFFF"/>
                      <w:sz w:val="18"/>
                    </w:rPr>
                    <w:t>Targeted, strategic: sector-specific or addressing priority risks, informed by intelligence gathering and analysis</w:t>
                  </w:r>
                </w:p>
                <w:p>
                  <w:pPr>
                    <w:spacing w:before="86"/>
                    <w:ind w:left="120" w:right="631" w:firstLine="0"/>
                    <w:jc w:val="left"/>
                    <w:rPr>
                      <w:b/>
                      <w:sz w:val="18"/>
                    </w:rPr>
                  </w:pPr>
                  <w:r>
                    <w:rPr>
                      <w:b/>
                      <w:color w:val="FFFFFF"/>
                      <w:sz w:val="18"/>
                    </w:rPr>
                    <w:t>Regulatory response: small-scale, local level (local government, with EPA support)</w:t>
                  </w:r>
                </w:p>
              </w:txbxContent>
            </v:textbox>
            <w10:wrap type="none"/>
          </v:shape>
        </w:pict>
      </w:r>
      <w:r>
        <w:rPr/>
        <w:pict>
          <v:shape style="position:absolute;margin-left:70.865997pt;margin-top:463.110016pt;width:432.35pt;height:135.7pt;mso-position-horizontal-relative:page;mso-position-vertical-relative:page;z-index:-192136" type="#_x0000_t202" filled="false" stroked="false">
            <v:textbox inset="0,0,0,0">
              <w:txbxContent>
                <w:p>
                  <w:pPr>
                    <w:pStyle w:val="BodyText"/>
                    <w:spacing w:before="68"/>
                    <w:ind w:left="105"/>
                  </w:pPr>
                  <w:r>
                    <w:rPr>
                      <w:color w:val="FFFFFF"/>
                    </w:rPr>
                    <w:t>4. ENABLE</w:t>
                  </w:r>
                </w:p>
                <w:p>
                  <w:pPr>
                    <w:spacing w:line="254" w:lineRule="auto" w:before="122"/>
                    <w:ind w:left="116" w:right="0" w:hanging="1"/>
                    <w:jc w:val="left"/>
                    <w:rPr>
                      <w:b/>
                      <w:sz w:val="18"/>
                    </w:rPr>
                  </w:pPr>
                  <w:r>
                    <w:rPr>
                      <w:b/>
                      <w:color w:val="FFFFFF"/>
                      <w:sz w:val="18"/>
                    </w:rPr>
                    <w:t>Support compliance by businesses and the broader community, contributing to reduced impacts and risk of legacy hazards</w:t>
                  </w:r>
                </w:p>
                <w:p>
                  <w:pPr>
                    <w:spacing w:line="254" w:lineRule="auto" w:before="86"/>
                    <w:ind w:left="116" w:right="0" w:firstLine="4"/>
                    <w:jc w:val="left"/>
                    <w:rPr>
                      <w:b/>
                      <w:sz w:val="18"/>
                    </w:rPr>
                  </w:pPr>
                  <w:r>
                    <w:rPr>
                      <w:b/>
                      <w:color w:val="FFFFFF"/>
                      <w:sz w:val="18"/>
                    </w:rPr>
                    <w:t>Provide information for risk communication to support Victoria’s State Emergency Response Plan, and for decision and action by Victoria’s Chief Health Officer</w:t>
                  </w:r>
                </w:p>
                <w:p>
                  <w:pPr>
                    <w:spacing w:line="254" w:lineRule="auto" w:before="86"/>
                    <w:ind w:left="115" w:right="392" w:hanging="2"/>
                    <w:jc w:val="left"/>
                    <w:rPr>
                      <w:b/>
                      <w:sz w:val="18"/>
                    </w:rPr>
                  </w:pPr>
                  <w:r>
                    <w:rPr>
                      <w:b/>
                      <w:color w:val="FFFFFF"/>
                      <w:sz w:val="18"/>
                    </w:rPr>
                    <w:t>Community engagement using enhanced communication capabilities, including integrated risk communication with DHHS and increased attention to risk communication as a critical tool</w:t>
                  </w:r>
                </w:p>
                <w:p>
                  <w:pPr>
                    <w:spacing w:before="1"/>
                    <w:ind w:left="120" w:right="0" w:firstLine="0"/>
                    <w:jc w:val="left"/>
                    <w:rPr>
                      <w:b/>
                      <w:sz w:val="18"/>
                    </w:rPr>
                  </w:pPr>
                  <w:r>
                    <w:rPr>
                      <w:b/>
                      <w:color w:val="FFFFFF"/>
                      <w:sz w:val="18"/>
                    </w:rPr>
                    <w:t>for the EPA</w:t>
                  </w:r>
                </w:p>
                <w:p>
                  <w:pPr>
                    <w:spacing w:line="254" w:lineRule="auto" w:before="98"/>
                    <w:ind w:left="116" w:right="544" w:firstLine="4"/>
                    <w:jc w:val="left"/>
                    <w:rPr>
                      <w:b/>
                      <w:sz w:val="18"/>
                    </w:rPr>
                  </w:pPr>
                  <w:r>
                    <w:rPr>
                      <w:b/>
                      <w:color w:val="FFFFFF"/>
                      <w:sz w:val="18"/>
                    </w:rPr>
                    <w:t>Preventative focus, including and addressing perverse incentives for responsible disposal of asbestos</w:t>
                  </w:r>
                </w:p>
              </w:txbxContent>
            </v:textbox>
            <w10:wrap type="none"/>
          </v:shape>
        </w:pict>
      </w:r>
      <w:r>
        <w:rPr/>
        <w:pict>
          <v:shape style="position:absolute;margin-left:70.865997pt;margin-top:361.19101pt;width:433.7pt;height:87.7pt;mso-position-horizontal-relative:page;mso-position-vertical-relative:page;z-index:-192112" type="#_x0000_t202" filled="false" stroked="false">
            <v:textbox inset="0,0,0,0">
              <w:txbxContent>
                <w:p>
                  <w:pPr>
                    <w:pStyle w:val="BodyText"/>
                    <w:spacing w:before="68"/>
                    <w:ind w:left="111" w:right="631"/>
                  </w:pPr>
                  <w:r>
                    <w:rPr>
                      <w:color w:val="FFFFFF"/>
                    </w:rPr>
                    <w:t>3. DETERMINE AND SET</w:t>
                  </w:r>
                </w:p>
                <w:p>
                  <w:pPr>
                    <w:spacing w:line="254" w:lineRule="auto" w:before="122"/>
                    <w:ind w:left="122" w:right="127" w:hanging="7"/>
                    <w:jc w:val="left"/>
                    <w:rPr>
                      <w:b/>
                      <w:sz w:val="18"/>
                    </w:rPr>
                  </w:pPr>
                  <w:r>
                    <w:rPr>
                      <w:b/>
                      <w:color w:val="FFFFFF"/>
                      <w:sz w:val="18"/>
                    </w:rPr>
                    <w:t>Set environmental health standards (in collaboration with DHHS/ DELWP), with greater capability to work on national standards processes</w:t>
                  </w:r>
                </w:p>
                <w:p>
                  <w:pPr>
                    <w:spacing w:line="254" w:lineRule="auto" w:before="86"/>
                    <w:ind w:left="120" w:right="543" w:firstLine="0"/>
                    <w:jc w:val="left"/>
                    <w:rPr>
                      <w:b/>
                      <w:sz w:val="18"/>
                    </w:rPr>
                  </w:pPr>
                  <w:r>
                    <w:rPr>
                      <w:b/>
                      <w:color w:val="FFFFFF"/>
                      <w:sz w:val="18"/>
                    </w:rPr>
                    <w:t>Help determine the obligations for duty holders, including through coordinated processes for mining and land use planning</w:t>
                  </w:r>
                </w:p>
                <w:p>
                  <w:pPr>
                    <w:spacing w:before="86"/>
                    <w:ind w:left="121" w:right="0" w:firstLine="0"/>
                    <w:jc w:val="left"/>
                    <w:rPr>
                      <w:b/>
                      <w:sz w:val="18"/>
                    </w:rPr>
                  </w:pPr>
                  <w:r>
                    <w:rPr>
                      <w:b/>
                      <w:color w:val="FFFFFF"/>
                      <w:sz w:val="18"/>
                    </w:rPr>
                    <w:t>More timely and up-to-date standard setting to reflect evolving understanding of health risks</w:t>
                  </w:r>
                </w:p>
              </w:txbxContent>
            </v:textbox>
            <w10:wrap type="none"/>
          </v:shape>
        </w:pict>
      </w:r>
      <w:r>
        <w:rPr/>
        <w:pict>
          <v:shape style="position:absolute;margin-left:70.865997pt;margin-top:248.428009pt;width:433.25pt;height:98.45pt;mso-position-horizontal-relative:page;mso-position-vertical-relative:page;z-index:-192088" type="#_x0000_t202" filled="false" stroked="false">
            <v:textbox inset="0,0,0,0">
              <w:txbxContent>
                <w:p>
                  <w:pPr>
                    <w:pStyle w:val="BodyText"/>
                    <w:spacing w:before="68"/>
                    <w:ind w:left="111" w:right="1076"/>
                  </w:pPr>
                  <w:r>
                    <w:rPr>
                      <w:color w:val="FFFFFF"/>
                    </w:rPr>
                    <w:t>2. ADVISE</w:t>
                  </w:r>
                </w:p>
                <w:p>
                  <w:pPr>
                    <w:spacing w:line="254" w:lineRule="auto" w:before="122"/>
                    <w:ind w:left="120" w:right="1076" w:hanging="13"/>
                    <w:jc w:val="left"/>
                    <w:rPr>
                      <w:b/>
                      <w:sz w:val="18"/>
                    </w:rPr>
                  </w:pPr>
                  <w:r>
                    <w:rPr>
                      <w:b/>
                      <w:color w:val="FFFFFF"/>
                      <w:sz w:val="18"/>
                    </w:rPr>
                    <w:t>Advise on emerging issues and risks and the requirement for new or adapted tools and instruments</w:t>
                  </w:r>
                </w:p>
                <w:p>
                  <w:pPr>
                    <w:spacing w:line="254" w:lineRule="auto" w:before="86"/>
                    <w:ind w:left="119" w:right="143" w:firstLine="2"/>
                    <w:jc w:val="left"/>
                    <w:rPr>
                      <w:b/>
                      <w:sz w:val="18"/>
                    </w:rPr>
                  </w:pPr>
                  <w:r>
                    <w:rPr>
                      <w:b/>
                      <w:color w:val="FFFFFF"/>
                      <w:sz w:val="18"/>
                    </w:rPr>
                    <w:t>Inform consideration of strategic priorities for the EPA, and influence whole-of-government priority setting</w:t>
                  </w:r>
                </w:p>
                <w:p>
                  <w:pPr>
                    <w:spacing w:line="254" w:lineRule="auto" w:before="86"/>
                    <w:ind w:left="119" w:right="794" w:hanging="11"/>
                    <w:jc w:val="left"/>
                    <w:rPr>
                      <w:b/>
                      <w:sz w:val="18"/>
                    </w:rPr>
                  </w:pPr>
                  <w:r>
                    <w:rPr>
                      <w:b/>
                      <w:color w:val="FFFFFF"/>
                      <w:sz w:val="18"/>
                    </w:rPr>
                    <w:t>Advise across government on how to adequately assess public health impacts in strategic planning and for significant projects</w:t>
                  </w:r>
                </w:p>
              </w:txbxContent>
            </v:textbox>
            <w10:wrap type="none"/>
          </v:shape>
        </w:pict>
      </w:r>
      <w:r>
        <w:rPr/>
        <w:pict>
          <v:shape style="position:absolute;margin-left:70.865997pt;margin-top:131.171021pt;width:433.25pt;height:102.95pt;mso-position-horizontal-relative:page;mso-position-vertical-relative:page;z-index:-192064" type="#_x0000_t202" filled="false" stroked="false">
            <v:textbox inset="0,0,0,0">
              <w:txbxContent>
                <w:p>
                  <w:pPr>
                    <w:pStyle w:val="BodyText"/>
                    <w:spacing w:before="68"/>
                    <w:ind w:left="89" w:right="1076"/>
                  </w:pPr>
                  <w:r>
                    <w:rPr>
                      <w:color w:val="FFFFFF"/>
                    </w:rPr>
                    <w:t>1. UNDERSTAND AND ADAPT</w:t>
                  </w:r>
                </w:p>
                <w:p>
                  <w:pPr>
                    <w:spacing w:before="122"/>
                    <w:ind w:left="116" w:right="1076" w:firstLine="0"/>
                    <w:jc w:val="left"/>
                    <w:rPr>
                      <w:b/>
                      <w:sz w:val="18"/>
                    </w:rPr>
                  </w:pPr>
                  <w:r>
                    <w:rPr>
                      <w:b/>
                      <w:color w:val="FFFFFF"/>
                      <w:sz w:val="18"/>
                    </w:rPr>
                    <w:t>Surveillance of the general environment for risks to public health</w:t>
                  </w:r>
                </w:p>
                <w:p>
                  <w:pPr>
                    <w:spacing w:line="254" w:lineRule="auto" w:before="98"/>
                    <w:ind w:left="115" w:right="724" w:firstLine="5"/>
                    <w:jc w:val="left"/>
                    <w:rPr>
                      <w:b/>
                      <w:sz w:val="18"/>
                    </w:rPr>
                  </w:pPr>
                  <w:r>
                    <w:rPr>
                      <w:b/>
                      <w:color w:val="FFFFFF"/>
                      <w:sz w:val="18"/>
                    </w:rPr>
                    <w:t>Increased use of information to support decision making, including through enhanced data capabilities, air quality monitoring and improved data on potential contamination</w:t>
                  </w:r>
                </w:p>
                <w:p>
                  <w:pPr>
                    <w:spacing w:before="86"/>
                    <w:ind w:left="121" w:right="1076" w:firstLine="0"/>
                    <w:jc w:val="left"/>
                    <w:rPr>
                      <w:b/>
                      <w:sz w:val="18"/>
                    </w:rPr>
                  </w:pPr>
                  <w:r>
                    <w:rPr>
                      <w:b/>
                      <w:color w:val="FFFFFF"/>
                      <w:sz w:val="18"/>
                    </w:rPr>
                    <w:t>Interpret information for health impact assessment</w:t>
                  </w:r>
                </w:p>
                <w:p>
                  <w:pPr>
                    <w:spacing w:line="254" w:lineRule="auto" w:before="98"/>
                    <w:ind w:left="119" w:right="1076" w:hanging="12"/>
                    <w:jc w:val="left"/>
                    <w:rPr>
                      <w:b/>
                      <w:sz w:val="18"/>
                    </w:rPr>
                  </w:pPr>
                  <w:r>
                    <w:rPr>
                      <w:b/>
                      <w:color w:val="FFFFFF"/>
                      <w:sz w:val="18"/>
                    </w:rPr>
                    <w:t>Adapt tools, and design and test new tools to be more effective in managing risks and reducing impacts</w:t>
                  </w:r>
                </w:p>
              </w:txbxContent>
            </v:textbox>
            <w10:wrap type="none"/>
          </v:shape>
        </w:pict>
      </w:r>
      <w:r>
        <w:rPr/>
        <w:pict>
          <v:shape style="position:absolute;margin-left:.0pt;margin-top:44.090015pt;width:60.3pt;height:5.25pt;mso-position-horizontal-relative:page;mso-position-vertical-relative:page;z-index:-19204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9201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91992" from="534.996094pt,45.840015pt" to="595.276001pt,45.840015pt" stroked="true" strokeweight="7pt" strokecolor="#0095a7">
            <w10:wrap type="none"/>
          </v:line>
        </w:pict>
      </w:r>
      <w:r>
        <w:rPr/>
        <w:pict>
          <v:shape style="position:absolute;margin-left:280.511810pt;margin-top:40.902756pt;width:219.35pt;height:9.5pt;mso-position-horizontal-relative:page;mso-position-vertical-relative:page;z-index:-191968" type="#_x0000_t202" filled="false" stroked="false">
            <v:textbox inset="0,0,0,0">
              <w:txbxContent>
                <w:p>
                  <w:pPr>
                    <w:spacing w:before="1"/>
                    <w:ind w:left="20" w:right="0" w:firstLine="0"/>
                    <w:jc w:val="left"/>
                    <w:rPr>
                      <w:sz w:val="15"/>
                    </w:rPr>
                  </w:pPr>
                  <w:r>
                    <w:rPr>
                      <w:color w:val="58595B"/>
                      <w:sz w:val="15"/>
                    </w:rPr>
                    <w:t>CHAPTER 6    THE EPA ASA SCIENCE-BASED REGULATOR</w:t>
                  </w:r>
                </w:p>
              </w:txbxContent>
            </v:textbox>
            <w10:wrap type="none"/>
          </v:shape>
        </w:pict>
      </w:r>
      <w:r>
        <w:rPr/>
        <w:pict>
          <v:shape style="position:absolute;margin-left:511.579315pt;margin-top:40.902756pt;width:13.8pt;height:9.5pt;mso-position-horizontal-relative:page;mso-position-vertical-relative:page;z-index:-191944" type="#_x0000_t202" filled="false" stroked="false">
            <v:textbox inset="0,0,0,0">
              <w:txbxContent>
                <w:p>
                  <w:pPr>
                    <w:spacing w:before="1"/>
                    <w:ind w:left="20" w:right="-15" w:firstLine="0"/>
                    <w:jc w:val="left"/>
                    <w:rPr>
                      <w:sz w:val="15"/>
                    </w:rPr>
                  </w:pPr>
                  <w:r>
                    <w:rPr>
                      <w:color w:val="58595B"/>
                      <w:sz w:val="15"/>
                    </w:rPr>
                    <w:t>119</w:t>
                  </w:r>
                </w:p>
              </w:txbxContent>
            </v:textbox>
            <w10:wrap type="none"/>
          </v:shape>
        </w:pict>
      </w:r>
      <w:r>
        <w:rPr/>
        <w:pict>
          <v:shape style="position:absolute;margin-left:89.708603pt;margin-top:105.893967pt;width:430.15pt;height:110.75pt;mso-position-horizontal-relative:page;mso-position-vertical-relative:page;z-index:-191920" type="#_x0000_t202" filled="false" stroked="false">
            <v:textbox inset="0,0,0,0">
              <w:txbxContent>
                <w:p>
                  <w:pPr>
                    <w:spacing w:line="224" w:lineRule="exact" w:before="0"/>
                    <w:ind w:left="20" w:right="-20" w:firstLine="0"/>
                    <w:jc w:val="left"/>
                    <w:rPr>
                      <w:i/>
                      <w:sz w:val="20"/>
                    </w:rPr>
                  </w:pPr>
                  <w:r>
                    <w:rPr>
                      <w:i/>
                      <w:color w:val="6D6E71"/>
                      <w:sz w:val="20"/>
                    </w:rPr>
                    <w:t>Strengthened environmental surveillance</w:t>
                  </w:r>
                </w:p>
                <w:p>
                  <w:pPr>
                    <w:pStyle w:val="BodyText"/>
                    <w:spacing w:line="280" w:lineRule="auto" w:before="125"/>
                    <w:ind w:right="174"/>
                  </w:pPr>
                  <w:r>
                    <w:rPr>
                      <w:color w:val="58595B"/>
                    </w:rPr>
                    <w:t>The new environmental health group’s core role can be characterised as ‘environmental surveillance’ – that is, monitoring to identify health risks, and assessing the extent, seriousness and trends relating to those risks. At present, these tasks are split between the </w:t>
                  </w:r>
                  <w:r>
                    <w:rPr>
                      <w:color w:val="58595B"/>
                      <w:spacing w:val="-4"/>
                    </w:rPr>
                    <w:t>EPA </w:t>
                  </w:r>
                  <w:r>
                    <w:rPr>
                      <w:color w:val="58595B"/>
                    </w:rPr>
                    <w:t>and DHHS: the </w:t>
                  </w:r>
                  <w:r>
                    <w:rPr>
                      <w:color w:val="58595B"/>
                      <w:spacing w:val="-4"/>
                    </w:rPr>
                    <w:t>EPA </w:t>
                  </w:r>
                  <w:r>
                    <w:rPr>
                      <w:color w:val="58595B"/>
                    </w:rPr>
                    <w:t>is responsible for monitoring tasks, and analysis is done by DHHS. Experts argue this arrangement cannot cope with the increased frequency and complexity of</w:t>
                  </w:r>
                  <w:r>
                    <w:rPr>
                      <w:color w:val="58595B"/>
                      <w:spacing w:val="-33"/>
                    </w:rPr>
                    <w:t> </w:t>
                  </w:r>
                  <w:r>
                    <w:rPr>
                      <w:color w:val="58595B"/>
                    </w:rPr>
                    <w:t>emerging</w:t>
                  </w:r>
                </w:p>
                <w:p>
                  <w:pPr>
                    <w:pStyle w:val="BodyText"/>
                    <w:spacing w:line="280" w:lineRule="auto" w:before="2"/>
                    <w:ind w:right="-20"/>
                  </w:pPr>
                  <w:r>
                    <w:rPr>
                      <w:color w:val="58595B"/>
                    </w:rPr>
                    <w:t>environmental risks and issues. Experts also argue that gaps exist where no agency has relevant technical capabilities:</w:t>
                  </w:r>
                </w:p>
              </w:txbxContent>
            </v:textbox>
            <w10:wrap type="none"/>
          </v:shape>
        </w:pict>
      </w:r>
      <w:r>
        <w:rPr/>
        <w:pict>
          <v:shape style="position:absolute;margin-left:118.048599pt;margin-top:226.643967pt;width:370.7pt;height:52.5pt;mso-position-horizontal-relative:page;mso-position-vertical-relative:page;z-index:-191896" type="#_x0000_t202" filled="false" stroked="false">
            <v:textbox inset="0,0,0,0">
              <w:txbxContent>
                <w:p>
                  <w:pPr>
                    <w:spacing w:line="280" w:lineRule="auto" w:before="0"/>
                    <w:ind w:left="20" w:right="0" w:firstLine="0"/>
                    <w:jc w:val="left"/>
                    <w:rPr>
                      <w:i/>
                      <w:sz w:val="20"/>
                    </w:rPr>
                  </w:pPr>
                  <w:r>
                    <w:rPr>
                      <w:i/>
                      <w:color w:val="231F20"/>
                      <w:sz w:val="20"/>
                    </w:rPr>
                    <w:t>Environmental health surveillance is the systematic, ongoing collection, integration, analysis and interpretation of data about environmental hazards, exposure</w:t>
                  </w:r>
                </w:p>
                <w:p>
                  <w:pPr>
                    <w:spacing w:line="280" w:lineRule="auto" w:before="2"/>
                    <w:ind w:left="20" w:right="0" w:firstLine="0"/>
                    <w:jc w:val="left"/>
                    <w:rPr>
                      <w:sz w:val="11"/>
                    </w:rPr>
                  </w:pPr>
                  <w:r>
                    <w:rPr>
                      <w:i/>
                      <w:color w:val="231F20"/>
                      <w:sz w:val="20"/>
                    </w:rPr>
                    <w:t>to environmental hazards and health effects potentially related to exposure to environmental hazards in order to prevent and monitor disease.</w:t>
                  </w:r>
                  <w:r>
                    <w:rPr>
                      <w:color w:val="231F20"/>
                      <w:position w:val="7"/>
                      <w:sz w:val="11"/>
                    </w:rPr>
                    <w:t>24</w:t>
                  </w:r>
                </w:p>
              </w:txbxContent>
            </v:textbox>
            <w10:wrap type="none"/>
          </v:shape>
        </w:pict>
      </w:r>
      <w:r>
        <w:rPr/>
        <w:pict>
          <v:shape style="position:absolute;margin-left:118.055099pt;margin-top:289.153778pt;width:374pt;height:66pt;mso-position-horizontal-relative:page;mso-position-vertical-relative:page;z-index:-191872" type="#_x0000_t202" filled="false" stroked="false">
            <v:textbox inset="0,0,0,0">
              <w:txbxContent>
                <w:p>
                  <w:pPr>
                    <w:spacing w:line="280" w:lineRule="auto" w:before="0"/>
                    <w:ind w:left="20" w:right="0" w:firstLine="0"/>
                    <w:jc w:val="left"/>
                    <w:rPr>
                      <w:i/>
                      <w:sz w:val="20"/>
                    </w:rPr>
                  </w:pPr>
                  <w:r>
                    <w:rPr>
                      <w:i/>
                      <w:color w:val="231F20"/>
                      <w:sz w:val="20"/>
                    </w:rPr>
                    <w:t>In general, surveillance will tell us what our problems are, how big they are, where the solutions should be directed, how well (or poorly) solutions have worked, and whether, over time, there is improvement or deterioration in a given condition.</w:t>
                  </w:r>
                </w:p>
                <w:p>
                  <w:pPr>
                    <w:spacing w:line="280" w:lineRule="auto" w:before="2"/>
                    <w:ind w:left="20" w:right="0" w:firstLine="0"/>
                    <w:jc w:val="left"/>
                    <w:rPr>
                      <w:sz w:val="11"/>
                    </w:rPr>
                  </w:pPr>
                  <w:r>
                    <w:rPr>
                      <w:i/>
                      <w:color w:val="231F20"/>
                      <w:sz w:val="20"/>
                    </w:rPr>
                    <w:t>Surveillance is … essential to successful sustained public health intervention for the purpose of prevention.</w:t>
                  </w:r>
                  <w:r>
                    <w:rPr>
                      <w:color w:val="231F20"/>
                      <w:position w:val="7"/>
                      <w:sz w:val="11"/>
                    </w:rPr>
                    <w:t>25</w:t>
                  </w:r>
                </w:p>
              </w:txbxContent>
            </v:textbox>
            <w10:wrap type="none"/>
          </v:shape>
        </w:pict>
      </w:r>
      <w:r>
        <w:rPr/>
        <w:pict>
          <v:shape style="position:absolute;margin-left:89.708603pt;margin-top:367.992371pt;width:398.5pt;height:43.25pt;mso-position-horizontal-relative:page;mso-position-vertical-relative:page;z-index:-191848" type="#_x0000_t202" filled="false" stroked="false">
            <v:textbox inset="0,0,0,0">
              <w:txbxContent>
                <w:p>
                  <w:pPr>
                    <w:spacing w:line="224" w:lineRule="exact" w:before="0"/>
                    <w:ind w:left="20" w:right="0" w:firstLine="0"/>
                    <w:jc w:val="left"/>
                    <w:rPr>
                      <w:i/>
                      <w:sz w:val="20"/>
                    </w:rPr>
                  </w:pPr>
                  <w:r>
                    <w:rPr>
                      <w:i/>
                      <w:color w:val="6D6E71"/>
                      <w:sz w:val="20"/>
                    </w:rPr>
                    <w:t>Integrated advice and information for government and the community</w:t>
                  </w:r>
                </w:p>
                <w:p>
                  <w:pPr>
                    <w:pStyle w:val="BodyText"/>
                    <w:spacing w:line="280" w:lineRule="auto" w:before="125"/>
                  </w:pPr>
                  <w:r>
                    <w:rPr>
                      <w:color w:val="58595B"/>
                    </w:rPr>
                    <w:t>This strengthened and centralised environmental health surveillance group would provide strategic and responsive advice including to:</w:t>
                  </w:r>
                </w:p>
              </w:txbxContent>
            </v:textbox>
            <w10:wrap type="none"/>
          </v:shape>
        </w:pict>
      </w:r>
      <w:r>
        <w:rPr/>
        <w:pict>
          <v:shape style="position:absolute;margin-left:89.708603pt;margin-top:418.412354pt;width:5.5pt;height:12pt;mso-position-horizontal-relative:page;mso-position-vertical-relative:page;z-index:-191824"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98.208603pt;margin-top:418.412354pt;width:424.1pt;height:169.7pt;mso-position-horizontal-relative:page;mso-position-vertical-relative:page;z-index:-191800" type="#_x0000_t202" filled="false" stroked="false">
            <v:textbox inset="0,0,0,0">
              <w:txbxContent>
                <w:p>
                  <w:pPr>
                    <w:pStyle w:val="BodyText"/>
                    <w:spacing w:line="280" w:lineRule="auto"/>
                    <w:ind w:right="654"/>
                    <w:jc w:val="both"/>
                  </w:pPr>
                  <w:r>
                    <w:rPr>
                      <w:color w:val="58595B"/>
                    </w:rPr>
                    <w:t>support government decision making at the interface between health and environmental management, including advice about the health impacts of significant infrastructure and other projects</w:t>
                  </w:r>
                </w:p>
                <w:p>
                  <w:pPr>
                    <w:pStyle w:val="BodyText"/>
                    <w:spacing w:line="280" w:lineRule="auto" w:before="115"/>
                    <w:ind w:right="66"/>
                  </w:pPr>
                  <w:r>
                    <w:rPr>
                      <w:color w:val="58595B"/>
                    </w:rPr>
                    <w:t>inform critical incident and emergency response, advising the Chief Environmental Scientist and the Chief Health Officer</w:t>
                  </w:r>
                </w:p>
                <w:p>
                  <w:pPr>
                    <w:pStyle w:val="BodyText"/>
                    <w:spacing w:line="280" w:lineRule="auto" w:before="115"/>
                  </w:pPr>
                  <w:r>
                    <w:rPr>
                      <w:color w:val="58595B"/>
                    </w:rPr>
                    <w:t>inform the development and updating of robust standards, including by strengthening indicators for air quality standards (given the health impacts of air pollution and estimated benefits from improved air quality)</w:t>
                  </w:r>
                </w:p>
                <w:p>
                  <w:pPr>
                    <w:pStyle w:val="BodyText"/>
                    <w:spacing w:before="115"/>
                    <w:ind w:right="66"/>
                  </w:pPr>
                  <w:r>
                    <w:rPr>
                      <w:color w:val="58595B"/>
                    </w:rPr>
                    <w:t>better meet community expectations for proactive health risk information</w:t>
                  </w:r>
                </w:p>
                <w:p>
                  <w:pPr>
                    <w:pStyle w:val="BodyText"/>
                    <w:spacing w:line="280" w:lineRule="auto" w:before="153"/>
                    <w:ind w:right="778"/>
                  </w:pPr>
                  <w:r>
                    <w:rPr>
                      <w:color w:val="58595B"/>
                    </w:rPr>
                    <w:t>communicate the health impacts of regulatory actions, raising awareness and improving compliance.</w:t>
                  </w:r>
                </w:p>
              </w:txbxContent>
            </v:textbox>
            <w10:wrap type="none"/>
          </v:shape>
        </w:pict>
      </w:r>
      <w:r>
        <w:rPr/>
        <w:pict>
          <v:shape style="position:absolute;margin-left:89.708603pt;margin-top:464.582367pt;width:5.5pt;height:12pt;mso-position-horizontal-relative:page;mso-position-vertical-relative:page;z-index:-19177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08603pt;margin-top:497.25238pt;width:5.5pt;height:12pt;mso-position-horizontal-relative:page;mso-position-vertical-relative:page;z-index:-19175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08603pt;margin-top:543.422363pt;width:5.5pt;height:31.2pt;mso-position-horizontal-relative:page;mso-position-vertical-relative:page;z-index:-191728" type="#_x0000_t202" filled="false" stroked="false">
            <v:textbox inset="0,0,0,0">
              <w:txbxContent>
                <w:p>
                  <w:pPr>
                    <w:pStyle w:val="BodyText"/>
                    <w:spacing w:line="224" w:lineRule="exact"/>
                  </w:pPr>
                  <w:r>
                    <w:rPr>
                      <w:color w:val="0095A7"/>
                    </w:rPr>
                    <w:t>•</w:t>
                  </w:r>
                </w:p>
                <w:p>
                  <w:pPr>
                    <w:pStyle w:val="BodyText"/>
                    <w:spacing w:before="153"/>
                  </w:pPr>
                  <w:r>
                    <w:rPr>
                      <w:color w:val="0095A7"/>
                    </w:rPr>
                    <w:t>•</w:t>
                  </w:r>
                </w:p>
              </w:txbxContent>
            </v:textbox>
            <w10:wrap type="none"/>
          </v:shape>
        </w:pict>
      </w:r>
      <w:r>
        <w:rPr/>
        <w:pict>
          <v:shape style="position:absolute;margin-left:118.058601pt;margin-top:598.092346pt;width:358.1pt;height:79.5pt;mso-position-horizontal-relative:page;mso-position-vertical-relative:page;z-index:-191704" type="#_x0000_t202" filled="false" stroked="false">
            <v:textbox inset="0,0,0,0">
              <w:txbxContent>
                <w:p>
                  <w:pPr>
                    <w:spacing w:line="280" w:lineRule="auto" w:before="0"/>
                    <w:ind w:left="20" w:right="17" w:firstLine="0"/>
                    <w:jc w:val="left"/>
                    <w:rPr>
                      <w:sz w:val="20"/>
                    </w:rPr>
                  </w:pPr>
                  <w:r>
                    <w:rPr>
                      <w:i/>
                      <w:color w:val="231F20"/>
                      <w:spacing w:val="3"/>
                      <w:sz w:val="20"/>
                    </w:rPr>
                    <w:t>[T]he </w:t>
                  </w:r>
                  <w:r>
                    <w:rPr>
                      <w:i/>
                      <w:color w:val="231F20"/>
                      <w:sz w:val="20"/>
                    </w:rPr>
                    <w:t>EPA can do more to report the human health benefits of its regulatory activities, for example by publicly reporting the impact of various activities in terms of disability adjusted life year </w:t>
                  </w:r>
                  <w:r>
                    <w:rPr>
                      <w:i/>
                      <w:color w:val="231F20"/>
                      <w:spacing w:val="-3"/>
                      <w:sz w:val="20"/>
                    </w:rPr>
                    <w:t>(DALY) </w:t>
                  </w:r>
                  <w:r>
                    <w:rPr>
                      <w:i/>
                      <w:color w:val="231F20"/>
                      <w:sz w:val="20"/>
                    </w:rPr>
                    <w:t>saved. The recent example of the US EPA investigation into Volkswagen for exceeding vehicle emission</w:t>
                  </w:r>
                  <w:r>
                    <w:rPr>
                      <w:i/>
                      <w:color w:val="231F20"/>
                      <w:spacing w:val="-30"/>
                      <w:sz w:val="20"/>
                    </w:rPr>
                    <w:t> </w:t>
                  </w:r>
                  <w:r>
                    <w:rPr>
                      <w:i/>
                      <w:color w:val="231F20"/>
                      <w:sz w:val="20"/>
                    </w:rPr>
                    <w:t>standards demonstrated the power of using such human health metrics. </w:t>
                  </w:r>
                  <w:r>
                    <w:rPr>
                      <w:color w:val="231F20"/>
                      <w:sz w:val="20"/>
                    </w:rPr>
                    <w:t>(Victorian Water Industry Association submission, p.</w:t>
                  </w:r>
                  <w:r>
                    <w:rPr>
                      <w:color w:val="231F20"/>
                      <w:spacing w:val="7"/>
                      <w:sz w:val="20"/>
                    </w:rPr>
                    <w:t> </w:t>
                  </w:r>
                  <w:r>
                    <w:rPr>
                      <w:color w:val="231F20"/>
                      <w:sz w:val="20"/>
                    </w:rPr>
                    <w:t>7)</w:t>
                  </w:r>
                </w:p>
              </w:txbxContent>
            </v:textbox>
            <w10:wrap type="none"/>
          </v:shape>
        </w:pict>
      </w:r>
      <w:r>
        <w:rPr/>
        <w:pict>
          <v:shape style="position:absolute;margin-left:89.708603pt;margin-top:690.432373pt;width:389.05pt;height:43.25pt;mso-position-horizontal-relative:page;mso-position-vertical-relative:page;z-index:-191680" type="#_x0000_t202" filled="false" stroked="false">
            <v:textbox inset="0,0,0,0">
              <w:txbxContent>
                <w:p>
                  <w:pPr>
                    <w:spacing w:line="224" w:lineRule="exact" w:before="0"/>
                    <w:ind w:left="20" w:right="-19" w:firstLine="0"/>
                    <w:jc w:val="left"/>
                    <w:rPr>
                      <w:i/>
                      <w:sz w:val="20"/>
                    </w:rPr>
                  </w:pPr>
                  <w:r>
                    <w:rPr>
                      <w:i/>
                      <w:color w:val="6D6E71"/>
                      <w:sz w:val="20"/>
                    </w:rPr>
                    <w:t>Working on key priorities</w:t>
                  </w:r>
                </w:p>
                <w:p>
                  <w:pPr>
                    <w:pStyle w:val="BodyText"/>
                    <w:spacing w:line="280" w:lineRule="auto" w:before="125"/>
                    <w:ind w:right="-19"/>
                  </w:pPr>
                  <w:r>
                    <w:rPr>
                      <w:color w:val="58595B"/>
                    </w:rPr>
                    <w:t>The environmental health group will also provide a strong resource for driving action on strategic priorities.</w:t>
                  </w:r>
                </w:p>
              </w:txbxContent>
            </v:textbox>
            <w10:wrap type="none"/>
          </v:shape>
        </w:pict>
      </w:r>
      <w:r>
        <w:rPr/>
        <w:pict>
          <v:shape style="position:absolute;margin-left:89.708603pt;margin-top:743.682373pt;width:430.2pt;height:52.55pt;mso-position-horizontal-relative:page;mso-position-vertical-relative:page;z-index:-191656" type="#_x0000_t202" filled="false" stroked="false">
            <v:textbox inset="0,0,0,0">
              <w:txbxContent>
                <w:p>
                  <w:pPr>
                    <w:pStyle w:val="BodyText"/>
                    <w:spacing w:line="280" w:lineRule="auto"/>
                    <w:ind w:right="-8"/>
                  </w:pPr>
                  <w:r>
                    <w:rPr>
                      <w:color w:val="58595B"/>
                    </w:rPr>
                    <w:t>Victoria, working with other states and territories, recently agreed to strengthen national ambient air quality standards.</w:t>
                  </w:r>
                  <w:r>
                    <w:rPr>
                      <w:color w:val="58595B"/>
                      <w:position w:val="7"/>
                      <w:sz w:val="11"/>
                    </w:rPr>
                    <w:t>26 </w:t>
                  </w:r>
                  <w:r>
                    <w:rPr>
                      <w:color w:val="58595B"/>
                    </w:rPr>
                    <w:t>The group could also assist the EPA’s contributions to setting noxious emissions standards for new vehicles in Australia, which are made at the Commonwealth level.</w:t>
                  </w:r>
                  <w:r>
                    <w:rPr>
                      <w:color w:val="58595B"/>
                      <w:position w:val="7"/>
                      <w:sz w:val="11"/>
                    </w:rPr>
                    <w:t>27 </w:t>
                  </w:r>
                  <w:r>
                    <w:rPr>
                      <w:color w:val="58595B"/>
                    </w:rPr>
                    <w:t>The EPA’s role in national standard setting is considered further in chapter 15.</w:t>
                  </w:r>
                </w:p>
              </w:txbxContent>
            </v:textbox>
            <w10:wrap type="none"/>
          </v:shape>
        </w:pict>
      </w:r>
      <w:r>
        <w:rPr/>
        <w:pict>
          <v:shape style="position:absolute;margin-left:534.996094pt;margin-top:44.090015pt;width:60.3pt;height:5.25pt;mso-position-horizontal-relative:page;mso-position-vertical-relative:page;z-index:-19163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160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91584" from=".0pt,45.840015pt" to="60.2791pt,45.840015pt" stroked="true" strokeweight="7pt" strokecolor="#0095a7">
            <w10:wrap type="none"/>
          </v:line>
        </w:pict>
      </w:r>
      <w:r>
        <w:rPr/>
        <w:pict>
          <v:shape style="position:absolute;margin-left:69.866096pt;margin-top:40.902756pt;width:14.4pt;height:9.5pt;mso-position-horizontal-relative:page;mso-position-vertical-relative:page;z-index:-191560" type="#_x0000_t202" filled="false" stroked="false">
            <v:textbox inset="0,0,0,0">
              <w:txbxContent>
                <w:p>
                  <w:pPr>
                    <w:spacing w:before="1"/>
                    <w:ind w:left="20" w:right="-3" w:firstLine="0"/>
                    <w:jc w:val="left"/>
                    <w:rPr>
                      <w:sz w:val="15"/>
                    </w:rPr>
                  </w:pPr>
                  <w:r>
                    <w:rPr>
                      <w:color w:val="58595B"/>
                      <w:sz w:val="15"/>
                    </w:rPr>
                    <w:t>120</w:t>
                  </w:r>
                </w:p>
              </w:txbxContent>
            </v:textbox>
            <w10:wrap type="none"/>
          </v:shape>
        </w:pict>
      </w:r>
      <w:r>
        <w:rPr/>
        <w:pict>
          <v:shape style="position:absolute;margin-left:95.377899pt;margin-top:40.902756pt;width:147.75pt;height:9.5pt;mso-position-horizontal-relative:page;mso-position-vertical-relative:page;z-index:-191536"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24.55pt;height:93pt;mso-position-horizontal-relative:page;mso-position-vertical-relative:page;z-index:-191512" type="#_x0000_t202" filled="false" stroked="false">
            <v:textbox inset="0,0,0,0">
              <w:txbxContent>
                <w:p>
                  <w:pPr>
                    <w:pStyle w:val="BodyText"/>
                    <w:spacing w:line="224" w:lineRule="exact"/>
                  </w:pPr>
                  <w:r>
                    <w:rPr>
                      <w:color w:val="58595B"/>
                    </w:rPr>
                    <w:t>The group could also contribute to the surveillance and national regulation of chemicals.</w:t>
                  </w:r>
                </w:p>
                <w:p>
                  <w:pPr>
                    <w:pStyle w:val="BodyText"/>
                    <w:spacing w:line="280" w:lineRule="auto" w:before="40"/>
                    <w:ind w:right="17"/>
                    <w:rPr>
                      <w:sz w:val="11"/>
                    </w:rPr>
                  </w:pPr>
                  <w:r>
                    <w:rPr>
                      <w:color w:val="58595B"/>
                    </w:rPr>
                    <w:t>As Victoria’s regulator of the end-of-life of chemicals (that is, pollution and </w:t>
                  </w:r>
                  <w:r>
                    <w:rPr>
                      <w:color w:val="58595B"/>
                      <w:spacing w:val="-3"/>
                    </w:rPr>
                    <w:t>waste), </w:t>
                  </w:r>
                  <w:r>
                    <w:rPr>
                      <w:color w:val="58595B"/>
                    </w:rPr>
                    <w:t>the </w:t>
                  </w:r>
                  <w:r>
                    <w:rPr>
                      <w:color w:val="58595B"/>
                      <w:spacing w:val="-4"/>
                    </w:rPr>
                    <w:t>EPA </w:t>
                  </w:r>
                  <w:r>
                    <w:rPr>
                      <w:color w:val="58595B"/>
                    </w:rPr>
                    <w:t>plays a </w:t>
                  </w:r>
                  <w:r>
                    <w:rPr>
                      <w:color w:val="58595B"/>
                      <w:spacing w:val="-3"/>
                    </w:rPr>
                    <w:t>key </w:t>
                  </w:r>
                  <w:r>
                    <w:rPr>
                      <w:color w:val="58595B"/>
                    </w:rPr>
                    <w:t>role in the regulatory lifecycle of such substances. The EPA, like other </w:t>
                  </w:r>
                  <w:r>
                    <w:rPr>
                      <w:color w:val="58595B"/>
                      <w:spacing w:val="-3"/>
                    </w:rPr>
                    <w:t>EPAs </w:t>
                  </w:r>
                  <w:r>
                    <w:rPr>
                      <w:color w:val="58595B"/>
                    </w:rPr>
                    <w:t>and chemicals regulators in Australia and across the world, must share its knowledge about risks. The environmental health group can strengthen the </w:t>
                  </w:r>
                  <w:r>
                    <w:rPr>
                      <w:color w:val="58595B"/>
                      <w:spacing w:val="-7"/>
                    </w:rPr>
                    <w:t>EPA’s </w:t>
                  </w:r>
                  <w:r>
                    <w:rPr>
                      <w:color w:val="58595B"/>
                    </w:rPr>
                    <w:t>work in monitoring emerging issues and keeping abreast of the latest discoveries across the world.28 This will strengthen the </w:t>
                  </w:r>
                  <w:r>
                    <w:rPr>
                      <w:color w:val="58595B"/>
                      <w:spacing w:val="-7"/>
                    </w:rPr>
                    <w:t>EPA’s </w:t>
                  </w:r>
                  <w:r>
                    <w:rPr>
                      <w:color w:val="58595B"/>
                    </w:rPr>
                    <w:t>ability to contribute to national reform </w:t>
                  </w:r>
                  <w:r>
                    <w:rPr>
                      <w:color w:val="58595B"/>
                      <w:spacing w:val="2"/>
                    </w:rPr>
                    <w:t>efforts </w:t>
                  </w:r>
                  <w:r>
                    <w:rPr>
                      <w:color w:val="58595B"/>
                    </w:rPr>
                    <w:t>to strengthen national chemicals</w:t>
                  </w:r>
                  <w:r>
                    <w:rPr>
                      <w:color w:val="58595B"/>
                      <w:spacing w:val="19"/>
                    </w:rPr>
                    <w:t> </w:t>
                  </w:r>
                  <w:r>
                    <w:rPr>
                      <w:color w:val="58595B"/>
                    </w:rPr>
                    <w:t>regulation:</w:t>
                  </w:r>
                  <w:r>
                    <w:rPr>
                      <w:color w:val="58595B"/>
                      <w:position w:val="7"/>
                      <w:sz w:val="11"/>
                    </w:rPr>
                    <w:t>29</w:t>
                  </w:r>
                </w:p>
              </w:txbxContent>
            </v:textbox>
            <w10:wrap type="none"/>
          </v:shape>
        </w:pict>
      </w:r>
      <w:r>
        <w:rPr/>
        <w:pict>
          <v:shape style="position:absolute;margin-left:98.212601pt;margin-top:208.897873pt;width:376pt;height:66pt;mso-position-horizontal-relative:page;mso-position-vertical-relative:page;z-index:-191488" type="#_x0000_t202" filled="false" stroked="false">
            <v:textbox inset="0,0,0,0">
              <w:txbxContent>
                <w:p>
                  <w:pPr>
                    <w:spacing w:line="280" w:lineRule="auto" w:before="0"/>
                    <w:ind w:left="20" w:right="5" w:firstLine="0"/>
                    <w:jc w:val="left"/>
                    <w:rPr>
                      <w:sz w:val="20"/>
                    </w:rPr>
                  </w:pPr>
                  <w:r>
                    <w:rPr>
                      <w:i/>
                      <w:color w:val="231F20"/>
                      <w:spacing w:val="4"/>
                      <w:sz w:val="20"/>
                    </w:rPr>
                    <w:t>[W]e </w:t>
                  </w:r>
                  <w:r>
                    <w:rPr>
                      <w:i/>
                      <w:color w:val="231F20"/>
                      <w:spacing w:val="-3"/>
                      <w:sz w:val="20"/>
                    </w:rPr>
                    <w:t>believe </w:t>
                  </w:r>
                  <w:r>
                    <w:rPr>
                      <w:i/>
                      <w:color w:val="231F20"/>
                      <w:sz w:val="20"/>
                    </w:rPr>
                    <w:t>that the </w:t>
                  </w:r>
                  <w:r>
                    <w:rPr>
                      <w:i/>
                      <w:color w:val="231F20"/>
                      <w:spacing w:val="-3"/>
                      <w:sz w:val="20"/>
                    </w:rPr>
                    <w:t>EPA </w:t>
                  </w:r>
                  <w:r>
                    <w:rPr>
                      <w:i/>
                      <w:color w:val="231F20"/>
                      <w:sz w:val="20"/>
                    </w:rPr>
                    <w:t>should </w:t>
                  </w:r>
                  <w:r>
                    <w:rPr>
                      <w:i/>
                      <w:color w:val="231F20"/>
                      <w:spacing w:val="-3"/>
                      <w:sz w:val="20"/>
                    </w:rPr>
                    <w:t>take </w:t>
                  </w:r>
                  <w:r>
                    <w:rPr>
                      <w:i/>
                      <w:color w:val="231F20"/>
                      <w:sz w:val="20"/>
                    </w:rPr>
                    <w:t>a more active role in screening and regulating </w:t>
                  </w:r>
                  <w:r>
                    <w:rPr>
                      <w:i/>
                      <w:color w:val="231F20"/>
                      <w:spacing w:val="-3"/>
                      <w:sz w:val="20"/>
                    </w:rPr>
                    <w:t>new</w:t>
                  </w:r>
                  <w:r>
                    <w:rPr>
                      <w:i/>
                      <w:color w:val="231F20"/>
                      <w:spacing w:val="-10"/>
                      <w:sz w:val="20"/>
                    </w:rPr>
                    <w:t> </w:t>
                  </w:r>
                  <w:r>
                    <w:rPr>
                      <w:i/>
                      <w:color w:val="231F20"/>
                      <w:sz w:val="20"/>
                    </w:rPr>
                    <w:t>chemicals</w:t>
                  </w:r>
                  <w:r>
                    <w:rPr>
                      <w:i/>
                      <w:color w:val="231F20"/>
                      <w:spacing w:val="-10"/>
                      <w:sz w:val="20"/>
                    </w:rPr>
                    <w:t> </w:t>
                  </w:r>
                  <w:r>
                    <w:rPr>
                      <w:i/>
                      <w:color w:val="231F20"/>
                      <w:sz w:val="20"/>
                    </w:rPr>
                    <w:t>that</w:t>
                  </w:r>
                  <w:r>
                    <w:rPr>
                      <w:i/>
                      <w:color w:val="231F20"/>
                      <w:spacing w:val="-10"/>
                      <w:sz w:val="20"/>
                    </w:rPr>
                    <w:t> </w:t>
                  </w:r>
                  <w:r>
                    <w:rPr>
                      <w:i/>
                      <w:color w:val="231F20"/>
                      <w:sz w:val="20"/>
                    </w:rPr>
                    <w:t>are</w:t>
                  </w:r>
                  <w:r>
                    <w:rPr>
                      <w:i/>
                      <w:color w:val="231F20"/>
                      <w:spacing w:val="-10"/>
                      <w:sz w:val="20"/>
                    </w:rPr>
                    <w:t> </w:t>
                  </w:r>
                  <w:r>
                    <w:rPr>
                      <w:i/>
                      <w:color w:val="231F20"/>
                      <w:sz w:val="20"/>
                    </w:rPr>
                    <w:t>used</w:t>
                  </w:r>
                  <w:r>
                    <w:rPr>
                      <w:i/>
                      <w:color w:val="231F20"/>
                      <w:spacing w:val="-10"/>
                      <w:sz w:val="20"/>
                    </w:rPr>
                    <w:t> </w:t>
                  </w:r>
                  <w:r>
                    <w:rPr>
                      <w:i/>
                      <w:color w:val="231F20"/>
                      <w:sz w:val="20"/>
                    </w:rPr>
                    <w:t>in</w:t>
                  </w:r>
                  <w:r>
                    <w:rPr>
                      <w:i/>
                      <w:color w:val="231F20"/>
                      <w:spacing w:val="-10"/>
                      <w:sz w:val="20"/>
                    </w:rPr>
                    <w:t> </w:t>
                  </w:r>
                  <w:r>
                    <w:rPr>
                      <w:i/>
                      <w:color w:val="231F20"/>
                      <w:sz w:val="20"/>
                    </w:rPr>
                    <w:t>the</w:t>
                  </w:r>
                  <w:r>
                    <w:rPr>
                      <w:i/>
                      <w:color w:val="231F20"/>
                      <w:spacing w:val="-10"/>
                      <w:sz w:val="20"/>
                    </w:rPr>
                    <w:t> </w:t>
                  </w:r>
                  <w:r>
                    <w:rPr>
                      <w:i/>
                      <w:color w:val="231F20"/>
                      <w:sz w:val="20"/>
                    </w:rPr>
                    <w:t>state</w:t>
                  </w:r>
                  <w:r>
                    <w:rPr>
                      <w:i/>
                      <w:color w:val="231F20"/>
                      <w:spacing w:val="-10"/>
                      <w:sz w:val="20"/>
                    </w:rPr>
                    <w:t> </w:t>
                  </w:r>
                  <w:r>
                    <w:rPr>
                      <w:i/>
                      <w:color w:val="231F20"/>
                      <w:sz w:val="20"/>
                    </w:rPr>
                    <w:t>to</w:t>
                  </w:r>
                  <w:r>
                    <w:rPr>
                      <w:i/>
                      <w:color w:val="231F20"/>
                      <w:spacing w:val="-10"/>
                      <w:sz w:val="20"/>
                    </w:rPr>
                    <w:t> </w:t>
                  </w:r>
                  <w:r>
                    <w:rPr>
                      <w:i/>
                      <w:color w:val="231F20"/>
                      <w:spacing w:val="-2"/>
                      <w:sz w:val="20"/>
                    </w:rPr>
                    <w:t>ensure</w:t>
                  </w:r>
                  <w:r>
                    <w:rPr>
                      <w:i/>
                      <w:color w:val="231F20"/>
                      <w:spacing w:val="-10"/>
                      <w:sz w:val="20"/>
                    </w:rPr>
                    <w:t> </w:t>
                  </w:r>
                  <w:r>
                    <w:rPr>
                      <w:i/>
                      <w:color w:val="231F20"/>
                      <w:sz w:val="20"/>
                    </w:rPr>
                    <w:t>that</w:t>
                  </w:r>
                  <w:r>
                    <w:rPr>
                      <w:i/>
                      <w:color w:val="231F20"/>
                      <w:spacing w:val="-10"/>
                      <w:sz w:val="20"/>
                    </w:rPr>
                    <w:t> </w:t>
                  </w:r>
                  <w:r>
                    <w:rPr>
                      <w:i/>
                      <w:color w:val="231F20"/>
                      <w:sz w:val="20"/>
                    </w:rPr>
                    <w:t>these</w:t>
                  </w:r>
                  <w:r>
                    <w:rPr>
                      <w:i/>
                      <w:color w:val="231F20"/>
                      <w:spacing w:val="-10"/>
                      <w:sz w:val="20"/>
                    </w:rPr>
                    <w:t> </w:t>
                  </w:r>
                  <w:r>
                    <w:rPr>
                      <w:i/>
                      <w:color w:val="231F20"/>
                      <w:sz w:val="20"/>
                    </w:rPr>
                    <w:t>chemicals</w:t>
                  </w:r>
                  <w:r>
                    <w:rPr>
                      <w:i/>
                      <w:color w:val="231F20"/>
                      <w:spacing w:val="-10"/>
                      <w:sz w:val="20"/>
                    </w:rPr>
                    <w:t> </w:t>
                  </w:r>
                  <w:r>
                    <w:rPr>
                      <w:i/>
                      <w:color w:val="231F20"/>
                      <w:sz w:val="20"/>
                    </w:rPr>
                    <w:t>do</w:t>
                  </w:r>
                  <w:r>
                    <w:rPr>
                      <w:i/>
                      <w:color w:val="231F20"/>
                      <w:spacing w:val="-10"/>
                      <w:sz w:val="20"/>
                    </w:rPr>
                    <w:t> </w:t>
                  </w:r>
                  <w:r>
                    <w:rPr>
                      <w:i/>
                      <w:color w:val="231F20"/>
                      <w:sz w:val="20"/>
                    </w:rPr>
                    <w:t>not</w:t>
                  </w:r>
                  <w:r>
                    <w:rPr>
                      <w:i/>
                      <w:color w:val="231F20"/>
                      <w:spacing w:val="-10"/>
                      <w:sz w:val="20"/>
                    </w:rPr>
                    <w:t> </w:t>
                  </w:r>
                  <w:r>
                    <w:rPr>
                      <w:i/>
                      <w:color w:val="231F20"/>
                      <w:sz w:val="20"/>
                    </w:rPr>
                    <w:t>impact human health or the </w:t>
                  </w:r>
                  <w:r>
                    <w:rPr>
                      <w:i/>
                      <w:color w:val="231F20"/>
                      <w:spacing w:val="-3"/>
                      <w:sz w:val="20"/>
                    </w:rPr>
                    <w:t>environment. </w:t>
                  </w:r>
                  <w:r>
                    <w:rPr>
                      <w:i/>
                      <w:color w:val="231F20"/>
                      <w:sz w:val="20"/>
                    </w:rPr>
                    <w:t>Deregistration and </w:t>
                  </w:r>
                  <w:r>
                    <w:rPr>
                      <w:i/>
                      <w:color w:val="231F20"/>
                      <w:spacing w:val="-3"/>
                      <w:sz w:val="20"/>
                    </w:rPr>
                    <w:t>removal </w:t>
                  </w:r>
                  <w:r>
                    <w:rPr>
                      <w:i/>
                      <w:color w:val="231F20"/>
                      <w:sz w:val="20"/>
                    </w:rPr>
                    <w:t>of harmful chemicals is a</w:t>
                  </w:r>
                  <w:r>
                    <w:rPr>
                      <w:i/>
                      <w:color w:val="231F20"/>
                      <w:spacing w:val="-13"/>
                      <w:sz w:val="20"/>
                    </w:rPr>
                    <w:t> </w:t>
                  </w:r>
                  <w:r>
                    <w:rPr>
                      <w:i/>
                      <w:color w:val="231F20"/>
                      <w:sz w:val="20"/>
                    </w:rPr>
                    <w:t>much</w:t>
                  </w:r>
                  <w:r>
                    <w:rPr>
                      <w:i/>
                      <w:color w:val="231F20"/>
                      <w:spacing w:val="-13"/>
                      <w:sz w:val="20"/>
                    </w:rPr>
                    <w:t> </w:t>
                  </w:r>
                  <w:r>
                    <w:rPr>
                      <w:i/>
                      <w:color w:val="231F20"/>
                      <w:sz w:val="20"/>
                    </w:rPr>
                    <w:t>more</w:t>
                  </w:r>
                  <w:r>
                    <w:rPr>
                      <w:i/>
                      <w:color w:val="231F20"/>
                      <w:spacing w:val="-13"/>
                      <w:sz w:val="20"/>
                    </w:rPr>
                    <w:t> </w:t>
                  </w:r>
                  <w:r>
                    <w:rPr>
                      <w:i/>
                      <w:color w:val="231F20"/>
                      <w:sz w:val="20"/>
                    </w:rPr>
                    <w:t>effective</w:t>
                  </w:r>
                  <w:r>
                    <w:rPr>
                      <w:i/>
                      <w:color w:val="231F20"/>
                      <w:spacing w:val="-13"/>
                      <w:sz w:val="20"/>
                    </w:rPr>
                    <w:t> </w:t>
                  </w:r>
                  <w:r>
                    <w:rPr>
                      <w:i/>
                      <w:color w:val="231F20"/>
                      <w:spacing w:val="-4"/>
                      <w:sz w:val="20"/>
                    </w:rPr>
                    <w:t>way</w:t>
                  </w:r>
                  <w:r>
                    <w:rPr>
                      <w:i/>
                      <w:color w:val="231F20"/>
                      <w:spacing w:val="-13"/>
                      <w:sz w:val="20"/>
                    </w:rPr>
                    <w:t> </w:t>
                  </w:r>
                  <w:r>
                    <w:rPr>
                      <w:i/>
                      <w:color w:val="231F20"/>
                      <w:sz w:val="20"/>
                    </w:rPr>
                    <w:t>to</w:t>
                  </w:r>
                  <w:r>
                    <w:rPr>
                      <w:i/>
                      <w:color w:val="231F20"/>
                      <w:spacing w:val="-13"/>
                      <w:sz w:val="20"/>
                    </w:rPr>
                    <w:t> </w:t>
                  </w:r>
                  <w:r>
                    <w:rPr>
                      <w:i/>
                      <w:color w:val="231F20"/>
                      <w:sz w:val="20"/>
                    </w:rPr>
                    <w:t>reaching</w:t>
                  </w:r>
                  <w:r>
                    <w:rPr>
                      <w:i/>
                      <w:color w:val="231F20"/>
                      <w:spacing w:val="-13"/>
                      <w:sz w:val="20"/>
                    </w:rPr>
                    <w:t> </w:t>
                  </w:r>
                  <w:r>
                    <w:rPr>
                      <w:i/>
                      <w:color w:val="231F20"/>
                      <w:sz w:val="20"/>
                    </w:rPr>
                    <w:t>better</w:t>
                  </w:r>
                  <w:r>
                    <w:rPr>
                      <w:i/>
                      <w:color w:val="231F20"/>
                      <w:spacing w:val="-13"/>
                      <w:sz w:val="20"/>
                    </w:rPr>
                    <w:t> </w:t>
                  </w:r>
                  <w:r>
                    <w:rPr>
                      <w:i/>
                      <w:color w:val="231F20"/>
                      <w:sz w:val="20"/>
                    </w:rPr>
                    <w:t>outcomes</w:t>
                  </w:r>
                  <w:r>
                    <w:rPr>
                      <w:i/>
                      <w:color w:val="231F20"/>
                      <w:spacing w:val="-13"/>
                      <w:sz w:val="20"/>
                    </w:rPr>
                    <w:t> </w:t>
                  </w:r>
                  <w:r>
                    <w:rPr>
                      <w:i/>
                      <w:color w:val="231F20"/>
                      <w:sz w:val="20"/>
                    </w:rPr>
                    <w:t>rather</w:t>
                  </w:r>
                  <w:r>
                    <w:rPr>
                      <w:i/>
                      <w:color w:val="231F20"/>
                      <w:spacing w:val="-13"/>
                      <w:sz w:val="20"/>
                    </w:rPr>
                    <w:t> </w:t>
                  </w:r>
                  <w:r>
                    <w:rPr>
                      <w:i/>
                      <w:color w:val="231F20"/>
                      <w:sz w:val="20"/>
                    </w:rPr>
                    <w:t>than</w:t>
                  </w:r>
                  <w:r>
                    <w:rPr>
                      <w:i/>
                      <w:color w:val="231F20"/>
                      <w:spacing w:val="-13"/>
                      <w:sz w:val="20"/>
                    </w:rPr>
                    <w:t> </w:t>
                  </w:r>
                  <w:r>
                    <w:rPr>
                      <w:i/>
                      <w:color w:val="231F20"/>
                      <w:sz w:val="20"/>
                    </w:rPr>
                    <w:t>reducing</w:t>
                  </w:r>
                  <w:r>
                    <w:rPr>
                      <w:i/>
                      <w:color w:val="231F20"/>
                      <w:spacing w:val="-13"/>
                      <w:sz w:val="20"/>
                    </w:rPr>
                    <w:t> </w:t>
                  </w:r>
                  <w:r>
                    <w:rPr>
                      <w:i/>
                      <w:color w:val="231F20"/>
                      <w:sz w:val="20"/>
                    </w:rPr>
                    <w:t>pollution. </w:t>
                  </w:r>
                  <w:r>
                    <w:rPr>
                      <w:color w:val="231F20"/>
                      <w:spacing w:val="-3"/>
                      <w:sz w:val="20"/>
                    </w:rPr>
                    <w:t>(Centre</w:t>
                  </w:r>
                  <w:r>
                    <w:rPr>
                      <w:color w:val="231F20"/>
                      <w:spacing w:val="-14"/>
                      <w:sz w:val="20"/>
                    </w:rPr>
                    <w:t> </w:t>
                  </w:r>
                  <w:r>
                    <w:rPr>
                      <w:color w:val="231F20"/>
                      <w:sz w:val="20"/>
                    </w:rPr>
                    <w:t>for</w:t>
                  </w:r>
                  <w:r>
                    <w:rPr>
                      <w:color w:val="231F20"/>
                      <w:spacing w:val="-14"/>
                      <w:sz w:val="20"/>
                    </w:rPr>
                    <w:t> </w:t>
                  </w:r>
                  <w:r>
                    <w:rPr>
                      <w:color w:val="231F20"/>
                      <w:sz w:val="20"/>
                    </w:rPr>
                    <w:t>Aquatic</w:t>
                  </w:r>
                  <w:r>
                    <w:rPr>
                      <w:color w:val="231F20"/>
                      <w:spacing w:val="-14"/>
                      <w:sz w:val="20"/>
                    </w:rPr>
                    <w:t> </w:t>
                  </w:r>
                  <w:r>
                    <w:rPr>
                      <w:color w:val="231F20"/>
                      <w:sz w:val="20"/>
                    </w:rPr>
                    <w:t>Pollution</w:t>
                  </w:r>
                  <w:r>
                    <w:rPr>
                      <w:color w:val="231F20"/>
                      <w:spacing w:val="-14"/>
                      <w:sz w:val="20"/>
                    </w:rPr>
                    <w:t> </w:t>
                  </w:r>
                  <w:r>
                    <w:rPr>
                      <w:color w:val="231F20"/>
                      <w:sz w:val="20"/>
                    </w:rPr>
                    <w:t>Identification</w:t>
                  </w:r>
                  <w:r>
                    <w:rPr>
                      <w:color w:val="231F20"/>
                      <w:spacing w:val="-14"/>
                      <w:sz w:val="20"/>
                    </w:rPr>
                    <w:t> </w:t>
                  </w:r>
                  <w:r>
                    <w:rPr>
                      <w:color w:val="231F20"/>
                      <w:sz w:val="20"/>
                    </w:rPr>
                    <w:t>and</w:t>
                  </w:r>
                  <w:r>
                    <w:rPr>
                      <w:color w:val="231F20"/>
                      <w:spacing w:val="-14"/>
                      <w:sz w:val="20"/>
                    </w:rPr>
                    <w:t> </w:t>
                  </w:r>
                  <w:r>
                    <w:rPr>
                      <w:color w:val="231F20"/>
                      <w:sz w:val="20"/>
                    </w:rPr>
                    <w:t>Management</w:t>
                  </w:r>
                  <w:r>
                    <w:rPr>
                      <w:color w:val="231F20"/>
                      <w:spacing w:val="-14"/>
                      <w:sz w:val="20"/>
                    </w:rPr>
                    <w:t> </w:t>
                  </w:r>
                  <w:r>
                    <w:rPr>
                      <w:color w:val="231F20"/>
                      <w:sz w:val="20"/>
                    </w:rPr>
                    <w:t>submission,</w:t>
                  </w:r>
                  <w:r>
                    <w:rPr>
                      <w:color w:val="231F20"/>
                      <w:spacing w:val="-14"/>
                      <w:sz w:val="20"/>
                    </w:rPr>
                    <w:t> </w:t>
                  </w:r>
                  <w:r>
                    <w:rPr>
                      <w:color w:val="231F20"/>
                      <w:spacing w:val="-3"/>
                      <w:sz w:val="20"/>
                    </w:rPr>
                    <w:t>p.</w:t>
                  </w:r>
                  <w:r>
                    <w:rPr>
                      <w:color w:val="231F20"/>
                      <w:spacing w:val="-14"/>
                      <w:sz w:val="20"/>
                    </w:rPr>
                    <w:t> </w:t>
                  </w:r>
                  <w:r>
                    <w:rPr>
                      <w:color w:val="231F20"/>
                      <w:spacing w:val="-8"/>
                      <w:sz w:val="20"/>
                    </w:rPr>
                    <w:t>1)</w:t>
                  </w:r>
                </w:p>
              </w:txbxContent>
            </v:textbox>
            <w10:wrap type="none"/>
          </v:shape>
        </w:pict>
      </w:r>
      <w:r>
        <w:rPr/>
        <w:pict>
          <v:shape style="position:absolute;margin-left:69.862602pt;margin-top:287.737854pt;width:427.75pt;height:70.25pt;mso-position-horizontal-relative:page;mso-position-vertical-relative:page;z-index:-191464" type="#_x0000_t202" filled="false" stroked="false">
            <v:textbox inset="0,0,0,0">
              <w:txbxContent>
                <w:p>
                  <w:pPr>
                    <w:spacing w:line="224" w:lineRule="exact" w:before="0"/>
                    <w:ind w:left="20" w:right="0" w:firstLine="0"/>
                    <w:jc w:val="left"/>
                    <w:rPr>
                      <w:i/>
                      <w:sz w:val="20"/>
                    </w:rPr>
                  </w:pPr>
                  <w:r>
                    <w:rPr>
                      <w:i/>
                      <w:color w:val="6D6E71"/>
                      <w:sz w:val="20"/>
                    </w:rPr>
                    <w:t>Strategic partnerships</w:t>
                  </w:r>
                </w:p>
                <w:p>
                  <w:pPr>
                    <w:pStyle w:val="BodyText"/>
                    <w:spacing w:line="280" w:lineRule="auto" w:before="125"/>
                  </w:pPr>
                  <w:r>
                    <w:rPr>
                      <w:color w:val="58595B"/>
                    </w:rPr>
                    <w:t>Consolidating expertise will also strengthen relationships with relevant academics, institutions and the broader scientific community. It also strengthens strategic partnerships within government, including a renewed focus on collaborative efforts, such as those carried out under the National Environmental Health Strategy.</w:t>
                  </w:r>
                </w:p>
              </w:txbxContent>
            </v:textbox>
            <w10:wrap type="none"/>
          </v:shape>
        </w:pict>
      </w:r>
      <w:r>
        <w:rPr/>
        <w:pict>
          <v:shape style="position:absolute;margin-left:69.862602pt;margin-top:367.987854pt;width:422.35pt;height:79.55pt;mso-position-horizontal-relative:page;mso-position-vertical-relative:page;z-index:-191440" type="#_x0000_t202" filled="false" stroked="false">
            <v:textbox inset="0,0,0,0">
              <w:txbxContent>
                <w:p>
                  <w:pPr>
                    <w:pStyle w:val="BodyText"/>
                    <w:spacing w:line="280" w:lineRule="auto"/>
                  </w:pPr>
                  <w:r>
                    <w:rPr>
                      <w:color w:val="58595B"/>
                    </w:rPr>
                    <w:t>There is scope for research partnerships and data linkages across government that strengthen Victoria’s environmental health system. One example could be working with the prevention unit at the Coroner’s Court of Victoria, which, among other things, seeks to reduce preventable deaths by reviewing, collecting and analysing data on reportable and reviewable deaths.</w:t>
                  </w:r>
                  <w:r>
                    <w:rPr>
                      <w:color w:val="58595B"/>
                      <w:position w:val="7"/>
                      <w:sz w:val="11"/>
                    </w:rPr>
                    <w:t>30 </w:t>
                  </w:r>
                  <w:r>
                    <w:rPr>
                      <w:color w:val="58595B"/>
                    </w:rPr>
                    <w:t>Another example could be working with DHHS to integrate data from sources such as hospital admissions, medical practitioner reports and the Victorian Cancer Registry.</w:t>
                  </w:r>
                </w:p>
              </w:txbxContent>
            </v:textbox>
            <w10:wrap type="none"/>
          </v:shape>
        </w:pict>
      </w:r>
      <w:r>
        <w:rPr/>
        <w:pict>
          <v:shape style="position:absolute;margin-left:69.866096pt;margin-top:460.127625pt;width:385.85pt;height:73.3pt;mso-position-horizontal-relative:page;mso-position-vertical-relative:page;z-index:-191416" type="#_x0000_t202" filled="false" stroked="false">
            <v:textbox inset="0,0,0,0">
              <w:txbxContent>
                <w:p>
                  <w:pPr>
                    <w:spacing w:line="265" w:lineRule="exact" w:before="0"/>
                    <w:ind w:left="20" w:right="147" w:firstLine="0"/>
                    <w:jc w:val="left"/>
                    <w:rPr>
                      <w:sz w:val="24"/>
                    </w:rPr>
                  </w:pPr>
                  <w:r>
                    <w:rPr>
                      <w:color w:val="0095A7"/>
                      <w:sz w:val="24"/>
                    </w:rPr>
                    <w:t>6.8  The EPA and DHHS working together</w:t>
                  </w:r>
                </w:p>
                <w:p>
                  <w:pPr>
                    <w:spacing w:line="280" w:lineRule="auto" w:before="145"/>
                    <w:ind w:left="586" w:right="147" w:firstLine="0"/>
                    <w:jc w:val="left"/>
                    <w:rPr>
                      <w:i/>
                      <w:sz w:val="20"/>
                    </w:rPr>
                  </w:pPr>
                  <w:r>
                    <w:rPr>
                      <w:i/>
                      <w:color w:val="231F20"/>
                      <w:sz w:val="20"/>
                    </w:rPr>
                    <w:t>Clarifying the roles and responsibilities between the EPA and the Department of Health and Human services </w:t>
                  </w:r>
                  <w:r>
                    <w:rPr>
                      <w:color w:val="231F20"/>
                      <w:sz w:val="20"/>
                    </w:rPr>
                    <w:t>(including the Chief Health Officer)</w:t>
                  </w:r>
                  <w:r>
                    <w:rPr>
                      <w:i/>
                      <w:color w:val="231F20"/>
                      <w:sz w:val="20"/>
                    </w:rPr>
                    <w:t>, and other</w:t>
                  </w:r>
                </w:p>
                <w:p>
                  <w:pPr>
                    <w:spacing w:line="280" w:lineRule="auto" w:before="2"/>
                    <w:ind w:left="586" w:right="0" w:firstLine="0"/>
                    <w:jc w:val="left"/>
                    <w:rPr>
                      <w:sz w:val="20"/>
                    </w:rPr>
                  </w:pPr>
                  <w:r>
                    <w:rPr>
                      <w:i/>
                      <w:color w:val="231F20"/>
                      <w:sz w:val="20"/>
                    </w:rPr>
                    <w:t>agencies… would be beneficial to Victorian communities and industry. </w:t>
                  </w:r>
                  <w:r>
                    <w:rPr>
                      <w:color w:val="231F20"/>
                      <w:sz w:val="20"/>
                    </w:rPr>
                    <w:t>(Planning Institute of Australia – Victoria submission, p. 2)</w:t>
                  </w:r>
                </w:p>
              </w:txbxContent>
            </v:textbox>
            <w10:wrap type="none"/>
          </v:shape>
        </w:pict>
      </w:r>
      <w:r>
        <w:rPr/>
        <w:pict>
          <v:shape style="position:absolute;margin-left:98.212601pt;margin-top:543.417542pt;width:355.8pt;height:52.5pt;mso-position-horizontal-relative:page;mso-position-vertical-relative:page;z-index:-191392" type="#_x0000_t202" filled="false" stroked="false">
            <v:textbox inset="0,0,0,0">
              <w:txbxContent>
                <w:p>
                  <w:pPr>
                    <w:spacing w:line="280" w:lineRule="auto" w:before="0"/>
                    <w:ind w:left="20" w:right="16" w:firstLine="0"/>
                    <w:jc w:val="left"/>
                    <w:rPr>
                      <w:sz w:val="20"/>
                    </w:rPr>
                  </w:pPr>
                  <w:r>
                    <w:rPr>
                      <w:i/>
                      <w:color w:val="231F20"/>
                      <w:sz w:val="20"/>
                    </w:rPr>
                    <w:t>EPA’s role in public health issues is inextricably intertwined with other agencies. If the EPA is to leverage other organisations to achieve better environmental outcomes, all agencies need to have clearly defined roles and responsibilities. </w:t>
                  </w:r>
                  <w:r>
                    <w:rPr>
                      <w:color w:val="231F20"/>
                      <w:sz w:val="20"/>
                    </w:rPr>
                    <w:t>(Community and Public Sector Union Victoria submission, p. 17)</w:t>
                  </w:r>
                </w:p>
              </w:txbxContent>
            </v:textbox>
            <w10:wrap type="none"/>
          </v:shape>
        </w:pict>
      </w:r>
      <w:r>
        <w:rPr/>
        <w:pict>
          <v:shape style="position:absolute;margin-left:69.862602pt;margin-top:605.917542pt;width:433.25pt;height:39pt;mso-position-horizontal-relative:page;mso-position-vertical-relative:page;z-index:-191368" type="#_x0000_t202" filled="false" stroked="false">
            <v:textbox inset="0,0,0,0">
              <w:txbxContent>
                <w:p>
                  <w:pPr>
                    <w:pStyle w:val="BodyText"/>
                    <w:spacing w:line="280" w:lineRule="auto"/>
                  </w:pPr>
                  <w:r>
                    <w:rPr>
                      <w:color w:val="58595B"/>
                    </w:rPr>
                    <w:t>Consolidating Victoria’s environmental health expertise will strengthen capability, but it must provide a basis for strengthened coordination and collaboration that enhances the capacity of the EPA, DHHS and the Chief Health Officer to acquit their responsibilities.</w:t>
                  </w:r>
                </w:p>
              </w:txbxContent>
            </v:textbox>
            <w10:wrap type="none"/>
          </v:shape>
        </w:pict>
      </w:r>
      <w:r>
        <w:rPr/>
        <w:pict>
          <v:shape style="position:absolute;margin-left:69.862602pt;margin-top:654.917542pt;width:410.85pt;height:52.5pt;mso-position-horizontal-relative:page;mso-position-vertical-relative:page;z-index:-191344" type="#_x0000_t202" filled="false" stroked="false">
            <v:textbox inset="0,0,0,0">
              <w:txbxContent>
                <w:p>
                  <w:pPr>
                    <w:pStyle w:val="BodyText"/>
                    <w:spacing w:line="280" w:lineRule="auto"/>
                    <w:ind w:right="6"/>
                  </w:pPr>
                  <w:r>
                    <w:rPr>
                      <w:color w:val="58595B"/>
                    </w:rPr>
                    <w:t>To this end, the EPA must establish formal and transparent relationships with DHHS and the Chief Health Officer. Currently, these important relationships have no formal basis. Officers in both agencies acknowledge the current arrangements are inadequate. Stakeholders also supported stronger relationships between the agencies:</w:t>
                  </w:r>
                </w:p>
              </w:txbxContent>
            </v:textbox>
            <w10:wrap type="none"/>
          </v:shape>
        </w:pict>
      </w:r>
      <w:r>
        <w:rPr/>
        <w:pict>
          <v:shape style="position:absolute;margin-left:98.212601pt;margin-top:717.417542pt;width:377.5pt;height:79.5pt;mso-position-horizontal-relative:page;mso-position-vertical-relative:page;z-index:-191320" type="#_x0000_t202" filled="false" stroked="false">
            <v:textbox inset="0,0,0,0">
              <w:txbxContent>
                <w:p>
                  <w:pPr>
                    <w:spacing w:line="280" w:lineRule="auto" w:before="0"/>
                    <w:ind w:left="20" w:right="0" w:firstLine="0"/>
                    <w:jc w:val="left"/>
                    <w:rPr>
                      <w:sz w:val="20"/>
                    </w:rPr>
                  </w:pPr>
                  <w:r>
                    <w:rPr>
                      <w:i/>
                      <w:color w:val="231F20"/>
                      <w:sz w:val="20"/>
                    </w:rPr>
                    <w:t>DEA strongly suggests that the Victorian EPA formalise a working relationship with the Environmental Health </w:t>
                  </w:r>
                  <w:r>
                    <w:rPr>
                      <w:color w:val="231F20"/>
                      <w:sz w:val="20"/>
                    </w:rPr>
                    <w:t>(EH) </w:t>
                  </w:r>
                  <w:r>
                    <w:rPr>
                      <w:i/>
                      <w:color w:val="231F20"/>
                      <w:sz w:val="20"/>
                    </w:rPr>
                    <w:t>Program of the Victorian DHHS, and to work together in a regular, proactive (rather than reactive) manner for mutual benefit. Because the current nature of the relationship is not transparent, it seems that the collaborative potential of this affiliation is grossly underutilised as a resource. </w:t>
                  </w:r>
                  <w:r>
                    <w:rPr>
                      <w:color w:val="231F20"/>
                      <w:sz w:val="20"/>
                    </w:rPr>
                    <w:t>(Doctors for the Environment Australia submission, p. 6)</w:t>
                  </w:r>
                </w:p>
              </w:txbxContent>
            </v:textbox>
            <w10:wrap type="none"/>
          </v:shape>
        </w:pict>
      </w:r>
      <w:r>
        <w:rPr/>
        <w:pict>
          <v:shape style="position:absolute;margin-left:.0pt;margin-top:44.090015pt;width:60.3pt;height:5.25pt;mso-position-horizontal-relative:page;mso-position-vertical-relative:page;z-index:-191296"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91272"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91248" from="534.996094pt,45.840015pt" to="595.276001pt,45.840015pt" stroked="true" strokeweight="7pt" strokecolor="#0095a7">
            <w10:wrap type="none"/>
          </v:line>
        </w:pict>
      </w:r>
      <w:r>
        <w:rPr/>
        <w:pict>
          <v:group style="position:absolute;margin-left:90.708pt;margin-top:328.603027pt;width:433.75pt;height:432.05pt;mso-position-horizontal-relative:page;mso-position-vertical-relative:page;z-index:-191224" coordorigin="1814,6572" coordsize="8675,8641">
            <v:rect style="position:absolute;left:1814;top:6572;width:8674;height:8640" filled="true" fillcolor="#ededee" stroked="false">
              <v:fill type="solid"/>
            </v:rect>
            <v:shape style="position:absolute;left:1814;top:6572;width:8674;height:8640" type="#_x0000_t75" stroked="false">
              <v:imagedata r:id="rId24" o:title=""/>
            </v:shape>
            <w10:wrap type="none"/>
          </v:group>
        </w:pict>
      </w:r>
      <w:r>
        <w:rPr/>
        <w:pict>
          <v:shape style="position:absolute;margin-left:280.517792pt;margin-top:40.902756pt;width:244.85pt;height:9.5pt;mso-position-horizontal-relative:page;mso-position-vertical-relative:page;z-index:-191200" type="#_x0000_t202" filled="false" stroked="false">
            <v:textbox inset="0,0,0,0">
              <w:txbxContent>
                <w:p>
                  <w:pPr>
                    <w:tabs>
                      <w:tab w:pos="4633" w:val="left" w:leader="none"/>
                    </w:tabs>
                    <w:spacing w:before="1"/>
                    <w:ind w:left="20" w:right="0" w:firstLine="0"/>
                    <w:jc w:val="left"/>
                    <w:rPr>
                      <w:sz w:val="15"/>
                    </w:rPr>
                  </w:pPr>
                  <w:r>
                    <w:rPr>
                      <w:color w:val="58595B"/>
                      <w:spacing w:val="3"/>
                      <w:sz w:val="15"/>
                    </w:rPr>
                    <w:t>CHAPTER </w:t>
                  </w:r>
                  <w:r>
                    <w:rPr>
                      <w:color w:val="58595B"/>
                      <w:sz w:val="15"/>
                    </w:rPr>
                    <w:t>6    </w:t>
                  </w:r>
                  <w:r>
                    <w:rPr>
                      <w:color w:val="58595B"/>
                      <w:spacing w:val="3"/>
                      <w:sz w:val="15"/>
                    </w:rPr>
                    <w:t>THE </w:t>
                  </w:r>
                  <w:r>
                    <w:rPr>
                      <w:color w:val="58595B"/>
                      <w:sz w:val="15"/>
                    </w:rPr>
                    <w:t>EPA ASA</w:t>
                  </w:r>
                  <w:r>
                    <w:rPr>
                      <w:color w:val="58595B"/>
                      <w:spacing w:val="-1"/>
                      <w:sz w:val="15"/>
                    </w:rPr>
                    <w:t> </w:t>
                  </w:r>
                  <w:r>
                    <w:rPr>
                      <w:color w:val="58595B"/>
                      <w:spacing w:val="3"/>
                      <w:sz w:val="15"/>
                    </w:rPr>
                    <w:t>SCIENCE-BASED</w:t>
                  </w:r>
                  <w:r>
                    <w:rPr>
                      <w:color w:val="58595B"/>
                      <w:spacing w:val="4"/>
                      <w:sz w:val="15"/>
                    </w:rPr>
                    <w:t> </w:t>
                  </w:r>
                  <w:r>
                    <w:rPr>
                      <w:color w:val="58595B"/>
                      <w:spacing w:val="2"/>
                      <w:sz w:val="15"/>
                    </w:rPr>
                    <w:t>REGULATOR</w:t>
                    <w:tab/>
                  </w:r>
                  <w:r>
                    <w:rPr>
                      <w:color w:val="58595B"/>
                      <w:spacing w:val="-3"/>
                      <w:sz w:val="15"/>
                    </w:rPr>
                    <w:t>121</w:t>
                  </w:r>
                </w:p>
              </w:txbxContent>
            </v:textbox>
            <w10:wrap type="none"/>
          </v:shape>
        </w:pict>
      </w:r>
      <w:r>
        <w:rPr/>
        <w:pict>
          <v:shape style="position:absolute;margin-left:89.708603pt;margin-top:105.893967pt;width:416.95pt;height:123.55pt;mso-position-horizontal-relative:page;mso-position-vertical-relative:page;z-index:-191176" type="#_x0000_t202" filled="false" stroked="false">
            <v:textbox inset="0,0,0,0">
              <w:txbxContent>
                <w:p>
                  <w:pPr>
                    <w:pStyle w:val="BodyText"/>
                    <w:spacing w:line="280" w:lineRule="auto"/>
                  </w:pPr>
                  <w:r>
                    <w:rPr>
                      <w:color w:val="58595B"/>
                    </w:rPr>
                    <w:t>We recommend establishing a strengthened, formal relationship between the EPA and DHHS at three levels:</w:t>
                  </w:r>
                </w:p>
                <w:p>
                  <w:pPr>
                    <w:pStyle w:val="ListParagraph"/>
                    <w:numPr>
                      <w:ilvl w:val="0"/>
                      <w:numId w:val="45"/>
                    </w:numPr>
                    <w:tabs>
                      <w:tab w:pos="190" w:val="left" w:leader="none"/>
                    </w:tabs>
                    <w:spacing w:line="280" w:lineRule="auto" w:before="115" w:after="0"/>
                    <w:ind w:left="190" w:right="134" w:hanging="170"/>
                    <w:jc w:val="left"/>
                    <w:rPr>
                      <w:sz w:val="20"/>
                    </w:rPr>
                  </w:pPr>
                  <w:r>
                    <w:rPr>
                      <w:color w:val="58595B"/>
                      <w:sz w:val="20"/>
                    </w:rPr>
                    <w:t>the Minister for Health nominates a health expert for appointment as a member of the </w:t>
                  </w:r>
                  <w:r>
                    <w:rPr>
                      <w:color w:val="58595B"/>
                      <w:spacing w:val="-4"/>
                      <w:sz w:val="20"/>
                    </w:rPr>
                    <w:t>EPA </w:t>
                  </w:r>
                  <w:r>
                    <w:rPr>
                      <w:color w:val="58595B"/>
                      <w:sz w:val="20"/>
                    </w:rPr>
                    <w:t>Board (see chapter </w:t>
                  </w:r>
                  <w:r>
                    <w:rPr>
                      <w:color w:val="58595B"/>
                      <w:spacing w:val="-4"/>
                      <w:sz w:val="20"/>
                    </w:rPr>
                    <w:t>19 </w:t>
                  </w:r>
                  <w:r>
                    <w:rPr>
                      <w:color w:val="58595B"/>
                      <w:sz w:val="20"/>
                    </w:rPr>
                    <w:t>for our proposed governance</w:t>
                  </w:r>
                  <w:r>
                    <w:rPr>
                      <w:color w:val="58595B"/>
                      <w:spacing w:val="-6"/>
                      <w:sz w:val="20"/>
                    </w:rPr>
                    <w:t> </w:t>
                  </w:r>
                  <w:r>
                    <w:rPr>
                      <w:color w:val="58595B"/>
                      <w:sz w:val="20"/>
                    </w:rPr>
                    <w:t>arrangements)</w:t>
                  </w:r>
                </w:p>
                <w:p>
                  <w:pPr>
                    <w:pStyle w:val="ListParagraph"/>
                    <w:numPr>
                      <w:ilvl w:val="0"/>
                      <w:numId w:val="45"/>
                    </w:numPr>
                    <w:tabs>
                      <w:tab w:pos="190" w:val="left" w:leader="none"/>
                    </w:tabs>
                    <w:spacing w:line="280" w:lineRule="auto" w:before="115" w:after="0"/>
                    <w:ind w:left="190" w:right="801" w:hanging="170"/>
                    <w:jc w:val="left"/>
                    <w:rPr>
                      <w:sz w:val="20"/>
                    </w:rPr>
                  </w:pPr>
                  <w:r>
                    <w:rPr>
                      <w:color w:val="58595B"/>
                      <w:sz w:val="20"/>
                    </w:rPr>
                    <w:t>the Chief Health </w:t>
                  </w:r>
                  <w:r>
                    <w:rPr>
                      <w:color w:val="58595B"/>
                      <w:spacing w:val="2"/>
                      <w:sz w:val="20"/>
                    </w:rPr>
                    <w:t>Officer </w:t>
                  </w:r>
                  <w:r>
                    <w:rPr>
                      <w:color w:val="58595B"/>
                      <w:sz w:val="20"/>
                    </w:rPr>
                    <w:t>is a member of the </w:t>
                  </w:r>
                  <w:r>
                    <w:rPr>
                      <w:color w:val="58595B"/>
                      <w:spacing w:val="-4"/>
                      <w:sz w:val="20"/>
                    </w:rPr>
                    <w:t>EPA </w:t>
                  </w:r>
                  <w:r>
                    <w:rPr>
                      <w:color w:val="58595B"/>
                      <w:sz w:val="20"/>
                    </w:rPr>
                    <w:t>Board’s Science, Engineering and Health</w:t>
                  </w:r>
                  <w:r>
                    <w:rPr>
                      <w:color w:val="58595B"/>
                      <w:spacing w:val="7"/>
                      <w:sz w:val="20"/>
                    </w:rPr>
                    <w:t> </w:t>
                  </w:r>
                  <w:r>
                    <w:rPr>
                      <w:color w:val="58595B"/>
                      <w:sz w:val="20"/>
                    </w:rPr>
                    <w:t>subcommittee</w:t>
                  </w:r>
                </w:p>
                <w:p>
                  <w:pPr>
                    <w:pStyle w:val="ListParagraph"/>
                    <w:numPr>
                      <w:ilvl w:val="0"/>
                      <w:numId w:val="45"/>
                    </w:numPr>
                    <w:tabs>
                      <w:tab w:pos="190" w:val="left" w:leader="none"/>
                    </w:tabs>
                    <w:spacing w:line="280" w:lineRule="auto" w:before="115" w:after="0"/>
                    <w:ind w:left="190" w:right="648" w:hanging="170"/>
                    <w:jc w:val="left"/>
                    <w:rPr>
                      <w:sz w:val="20"/>
                    </w:rPr>
                  </w:pPr>
                  <w:r>
                    <w:rPr>
                      <w:color w:val="58595B"/>
                      <w:sz w:val="20"/>
                    </w:rPr>
                    <w:t>the Chief Environmental Scientist has a formal legislated function to advise the Chief Health</w:t>
                  </w:r>
                  <w:r>
                    <w:rPr>
                      <w:color w:val="58595B"/>
                      <w:spacing w:val="7"/>
                      <w:sz w:val="20"/>
                    </w:rPr>
                    <w:t> </w:t>
                  </w:r>
                  <w:r>
                    <w:rPr>
                      <w:color w:val="58595B"/>
                      <w:sz w:val="20"/>
                    </w:rPr>
                    <w:t>Officer.</w:t>
                  </w:r>
                </w:p>
              </w:txbxContent>
            </v:textbox>
            <w10:wrap type="none"/>
          </v:shape>
        </w:pict>
      </w:r>
      <w:r>
        <w:rPr/>
        <w:pict>
          <v:shape style="position:absolute;margin-left:89.708603pt;margin-top:239.403961pt;width:407.55pt;height:39pt;mso-position-horizontal-relative:page;mso-position-vertical-relative:page;z-index:-191152" type="#_x0000_t202" filled="false" stroked="false">
            <v:textbox inset="0,0,0,0">
              <w:txbxContent>
                <w:p>
                  <w:pPr>
                    <w:pStyle w:val="BodyText"/>
                    <w:spacing w:line="280" w:lineRule="auto"/>
                    <w:ind w:right="17"/>
                  </w:pPr>
                  <w:r>
                    <w:rPr>
                      <w:color w:val="58595B"/>
                    </w:rPr>
                    <w:t>Figure 6.2 illustrates the proposed arrangements for managing the governance of the  </w:t>
                  </w:r>
                  <w:r>
                    <w:rPr>
                      <w:color w:val="58595B"/>
                      <w:spacing w:val="-7"/>
                    </w:rPr>
                    <w:t>EPA’s </w:t>
                  </w:r>
                  <w:r>
                    <w:rPr>
                      <w:color w:val="58595B"/>
                    </w:rPr>
                    <w:t>enhanced scientific and environmental health capabilities, in particular, for the critical relationships with DHHS and the Chief Health</w:t>
                  </w:r>
                  <w:r>
                    <w:rPr>
                      <w:color w:val="58595B"/>
                      <w:spacing w:val="11"/>
                    </w:rPr>
                    <w:t> </w:t>
                  </w:r>
                  <w:r>
                    <w:rPr>
                      <w:color w:val="58595B"/>
                    </w:rPr>
                    <w:t>Officer.</w:t>
                  </w:r>
                </w:p>
              </w:txbxContent>
            </v:textbox>
            <w10:wrap type="none"/>
          </v:shape>
        </w:pict>
      </w:r>
      <w:r>
        <w:rPr/>
        <w:pict>
          <v:shape style="position:absolute;margin-left:89.708603pt;margin-top:289.823975pt;width:330.2pt;height:25.5pt;mso-position-horizontal-relative:page;mso-position-vertical-relative:page;z-index:-191128" type="#_x0000_t202" filled="false" stroked="false">
            <v:textbox inset="0,0,0,0">
              <w:txbxContent>
                <w:p>
                  <w:pPr>
                    <w:pStyle w:val="BodyText"/>
                    <w:spacing w:line="280" w:lineRule="auto"/>
                    <w:ind w:right="-19"/>
                  </w:pPr>
                  <w:r>
                    <w:rPr>
                      <w:b/>
                      <w:color w:val="0095A7"/>
                    </w:rPr>
                    <w:t>FIGURE 6.2 </w:t>
                  </w:r>
                  <w:r>
                    <w:rPr>
                      <w:color w:val="0095A7"/>
                    </w:rPr>
                    <w:t>PROPOSED GOVERNANCE STRUCTURE FOR THE </w:t>
                  </w:r>
                  <w:r>
                    <w:rPr>
                      <w:color w:val="0095A7"/>
                      <w:spacing w:val="-6"/>
                    </w:rPr>
                    <w:t>EPA’S </w:t>
                  </w:r>
                  <w:r>
                    <w:rPr>
                      <w:color w:val="0095A7"/>
                    </w:rPr>
                    <w:t>SCIENCE FUNCTIONS</w:t>
                  </w:r>
                </w:p>
              </w:txbxContent>
            </v:textbox>
            <w10:wrap type="none"/>
          </v:shape>
        </w:pict>
      </w:r>
      <w:r>
        <w:rPr/>
        <w:pict>
          <v:shape style="position:absolute;margin-left:534.996094pt;margin-top:44.090015pt;width:60.3pt;height:5.25pt;mso-position-horizontal-relative:page;mso-position-vertical-relative:page;z-index:-19110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1080"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91056" from=".0pt,45.840015pt" to="60.2791pt,45.840015pt" stroked="true" strokeweight="7pt" strokecolor="#0095a7">
            <w10:wrap type="none"/>
          </v:line>
        </w:pict>
      </w:r>
      <w:r>
        <w:rPr/>
        <w:pict>
          <v:rect style="position:absolute;margin-left:70.865997pt;margin-top:133.461014pt;width:432.701pt;height:56.957pt;mso-position-horizontal-relative:page;mso-position-vertical-relative:page;z-index:-191032" filled="true" fillcolor="#eff6f0" stroked="false">
            <v:fill type="solid"/>
            <w10:wrap type="none"/>
          </v:rect>
        </w:pict>
      </w:r>
      <w:r>
        <w:rPr/>
        <w:pict>
          <v:rect style="position:absolute;margin-left:70.865997pt;margin-top:201.757019pt;width:432.701pt;height:70.457pt;mso-position-horizontal-relative:page;mso-position-vertical-relative:page;z-index:-191008" filled="true" fillcolor="#eff6f0" stroked="false">
            <v:fill type="solid"/>
            <w10:wrap type="none"/>
          </v:rect>
        </w:pict>
      </w:r>
      <w:r>
        <w:rPr/>
        <w:pict>
          <v:rect style="position:absolute;margin-left:70.865997pt;margin-top:283.553009pt;width:432.701pt;height:70.457pt;mso-position-horizontal-relative:page;mso-position-vertical-relative:page;z-index:-190984" filled="true" fillcolor="#eff6f0" stroked="false">
            <v:fill type="solid"/>
            <w10:wrap type="none"/>
          </v:rect>
        </w:pict>
      </w:r>
      <w:r>
        <w:rPr/>
        <w:pict>
          <v:shape style="position:absolute;margin-left:69.866096pt;margin-top:40.902756pt;width:14.45pt;height:9.5pt;mso-position-horizontal-relative:page;mso-position-vertical-relative:page;z-index:-190960" type="#_x0000_t202" filled="false" stroked="false">
            <v:textbox inset="0,0,0,0">
              <w:txbxContent>
                <w:p>
                  <w:pPr>
                    <w:spacing w:before="1"/>
                    <w:ind w:left="20" w:right="-2" w:firstLine="0"/>
                    <w:jc w:val="left"/>
                    <w:rPr>
                      <w:sz w:val="15"/>
                    </w:rPr>
                  </w:pPr>
                  <w:r>
                    <w:rPr>
                      <w:color w:val="58595B"/>
                      <w:sz w:val="15"/>
                    </w:rPr>
                    <w:t>122</w:t>
                  </w:r>
                </w:p>
              </w:txbxContent>
            </v:textbox>
            <w10:wrap type="none"/>
          </v:shape>
        </w:pict>
      </w:r>
      <w:r>
        <w:rPr/>
        <w:pict>
          <v:shape style="position:absolute;margin-left:95.377899pt;margin-top:40.902756pt;width:147.75pt;height:9.5pt;mso-position-horizontal-relative:page;mso-position-vertical-relative:page;z-index:-190936"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72934pt;width:102.85pt;height:14pt;mso-position-horizontal-relative:page;mso-position-vertical-relative:page;z-index:-190912" type="#_x0000_t202" filled="false" stroked="false">
            <v:textbox inset="0,0,0,0">
              <w:txbxContent>
                <w:p>
                  <w:pPr>
                    <w:spacing w:line="265" w:lineRule="exact" w:before="0"/>
                    <w:ind w:left="20" w:right="0" w:firstLine="0"/>
                    <w:jc w:val="left"/>
                    <w:rPr>
                      <w:sz w:val="24"/>
                    </w:rPr>
                  </w:pPr>
                  <w:r>
                    <w:rPr>
                      <w:color w:val="0095A7"/>
                      <w:sz w:val="24"/>
                    </w:rPr>
                    <w:t>Recommendations</w:t>
                  </w:r>
                </w:p>
              </w:txbxContent>
            </v:textbox>
            <w10:wrap type="none"/>
          </v:shape>
        </w:pict>
      </w:r>
      <w:r>
        <w:rPr/>
        <w:pict>
          <v:shape style="position:absolute;margin-left:70.865997pt;margin-top:283.553009pt;width:432.7pt;height:70.5pt;mso-position-horizontal-relative:page;mso-position-vertical-relative:page;z-index:-190888" type="#_x0000_t202" filled="false" stroked="false">
            <v:textbox inset="0,0,0,0">
              <w:txbxContent>
                <w:p>
                  <w:pPr>
                    <w:spacing w:before="128"/>
                    <w:ind w:left="170" w:right="0" w:firstLine="0"/>
                    <w:jc w:val="both"/>
                    <w:rPr>
                      <w:b/>
                      <w:sz w:val="20"/>
                    </w:rPr>
                  </w:pPr>
                  <w:r>
                    <w:rPr>
                      <w:b/>
                      <w:color w:val="808285"/>
                      <w:sz w:val="20"/>
                    </w:rPr>
                    <w:t>RECOMMENDATION 6.3</w:t>
                  </w:r>
                </w:p>
                <w:p>
                  <w:pPr>
                    <w:pStyle w:val="BodyText"/>
                    <w:spacing w:line="280" w:lineRule="auto" w:before="153"/>
                    <w:ind w:left="170" w:right="616"/>
                    <w:jc w:val="both"/>
                  </w:pPr>
                  <w:r>
                    <w:rPr>
                      <w:color w:val="58595B"/>
                    </w:rPr>
                    <w:t>The EPA to assess the adequacy of its air and water monitoring networks, particularly in relation to air quality, and consider options to improve data sharing and accessibility, and community communications.</w:t>
                  </w:r>
                </w:p>
              </w:txbxContent>
            </v:textbox>
            <w10:wrap type="none"/>
          </v:shape>
        </w:pict>
      </w:r>
      <w:r>
        <w:rPr/>
        <w:pict>
          <v:shape style="position:absolute;margin-left:70.865997pt;margin-top:201.757019pt;width:432.7pt;height:70.5pt;mso-position-horizontal-relative:page;mso-position-vertical-relative:page;z-index:-190864" type="#_x0000_t202" filled="false" stroked="false">
            <v:textbox inset="0,0,0,0">
              <w:txbxContent>
                <w:p>
                  <w:pPr>
                    <w:spacing w:before="128"/>
                    <w:ind w:left="170" w:right="277" w:firstLine="0"/>
                    <w:jc w:val="left"/>
                    <w:rPr>
                      <w:b/>
                      <w:sz w:val="20"/>
                    </w:rPr>
                  </w:pPr>
                  <w:r>
                    <w:rPr>
                      <w:b/>
                      <w:color w:val="808285"/>
                      <w:sz w:val="20"/>
                    </w:rPr>
                    <w:t>RECOMMENDATION 6.2</w:t>
                  </w:r>
                </w:p>
                <w:p>
                  <w:pPr>
                    <w:pStyle w:val="BodyText"/>
                    <w:spacing w:line="280" w:lineRule="auto" w:before="153"/>
                    <w:ind w:left="170" w:right="277"/>
                  </w:pPr>
                  <w:r>
                    <w:rPr>
                      <w:color w:val="58595B"/>
                    </w:rPr>
                    <w:t>Create a consolidated and enhanced environmental health capability for Victoria within the EPA, with appropriate governance arrangements recognising its critical relationship with the Department of Health and Human Services.</w:t>
                  </w:r>
                </w:p>
              </w:txbxContent>
            </v:textbox>
            <w10:wrap type="none"/>
          </v:shape>
        </w:pict>
      </w:r>
      <w:r>
        <w:rPr/>
        <w:pict>
          <v:shape style="position:absolute;margin-left:70.865997pt;margin-top:133.461014pt;width:432.7pt;height:57pt;mso-position-horizontal-relative:page;mso-position-vertical-relative:page;z-index:-190840" type="#_x0000_t202" filled="false" stroked="false">
            <v:textbox inset="0,0,0,0">
              <w:txbxContent>
                <w:p>
                  <w:pPr>
                    <w:spacing w:before="128"/>
                    <w:ind w:left="170" w:right="277" w:firstLine="0"/>
                    <w:jc w:val="left"/>
                    <w:rPr>
                      <w:b/>
                      <w:sz w:val="20"/>
                    </w:rPr>
                  </w:pPr>
                  <w:r>
                    <w:rPr>
                      <w:b/>
                      <w:color w:val="808285"/>
                      <w:sz w:val="20"/>
                    </w:rPr>
                    <w:t>RECOMMENDATION 6.1</w:t>
                  </w:r>
                </w:p>
                <w:p>
                  <w:pPr>
                    <w:pStyle w:val="BodyText"/>
                    <w:spacing w:line="280" w:lineRule="auto" w:before="153"/>
                    <w:ind w:left="170" w:right="1071"/>
                  </w:pPr>
                  <w:r>
                    <w:rPr>
                      <w:color w:val="58595B"/>
                    </w:rPr>
                    <w:t>Establish a legislated Chief Environmental Scientist position within the EPA’s senior executive structure.</w:t>
                  </w:r>
                </w:p>
              </w:txbxContent>
            </v:textbox>
            <w10:wrap type="none"/>
          </v:shape>
        </w:pict>
      </w:r>
      <w:r>
        <w:rPr/>
        <w:pict>
          <v:shape style="position:absolute;margin-left:.0pt;margin-top:44.090015pt;width:60.3pt;height:5.25pt;mso-position-horizontal-relative:page;mso-position-vertical-relative:page;z-index:-190816"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90792"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90768" from="534.996094pt,45.840015pt" to="595.276001pt,45.840015pt" stroked="true" strokeweight="7pt" strokecolor="#0095a7">
            <w10:wrap type="none"/>
          </v:line>
        </w:pict>
      </w:r>
      <w:r>
        <w:rPr/>
        <w:pict>
          <v:line style="position:absolute;mso-position-horizontal-relative:page;mso-position-vertical-relative:page;z-index:-190744" from="90.708603pt,103.331017pt" to="301.558603pt,103.331017pt" stroked="true" strokeweight=".5pt" strokecolor="#58595b">
            <w10:wrap type="none"/>
          </v:line>
        </w:pict>
      </w:r>
      <w:r>
        <w:rPr/>
        <w:pict>
          <v:shape style="position:absolute;margin-left:280.518494pt;margin-top:40.902756pt;width:45.55pt;height:9.5pt;mso-position-horizontal-relative:page;mso-position-vertical-relative:page;z-index:-190720" type="#_x0000_t202" filled="false" stroked="false">
            <v:textbox inset="0,0,0,0">
              <w:txbxContent>
                <w:p>
                  <w:pPr>
                    <w:spacing w:before="1"/>
                    <w:ind w:left="20" w:right="0" w:firstLine="0"/>
                    <w:jc w:val="left"/>
                    <w:rPr>
                      <w:sz w:val="15"/>
                    </w:rPr>
                  </w:pPr>
                  <w:r>
                    <w:rPr>
                      <w:color w:val="58595B"/>
                      <w:sz w:val="15"/>
                    </w:rPr>
                    <w:t>CHAPTER 6</w:t>
                  </w:r>
                </w:p>
              </w:txbxContent>
            </v:textbox>
            <w10:wrap type="none"/>
          </v:shape>
        </w:pict>
      </w:r>
      <w:r>
        <w:rPr/>
        <w:pict>
          <v:shape style="position:absolute;margin-left:331.751007pt;margin-top:40.902756pt;width:168.1pt;height:9.5pt;mso-position-horizontal-relative:page;mso-position-vertical-relative:page;z-index:-190696" type="#_x0000_t202" filled="false" stroked="false">
            <v:textbox inset="0,0,0,0">
              <w:txbxContent>
                <w:p>
                  <w:pPr>
                    <w:spacing w:before="1"/>
                    <w:ind w:left="20" w:right="0" w:firstLine="0"/>
                    <w:jc w:val="left"/>
                    <w:rPr>
                      <w:sz w:val="15"/>
                    </w:rPr>
                  </w:pPr>
                  <w:r>
                    <w:rPr>
                      <w:color w:val="58595B"/>
                      <w:sz w:val="15"/>
                    </w:rPr>
                    <w:t>THE EPA ASA SCIENCE-BASED REGULATOR</w:t>
                  </w:r>
                </w:p>
              </w:txbxContent>
            </v:textbox>
            <w10:wrap type="none"/>
          </v:shape>
        </w:pict>
      </w:r>
      <w:r>
        <w:rPr/>
        <w:pict>
          <v:shape style="position:absolute;margin-left:511.001007pt;margin-top:40.902756pt;width:14.4pt;height:9.5pt;mso-position-horizontal-relative:page;mso-position-vertical-relative:page;z-index:-190672" type="#_x0000_t202" filled="false" stroked="false">
            <v:textbox inset="0,0,0,0">
              <w:txbxContent>
                <w:p>
                  <w:pPr>
                    <w:spacing w:before="1"/>
                    <w:ind w:left="20" w:right="-3" w:firstLine="0"/>
                    <w:jc w:val="left"/>
                    <w:rPr>
                      <w:sz w:val="15"/>
                    </w:rPr>
                  </w:pPr>
                  <w:r>
                    <w:rPr>
                      <w:color w:val="58595B"/>
                      <w:sz w:val="15"/>
                    </w:rPr>
                    <w:t>123</w:t>
                  </w:r>
                </w:p>
              </w:txbxContent>
            </v:textbox>
            <w10:wrap type="none"/>
          </v:shape>
        </w:pict>
      </w:r>
      <w:r>
        <w:rPr/>
        <w:pict>
          <v:shape style="position:absolute;margin-left:89.708603pt;margin-top:106.22303pt;width:5.3pt;height:8pt;mso-position-horizontal-relative:page;mso-position-vertical-relative:page;z-index:-190648" type="#_x0000_t202" filled="false" stroked="false">
            <v:textbox inset="0,0,0,0">
              <w:txbxContent>
                <w:p>
                  <w:pPr>
                    <w:spacing w:before="4"/>
                    <w:ind w:left="20" w:right="0" w:firstLine="0"/>
                    <w:jc w:val="left"/>
                    <w:rPr>
                      <w:sz w:val="12"/>
                    </w:rPr>
                  </w:pPr>
                  <w:r>
                    <w:rPr>
                      <w:color w:val="58595B"/>
                      <w:sz w:val="12"/>
                    </w:rPr>
                    <w:t>1</w:t>
                  </w:r>
                </w:p>
              </w:txbxContent>
            </v:textbox>
            <w10:wrap type="none"/>
          </v:shape>
        </w:pict>
      </w:r>
      <w:r>
        <w:rPr/>
        <w:pict>
          <v:shape style="position:absolute;margin-left:103.850601pt;margin-top:106.22303pt;width:198.75pt;height:630.25pt;mso-position-horizontal-relative:page;mso-position-vertical-relative:page;z-index:-190624" type="#_x0000_t202" filled="false" stroked="false">
            <v:textbox inset="0,0,0,0">
              <w:txbxContent>
                <w:p>
                  <w:pPr>
                    <w:spacing w:line="242" w:lineRule="auto" w:before="4"/>
                    <w:ind w:left="20" w:right="193" w:firstLine="0"/>
                    <w:jc w:val="left"/>
                    <w:rPr>
                      <w:sz w:val="12"/>
                    </w:rPr>
                  </w:pPr>
                  <w:r>
                    <w:rPr>
                      <w:color w:val="58595B"/>
                      <w:sz w:val="12"/>
                    </w:rPr>
                    <w:t>Former Lands Department Chemical Inquiry 2015, </w:t>
                  </w:r>
                  <w:r>
                    <w:rPr>
                      <w:i/>
                      <w:color w:val="58595B"/>
                      <w:sz w:val="12"/>
                    </w:rPr>
                    <w:t>Inquiry into the use of chemical substances by employees of the former Victorian Department of Crown Lands and Survey</w:t>
                  </w:r>
                  <w:r>
                    <w:rPr>
                      <w:color w:val="58595B"/>
                      <w:sz w:val="12"/>
                    </w:rPr>
                    <w:t>, Melbourne,  November,</w:t>
                  </w:r>
                </w:p>
                <w:p>
                  <w:pPr>
                    <w:spacing w:before="0"/>
                    <w:ind w:left="20" w:right="193" w:firstLine="0"/>
                    <w:jc w:val="left"/>
                    <w:rPr>
                      <w:sz w:val="12"/>
                    </w:rPr>
                  </w:pPr>
                  <w:r>
                    <w:rPr>
                      <w:color w:val="58595B"/>
                      <w:sz w:val="12"/>
                    </w:rPr>
                    <w:t>pp. 15–8.</w:t>
                  </w:r>
                </w:p>
                <w:p>
                  <w:pPr>
                    <w:spacing w:line="242" w:lineRule="auto" w:before="30"/>
                    <w:ind w:left="20" w:right="286" w:firstLine="0"/>
                    <w:jc w:val="left"/>
                    <w:rPr>
                      <w:sz w:val="12"/>
                    </w:rPr>
                  </w:pPr>
                  <w:r>
                    <w:rPr>
                      <w:color w:val="58595B"/>
                      <w:sz w:val="12"/>
                    </w:rPr>
                    <w:t>Hazelwood Mine Fire Inquiry Report 2015-2016, </w:t>
                  </w:r>
                  <w:r>
                    <w:rPr>
                      <w:i/>
                      <w:color w:val="58595B"/>
                      <w:sz w:val="12"/>
                    </w:rPr>
                    <w:t>Investigations into 2009-2014 deaths</w:t>
                  </w:r>
                  <w:r>
                    <w:rPr>
                      <w:color w:val="58595B"/>
                      <w:sz w:val="12"/>
                    </w:rPr>
                    <w:t>, Volume II, Melbourne, p.  90.</w:t>
                  </w:r>
                </w:p>
                <w:p>
                  <w:pPr>
                    <w:spacing w:line="242" w:lineRule="auto" w:before="29"/>
                    <w:ind w:left="20" w:right="178" w:firstLine="0"/>
                    <w:jc w:val="left"/>
                    <w:rPr>
                      <w:sz w:val="12"/>
                    </w:rPr>
                  </w:pPr>
                  <w:r>
                    <w:rPr>
                      <w:color w:val="58595B"/>
                      <w:sz w:val="12"/>
                    </w:rPr>
                    <w:t>Parliament of </w:t>
                  </w:r>
                  <w:r>
                    <w:rPr>
                      <w:color w:val="58595B"/>
                      <w:spacing w:val="2"/>
                      <w:sz w:val="12"/>
                    </w:rPr>
                    <w:t>Victoria </w:t>
                  </w:r>
                  <w:r>
                    <w:rPr>
                      <w:color w:val="58595B"/>
                      <w:sz w:val="12"/>
                    </w:rPr>
                    <w:t>Environment, Natural Resources and Regional Development Committee 2015, </w:t>
                  </w:r>
                  <w:r>
                    <w:rPr>
                      <w:i/>
                      <w:color w:val="58595B"/>
                      <w:spacing w:val="2"/>
                      <w:sz w:val="12"/>
                    </w:rPr>
                    <w:t>Inquiry </w:t>
                  </w:r>
                  <w:r>
                    <w:rPr>
                      <w:i/>
                      <w:color w:val="58595B"/>
                      <w:sz w:val="12"/>
                    </w:rPr>
                    <w:t>into the CFA Training College  at Fiskville</w:t>
                  </w:r>
                  <w:r>
                    <w:rPr>
                      <w:color w:val="58595B"/>
                      <w:sz w:val="12"/>
                    </w:rPr>
                    <w:t>, Interim </w:t>
                  </w:r>
                  <w:r>
                    <w:rPr>
                      <w:color w:val="58595B"/>
                      <w:spacing w:val="2"/>
                      <w:sz w:val="12"/>
                    </w:rPr>
                    <w:t>Report, </w:t>
                  </w:r>
                  <w:r>
                    <w:rPr>
                      <w:color w:val="58595B"/>
                      <w:sz w:val="12"/>
                    </w:rPr>
                    <w:t>Melbourne, p. xi. The </w:t>
                  </w:r>
                  <w:r>
                    <w:rPr>
                      <w:color w:val="58595B"/>
                      <w:spacing w:val="2"/>
                      <w:sz w:val="12"/>
                    </w:rPr>
                    <w:t>final report </w:t>
                  </w:r>
                  <w:r>
                    <w:rPr>
                      <w:color w:val="58595B"/>
                      <w:sz w:val="12"/>
                    </w:rPr>
                    <w:t>is due by 31 March</w:t>
                  </w:r>
                  <w:r>
                    <w:rPr>
                      <w:color w:val="58595B"/>
                      <w:spacing w:val="9"/>
                      <w:sz w:val="12"/>
                    </w:rPr>
                    <w:t> </w:t>
                  </w:r>
                  <w:r>
                    <w:rPr>
                      <w:color w:val="58595B"/>
                      <w:sz w:val="12"/>
                    </w:rPr>
                    <w:t>2016.</w:t>
                  </w:r>
                </w:p>
                <w:p>
                  <w:pPr>
                    <w:spacing w:line="242" w:lineRule="auto" w:before="29"/>
                    <w:ind w:left="20" w:right="193" w:firstLine="0"/>
                    <w:jc w:val="left"/>
                    <w:rPr>
                      <w:sz w:val="12"/>
                    </w:rPr>
                  </w:pPr>
                  <w:r>
                    <w:rPr>
                      <w:color w:val="58595B"/>
                      <w:sz w:val="12"/>
                    </w:rPr>
                    <w:t>Victoria’s EPA is not alone in seeking to prevent risks in the face of </w:t>
                  </w:r>
                  <w:r>
                    <w:rPr>
                      <w:color w:val="58595B"/>
                      <w:spacing w:val="2"/>
                      <w:sz w:val="12"/>
                    </w:rPr>
                    <w:t>uncertainty. </w:t>
                  </w:r>
                  <w:r>
                    <w:rPr>
                      <w:color w:val="58595B"/>
                      <w:sz w:val="12"/>
                    </w:rPr>
                    <w:t>For example, the South Australian EPA acknowledges  that the </w:t>
                  </w:r>
                  <w:r>
                    <w:rPr>
                      <w:color w:val="58595B"/>
                      <w:spacing w:val="-3"/>
                      <w:sz w:val="12"/>
                    </w:rPr>
                    <w:t>‘… </w:t>
                  </w:r>
                  <w:r>
                    <w:rPr>
                      <w:color w:val="58595B"/>
                      <w:sz w:val="12"/>
                    </w:rPr>
                    <w:t>extent of health impacts from noise or other environmental hazards is not yet completely understood, </w:t>
                  </w:r>
                  <w:r>
                    <w:rPr>
                      <w:color w:val="58595B"/>
                      <w:spacing w:val="2"/>
                      <w:sz w:val="12"/>
                    </w:rPr>
                    <w:t>particularly </w:t>
                  </w:r>
                  <w:r>
                    <w:rPr>
                      <w:color w:val="58595B"/>
                      <w:sz w:val="12"/>
                    </w:rPr>
                    <w:t>at low  </w:t>
                  </w:r>
                  <w:r>
                    <w:rPr>
                      <w:color w:val="58595B"/>
                      <w:spacing w:val="3"/>
                      <w:sz w:val="12"/>
                    </w:rPr>
                    <w:t> </w:t>
                  </w:r>
                  <w:r>
                    <w:rPr>
                      <w:color w:val="58595B"/>
                      <w:sz w:val="12"/>
                    </w:rPr>
                    <w:t>levels</w:t>
                  </w:r>
                </w:p>
                <w:p>
                  <w:pPr>
                    <w:spacing w:line="242" w:lineRule="auto" w:before="0"/>
                    <w:ind w:left="20" w:right="34" w:firstLine="0"/>
                    <w:jc w:val="left"/>
                    <w:rPr>
                      <w:sz w:val="12"/>
                    </w:rPr>
                  </w:pPr>
                  <w:r>
                    <w:rPr>
                      <w:color w:val="58595B"/>
                      <w:sz w:val="12"/>
                    </w:rPr>
                    <w:t>of exposure’ and that there will </w:t>
                  </w:r>
                  <w:r>
                    <w:rPr>
                      <w:color w:val="58595B"/>
                      <w:spacing w:val="-3"/>
                      <w:sz w:val="12"/>
                    </w:rPr>
                    <w:t>‘… </w:t>
                  </w:r>
                  <w:r>
                    <w:rPr>
                      <w:color w:val="58595B"/>
                      <w:sz w:val="12"/>
                    </w:rPr>
                    <w:t>continue to be gaps between </w:t>
                  </w:r>
                  <w:r>
                    <w:rPr>
                      <w:color w:val="58595B"/>
                      <w:spacing w:val="2"/>
                      <w:sz w:val="12"/>
                    </w:rPr>
                    <w:t>insufficient </w:t>
                  </w:r>
                  <w:r>
                    <w:rPr>
                      <w:color w:val="58595B"/>
                      <w:sz w:val="12"/>
                    </w:rPr>
                    <w:t>and </w:t>
                  </w:r>
                  <w:r>
                    <w:rPr>
                      <w:color w:val="58595B"/>
                      <w:spacing w:val="2"/>
                      <w:sz w:val="12"/>
                    </w:rPr>
                    <w:t>conflicting </w:t>
                  </w:r>
                  <w:r>
                    <w:rPr>
                      <w:color w:val="58595B"/>
                      <w:sz w:val="12"/>
                    </w:rPr>
                    <w:t>evidence of adverse health impacts of pollutant exposure and the government’s response’, http://www.epa. </w:t>
                  </w:r>
                  <w:r>
                    <w:rPr>
                      <w:color w:val="58595B"/>
                      <w:spacing w:val="2"/>
                      <w:sz w:val="12"/>
                    </w:rPr>
                    <w:t>sa.gov.au/community/our_role_in_protecting_human_health </w:t>
                  </w:r>
                  <w:r>
                    <w:rPr>
                      <w:color w:val="58595B"/>
                      <w:sz w:val="12"/>
                    </w:rPr>
                    <w:t>(accessed 10 March</w:t>
                  </w:r>
                  <w:r>
                    <w:rPr>
                      <w:color w:val="58595B"/>
                      <w:spacing w:val="7"/>
                      <w:sz w:val="12"/>
                    </w:rPr>
                    <w:t> </w:t>
                  </w:r>
                  <w:r>
                    <w:rPr>
                      <w:color w:val="58595B"/>
                      <w:sz w:val="12"/>
                    </w:rPr>
                    <w:t>2016).</w:t>
                  </w:r>
                </w:p>
                <w:p>
                  <w:pPr>
                    <w:spacing w:before="29"/>
                    <w:ind w:left="20" w:right="193" w:firstLine="0"/>
                    <w:jc w:val="left"/>
                    <w:rPr>
                      <w:sz w:val="12"/>
                    </w:rPr>
                  </w:pPr>
                  <w:r>
                    <w:rPr>
                      <w:color w:val="58595B"/>
                      <w:sz w:val="12"/>
                    </w:rPr>
                    <w:t>EPA Victoria 2014, </w:t>
                  </w:r>
                  <w:r>
                    <w:rPr>
                      <w:i/>
                      <w:color w:val="58595B"/>
                      <w:sz w:val="12"/>
                    </w:rPr>
                    <w:t>Annual Plan 2014-15</w:t>
                  </w:r>
                  <w:r>
                    <w:rPr>
                      <w:color w:val="58595B"/>
                      <w:sz w:val="12"/>
                    </w:rPr>
                    <w:t>, Melbourne, p. 14.</w:t>
                  </w:r>
                </w:p>
                <w:p>
                  <w:pPr>
                    <w:spacing w:line="242" w:lineRule="auto" w:before="30"/>
                    <w:ind w:left="20" w:right="335" w:firstLine="0"/>
                    <w:jc w:val="left"/>
                    <w:rPr>
                      <w:sz w:val="12"/>
                    </w:rPr>
                  </w:pPr>
                  <w:r>
                    <w:rPr>
                      <w:color w:val="58595B"/>
                      <w:sz w:val="12"/>
                    </w:rPr>
                    <w:t>EPA Victoria 2015, </w:t>
                  </w:r>
                  <w:r>
                    <w:rPr>
                      <w:i/>
                      <w:color w:val="58595B"/>
                      <w:sz w:val="12"/>
                    </w:rPr>
                    <w:t>Connecting with the community Annual Report 2014-15 Year Four</w:t>
                  </w:r>
                  <w:r>
                    <w:rPr>
                      <w:color w:val="58595B"/>
                      <w:sz w:val="12"/>
                    </w:rPr>
                    <w:t>, Melbourne, p. 16.</w:t>
                  </w:r>
                </w:p>
                <w:p>
                  <w:pPr>
                    <w:spacing w:line="242" w:lineRule="auto" w:before="29"/>
                    <w:ind w:left="20" w:right="193" w:firstLine="0"/>
                    <w:jc w:val="left"/>
                    <w:rPr>
                      <w:sz w:val="12"/>
                    </w:rPr>
                  </w:pPr>
                  <w:r>
                    <w:rPr>
                      <w:color w:val="58595B"/>
                      <w:sz w:val="12"/>
                    </w:rPr>
                    <w:t>Institute of Public Administration 2015, </w:t>
                  </w:r>
                  <w:r>
                    <w:rPr>
                      <w:i/>
                      <w:color w:val="58595B"/>
                      <w:sz w:val="12"/>
                    </w:rPr>
                    <w:t>Regulatory professional capability guidance</w:t>
                  </w:r>
                  <w:r>
                    <w:rPr>
                      <w:color w:val="58595B"/>
                      <w:sz w:val="12"/>
                    </w:rPr>
                    <w:t>, p. 12.</w:t>
                  </w:r>
                </w:p>
                <w:p>
                  <w:pPr>
                    <w:spacing w:line="242" w:lineRule="auto" w:before="29"/>
                    <w:ind w:left="20" w:right="69" w:firstLine="0"/>
                    <w:jc w:val="left"/>
                    <w:rPr>
                      <w:sz w:val="12"/>
                    </w:rPr>
                  </w:pPr>
                  <w:r>
                    <w:rPr>
                      <w:color w:val="58595B"/>
                      <w:sz w:val="12"/>
                    </w:rPr>
                    <w:t>Australian Pesticides and Veterinary Medicines Authority</w:t>
                  </w:r>
                  <w:hyperlink r:id="rId25">
                    <w:r>
                      <w:rPr>
                        <w:color w:val="58595B"/>
                        <w:sz w:val="12"/>
                      </w:rPr>
                      <w:t>, http://apvma.</w:t>
                    </w:r>
                  </w:hyperlink>
                  <w:r>
                    <w:rPr>
                      <w:color w:val="58595B"/>
                      <w:sz w:val="12"/>
                    </w:rPr>
                    <w:t> gov.au/node/336 (accessed 10 March  2016).</w:t>
                  </w:r>
                </w:p>
                <w:p>
                  <w:pPr>
                    <w:spacing w:before="29"/>
                    <w:ind w:left="20" w:right="193" w:firstLine="0"/>
                    <w:jc w:val="left"/>
                    <w:rPr>
                      <w:sz w:val="12"/>
                    </w:rPr>
                  </w:pPr>
                  <w:r>
                    <w:rPr>
                      <w:color w:val="58595B"/>
                      <w:sz w:val="12"/>
                    </w:rPr>
                    <w:t>EPA Victoria 2013, </w:t>
                  </w:r>
                  <w:r>
                    <w:rPr>
                      <w:i/>
                      <w:color w:val="58595B"/>
                      <w:sz w:val="12"/>
                    </w:rPr>
                    <w:t>Future air quality In Victoria</w:t>
                  </w:r>
                  <w:r>
                    <w:rPr>
                      <w:color w:val="58595B"/>
                      <w:sz w:val="12"/>
                    </w:rPr>
                    <w:t>, Melbourne,  July.</w:t>
                  </w:r>
                </w:p>
                <w:p>
                  <w:pPr>
                    <w:spacing w:before="30"/>
                    <w:ind w:left="20" w:right="69" w:firstLine="0"/>
                    <w:jc w:val="left"/>
                    <w:rPr>
                      <w:sz w:val="12"/>
                    </w:rPr>
                  </w:pPr>
                  <w:r>
                    <w:rPr>
                      <w:color w:val="58595B"/>
                      <w:sz w:val="12"/>
                    </w:rPr>
                    <w:t>EPA Victoria 2013, </w:t>
                  </w:r>
                  <w:r>
                    <w:rPr>
                      <w:i/>
                      <w:color w:val="58595B"/>
                      <w:sz w:val="12"/>
                    </w:rPr>
                    <w:t>Future air quality In Victoria</w:t>
                  </w:r>
                  <w:r>
                    <w:rPr>
                      <w:color w:val="58595B"/>
                      <w:sz w:val="12"/>
                    </w:rPr>
                    <w:t>, Melbourne, July, p.  38.</w:t>
                  </w:r>
                </w:p>
                <w:p>
                  <w:pPr>
                    <w:spacing w:line="242" w:lineRule="auto" w:before="30"/>
                    <w:ind w:left="20" w:right="193" w:firstLine="0"/>
                    <w:jc w:val="left"/>
                    <w:rPr>
                      <w:sz w:val="12"/>
                    </w:rPr>
                  </w:pPr>
                  <w:r>
                    <w:rPr>
                      <w:color w:val="58595B"/>
                      <w:sz w:val="12"/>
                    </w:rPr>
                    <w:t>EPA Victoria 2013, </w:t>
                  </w:r>
                  <w:r>
                    <w:rPr>
                      <w:i/>
                      <w:color w:val="58595B"/>
                      <w:sz w:val="12"/>
                    </w:rPr>
                    <w:t>Research and Development Program 2013–16: EPA’s strategic research priorities</w:t>
                  </w:r>
                  <w:r>
                    <w:rPr>
                      <w:color w:val="58595B"/>
                      <w:sz w:val="12"/>
                    </w:rPr>
                    <w:t>, Melbourne, p.   5.</w:t>
                  </w:r>
                </w:p>
                <w:p>
                  <w:pPr>
                    <w:spacing w:line="242" w:lineRule="auto" w:before="29"/>
                    <w:ind w:left="20" w:right="193" w:firstLine="0"/>
                    <w:jc w:val="left"/>
                    <w:rPr>
                      <w:sz w:val="12"/>
                    </w:rPr>
                  </w:pPr>
                  <w:r>
                    <w:rPr>
                      <w:color w:val="58595B"/>
                      <w:sz w:val="12"/>
                    </w:rPr>
                    <w:t>EPA Victoria 2013, </w:t>
                  </w:r>
                  <w:r>
                    <w:rPr>
                      <w:i/>
                      <w:color w:val="58595B"/>
                      <w:sz w:val="12"/>
                    </w:rPr>
                    <w:t>Research and Development Program 2013–16: EPA’s strategic research priorities</w:t>
                  </w:r>
                  <w:r>
                    <w:rPr>
                      <w:color w:val="58595B"/>
                      <w:sz w:val="12"/>
                    </w:rPr>
                    <w:t>, Melbourne, p.   5.</w:t>
                  </w:r>
                </w:p>
                <w:p>
                  <w:pPr>
                    <w:spacing w:line="242" w:lineRule="auto" w:before="29"/>
                    <w:ind w:left="20" w:right="163" w:firstLine="0"/>
                    <w:jc w:val="left"/>
                    <w:rPr>
                      <w:sz w:val="12"/>
                    </w:rPr>
                  </w:pPr>
                  <w:r>
                    <w:rPr>
                      <w:color w:val="58595B"/>
                      <w:sz w:val="12"/>
                    </w:rPr>
                    <w:t>PM10 is </w:t>
                  </w:r>
                  <w:r>
                    <w:rPr>
                      <w:color w:val="58595B"/>
                      <w:spacing w:val="2"/>
                      <w:sz w:val="12"/>
                    </w:rPr>
                    <w:t>particulate </w:t>
                  </w:r>
                  <w:r>
                    <w:rPr>
                      <w:color w:val="58595B"/>
                      <w:sz w:val="12"/>
                    </w:rPr>
                    <w:t>matter 10 micrometres or less in diameter, PM2.5  is </w:t>
                  </w:r>
                  <w:r>
                    <w:rPr>
                      <w:color w:val="58595B"/>
                      <w:spacing w:val="2"/>
                      <w:sz w:val="12"/>
                    </w:rPr>
                    <w:t>particulate </w:t>
                  </w:r>
                  <w:r>
                    <w:rPr>
                      <w:color w:val="58595B"/>
                      <w:sz w:val="12"/>
                    </w:rPr>
                    <w:t>matter 2.5 micrometres or less in diameter. PM2.5 is generally </w:t>
                  </w:r>
                  <w:r>
                    <w:rPr>
                      <w:color w:val="58595B"/>
                      <w:spacing w:val="2"/>
                      <w:sz w:val="12"/>
                    </w:rPr>
                    <w:t>described </w:t>
                  </w:r>
                  <w:r>
                    <w:rPr>
                      <w:color w:val="58595B"/>
                      <w:sz w:val="12"/>
                    </w:rPr>
                    <w:t>as </w:t>
                  </w:r>
                  <w:r>
                    <w:rPr>
                      <w:color w:val="58595B"/>
                      <w:spacing w:val="2"/>
                      <w:sz w:val="12"/>
                    </w:rPr>
                    <w:t>fine particles. </w:t>
                  </w:r>
                  <w:r>
                    <w:rPr>
                      <w:color w:val="58595B"/>
                      <w:sz w:val="12"/>
                    </w:rPr>
                    <w:t>As a </w:t>
                  </w:r>
                  <w:r>
                    <w:rPr>
                      <w:color w:val="58595B"/>
                      <w:spacing w:val="2"/>
                      <w:sz w:val="12"/>
                    </w:rPr>
                    <w:t>comparison, </w:t>
                  </w:r>
                  <w:r>
                    <w:rPr>
                      <w:color w:val="58595B"/>
                      <w:sz w:val="12"/>
                    </w:rPr>
                    <w:t>a human hair  is about 100 micrometres, so roughly 40 </w:t>
                  </w:r>
                  <w:r>
                    <w:rPr>
                      <w:color w:val="58595B"/>
                      <w:spacing w:val="2"/>
                      <w:sz w:val="12"/>
                    </w:rPr>
                    <w:t>fine particles </w:t>
                  </w:r>
                  <w:r>
                    <w:rPr>
                      <w:color w:val="58595B"/>
                      <w:sz w:val="12"/>
                    </w:rPr>
                    <w:t>could be placed on its</w:t>
                  </w:r>
                  <w:r>
                    <w:rPr>
                      <w:color w:val="58595B"/>
                      <w:spacing w:val="15"/>
                      <w:sz w:val="12"/>
                    </w:rPr>
                    <w:t> </w:t>
                  </w:r>
                  <w:r>
                    <w:rPr>
                      <w:color w:val="58595B"/>
                      <w:sz w:val="12"/>
                    </w:rPr>
                    <w:t>width.</w:t>
                  </w:r>
                </w:p>
                <w:p>
                  <w:pPr>
                    <w:spacing w:line="242" w:lineRule="auto" w:before="29"/>
                    <w:ind w:left="20" w:right="227" w:firstLine="0"/>
                    <w:jc w:val="left"/>
                    <w:rPr>
                      <w:sz w:val="12"/>
                    </w:rPr>
                  </w:pPr>
                  <w:hyperlink r:id="rId26">
                    <w:r>
                      <w:rPr>
                        <w:color w:val="58595B"/>
                        <w:sz w:val="12"/>
                      </w:rPr>
                      <w:t>http://www.epa.vic.gov.au/our-work/monitoring-the-environment/air-</w:t>
                    </w:r>
                  </w:hyperlink>
                  <w:r>
                    <w:rPr>
                      <w:color w:val="58595B"/>
                      <w:sz w:val="12"/>
                    </w:rPr>
                    <w:t> quality-bulletins (accessed 10 March 2016).</w:t>
                  </w:r>
                </w:p>
                <w:p>
                  <w:pPr>
                    <w:spacing w:line="242" w:lineRule="auto" w:before="29"/>
                    <w:ind w:left="20" w:right="403" w:firstLine="0"/>
                    <w:jc w:val="left"/>
                    <w:rPr>
                      <w:sz w:val="12"/>
                    </w:rPr>
                  </w:pPr>
                  <w:hyperlink r:id="rId27">
                    <w:r>
                      <w:rPr>
                        <w:color w:val="58595B"/>
                        <w:sz w:val="12"/>
                      </w:rPr>
                      <w:t>http://www.epa.vic.gov.au/our-work/monitoring-the-environment/</w:t>
                    </w:r>
                  </w:hyperlink>
                  <w:r>
                    <w:rPr>
                      <w:color w:val="58595B"/>
                      <w:sz w:val="12"/>
                    </w:rPr>
                    <w:t> monitoring-victorias-air/epa-air-monitoring-network   (accessed 15 February 2016).</w:t>
                  </w:r>
                </w:p>
                <w:p>
                  <w:pPr>
                    <w:spacing w:before="29"/>
                    <w:ind w:left="20" w:right="69" w:firstLine="0"/>
                    <w:jc w:val="left"/>
                    <w:rPr>
                      <w:sz w:val="12"/>
                    </w:rPr>
                  </w:pPr>
                  <w:hyperlink r:id="rId28">
                    <w:r>
                      <w:rPr>
                        <w:color w:val="58595B"/>
                        <w:sz w:val="12"/>
                      </w:rPr>
                      <w:t>http://yarraandbay.vic.gov.au/beach-report</w:t>
                    </w:r>
                  </w:hyperlink>
                  <w:r>
                    <w:rPr>
                      <w:color w:val="58595B"/>
                      <w:sz w:val="12"/>
                    </w:rPr>
                    <w:t>  (accessed  10  March 2016).</w:t>
                  </w:r>
                </w:p>
                <w:p>
                  <w:pPr>
                    <w:spacing w:line="242" w:lineRule="auto" w:before="30"/>
                    <w:ind w:left="20" w:right="133" w:firstLine="0"/>
                    <w:jc w:val="left"/>
                    <w:rPr>
                      <w:sz w:val="12"/>
                    </w:rPr>
                  </w:pPr>
                  <w:r>
                    <w:rPr>
                      <w:color w:val="58595B"/>
                      <w:sz w:val="12"/>
                    </w:rPr>
                    <w:t>See, for example, the current SMS text alert service pilot for Beach Report update</w:t>
                  </w:r>
                  <w:hyperlink r:id="rId28">
                    <w:r>
                      <w:rPr>
                        <w:color w:val="58595B"/>
                        <w:sz w:val="12"/>
                      </w:rPr>
                      <w:t>s: http://yarraandbay.vic.gov.au/beach-report</w:t>
                    </w:r>
                  </w:hyperlink>
                  <w:r>
                    <w:rPr>
                      <w:color w:val="58595B"/>
                      <w:sz w:val="12"/>
                    </w:rPr>
                    <w:t>  (accessed 12 March 2016).</w:t>
                  </w:r>
                </w:p>
                <w:p>
                  <w:pPr>
                    <w:spacing w:line="292" w:lineRule="auto" w:before="29"/>
                    <w:ind w:left="20" w:right="899" w:firstLine="0"/>
                    <w:jc w:val="left"/>
                    <w:rPr>
                      <w:sz w:val="12"/>
                    </w:rPr>
                  </w:pPr>
                  <w:r>
                    <w:rPr>
                      <w:color w:val="58595B"/>
                      <w:sz w:val="12"/>
                    </w:rPr>
                    <w:t>Section 20, </w:t>
                  </w:r>
                  <w:r>
                    <w:rPr>
                      <w:i/>
                      <w:color w:val="58595B"/>
                      <w:sz w:val="12"/>
                    </w:rPr>
                    <w:t>Public Health and Wellbeing Act 2008</w:t>
                  </w:r>
                  <w:r>
                    <w:rPr>
                      <w:color w:val="58595B"/>
                      <w:sz w:val="12"/>
                    </w:rPr>
                    <w:t>. Section 21, </w:t>
                  </w:r>
                  <w:r>
                    <w:rPr>
                      <w:i/>
                      <w:color w:val="58595B"/>
                      <w:sz w:val="12"/>
                    </w:rPr>
                    <w:t>Public Health and Wellbeing Act  2008</w:t>
                  </w:r>
                  <w:r>
                    <w:rPr>
                      <w:color w:val="58595B"/>
                      <w:sz w:val="12"/>
                    </w:rPr>
                    <w:t>.</w:t>
                  </w:r>
                </w:p>
                <w:p>
                  <w:pPr>
                    <w:spacing w:line="242" w:lineRule="auto" w:before="1"/>
                    <w:ind w:left="20" w:right="193" w:firstLine="0"/>
                    <w:jc w:val="left"/>
                    <w:rPr>
                      <w:sz w:val="12"/>
                    </w:rPr>
                  </w:pPr>
                  <w:r>
                    <w:rPr>
                      <w:color w:val="58595B"/>
                      <w:sz w:val="12"/>
                    </w:rPr>
                    <w:t>Apte J S, Marshall J D, Cohen A J and Brauer M 2015, ‘Addressing global mortality from ambient PM2.5’, </w:t>
                  </w:r>
                  <w:r>
                    <w:rPr>
                      <w:i/>
                      <w:color w:val="58595B"/>
                      <w:sz w:val="12"/>
                    </w:rPr>
                    <w:t>Environmental Science and Technology</w:t>
                  </w:r>
                  <w:r>
                    <w:rPr>
                      <w:color w:val="58595B"/>
                      <w:sz w:val="12"/>
                    </w:rPr>
                    <w:t>, 49, 8057−8066, p. 57.</w:t>
                  </w:r>
                </w:p>
                <w:p>
                  <w:pPr>
                    <w:spacing w:line="242" w:lineRule="auto" w:before="29"/>
                    <w:ind w:left="20" w:right="193" w:firstLine="0"/>
                    <w:jc w:val="left"/>
                    <w:rPr>
                      <w:sz w:val="12"/>
                    </w:rPr>
                  </w:pPr>
                  <w:r>
                    <w:rPr>
                      <w:color w:val="58595B"/>
                      <w:sz w:val="12"/>
                    </w:rPr>
                    <w:t>SA Health 2008, </w:t>
                  </w:r>
                  <w:r>
                    <w:rPr>
                      <w:i/>
                      <w:color w:val="58595B"/>
                      <w:sz w:val="12"/>
                    </w:rPr>
                    <w:t>Developing Local government environmental health indicators for South Australia: a discussion paper</w:t>
                  </w:r>
                  <w:r>
                    <w:rPr>
                      <w:color w:val="58595B"/>
                      <w:sz w:val="12"/>
                    </w:rPr>
                    <w:t>, Adelaide, p.   8.</w:t>
                  </w:r>
                </w:p>
                <w:p>
                  <w:pPr>
                    <w:spacing w:line="242" w:lineRule="auto" w:before="29"/>
                    <w:ind w:left="20" w:right="193" w:firstLine="0"/>
                    <w:jc w:val="left"/>
                    <w:rPr>
                      <w:sz w:val="12"/>
                    </w:rPr>
                  </w:pPr>
                  <w:r>
                    <w:rPr>
                      <w:color w:val="58595B"/>
                      <w:sz w:val="12"/>
                    </w:rPr>
                    <w:t>SA Health 2008, </w:t>
                  </w:r>
                  <w:r>
                    <w:rPr>
                      <w:i/>
                      <w:color w:val="58595B"/>
                      <w:sz w:val="12"/>
                    </w:rPr>
                    <w:t>Developing Local government environmental health indicators for South Australia: a discussion paper</w:t>
                  </w:r>
                  <w:r>
                    <w:rPr>
                      <w:color w:val="58595B"/>
                      <w:sz w:val="12"/>
                    </w:rPr>
                    <w:t>, Adelaide, p.   6.</w:t>
                  </w:r>
                </w:p>
                <w:p>
                  <w:pPr>
                    <w:spacing w:line="242" w:lineRule="auto" w:before="29"/>
                    <w:ind w:left="20" w:right="193" w:firstLine="0"/>
                    <w:jc w:val="left"/>
                    <w:rPr>
                      <w:sz w:val="12"/>
                    </w:rPr>
                  </w:pPr>
                  <w:r>
                    <w:rPr>
                      <w:color w:val="58595B"/>
                      <w:sz w:val="12"/>
                    </w:rPr>
                    <w:t>SA Health 2008, </w:t>
                  </w:r>
                  <w:r>
                    <w:rPr>
                      <w:i/>
                      <w:color w:val="58595B"/>
                      <w:sz w:val="12"/>
                    </w:rPr>
                    <w:t>Developing Local government environmental health indicators for South Australia: a discussion paper</w:t>
                  </w:r>
                  <w:r>
                    <w:rPr>
                      <w:color w:val="58595B"/>
                      <w:sz w:val="12"/>
                    </w:rPr>
                    <w:t>, Adelaide, p.   9.</w:t>
                  </w:r>
                </w:p>
                <w:p>
                  <w:pPr>
                    <w:spacing w:line="292" w:lineRule="auto" w:before="29"/>
                    <w:ind w:left="20" w:right="193" w:firstLine="0"/>
                    <w:jc w:val="left"/>
                    <w:rPr>
                      <w:sz w:val="12"/>
                    </w:rPr>
                  </w:pPr>
                  <w:r>
                    <w:rPr>
                      <w:color w:val="58595B"/>
                      <w:sz w:val="12"/>
                    </w:rPr>
                    <w:t>Environmental Health Surveillance 2008, </w:t>
                  </w:r>
                  <w:r>
                    <w:rPr>
                      <w:i/>
                      <w:color w:val="58595B"/>
                      <w:sz w:val="12"/>
                    </w:rPr>
                    <w:t>A feasibility study</w:t>
                  </w:r>
                  <w:r>
                    <w:rPr>
                      <w:color w:val="58595B"/>
                      <w:sz w:val="12"/>
                    </w:rPr>
                    <w:t>, p. 11. Environmental Health Surveillance 2008, </w:t>
                  </w:r>
                  <w:r>
                    <w:rPr>
                      <w:i/>
                      <w:color w:val="58595B"/>
                      <w:sz w:val="12"/>
                    </w:rPr>
                    <w:t>A feasibility study</w:t>
                  </w:r>
                  <w:r>
                    <w:rPr>
                      <w:color w:val="58595B"/>
                      <w:sz w:val="12"/>
                    </w:rPr>
                    <w:t>, p.  15.</w:t>
                  </w:r>
                </w:p>
                <w:p>
                  <w:pPr>
                    <w:spacing w:line="242" w:lineRule="auto" w:before="1"/>
                    <w:ind w:left="20" w:right="232" w:firstLine="0"/>
                    <w:jc w:val="left"/>
                    <w:rPr>
                      <w:sz w:val="12"/>
                    </w:rPr>
                  </w:pPr>
                  <w:r>
                    <w:rPr>
                      <w:color w:val="58595B"/>
                      <w:sz w:val="12"/>
                    </w:rPr>
                    <w:t>Agreed Statement, Meeting of Environment Ministers, 15 December 2015</w:t>
                  </w:r>
                  <w:hyperlink r:id="rId29">
                    <w:r>
                      <w:rPr>
                        <w:color w:val="58595B"/>
                        <w:sz w:val="12"/>
                      </w:rPr>
                      <w:t>, http://www.environment.gov.au/system/files/pages/4f59b654-</w:t>
                    </w:r>
                  </w:hyperlink>
                  <w:r>
                    <w:rPr>
                      <w:color w:val="58595B"/>
                      <w:sz w:val="12"/>
                    </w:rPr>
                    <w:t> 53aa-43df-b9d1-b21f9caa500c/files/mem-meeting4-statement.pdf (accessed on 10 March 2016).</w:t>
                  </w:r>
                </w:p>
                <w:p>
                  <w:pPr>
                    <w:spacing w:line="242" w:lineRule="auto" w:before="29"/>
                    <w:ind w:left="20" w:right="133" w:firstLine="0"/>
                    <w:jc w:val="left"/>
                    <w:rPr>
                      <w:sz w:val="12"/>
                    </w:rPr>
                  </w:pPr>
                  <w:r>
                    <w:rPr>
                      <w:color w:val="58595B"/>
                      <w:sz w:val="12"/>
                    </w:rPr>
                    <w:t>Australia has no regulatory CO2 emission standards to </w:t>
                  </w:r>
                  <w:r>
                    <w:rPr>
                      <w:color w:val="58595B"/>
                      <w:spacing w:val="2"/>
                      <w:sz w:val="12"/>
                    </w:rPr>
                    <w:t>reduce </w:t>
                  </w:r>
                  <w:r>
                    <w:rPr>
                      <w:color w:val="58595B"/>
                      <w:sz w:val="12"/>
                    </w:rPr>
                    <w:t>emissions of greenhouse gas. Australia’s current air pollutant (toxic emissions) standards are based on the European standards. State and </w:t>
                  </w:r>
                  <w:r>
                    <w:rPr>
                      <w:color w:val="58595B"/>
                      <w:spacing w:val="2"/>
                      <w:sz w:val="12"/>
                    </w:rPr>
                    <w:t>territory </w:t>
                  </w:r>
                  <w:r>
                    <w:rPr>
                      <w:color w:val="58595B"/>
                      <w:sz w:val="12"/>
                    </w:rPr>
                    <w:t>governments regulate emissions from vehicles once they are  on the road </w:t>
                  </w:r>
                  <w:r>
                    <w:rPr>
                      <w:color w:val="58595B"/>
                      <w:spacing w:val="4"/>
                      <w:sz w:val="12"/>
                    </w:rPr>
                    <w:t> </w:t>
                  </w:r>
                  <w:r>
                    <w:rPr>
                      <w:color w:val="58595B"/>
                      <w:sz w:val="12"/>
                    </w:rPr>
                    <w:t>(in-service).</w:t>
                  </w:r>
                </w:p>
                <w:p>
                  <w:pPr>
                    <w:spacing w:line="242" w:lineRule="auto" w:before="29"/>
                    <w:ind w:left="20" w:right="403" w:firstLine="0"/>
                    <w:jc w:val="left"/>
                    <w:rPr>
                      <w:sz w:val="12"/>
                    </w:rPr>
                  </w:pPr>
                  <w:r>
                    <w:rPr>
                      <w:color w:val="58595B"/>
                      <w:sz w:val="12"/>
                    </w:rPr>
                    <w:t>For example, a joint </w:t>
                  </w:r>
                  <w:r>
                    <w:rPr>
                      <w:color w:val="58595B"/>
                      <w:spacing w:val="2"/>
                      <w:sz w:val="12"/>
                    </w:rPr>
                    <w:t>American-Danish </w:t>
                  </w:r>
                  <w:r>
                    <w:rPr>
                      <w:color w:val="58595B"/>
                      <w:sz w:val="12"/>
                    </w:rPr>
                    <w:t>study published in 2015 that measured the amount of </w:t>
                  </w:r>
                  <w:r>
                    <w:rPr>
                      <w:color w:val="58595B"/>
                      <w:spacing w:val="2"/>
                      <w:sz w:val="12"/>
                    </w:rPr>
                    <w:t>perfluorinated </w:t>
                  </w:r>
                  <w:r>
                    <w:rPr>
                      <w:color w:val="58595B"/>
                      <w:sz w:val="12"/>
                    </w:rPr>
                    <w:t>alkylate substances (PFASs, which are used for stain and water </w:t>
                  </w:r>
                  <w:r>
                    <w:rPr>
                      <w:color w:val="58595B"/>
                      <w:spacing w:val="2"/>
                      <w:sz w:val="12"/>
                    </w:rPr>
                    <w:t>proofing </w:t>
                  </w:r>
                  <w:r>
                    <w:rPr>
                      <w:color w:val="58595B"/>
                      <w:sz w:val="12"/>
                    </w:rPr>
                    <w:t>textiles and other substances) in breastfed infants in the Faroe Islands found breastfeeding to be a pathway for PFASs to be passed to </w:t>
                  </w:r>
                  <w:r>
                    <w:rPr>
                      <w:color w:val="58595B"/>
                      <w:spacing w:val="32"/>
                      <w:sz w:val="12"/>
                    </w:rPr>
                    <w:t> </w:t>
                  </w:r>
                  <w:r>
                    <w:rPr>
                      <w:color w:val="58595B"/>
                      <w:sz w:val="12"/>
                    </w:rPr>
                    <w:t>infants:</w:t>
                  </w:r>
                </w:p>
                <w:p>
                  <w:pPr>
                    <w:spacing w:line="242" w:lineRule="auto" w:before="0"/>
                    <w:ind w:left="20" w:right="69" w:firstLine="0"/>
                    <w:jc w:val="left"/>
                    <w:rPr>
                      <w:sz w:val="12"/>
                    </w:rPr>
                  </w:pPr>
                  <w:r>
                    <w:rPr>
                      <w:color w:val="58595B"/>
                      <w:sz w:val="12"/>
                    </w:rPr>
                    <w:t>Mogensen U B, Grandjean </w:t>
                  </w:r>
                  <w:r>
                    <w:rPr>
                      <w:color w:val="58595B"/>
                      <w:spacing w:val="-6"/>
                      <w:sz w:val="12"/>
                    </w:rPr>
                    <w:t>P, </w:t>
                  </w:r>
                  <w:r>
                    <w:rPr>
                      <w:color w:val="58595B"/>
                      <w:sz w:val="12"/>
                    </w:rPr>
                    <w:t>Nielsen </w:t>
                  </w:r>
                  <w:r>
                    <w:rPr>
                      <w:color w:val="58595B"/>
                      <w:spacing w:val="-5"/>
                      <w:sz w:val="12"/>
                    </w:rPr>
                    <w:t>F, </w:t>
                  </w:r>
                  <w:r>
                    <w:rPr>
                      <w:color w:val="58595B"/>
                      <w:sz w:val="12"/>
                    </w:rPr>
                    <w:t>Weihe P and </w:t>
                  </w:r>
                  <w:r>
                    <w:rPr>
                      <w:color w:val="58595B"/>
                      <w:spacing w:val="2"/>
                      <w:sz w:val="12"/>
                    </w:rPr>
                    <w:t>Budtz-Jørgensen </w:t>
                  </w:r>
                  <w:r>
                    <w:rPr>
                      <w:color w:val="58595B"/>
                      <w:sz w:val="12"/>
                    </w:rPr>
                    <w:t>E 2015, ‘Breastfeeding as an exposure pathway for </w:t>
                  </w:r>
                  <w:r>
                    <w:rPr>
                      <w:color w:val="58595B"/>
                      <w:spacing w:val="2"/>
                      <w:sz w:val="12"/>
                    </w:rPr>
                    <w:t>perfluorinated </w:t>
                  </w:r>
                  <w:r>
                    <w:rPr>
                      <w:color w:val="58595B"/>
                      <w:sz w:val="12"/>
                    </w:rPr>
                    <w:t>alkylates’, </w:t>
                  </w:r>
                  <w:r>
                    <w:rPr>
                      <w:i/>
                      <w:color w:val="58595B"/>
                      <w:sz w:val="12"/>
                    </w:rPr>
                    <w:t>Environmental Science and Technology</w:t>
                  </w:r>
                  <w:r>
                    <w:rPr>
                      <w:color w:val="58595B"/>
                      <w:sz w:val="12"/>
                    </w:rPr>
                    <w:t>, 49 (17), </w:t>
                  </w:r>
                  <w:r>
                    <w:rPr>
                      <w:color w:val="58595B"/>
                      <w:spacing w:val="17"/>
                      <w:sz w:val="12"/>
                    </w:rPr>
                    <w:t> </w:t>
                  </w:r>
                  <w:r>
                    <w:rPr>
                      <w:color w:val="58595B"/>
                      <w:sz w:val="12"/>
                    </w:rPr>
                    <w:t>pp</w:t>
                  </w:r>
                </w:p>
                <w:p>
                  <w:pPr>
                    <w:spacing w:before="0"/>
                    <w:ind w:left="20" w:right="193" w:firstLine="0"/>
                    <w:jc w:val="left"/>
                    <w:rPr>
                      <w:sz w:val="12"/>
                    </w:rPr>
                  </w:pPr>
                  <w:r>
                    <w:rPr>
                      <w:color w:val="58595B"/>
                      <w:sz w:val="12"/>
                    </w:rPr>
                    <w:t>10466–73.</w:t>
                  </w:r>
                </w:p>
                <w:p>
                  <w:pPr>
                    <w:spacing w:line="242" w:lineRule="auto" w:before="30"/>
                    <w:ind w:left="20" w:right="486" w:firstLine="0"/>
                    <w:jc w:val="left"/>
                    <w:rPr>
                      <w:sz w:val="12"/>
                    </w:rPr>
                  </w:pPr>
                  <w:r>
                    <w:rPr>
                      <w:color w:val="58595B"/>
                      <w:sz w:val="12"/>
                    </w:rPr>
                    <w:t>See, for example, the proposal to develop a national standard- setting body relating to environmental risks of industrial chemicals</w:t>
                  </w:r>
                  <w:hyperlink r:id="rId30">
                    <w:r>
                      <w:rPr>
                        <w:color w:val="58595B"/>
                        <w:sz w:val="12"/>
                      </w:rPr>
                      <w:t>,   http://www.scew.gov.au/coag-strategic-priorities/</w:t>
                    </w:r>
                  </w:hyperlink>
                </w:p>
                <w:p>
                  <w:pPr>
                    <w:spacing w:before="0"/>
                    <w:ind w:left="20" w:right="193" w:firstLine="0"/>
                    <w:jc w:val="left"/>
                    <w:rPr>
                      <w:sz w:val="12"/>
                    </w:rPr>
                  </w:pPr>
                  <w:r>
                    <w:rPr>
                      <w:color w:val="58595B"/>
                      <w:sz w:val="12"/>
                    </w:rPr>
                    <w:t>national-waste-policy-and-chemicals/chemical-management-reform.</w:t>
                  </w:r>
                </w:p>
                <w:p>
                  <w:pPr>
                    <w:spacing w:line="242" w:lineRule="auto" w:before="30"/>
                    <w:ind w:left="20" w:right="193" w:firstLine="0"/>
                    <w:jc w:val="left"/>
                    <w:rPr>
                      <w:sz w:val="12"/>
                    </w:rPr>
                  </w:pPr>
                  <w:hyperlink r:id="rId31">
                    <w:r>
                      <w:rPr>
                        <w:color w:val="58595B"/>
                        <w:sz w:val="12"/>
                      </w:rPr>
                      <w:t>http://www.coronerscourt.vic.gov.au/home/</w:t>
                    </w:r>
                  </w:hyperlink>
                  <w:r>
                    <w:rPr>
                      <w:color w:val="58595B"/>
                      <w:sz w:val="12"/>
                    </w:rPr>
                    <w:t> coronial+investigation+process/whos+involved/coroners+ prevention+unit/(accessed 10 March  2016).</w:t>
                  </w:r>
                </w:p>
              </w:txbxContent>
            </v:textbox>
            <w10:wrap type="none"/>
          </v:shape>
        </w:pict>
      </w:r>
      <w:r>
        <w:rPr/>
        <w:pict>
          <v:shape style="position:absolute;margin-left:89.708603pt;margin-top:135.647034pt;width:5.3pt;height:8pt;mso-position-horizontal-relative:page;mso-position-vertical-relative:page;z-index:-190600" type="#_x0000_t202" filled="false" stroked="false">
            <v:textbox inset="0,0,0,0">
              <w:txbxContent>
                <w:p>
                  <w:pPr>
                    <w:spacing w:before="4"/>
                    <w:ind w:left="20" w:right="0" w:firstLine="0"/>
                    <w:jc w:val="left"/>
                    <w:rPr>
                      <w:sz w:val="12"/>
                    </w:rPr>
                  </w:pPr>
                  <w:r>
                    <w:rPr>
                      <w:color w:val="58595B"/>
                      <w:sz w:val="12"/>
                    </w:rPr>
                    <w:t>2</w:t>
                  </w:r>
                </w:p>
              </w:txbxContent>
            </v:textbox>
            <w10:wrap type="none"/>
          </v:shape>
        </w:pict>
      </w:r>
      <w:r>
        <w:rPr/>
        <w:pict>
          <v:shape style="position:absolute;margin-left:89.708603pt;margin-top:151.067032pt;width:5.3pt;height:8pt;mso-position-horizontal-relative:page;mso-position-vertical-relative:page;z-index:-190576" type="#_x0000_t202" filled="false" stroked="false">
            <v:textbox inset="0,0,0,0">
              <w:txbxContent>
                <w:p>
                  <w:pPr>
                    <w:spacing w:before="4"/>
                    <w:ind w:left="20" w:right="0" w:firstLine="0"/>
                    <w:jc w:val="left"/>
                    <w:rPr>
                      <w:sz w:val="12"/>
                    </w:rPr>
                  </w:pPr>
                  <w:r>
                    <w:rPr>
                      <w:color w:val="58595B"/>
                      <w:sz w:val="12"/>
                    </w:rPr>
                    <w:t>3</w:t>
                  </w:r>
                </w:p>
              </w:txbxContent>
            </v:textbox>
            <w10:wrap type="none"/>
          </v:shape>
        </w:pict>
      </w:r>
      <w:r>
        <w:rPr/>
        <w:pict>
          <v:shape style="position:absolute;margin-left:89.708603pt;margin-top:180.491028pt;width:5.3pt;height:8pt;mso-position-horizontal-relative:page;mso-position-vertical-relative:page;z-index:-190552" type="#_x0000_t202" filled="false" stroked="false">
            <v:textbox inset="0,0,0,0">
              <w:txbxContent>
                <w:p>
                  <w:pPr>
                    <w:spacing w:before="4"/>
                    <w:ind w:left="20" w:right="0" w:firstLine="0"/>
                    <w:jc w:val="left"/>
                    <w:rPr>
                      <w:sz w:val="12"/>
                    </w:rPr>
                  </w:pPr>
                  <w:r>
                    <w:rPr>
                      <w:color w:val="58595B"/>
                      <w:sz w:val="12"/>
                    </w:rPr>
                    <w:t>4</w:t>
                  </w:r>
                </w:p>
              </w:txbxContent>
            </v:textbox>
            <w10:wrap type="none"/>
          </v:shape>
        </w:pict>
      </w:r>
      <w:r>
        <w:rPr/>
        <w:pict>
          <v:shape style="position:absolute;margin-left:89.708603pt;margin-top:244.925034pt;width:5.3pt;height:16.45pt;mso-position-horizontal-relative:page;mso-position-vertical-relative:page;z-index:-190528" type="#_x0000_t202" filled="false" stroked="false">
            <v:textbox inset="0,0,0,0">
              <w:txbxContent>
                <w:p>
                  <w:pPr>
                    <w:spacing w:before="4"/>
                    <w:ind w:left="20" w:right="0" w:firstLine="0"/>
                    <w:jc w:val="left"/>
                    <w:rPr>
                      <w:sz w:val="12"/>
                    </w:rPr>
                  </w:pPr>
                  <w:r>
                    <w:rPr>
                      <w:color w:val="58595B"/>
                      <w:sz w:val="12"/>
                    </w:rPr>
                    <w:t>5</w:t>
                  </w:r>
                </w:p>
                <w:p>
                  <w:pPr>
                    <w:spacing w:before="30"/>
                    <w:ind w:left="20" w:right="0" w:firstLine="0"/>
                    <w:jc w:val="left"/>
                    <w:rPr>
                      <w:sz w:val="12"/>
                    </w:rPr>
                  </w:pPr>
                  <w:r>
                    <w:rPr>
                      <w:color w:val="58595B"/>
                      <w:sz w:val="12"/>
                    </w:rPr>
                    <w:t>6</w:t>
                  </w:r>
                </w:p>
              </w:txbxContent>
            </v:textbox>
            <w10:wrap type="none"/>
          </v:shape>
        </w:pict>
      </w:r>
      <w:r>
        <w:rPr/>
        <w:pict>
          <v:shape style="position:absolute;margin-left:89.708603pt;margin-top:268.763031pt;width:5.3pt;height:8pt;mso-position-horizontal-relative:page;mso-position-vertical-relative:page;z-index:-190504" type="#_x0000_t202" filled="false" stroked="false">
            <v:textbox inset="0,0,0,0">
              <w:txbxContent>
                <w:p>
                  <w:pPr>
                    <w:spacing w:before="4"/>
                    <w:ind w:left="20" w:right="0" w:firstLine="0"/>
                    <w:jc w:val="left"/>
                    <w:rPr>
                      <w:sz w:val="12"/>
                    </w:rPr>
                  </w:pPr>
                  <w:r>
                    <w:rPr>
                      <w:color w:val="58595B"/>
                      <w:sz w:val="12"/>
                    </w:rPr>
                    <w:t>7</w:t>
                  </w:r>
                </w:p>
              </w:txbxContent>
            </v:textbox>
            <w10:wrap type="none"/>
          </v:shape>
        </w:pict>
      </w:r>
      <w:r>
        <w:rPr/>
        <w:pict>
          <v:shape style="position:absolute;margin-left:89.702599pt;margin-top:284.183014pt;width:5.3pt;height:8pt;mso-position-horizontal-relative:page;mso-position-vertical-relative:page;z-index:-190480" type="#_x0000_t202" filled="false" stroked="false">
            <v:textbox inset="0,0,0,0">
              <w:txbxContent>
                <w:p>
                  <w:pPr>
                    <w:spacing w:before="4"/>
                    <w:ind w:left="20" w:right="0" w:firstLine="0"/>
                    <w:jc w:val="left"/>
                    <w:rPr>
                      <w:sz w:val="12"/>
                    </w:rPr>
                  </w:pPr>
                  <w:r>
                    <w:rPr>
                      <w:color w:val="58595B"/>
                      <w:sz w:val="12"/>
                    </w:rPr>
                    <w:t>8</w:t>
                  </w:r>
                </w:p>
              </w:txbxContent>
            </v:textbox>
            <w10:wrap type="none"/>
          </v:shape>
        </w:pict>
      </w:r>
      <w:r>
        <w:rPr/>
        <w:pict>
          <v:shape style="position:absolute;margin-left:89.702599pt;margin-top:299.603027pt;width:8.550pt;height:24.85pt;mso-position-horizontal-relative:page;mso-position-vertical-relative:page;z-index:-190456" type="#_x0000_t202" filled="false" stroked="false">
            <v:textbox inset="0,0,0,0">
              <w:txbxContent>
                <w:p>
                  <w:pPr>
                    <w:spacing w:before="4"/>
                    <w:ind w:left="20" w:right="0" w:firstLine="0"/>
                    <w:jc w:val="left"/>
                    <w:rPr>
                      <w:sz w:val="12"/>
                    </w:rPr>
                  </w:pPr>
                  <w:r>
                    <w:rPr>
                      <w:color w:val="58595B"/>
                      <w:sz w:val="12"/>
                    </w:rPr>
                    <w:t>9</w:t>
                  </w:r>
                </w:p>
                <w:p>
                  <w:pPr>
                    <w:spacing w:before="30"/>
                    <w:ind w:left="20" w:right="-3" w:firstLine="0"/>
                    <w:jc w:val="left"/>
                    <w:rPr>
                      <w:sz w:val="12"/>
                    </w:rPr>
                  </w:pPr>
                  <w:r>
                    <w:rPr>
                      <w:color w:val="58595B"/>
                      <w:sz w:val="12"/>
                    </w:rPr>
                    <w:t>10</w:t>
                  </w:r>
                </w:p>
                <w:p>
                  <w:pPr>
                    <w:spacing w:before="30"/>
                    <w:ind w:left="20" w:right="-3" w:firstLine="0"/>
                    <w:jc w:val="left"/>
                    <w:rPr>
                      <w:sz w:val="12"/>
                    </w:rPr>
                  </w:pPr>
                  <w:r>
                    <w:rPr>
                      <w:color w:val="58595B"/>
                      <w:sz w:val="12"/>
                    </w:rPr>
                    <w:t>11</w:t>
                  </w:r>
                </w:p>
              </w:txbxContent>
            </v:textbox>
            <w10:wrap type="none"/>
          </v:shape>
        </w:pict>
      </w:r>
      <w:r>
        <w:rPr/>
        <w:pict>
          <v:shape style="position:absolute;margin-left:89.696602pt;margin-top:331.859039pt;width:8.4pt;height:8pt;mso-position-horizontal-relative:page;mso-position-vertical-relative:page;z-index:-190432" type="#_x0000_t202" filled="false" stroked="false">
            <v:textbox inset="0,0,0,0">
              <w:txbxContent>
                <w:p>
                  <w:pPr>
                    <w:spacing w:before="4"/>
                    <w:ind w:left="20" w:right="-6" w:firstLine="0"/>
                    <w:jc w:val="left"/>
                    <w:rPr>
                      <w:sz w:val="12"/>
                    </w:rPr>
                  </w:pPr>
                  <w:r>
                    <w:rPr>
                      <w:color w:val="58595B"/>
                      <w:sz w:val="12"/>
                    </w:rPr>
                    <w:t>12</w:t>
                  </w:r>
                </w:p>
              </w:txbxContent>
            </v:textbox>
            <w10:wrap type="none"/>
          </v:shape>
        </w:pict>
      </w:r>
      <w:r>
        <w:rPr/>
        <w:pict>
          <v:shape style="position:absolute;margin-left:89.690598pt;margin-top:347.279022pt;width:8.4pt;height:8pt;mso-position-horizontal-relative:page;mso-position-vertical-relative:page;z-index:-190408" type="#_x0000_t202" filled="false" stroked="false">
            <v:textbox inset="0,0,0,0">
              <w:txbxContent>
                <w:p>
                  <w:pPr>
                    <w:spacing w:before="4"/>
                    <w:ind w:left="20" w:right="-6" w:firstLine="0"/>
                    <w:jc w:val="left"/>
                    <w:rPr>
                      <w:sz w:val="12"/>
                    </w:rPr>
                  </w:pPr>
                  <w:r>
                    <w:rPr>
                      <w:color w:val="58595B"/>
                      <w:sz w:val="12"/>
                    </w:rPr>
                    <w:t>13</w:t>
                  </w:r>
                </w:p>
              </w:txbxContent>
            </v:textbox>
            <w10:wrap type="none"/>
          </v:shape>
        </w:pict>
      </w:r>
      <w:r>
        <w:rPr/>
        <w:pict>
          <v:shape style="position:absolute;margin-left:89.684601pt;margin-top:383.705017pt;width:8.450pt;height:8pt;mso-position-horizontal-relative:page;mso-position-vertical-relative:page;z-index:-190384" type="#_x0000_t202" filled="false" stroked="false">
            <v:textbox inset="0,0,0,0">
              <w:txbxContent>
                <w:p>
                  <w:pPr>
                    <w:spacing w:before="4"/>
                    <w:ind w:left="20" w:right="-5" w:firstLine="0"/>
                    <w:jc w:val="left"/>
                    <w:rPr>
                      <w:sz w:val="12"/>
                    </w:rPr>
                  </w:pPr>
                  <w:r>
                    <w:rPr>
                      <w:color w:val="58595B"/>
                      <w:sz w:val="12"/>
                    </w:rPr>
                    <w:t>14</w:t>
                  </w:r>
                </w:p>
              </w:txbxContent>
            </v:textbox>
            <w10:wrap type="none"/>
          </v:shape>
        </w:pict>
      </w:r>
      <w:r>
        <w:rPr/>
        <w:pict>
          <v:shape style="position:absolute;margin-left:89.684601pt;margin-top:399.125031pt;width:8.450pt;height:8pt;mso-position-horizontal-relative:page;mso-position-vertical-relative:page;z-index:-190360" type="#_x0000_t202" filled="false" stroked="false">
            <v:textbox inset="0,0,0,0">
              <w:txbxContent>
                <w:p>
                  <w:pPr>
                    <w:spacing w:before="4"/>
                    <w:ind w:left="20" w:right="-5" w:firstLine="0"/>
                    <w:jc w:val="left"/>
                    <w:rPr>
                      <w:sz w:val="12"/>
                    </w:rPr>
                  </w:pPr>
                  <w:r>
                    <w:rPr>
                      <w:color w:val="58595B"/>
                      <w:sz w:val="12"/>
                    </w:rPr>
                    <w:t>15</w:t>
                  </w:r>
                </w:p>
              </w:txbxContent>
            </v:textbox>
            <w10:wrap type="none"/>
          </v:shape>
        </w:pict>
      </w:r>
      <w:r>
        <w:rPr/>
        <w:pict>
          <v:shape style="position:absolute;margin-left:89.684601pt;margin-top:421.547028pt;width:8.550pt;height:16.45pt;mso-position-horizontal-relative:page;mso-position-vertical-relative:page;z-index:-190336" type="#_x0000_t202" filled="false" stroked="false">
            <v:textbox inset="0,0,0,0">
              <w:txbxContent>
                <w:p>
                  <w:pPr>
                    <w:spacing w:before="4"/>
                    <w:ind w:left="20" w:right="-3" w:firstLine="0"/>
                    <w:jc w:val="left"/>
                    <w:rPr>
                      <w:sz w:val="12"/>
                    </w:rPr>
                  </w:pPr>
                  <w:r>
                    <w:rPr>
                      <w:color w:val="58595B"/>
                      <w:sz w:val="12"/>
                    </w:rPr>
                    <w:t>16</w:t>
                  </w:r>
                </w:p>
                <w:p>
                  <w:pPr>
                    <w:spacing w:before="30"/>
                    <w:ind w:left="20" w:right="-3" w:firstLine="0"/>
                    <w:jc w:val="left"/>
                    <w:rPr>
                      <w:sz w:val="12"/>
                    </w:rPr>
                  </w:pPr>
                  <w:r>
                    <w:rPr>
                      <w:color w:val="58595B"/>
                      <w:sz w:val="12"/>
                    </w:rPr>
                    <w:t>17</w:t>
                  </w:r>
                </w:p>
              </w:txbxContent>
            </v:textbox>
            <w10:wrap type="none"/>
          </v:shape>
        </w:pict>
      </w:r>
      <w:r>
        <w:rPr/>
        <w:pict>
          <v:shape style="position:absolute;margin-left:89.684601pt;margin-top:452.387024pt;width:8.8pt;height:24.85pt;mso-position-horizontal-relative:page;mso-position-vertical-relative:page;z-index:-190312" type="#_x0000_t202" filled="false" stroked="false">
            <v:textbox inset="0,0,0,0">
              <w:txbxContent>
                <w:p>
                  <w:pPr>
                    <w:spacing w:before="4"/>
                    <w:ind w:left="20" w:right="0" w:firstLine="0"/>
                    <w:jc w:val="left"/>
                    <w:rPr>
                      <w:sz w:val="12"/>
                    </w:rPr>
                  </w:pPr>
                  <w:r>
                    <w:rPr>
                      <w:color w:val="58595B"/>
                      <w:sz w:val="12"/>
                    </w:rPr>
                    <w:t>18</w:t>
                  </w:r>
                </w:p>
                <w:p>
                  <w:pPr>
                    <w:spacing w:before="30"/>
                    <w:ind w:left="20" w:right="0" w:firstLine="0"/>
                    <w:jc w:val="left"/>
                    <w:rPr>
                      <w:sz w:val="12"/>
                    </w:rPr>
                  </w:pPr>
                  <w:r>
                    <w:rPr>
                      <w:color w:val="58595B"/>
                      <w:sz w:val="12"/>
                    </w:rPr>
                    <w:t>19</w:t>
                  </w:r>
                </w:p>
                <w:p>
                  <w:pPr>
                    <w:spacing w:before="30"/>
                    <w:ind w:left="20" w:right="0" w:firstLine="0"/>
                    <w:jc w:val="left"/>
                    <w:rPr>
                      <w:sz w:val="12"/>
                    </w:rPr>
                  </w:pPr>
                  <w:r>
                    <w:rPr>
                      <w:color w:val="58595B"/>
                      <w:sz w:val="12"/>
                    </w:rPr>
                    <w:t>20</w:t>
                  </w:r>
                </w:p>
              </w:txbxContent>
            </v:textbox>
            <w10:wrap type="none"/>
          </v:shape>
        </w:pict>
      </w:r>
      <w:r>
        <w:rPr/>
        <w:pict>
          <v:shape style="position:absolute;margin-left:89.690598pt;margin-top:491.64502pt;width:8.6pt;height:8pt;mso-position-horizontal-relative:page;mso-position-vertical-relative:page;z-index:-190288" type="#_x0000_t202" filled="false" stroked="false">
            <v:textbox inset="0,0,0,0">
              <w:txbxContent>
                <w:p>
                  <w:pPr>
                    <w:spacing w:before="4"/>
                    <w:ind w:left="20" w:right="-2" w:firstLine="0"/>
                    <w:jc w:val="left"/>
                    <w:rPr>
                      <w:sz w:val="12"/>
                    </w:rPr>
                  </w:pPr>
                  <w:r>
                    <w:rPr>
                      <w:color w:val="58595B"/>
                      <w:sz w:val="12"/>
                    </w:rPr>
                    <w:t>21</w:t>
                  </w:r>
                </w:p>
              </w:txbxContent>
            </v:textbox>
            <w10:wrap type="none"/>
          </v:shape>
        </w:pict>
      </w:r>
      <w:r>
        <w:rPr/>
        <w:pict>
          <v:shape style="position:absolute;margin-left:89.690598pt;margin-top:507.065033pt;width:8.85pt;height:8pt;mso-position-horizontal-relative:page;mso-position-vertical-relative:page;z-index:-190264" type="#_x0000_t202" filled="false" stroked="false">
            <v:textbox inset="0,0,0,0">
              <w:txbxContent>
                <w:p>
                  <w:pPr>
                    <w:spacing w:before="4"/>
                    <w:ind w:left="20" w:right="0" w:firstLine="0"/>
                    <w:jc w:val="left"/>
                    <w:rPr>
                      <w:sz w:val="12"/>
                    </w:rPr>
                  </w:pPr>
                  <w:r>
                    <w:rPr>
                      <w:color w:val="58595B"/>
                      <w:sz w:val="12"/>
                    </w:rPr>
                    <w:t>22</w:t>
                  </w:r>
                </w:p>
              </w:txbxContent>
            </v:textbox>
            <w10:wrap type="none"/>
          </v:shape>
        </w:pict>
      </w:r>
      <w:r>
        <w:rPr/>
        <w:pict>
          <v:shape style="position:absolute;margin-left:89.690598pt;margin-top:522.485046pt;width:8.8pt;height:8pt;mso-position-horizontal-relative:page;mso-position-vertical-relative:page;z-index:-190240" type="#_x0000_t202" filled="false" stroked="false">
            <v:textbox inset="0,0,0,0">
              <w:txbxContent>
                <w:p>
                  <w:pPr>
                    <w:spacing w:before="4"/>
                    <w:ind w:left="20" w:right="0" w:firstLine="0"/>
                    <w:jc w:val="left"/>
                    <w:rPr>
                      <w:sz w:val="12"/>
                    </w:rPr>
                  </w:pPr>
                  <w:r>
                    <w:rPr>
                      <w:color w:val="58595B"/>
                      <w:sz w:val="12"/>
                    </w:rPr>
                    <w:t>23</w:t>
                  </w:r>
                </w:p>
              </w:txbxContent>
            </v:textbox>
            <w10:wrap type="none"/>
          </v:shape>
        </w:pict>
      </w:r>
      <w:r>
        <w:rPr/>
        <w:pict>
          <v:shape style="position:absolute;margin-left:89.678596pt;margin-top:537.905029pt;width:8.8pt;height:24.85pt;mso-position-horizontal-relative:page;mso-position-vertical-relative:page;z-index:-190216" type="#_x0000_t202" filled="false" stroked="false">
            <v:textbox inset="0,0,0,0">
              <w:txbxContent>
                <w:p>
                  <w:pPr>
                    <w:spacing w:before="4"/>
                    <w:ind w:left="20" w:right="0" w:firstLine="0"/>
                    <w:jc w:val="left"/>
                    <w:rPr>
                      <w:sz w:val="12"/>
                    </w:rPr>
                  </w:pPr>
                  <w:r>
                    <w:rPr>
                      <w:color w:val="58595B"/>
                      <w:sz w:val="12"/>
                    </w:rPr>
                    <w:t>24</w:t>
                  </w:r>
                </w:p>
                <w:p>
                  <w:pPr>
                    <w:spacing w:before="30"/>
                    <w:ind w:left="20" w:right="0" w:firstLine="0"/>
                    <w:jc w:val="left"/>
                    <w:rPr>
                      <w:sz w:val="12"/>
                    </w:rPr>
                  </w:pPr>
                  <w:r>
                    <w:rPr>
                      <w:color w:val="58595B"/>
                      <w:sz w:val="12"/>
                    </w:rPr>
                    <w:t>25</w:t>
                  </w:r>
                </w:p>
                <w:p>
                  <w:pPr>
                    <w:spacing w:before="30"/>
                    <w:ind w:left="20" w:right="0" w:firstLine="0"/>
                    <w:jc w:val="left"/>
                    <w:rPr>
                      <w:sz w:val="12"/>
                    </w:rPr>
                  </w:pPr>
                  <w:r>
                    <w:rPr>
                      <w:color w:val="58595B"/>
                      <w:sz w:val="12"/>
                    </w:rPr>
                    <w:t>26</w:t>
                  </w:r>
                </w:p>
              </w:txbxContent>
            </v:textbox>
            <w10:wrap type="none"/>
          </v:shape>
        </w:pict>
      </w:r>
      <w:r>
        <w:rPr/>
        <w:pict>
          <v:shape style="position:absolute;margin-left:89.678596pt;margin-top:584.165039pt;width:8.75pt;height:8pt;mso-position-horizontal-relative:page;mso-position-vertical-relative:page;z-index:-190192" type="#_x0000_t202" filled="false" stroked="false">
            <v:textbox inset="0,0,0,0">
              <w:txbxContent>
                <w:p>
                  <w:pPr>
                    <w:spacing w:before="4"/>
                    <w:ind w:left="20" w:right="0" w:firstLine="0"/>
                    <w:jc w:val="left"/>
                    <w:rPr>
                      <w:sz w:val="12"/>
                    </w:rPr>
                  </w:pPr>
                  <w:r>
                    <w:rPr>
                      <w:color w:val="58595B"/>
                      <w:sz w:val="12"/>
                    </w:rPr>
                    <w:t>27</w:t>
                  </w:r>
                </w:p>
              </w:txbxContent>
            </v:textbox>
            <w10:wrap type="none"/>
          </v:shape>
        </w:pict>
      </w:r>
      <w:r>
        <w:rPr/>
        <w:pict>
          <v:shape style="position:absolute;margin-left:89.678596pt;margin-top:620.591003pt;width:8.75pt;height:8pt;mso-position-horizontal-relative:page;mso-position-vertical-relative:page;z-index:-190168" type="#_x0000_t202" filled="false" stroked="false">
            <v:textbox inset="0,0,0,0">
              <w:txbxContent>
                <w:p>
                  <w:pPr>
                    <w:spacing w:before="4"/>
                    <w:ind w:left="20" w:right="0" w:firstLine="0"/>
                    <w:jc w:val="left"/>
                    <w:rPr>
                      <w:sz w:val="12"/>
                    </w:rPr>
                  </w:pPr>
                  <w:r>
                    <w:rPr>
                      <w:color w:val="58595B"/>
                      <w:sz w:val="12"/>
                    </w:rPr>
                    <w:t>28</w:t>
                  </w:r>
                </w:p>
              </w:txbxContent>
            </v:textbox>
            <w10:wrap type="none"/>
          </v:shape>
        </w:pict>
      </w:r>
      <w:r>
        <w:rPr/>
        <w:pict>
          <v:shape style="position:absolute;margin-left:89.678596pt;margin-top:685.025024pt;width:8.8pt;height:8pt;mso-position-horizontal-relative:page;mso-position-vertical-relative:page;z-index:-190144" type="#_x0000_t202" filled="false" stroked="false">
            <v:textbox inset="0,0,0,0">
              <w:txbxContent>
                <w:p>
                  <w:pPr>
                    <w:spacing w:before="4"/>
                    <w:ind w:left="20" w:right="0" w:firstLine="0"/>
                    <w:jc w:val="left"/>
                    <w:rPr>
                      <w:sz w:val="12"/>
                    </w:rPr>
                  </w:pPr>
                  <w:r>
                    <w:rPr>
                      <w:color w:val="58595B"/>
                      <w:sz w:val="12"/>
                    </w:rPr>
                    <w:t>29</w:t>
                  </w:r>
                </w:p>
              </w:txbxContent>
            </v:textbox>
            <w10:wrap type="none"/>
          </v:shape>
        </w:pict>
      </w:r>
      <w:r>
        <w:rPr/>
        <w:pict>
          <v:shape style="position:absolute;margin-left:89.678596pt;margin-top:714.449036pt;width:8.85pt;height:8pt;mso-position-horizontal-relative:page;mso-position-vertical-relative:page;z-index:-190120" type="#_x0000_t202" filled="false" stroked="false">
            <v:textbox inset="0,0,0,0">
              <w:txbxContent>
                <w:p>
                  <w:pPr>
                    <w:spacing w:before="4"/>
                    <w:ind w:left="20" w:right="0" w:firstLine="0"/>
                    <w:jc w:val="left"/>
                    <w:rPr>
                      <w:sz w:val="12"/>
                    </w:rPr>
                  </w:pPr>
                  <w:r>
                    <w:rPr>
                      <w:color w:val="58595B"/>
                      <w:sz w:val="12"/>
                    </w:rPr>
                    <w:t>30</w:t>
                  </w:r>
                </w:p>
              </w:txbxContent>
            </v:textbox>
            <w10:wrap type="none"/>
          </v:shape>
        </w:pict>
      </w:r>
      <w:r>
        <w:rPr/>
        <w:pict>
          <v:shape style="position:absolute;margin-left:534.996094pt;margin-top:44.090015pt;width:60.3pt;height:5.25pt;mso-position-horizontal-relative:page;mso-position-vertical-relative:page;z-index:-19009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90072" type="#_x0000_t202" filled="false" stroked="false">
            <v:textbox inset="0,0,0,0">
              <w:txbxContent/>
            </v:textbox>
            <w10:wrap type="none"/>
          </v:shape>
        </w:pict>
      </w:r>
      <w:r>
        <w:rPr/>
        <w:pict>
          <v:shape style="position:absolute;margin-left:90.708603pt;margin-top:92.331017pt;width:210.85pt;height:12pt;mso-position-horizontal-relative:page;mso-position-vertical-relative:page;z-index:-190048" type="#_x0000_t202" filled="false" stroked="false">
            <v:textbox inset="0,0,0,0">
              <w:txbxContent>
                <w:p>
                  <w:pPr>
                    <w:pStyle w:val="BodyText"/>
                    <w:spacing w:before="4"/>
                    <w:ind w:left="40"/>
                    <w:rPr>
                      <w:rFonts w:ascii="Times New Roman"/>
                      <w:sz w:val="17"/>
                    </w:rPr>
                  </w:pPr>
                </w:p>
              </w:txbxContent>
            </v:textbox>
            <w10:wrap type="none"/>
          </v:shape>
        </w:pict>
      </w:r>
    </w:p>
    <w:p>
      <w:pPr>
        <w:spacing w:after="0"/>
        <w:rPr>
          <w:sz w:val="2"/>
          <w:szCs w:val="2"/>
        </w:rPr>
        <w:sectPr>
          <w:pgSz w:w="11910" w:h="16840"/>
          <w:pgMar w:top="800" w:bottom="280" w:left="1680" w:right="0"/>
        </w:sectPr>
      </w:pPr>
    </w:p>
    <w:p>
      <w:pPr>
        <w:rPr>
          <w:sz w:val="2"/>
          <w:szCs w:val="2"/>
        </w:rPr>
      </w:pPr>
      <w:r>
        <w:rPr/>
        <w:drawing>
          <wp:anchor distT="0" distB="0" distL="0" distR="0" allowOverlap="1" layoutInCell="1" locked="0" behindDoc="1" simplePos="0" relativeHeight="268245431">
            <wp:simplePos x="0" y="0"/>
            <wp:positionH relativeFrom="page">
              <wp:posOffset>0</wp:posOffset>
            </wp:positionH>
            <wp:positionV relativeFrom="page">
              <wp:posOffset>0</wp:posOffset>
            </wp:positionV>
            <wp:extent cx="7559999" cy="10692003"/>
            <wp:effectExtent l="0" t="0" r="0" b="0"/>
            <wp:wrapNone/>
            <wp:docPr id="9" name="image7.png" descr=""/>
            <wp:cNvGraphicFramePr>
              <a:graphicFrameLocks noChangeAspect="1"/>
            </wp:cNvGraphicFramePr>
            <a:graphic>
              <a:graphicData uri="http://schemas.openxmlformats.org/drawingml/2006/picture">
                <pic:pic>
                  <pic:nvPicPr>
                    <pic:cNvPr id="10" name="image7.png"/>
                    <pic:cNvPicPr/>
                  </pic:nvPicPr>
                  <pic:blipFill>
                    <a:blip r:embed="rId15" cstate="print"/>
                    <a:stretch>
                      <a:fillRect/>
                    </a:stretch>
                  </pic:blipFill>
                  <pic:spPr>
                    <a:xfrm>
                      <a:off x="0" y="0"/>
                      <a:ext cx="7559999" cy="10692003"/>
                    </a:xfrm>
                    <a:prstGeom prst="rect">
                      <a:avLst/>
                    </a:prstGeom>
                  </pic:spPr>
                </pic:pic>
              </a:graphicData>
            </a:graphic>
          </wp:anchor>
        </w:drawing>
      </w:r>
    </w:p>
    <w:p>
      <w:pPr>
        <w:spacing w:after="0"/>
        <w:rPr>
          <w:sz w:val="2"/>
          <w:szCs w:val="2"/>
        </w:rPr>
        <w:sectPr>
          <w:pgSz w:w="11910" w:h="16840"/>
          <w:pgMar w:top="1580" w:bottom="280" w:left="1680" w:right="1680"/>
        </w:sectPr>
      </w:pPr>
    </w:p>
    <w:p>
      <w:pPr>
        <w:rPr>
          <w:sz w:val="2"/>
          <w:szCs w:val="2"/>
        </w:rPr>
      </w:pPr>
      <w:r>
        <w:rPr/>
        <w:pict>
          <v:group style="position:absolute;margin-left:0pt;margin-top:.000244pt;width:598.8pt;height:841.9pt;mso-position-horizontal-relative:page;mso-position-vertical-relative:page;z-index:-190000" coordorigin="0,0" coordsize="11976,16838">
            <v:shape style="position:absolute;left:0;top:0;width:11906;height:16838" type="#_x0000_t75" stroked="false">
              <v:imagedata r:id="rId16" o:title=""/>
            </v:shape>
            <v:line style="position:absolute" from="10700,917" to="11906,917" stroked="true" strokeweight="7pt" strokecolor="#0095a7"/>
            <w10:wrap type="none"/>
          </v:group>
        </w:pict>
      </w:r>
      <w:r>
        <w:rPr/>
        <w:pict>
          <v:shape style="position:absolute;margin-left:511.053497pt;margin-top:40.902756pt;width:14.35pt;height:9.5pt;mso-position-horizontal-relative:page;mso-position-vertical-relative:page;z-index:-189976" type="#_x0000_t202" filled="false" stroked="false">
            <v:textbox inset="0,0,0,0">
              <w:txbxContent>
                <w:p>
                  <w:pPr>
                    <w:spacing w:before="1"/>
                    <w:ind w:left="20" w:right="-4" w:firstLine="0"/>
                    <w:jc w:val="left"/>
                    <w:rPr>
                      <w:sz w:val="15"/>
                    </w:rPr>
                  </w:pPr>
                  <w:r>
                    <w:rPr>
                      <w:color w:val="58595B"/>
                      <w:sz w:val="15"/>
                    </w:rPr>
                    <w:t>125</w:t>
                  </w:r>
                </w:p>
              </w:txbxContent>
            </v:textbox>
            <w10:wrap type="none"/>
          </v:shape>
        </w:pict>
      </w:r>
      <w:r>
        <w:rPr/>
        <w:pict>
          <v:shape style="position:absolute;margin-left:89.708702pt;margin-top:105.893967pt;width:358.1pt;height:60.75pt;mso-position-horizontal-relative:page;mso-position-vertical-relative:page;z-index:-189952" type="#_x0000_t202" filled="false" stroked="false">
            <v:textbox inset="0,0,0,0">
              <w:txbxContent>
                <w:p>
                  <w:pPr>
                    <w:spacing w:line="224" w:lineRule="exact" w:before="0"/>
                    <w:ind w:left="20" w:right="14" w:firstLine="0"/>
                    <w:jc w:val="left"/>
                    <w:rPr>
                      <w:b/>
                      <w:sz w:val="20"/>
                    </w:rPr>
                  </w:pPr>
                  <w:r>
                    <w:rPr>
                      <w:b/>
                      <w:color w:val="0095A7"/>
                      <w:sz w:val="20"/>
                    </w:rPr>
                    <w:t>CHAPTER 7</w:t>
                  </w:r>
                </w:p>
                <w:p>
                  <w:pPr>
                    <w:spacing w:line="440" w:lineRule="exact" w:before="102"/>
                    <w:ind w:left="20" w:right="14" w:firstLine="0"/>
                    <w:jc w:val="left"/>
                    <w:rPr>
                      <w:sz w:val="40"/>
                    </w:rPr>
                  </w:pPr>
                  <w:r>
                    <w:rPr>
                      <w:color w:val="58595B"/>
                      <w:spacing w:val="-5"/>
                      <w:sz w:val="40"/>
                    </w:rPr>
                    <w:t>THE </w:t>
                  </w:r>
                  <w:r>
                    <w:rPr>
                      <w:color w:val="58595B"/>
                      <w:spacing w:val="-18"/>
                      <w:sz w:val="40"/>
                    </w:rPr>
                    <w:t>EPA’S </w:t>
                  </w:r>
                  <w:r>
                    <w:rPr>
                      <w:color w:val="58595B"/>
                      <w:spacing w:val="-8"/>
                      <w:sz w:val="40"/>
                    </w:rPr>
                    <w:t>ROLE WITHIN </w:t>
                  </w:r>
                  <w:r>
                    <w:rPr>
                      <w:color w:val="58595B"/>
                      <w:spacing w:val="-12"/>
                      <w:sz w:val="40"/>
                    </w:rPr>
                    <w:t>VICTORIA’S </w:t>
                  </w:r>
                  <w:r>
                    <w:rPr>
                      <w:color w:val="58595B"/>
                      <w:spacing w:val="-8"/>
                      <w:sz w:val="40"/>
                    </w:rPr>
                    <w:t>ENVIRONMENT </w:t>
                  </w:r>
                  <w:r>
                    <w:rPr>
                      <w:color w:val="58595B"/>
                      <w:spacing w:val="-11"/>
                      <w:sz w:val="40"/>
                    </w:rPr>
                    <w:t>PROTECTION </w:t>
                  </w:r>
                  <w:r>
                    <w:rPr>
                      <w:color w:val="58595B"/>
                      <w:spacing w:val="-9"/>
                      <w:sz w:val="40"/>
                    </w:rPr>
                    <w:t>REGIME</w:t>
                  </w:r>
                </w:p>
              </w:txbxContent>
            </v:textbox>
            <w10:wrap type="none"/>
          </v:shape>
        </w:pict>
      </w:r>
      <w:r>
        <w:rPr/>
        <w:pict>
          <v:shape style="position:absolute;margin-left:534.996094pt;margin-top:44.090015pt;width:60.3pt;height:5.25pt;mso-position-horizontal-relative:page;mso-position-vertical-relative:page;z-index:-18992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9904" type="#_x0000_t202" filled="false" stroked="false">
            <v:textbox inset="0,0,0,0">
              <w:txbxContent/>
            </v:textbox>
            <w10:wrap type="none"/>
          </v:shape>
        </w:pict>
      </w:r>
    </w:p>
    <w:p>
      <w:pPr>
        <w:spacing w:after="0"/>
        <w:rPr>
          <w:sz w:val="2"/>
          <w:szCs w:val="2"/>
        </w:rPr>
        <w:sectPr>
          <w:pgSz w:w="11910" w:h="16840"/>
          <w:pgMar w:top="800" w:bottom="280" w:left="1680" w:right="1280"/>
        </w:sectPr>
      </w:pPr>
    </w:p>
    <w:p>
      <w:pPr>
        <w:rPr>
          <w:sz w:val="2"/>
          <w:szCs w:val="2"/>
        </w:rPr>
      </w:pPr>
      <w:r>
        <w:rPr/>
        <w:pict>
          <v:line style="position:absolute;mso-position-horizontal-relative:page;mso-position-vertical-relative:page;z-index:-189880" from=".0pt,45.840015pt" to="60.2791pt,45.840015pt" stroked="true" strokeweight="7pt" strokecolor="#0095a7">
            <w10:wrap type="none"/>
          </v:line>
        </w:pict>
      </w:r>
      <w:r>
        <w:rPr/>
        <w:pict>
          <v:rect style="position:absolute;margin-left:70.865997pt;margin-top:158.421021pt;width:432.701pt;height:252.973pt;mso-position-horizontal-relative:page;mso-position-vertical-relative:page;z-index:-189856" filled="true" fillcolor="#eff6f0" stroked="false">
            <v:fill type="solid"/>
            <w10:wrap type="none"/>
          </v:rect>
        </w:pict>
      </w:r>
      <w:r>
        <w:rPr/>
        <w:pict>
          <v:shape style="position:absolute;margin-left:69.866096pt;margin-top:40.902756pt;width:14.4pt;height:9.5pt;mso-position-horizontal-relative:page;mso-position-vertical-relative:page;z-index:-189832" type="#_x0000_t202" filled="false" stroked="false">
            <v:textbox inset="0,0,0,0">
              <w:txbxContent>
                <w:p>
                  <w:pPr>
                    <w:spacing w:before="1"/>
                    <w:ind w:left="20" w:right="-3" w:firstLine="0"/>
                    <w:jc w:val="left"/>
                    <w:rPr>
                      <w:sz w:val="15"/>
                    </w:rPr>
                  </w:pPr>
                  <w:r>
                    <w:rPr>
                      <w:color w:val="58595B"/>
                      <w:sz w:val="15"/>
                    </w:rPr>
                    <w:t>126</w:t>
                  </w:r>
                </w:p>
              </w:txbxContent>
            </v:textbox>
            <w10:wrap type="none"/>
          </v:shape>
        </w:pict>
      </w:r>
      <w:r>
        <w:rPr/>
        <w:pict>
          <v:shape style="position:absolute;margin-left:95.377899pt;margin-top:40.902756pt;width:147.75pt;height:9.5pt;mso-position-horizontal-relative:page;mso-position-vertical-relative:page;z-index:-189808"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564812pt;width:354.55pt;height:31pt;mso-position-horizontal-relative:page;mso-position-vertical-relative:page;z-index:-189784" type="#_x0000_t202" filled="false" stroked="false">
            <v:textbox inset="0,0,0,0">
              <w:txbxContent>
                <w:p>
                  <w:pPr>
                    <w:spacing w:line="300" w:lineRule="exact" w:before="7"/>
                    <w:ind w:left="20" w:right="3" w:firstLine="0"/>
                    <w:jc w:val="left"/>
                    <w:rPr>
                      <w:sz w:val="28"/>
                    </w:rPr>
                  </w:pPr>
                  <w:r>
                    <w:rPr>
                      <w:color w:val="0095A7"/>
                      <w:sz w:val="28"/>
                    </w:rPr>
                    <w:t>THE </w:t>
                  </w:r>
                  <w:r>
                    <w:rPr>
                      <w:color w:val="0095A7"/>
                      <w:spacing w:val="-9"/>
                      <w:sz w:val="28"/>
                    </w:rPr>
                    <w:t>EPA’S </w:t>
                  </w:r>
                  <w:r>
                    <w:rPr>
                      <w:color w:val="0095A7"/>
                      <w:sz w:val="28"/>
                    </w:rPr>
                    <w:t>ROLE WITHIN </w:t>
                  </w:r>
                  <w:r>
                    <w:rPr>
                      <w:color w:val="0095A7"/>
                      <w:spacing w:val="-5"/>
                      <w:sz w:val="28"/>
                    </w:rPr>
                    <w:t>VICTORIA’S </w:t>
                  </w:r>
                  <w:r>
                    <w:rPr>
                      <w:color w:val="0095A7"/>
                      <w:sz w:val="28"/>
                    </w:rPr>
                    <w:t>ENVIRONMENT </w:t>
                  </w:r>
                  <w:r>
                    <w:rPr>
                      <w:color w:val="0095A7"/>
                      <w:spacing w:val="-4"/>
                      <w:sz w:val="28"/>
                    </w:rPr>
                    <w:t>PROTECTION </w:t>
                  </w:r>
                  <w:r>
                    <w:rPr>
                      <w:color w:val="0095A7"/>
                      <w:sz w:val="28"/>
                    </w:rPr>
                    <w:t>REGIME</w:t>
                  </w:r>
                </w:p>
              </w:txbxContent>
            </v:textbox>
            <w10:wrap type="none"/>
          </v:shape>
        </w:pict>
      </w:r>
      <w:r>
        <w:rPr/>
        <w:pict>
          <v:shape style="position:absolute;margin-left:69.866096pt;margin-top:432.595642pt;width:423.05pt;height:59.8pt;mso-position-horizontal-relative:page;mso-position-vertical-relative:page;z-index:-189760" type="#_x0000_t202" filled="false" stroked="false">
            <v:textbox inset="0,0,0,0">
              <w:txbxContent>
                <w:p>
                  <w:pPr>
                    <w:spacing w:line="265" w:lineRule="exact" w:before="0"/>
                    <w:ind w:left="20" w:right="-17" w:firstLine="0"/>
                    <w:jc w:val="left"/>
                    <w:rPr>
                      <w:sz w:val="24"/>
                    </w:rPr>
                  </w:pPr>
                  <w:r>
                    <w:rPr>
                      <w:color w:val="0095A7"/>
                      <w:sz w:val="24"/>
                    </w:rPr>
                    <w:t>7.1  Introduction</w:t>
                  </w:r>
                </w:p>
                <w:p>
                  <w:pPr>
                    <w:pStyle w:val="BodyText"/>
                    <w:spacing w:line="280" w:lineRule="auto" w:before="145"/>
                    <w:ind w:right="-17"/>
                    <w:rPr>
                      <w:sz w:val="11"/>
                    </w:rPr>
                  </w:pPr>
                  <w:r>
                    <w:rPr>
                      <w:color w:val="58595B"/>
                    </w:rPr>
                    <w:t>Environment protection today involves a framework of regulation, policy setting and programs across government. Over 40 separate acts cover environmental regulation in Victoria, involving various state government agencies and 79 local government authorities.</w:t>
                  </w:r>
                  <w:r>
                    <w:rPr>
                      <w:color w:val="58595B"/>
                      <w:position w:val="7"/>
                      <w:sz w:val="11"/>
                    </w:rPr>
                    <w:t>1</w:t>
                  </w:r>
                </w:p>
              </w:txbxContent>
            </v:textbox>
            <w10:wrap type="none"/>
          </v:shape>
        </w:pict>
      </w:r>
      <w:r>
        <w:rPr/>
        <w:pict>
          <v:shape style="position:absolute;margin-left:98.212601pt;margin-top:502.389465pt;width:366.25pt;height:25.5pt;mso-position-horizontal-relative:page;mso-position-vertical-relative:page;z-index:-189736" type="#_x0000_t202" filled="false" stroked="false">
            <v:textbox inset="0,0,0,0">
              <w:txbxContent>
                <w:p>
                  <w:pPr>
                    <w:spacing w:line="280" w:lineRule="auto" w:before="0"/>
                    <w:ind w:left="20" w:right="0" w:firstLine="0"/>
                    <w:jc w:val="left"/>
                    <w:rPr>
                      <w:sz w:val="11"/>
                    </w:rPr>
                  </w:pPr>
                  <w:r>
                    <w:rPr>
                      <w:i/>
                      <w:color w:val="231F20"/>
                      <w:sz w:val="20"/>
                    </w:rPr>
                    <w:t>Environmental problems and opportunities can be complex, involve many different actors or parts of society, and span communities and borders.</w:t>
                  </w:r>
                  <w:r>
                    <w:rPr>
                      <w:color w:val="231F20"/>
                      <w:position w:val="7"/>
                      <w:sz w:val="11"/>
                    </w:rPr>
                    <w:t>2</w:t>
                  </w:r>
                </w:p>
              </w:txbxContent>
            </v:textbox>
            <w10:wrap type="none"/>
          </v:shape>
        </w:pict>
      </w:r>
      <w:r>
        <w:rPr/>
        <w:pict>
          <v:shape style="position:absolute;margin-left:69.862602pt;margin-top:537.893372pt;width:424.65pt;height:79.5pt;mso-position-horizontal-relative:page;mso-position-vertical-relative:page;z-index:-189712" type="#_x0000_t202" filled="false" stroked="false">
            <v:textbox inset="0,0,0,0">
              <w:txbxContent>
                <w:p>
                  <w:pPr>
                    <w:pStyle w:val="BodyText"/>
                    <w:spacing w:line="280" w:lineRule="auto"/>
                    <w:ind w:right="6"/>
                    <w:rPr>
                      <w:sz w:val="11"/>
                    </w:rPr>
                  </w:pPr>
                  <w:r>
                    <w:rPr>
                      <w:color w:val="58595B"/>
                    </w:rPr>
                    <w:t>The EPA has a key, but distinctive, role in environment protection – it protects people as well as the environment; and it protects health, liveability and prosperity from pollution and waste. It is only one part of Victoria’s broader regime of environmental regulation and management, but it has critical interdependencies with other areas of government. In particular, DELWP provides whole-of-government leadership on environment protection,</w:t>
                  </w:r>
                  <w:r>
                    <w:rPr>
                      <w:color w:val="58595B"/>
                      <w:position w:val="7"/>
                      <w:sz w:val="11"/>
                    </w:rPr>
                    <w:t>3 </w:t>
                  </w:r>
                  <w:r>
                    <w:rPr>
                      <w:color w:val="58595B"/>
                    </w:rPr>
                    <w:t>and also has specific regulatory responsibilities, for example, relating to biodiversity protection.</w:t>
                  </w:r>
                  <w:r>
                    <w:rPr>
                      <w:color w:val="58595B"/>
                      <w:position w:val="7"/>
                      <w:sz w:val="11"/>
                    </w:rPr>
                    <w:t>4</w:t>
                  </w:r>
                </w:p>
              </w:txbxContent>
            </v:textbox>
            <w10:wrap type="none"/>
          </v:shape>
        </w:pict>
      </w:r>
      <w:r>
        <w:rPr/>
        <w:pict>
          <v:shape style="position:absolute;margin-left:69.866096pt;margin-top:627.397339pt;width:430.7pt;height:52.5pt;mso-position-horizontal-relative:page;mso-position-vertical-relative:page;z-index:-189688" type="#_x0000_t202" filled="false" stroked="false">
            <v:textbox inset="0,0,0,0">
              <w:txbxContent>
                <w:p>
                  <w:pPr>
                    <w:pStyle w:val="BodyText"/>
                    <w:spacing w:line="280" w:lineRule="auto"/>
                    <w:ind w:right="2"/>
                  </w:pPr>
                  <w:r>
                    <w:rPr>
                      <w:color w:val="58595B"/>
                    </w:rPr>
                    <w:t>The EPA works as part of a complex regulatory regime featuring other regulators and decision makers (figure 7.1). Improved coordination, across the environment portfolio and as an input to broader government decision making, will maximise the value of the EPA’s expertise and expand its influence.</w:t>
                  </w:r>
                </w:p>
              </w:txbxContent>
            </v:textbox>
            <w10:wrap type="none"/>
          </v:shape>
        </w:pict>
      </w:r>
      <w:r>
        <w:rPr/>
        <w:pict>
          <v:shape style="position:absolute;margin-left:70.865997pt;margin-top:158.421021pt;width:432.7pt;height:253pt;mso-position-horizontal-relative:page;mso-position-vertical-relative:page;z-index:-189664" type="#_x0000_t202" filled="false" stroked="false">
            <v:textbox inset="0,0,0,0">
              <w:txbxContent>
                <w:p>
                  <w:pPr>
                    <w:spacing w:before="128"/>
                    <w:ind w:left="170" w:right="277" w:firstLine="0"/>
                    <w:jc w:val="left"/>
                    <w:rPr>
                      <w:b/>
                      <w:sz w:val="20"/>
                    </w:rPr>
                  </w:pPr>
                  <w:r>
                    <w:rPr>
                      <w:b/>
                      <w:color w:val="0095A7"/>
                      <w:sz w:val="20"/>
                    </w:rPr>
                    <w:t>KEY MESSAGES</w:t>
                  </w:r>
                </w:p>
                <w:p>
                  <w:pPr>
                    <w:pStyle w:val="BodyText"/>
                    <w:spacing w:before="153"/>
                    <w:ind w:left="170" w:right="277"/>
                  </w:pPr>
                  <w:r>
                    <w:rPr>
                      <w:color w:val="58595B"/>
                    </w:rPr>
                    <w:t>There is a void at the strategic level of Victoria’s environment protection framework. Filling</w:t>
                  </w:r>
                </w:p>
                <w:p>
                  <w:pPr>
                    <w:pStyle w:val="BodyText"/>
                    <w:spacing w:line="280" w:lineRule="auto" w:before="40"/>
                    <w:ind w:left="170" w:right="277"/>
                  </w:pPr>
                  <w:r>
                    <w:rPr>
                      <w:color w:val="58595B"/>
                    </w:rPr>
                    <w:t>it requires a whole-of-government approach to consider complex issues with environmental, social and economic implications.</w:t>
                  </w:r>
                </w:p>
                <w:p>
                  <w:pPr>
                    <w:pStyle w:val="BodyText"/>
                    <w:spacing w:line="280" w:lineRule="auto" w:before="172"/>
                    <w:ind w:left="170" w:right="426"/>
                  </w:pPr>
                  <w:r>
                    <w:rPr>
                      <w:color w:val="58595B"/>
                    </w:rPr>
                    <w:t>Precedents demonstrate the value and effectiveness of whole-of-government legislative mechanisms, in particular to prevent or mitigate harms. Managing pollution and waste warrants such an approach given the potential for long term impacts on health, liveability and prosperity.</w:t>
                  </w:r>
                </w:p>
                <w:p>
                  <w:pPr>
                    <w:pStyle w:val="BodyText"/>
                    <w:spacing w:line="280" w:lineRule="auto" w:before="172"/>
                    <w:ind w:left="170" w:right="882"/>
                  </w:pPr>
                  <w:r>
                    <w:rPr>
                      <w:color w:val="58595B"/>
                    </w:rPr>
                    <w:t>The EPA must be ‘at the table’ to inform strategic land use planning and infrastructure decision making.</w:t>
                  </w:r>
                </w:p>
                <w:p>
                  <w:pPr>
                    <w:pStyle w:val="BodyText"/>
                    <w:spacing w:line="280" w:lineRule="auto" w:before="172"/>
                    <w:ind w:left="170" w:right="277"/>
                  </w:pPr>
                  <w:r>
                    <w:rPr>
                      <w:color w:val="58595B"/>
                    </w:rPr>
                    <w:t>Environmental justice recognises that the burdens of environmental pollution should be fairly distributed. It is an important issue for government and the environmental regulator must be part of a whole-of-government approach.</w:t>
                  </w:r>
                </w:p>
                <w:p>
                  <w:pPr>
                    <w:pStyle w:val="BodyText"/>
                    <w:spacing w:line="280" w:lineRule="auto" w:before="172"/>
                    <w:ind w:left="170" w:right="277"/>
                  </w:pPr>
                  <w:r>
                    <w:rPr>
                      <w:color w:val="58595B"/>
                    </w:rPr>
                    <w:t>Regulatory best practice, including strengthening community rights, will contribute to environmental justice.</w:t>
                  </w:r>
                </w:p>
              </w:txbxContent>
            </v:textbox>
            <w10:wrap type="none"/>
          </v:shape>
        </w:pict>
      </w:r>
      <w:r>
        <w:rPr/>
        <w:pict>
          <v:shape style="position:absolute;margin-left:.0pt;margin-top:44.090015pt;width:60.3pt;height:5.25pt;mso-position-horizontal-relative:page;mso-position-vertical-relative:page;z-index:-18964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8961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89592" from="534.996094pt,45.840015pt" to="595.276001pt,45.840015pt" stroked="true" strokeweight="7pt" strokecolor="#0095a7">
            <w10:wrap type="none"/>
          </v:line>
        </w:pict>
      </w:r>
      <w:r>
        <w:rPr/>
        <w:pict>
          <v:group style="position:absolute;margin-left:90.708pt;margin-top:131.170013pt;width:433.75pt;height:513.2pt;mso-position-horizontal-relative:page;mso-position-vertical-relative:page;z-index:-189568" coordorigin="1814,2623" coordsize="8675,10264">
            <v:rect style="position:absolute;left:1814;top:2623;width:8674;height:10264" filled="true" fillcolor="#ededee" stroked="false">
              <v:fill type="solid"/>
            </v:rect>
            <v:shape style="position:absolute;left:1814;top:2623;width:8674;height:10264" type="#_x0000_t75" stroked="false">
              <v:imagedata r:id="rId32" o:title=""/>
            </v:shape>
            <w10:wrap type="none"/>
          </v:group>
        </w:pict>
      </w:r>
      <w:r>
        <w:rPr/>
        <w:pict>
          <v:shape style="position:absolute;margin-left:163.581497pt;margin-top:40.902756pt;width:336.3pt;height:9.5pt;mso-position-horizontal-relative:page;mso-position-vertical-relative:page;z-index:-189544" type="#_x0000_t202" filled="false" stroked="false">
            <v:textbox inset="0,0,0,0">
              <w:txbxContent>
                <w:p>
                  <w:pPr>
                    <w:spacing w:before="1"/>
                    <w:ind w:left="20" w:right="0" w:firstLine="0"/>
                    <w:jc w:val="left"/>
                    <w:rPr>
                      <w:sz w:val="15"/>
                    </w:rPr>
                  </w:pPr>
                  <w:r>
                    <w:rPr>
                      <w:color w:val="58595B"/>
                      <w:sz w:val="15"/>
                    </w:rPr>
                    <w:t>CHAPTER 7    THE EPA’S ROLE WITHIN VICTORIA’S ENVIRONMENT PROTECTION REGIME</w:t>
                  </w:r>
                </w:p>
              </w:txbxContent>
            </v:textbox>
            <w10:wrap type="none"/>
          </v:shape>
        </w:pict>
      </w:r>
      <w:r>
        <w:rPr/>
        <w:pict>
          <v:shape style="position:absolute;margin-left:511.063995pt;margin-top:40.902756pt;width:14.3pt;height:9.5pt;mso-position-horizontal-relative:page;mso-position-vertical-relative:page;z-index:-189520" type="#_x0000_t202" filled="false" stroked="false">
            <v:textbox inset="0,0,0,0">
              <w:txbxContent>
                <w:p>
                  <w:pPr>
                    <w:spacing w:before="1"/>
                    <w:ind w:left="20" w:right="-5" w:firstLine="0"/>
                    <w:jc w:val="left"/>
                    <w:rPr>
                      <w:sz w:val="15"/>
                    </w:rPr>
                  </w:pPr>
                  <w:r>
                    <w:rPr>
                      <w:color w:val="58595B"/>
                      <w:sz w:val="15"/>
                    </w:rPr>
                    <w:t>127</w:t>
                  </w:r>
                </w:p>
              </w:txbxContent>
            </v:textbox>
            <w10:wrap type="none"/>
          </v:shape>
        </w:pict>
      </w:r>
      <w:r>
        <w:rPr/>
        <w:pict>
          <v:shape style="position:absolute;margin-left:89.708603pt;margin-top:105.893967pt;width:267.55pt;height:12pt;mso-position-horizontal-relative:page;mso-position-vertical-relative:page;z-index:-189496" type="#_x0000_t202" filled="false" stroked="false">
            <v:textbox inset="0,0,0,0">
              <w:txbxContent>
                <w:p>
                  <w:pPr>
                    <w:spacing w:line="224" w:lineRule="exact" w:before="0"/>
                    <w:ind w:left="20" w:right="0" w:firstLine="0"/>
                    <w:jc w:val="left"/>
                    <w:rPr>
                      <w:sz w:val="20"/>
                    </w:rPr>
                  </w:pPr>
                  <w:r>
                    <w:rPr>
                      <w:b/>
                      <w:color w:val="0095A7"/>
                      <w:sz w:val="20"/>
                    </w:rPr>
                    <w:t>FIGURE </w:t>
                  </w:r>
                  <w:r>
                    <w:rPr>
                      <w:b/>
                      <w:color w:val="0095A7"/>
                      <w:spacing w:val="-13"/>
                      <w:sz w:val="20"/>
                    </w:rPr>
                    <w:t>7.1  </w:t>
                  </w:r>
                  <w:r>
                    <w:rPr>
                      <w:color w:val="0095A7"/>
                      <w:sz w:val="20"/>
                    </w:rPr>
                    <w:t>VICTORIAN </w:t>
                  </w:r>
                  <w:r>
                    <w:rPr>
                      <w:color w:val="0095A7"/>
                      <w:spacing w:val="-3"/>
                      <w:sz w:val="20"/>
                    </w:rPr>
                    <w:t>ENVIRONMENTAL LEGISLATION</w:t>
                  </w:r>
                </w:p>
              </w:txbxContent>
            </v:textbox>
            <w10:wrap type="none"/>
          </v:shape>
        </w:pict>
      </w:r>
      <w:r>
        <w:rPr/>
        <w:pict>
          <v:shape style="position:absolute;margin-left:89.706299pt;margin-top:657.268066pt;width:433.25pt;height:66pt;mso-position-horizontal-relative:page;mso-position-vertical-relative:page;z-index:-189472" type="#_x0000_t202" filled="false" stroked="false">
            <v:textbox inset="0,0,0,0">
              <w:txbxContent>
                <w:p>
                  <w:pPr>
                    <w:pStyle w:val="BodyText"/>
                    <w:spacing w:line="280" w:lineRule="auto"/>
                  </w:pPr>
                  <w:r>
                    <w:rPr>
                      <w:color w:val="58595B"/>
                    </w:rPr>
                    <w:t>These complex institutional arrangements are not unique to environmental management.</w:t>
                  </w:r>
                  <w:r>
                    <w:rPr>
                      <w:color w:val="58595B"/>
                      <w:position w:val="7"/>
                      <w:sz w:val="11"/>
                    </w:rPr>
                    <w:t>5 </w:t>
                  </w:r>
                  <w:r>
                    <w:rPr>
                      <w:color w:val="58595B"/>
                    </w:rPr>
                    <w:t>However, complexity can cause confusion, unnecessary regulatory burden, critical gaps in risk management or oversight, overlapping responsibilities and lack of accountability for managing an environmental outcome. When there is regulatory conflict or ad hoc, uncoordinated approaches, regulation may not deliver the desired environmental outcome, or may cause perverse outcomes.</w:t>
                  </w:r>
                </w:p>
              </w:txbxContent>
            </v:textbox>
            <w10:wrap type="none"/>
          </v:shape>
        </w:pict>
      </w:r>
      <w:r>
        <w:rPr/>
        <w:pict>
          <v:shape style="position:absolute;margin-left:534.996094pt;margin-top:44.090015pt;width:60.3pt;height:5.25pt;mso-position-horizontal-relative:page;mso-position-vertical-relative:page;z-index:-18944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9424"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89400" from=".0pt,45.840015pt" to="60.2791pt,45.840015pt" stroked="true" strokeweight="7pt" strokecolor="#0095a7">
            <w10:wrap type="none"/>
          </v:line>
        </w:pict>
      </w:r>
      <w:r>
        <w:rPr/>
        <w:pict>
          <v:shape style="position:absolute;margin-left:69.866096pt;margin-top:40.902756pt;width:14.35pt;height:9.5pt;mso-position-horizontal-relative:page;mso-position-vertical-relative:page;z-index:-189376" type="#_x0000_t202" filled="false" stroked="false">
            <v:textbox inset="0,0,0,0">
              <w:txbxContent>
                <w:p>
                  <w:pPr>
                    <w:spacing w:before="1"/>
                    <w:ind w:left="20" w:right="-4" w:firstLine="0"/>
                    <w:jc w:val="left"/>
                    <w:rPr>
                      <w:sz w:val="15"/>
                    </w:rPr>
                  </w:pPr>
                  <w:r>
                    <w:rPr>
                      <w:color w:val="58595B"/>
                      <w:sz w:val="15"/>
                    </w:rPr>
                    <w:t>128</w:t>
                  </w:r>
                </w:p>
              </w:txbxContent>
            </v:textbox>
            <w10:wrap type="none"/>
          </v:shape>
        </w:pict>
      </w:r>
      <w:r>
        <w:rPr/>
        <w:pict>
          <v:shape style="position:absolute;margin-left:95.377899pt;margin-top:40.902756pt;width:147.75pt;height:9.5pt;mso-position-horizontal-relative:page;mso-position-vertical-relative:page;z-index:-18935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2.6pt;height:52.5pt;mso-position-horizontal-relative:page;mso-position-vertical-relative:page;z-index:-189328" type="#_x0000_t202" filled="false" stroked="false">
            <v:textbox inset="0,0,0,0">
              <w:txbxContent>
                <w:p>
                  <w:pPr>
                    <w:pStyle w:val="BodyText"/>
                    <w:spacing w:line="280" w:lineRule="auto"/>
                  </w:pPr>
                  <w:r>
                    <w:rPr>
                      <w:color w:val="58595B"/>
                    </w:rPr>
                    <w:t>These problems can be identified in varying degrees across </w:t>
                  </w:r>
                  <w:r>
                    <w:rPr>
                      <w:color w:val="58595B"/>
                      <w:spacing w:val="-3"/>
                    </w:rPr>
                    <w:t>Victoria’s environment </w:t>
                  </w:r>
                  <w:r>
                    <w:rPr>
                      <w:color w:val="58595B"/>
                    </w:rPr>
                    <w:t>protection regime.</w:t>
                  </w:r>
                  <w:r>
                    <w:rPr>
                      <w:color w:val="58595B"/>
                      <w:spacing w:val="-10"/>
                    </w:rPr>
                    <w:t> </w:t>
                  </w:r>
                  <w:r>
                    <w:rPr>
                      <w:color w:val="58595B"/>
                    </w:rPr>
                    <w:t>In</w:t>
                  </w:r>
                  <w:r>
                    <w:rPr>
                      <w:color w:val="58595B"/>
                      <w:spacing w:val="-10"/>
                    </w:rPr>
                    <w:t> </w:t>
                  </w:r>
                  <w:r>
                    <w:rPr>
                      <w:color w:val="58595B"/>
                      <w:spacing w:val="-3"/>
                    </w:rPr>
                    <w:t>particular,</w:t>
                  </w:r>
                  <w:r>
                    <w:rPr>
                      <w:color w:val="58595B"/>
                      <w:spacing w:val="-10"/>
                    </w:rPr>
                    <w:t> </w:t>
                  </w:r>
                  <w:r>
                    <w:rPr>
                      <w:color w:val="58595B"/>
                      <w:spacing w:val="-3"/>
                    </w:rPr>
                    <w:t>many</w:t>
                  </w:r>
                  <w:r>
                    <w:rPr>
                      <w:color w:val="58595B"/>
                      <w:spacing w:val="-10"/>
                    </w:rPr>
                    <w:t> </w:t>
                  </w:r>
                  <w:r>
                    <w:rPr>
                      <w:color w:val="58595B"/>
                    </w:rPr>
                    <w:t>inquiry</w:t>
                  </w:r>
                  <w:r>
                    <w:rPr>
                      <w:color w:val="58595B"/>
                      <w:spacing w:val="-10"/>
                    </w:rPr>
                    <w:t> </w:t>
                  </w:r>
                  <w:r>
                    <w:rPr>
                      <w:color w:val="58595B"/>
                    </w:rPr>
                    <w:t>participants</w:t>
                  </w:r>
                  <w:r>
                    <w:rPr>
                      <w:color w:val="58595B"/>
                      <w:spacing w:val="-10"/>
                    </w:rPr>
                    <w:t> </w:t>
                  </w:r>
                  <w:r>
                    <w:rPr>
                      <w:color w:val="58595B"/>
                    </w:rPr>
                    <w:t>were</w:t>
                  </w:r>
                  <w:r>
                    <w:rPr>
                      <w:color w:val="58595B"/>
                      <w:spacing w:val="-10"/>
                    </w:rPr>
                    <w:t> </w:t>
                  </w:r>
                  <w:r>
                    <w:rPr>
                      <w:color w:val="58595B"/>
                    </w:rPr>
                    <w:t>concerned</w:t>
                  </w:r>
                  <w:r>
                    <w:rPr>
                      <w:color w:val="58595B"/>
                      <w:spacing w:val="-10"/>
                    </w:rPr>
                    <w:t> </w:t>
                  </w:r>
                  <w:r>
                    <w:rPr>
                      <w:color w:val="58595B"/>
                    </w:rPr>
                    <w:t>about</w:t>
                  </w:r>
                  <w:r>
                    <w:rPr>
                      <w:color w:val="58595B"/>
                      <w:spacing w:val="-10"/>
                    </w:rPr>
                    <w:t> </w:t>
                  </w:r>
                  <w:r>
                    <w:rPr>
                      <w:color w:val="58595B"/>
                    </w:rPr>
                    <w:t>the</w:t>
                  </w:r>
                  <w:r>
                    <w:rPr>
                      <w:color w:val="58595B"/>
                      <w:spacing w:val="-10"/>
                    </w:rPr>
                    <w:t> </w:t>
                  </w:r>
                  <w:r>
                    <w:rPr>
                      <w:color w:val="58595B"/>
                    </w:rPr>
                    <w:t>lack</w:t>
                  </w:r>
                  <w:r>
                    <w:rPr>
                      <w:color w:val="58595B"/>
                      <w:spacing w:val="-10"/>
                    </w:rPr>
                    <w:t> </w:t>
                  </w:r>
                  <w:r>
                    <w:rPr>
                      <w:color w:val="58595B"/>
                    </w:rPr>
                    <w:t>of</w:t>
                  </w:r>
                  <w:r>
                    <w:rPr>
                      <w:color w:val="58595B"/>
                      <w:spacing w:val="-10"/>
                    </w:rPr>
                    <w:t> </w:t>
                  </w:r>
                  <w:r>
                    <w:rPr>
                      <w:color w:val="58595B"/>
                    </w:rPr>
                    <w:t>‘whole-of-system’ consideration</w:t>
                  </w:r>
                  <w:r>
                    <w:rPr>
                      <w:color w:val="58595B"/>
                      <w:spacing w:val="-13"/>
                    </w:rPr>
                    <w:t> </w:t>
                  </w:r>
                  <w:r>
                    <w:rPr>
                      <w:color w:val="58595B"/>
                    </w:rPr>
                    <w:t>of</w:t>
                  </w:r>
                  <w:r>
                    <w:rPr>
                      <w:color w:val="58595B"/>
                      <w:spacing w:val="-13"/>
                    </w:rPr>
                    <w:t> </w:t>
                  </w:r>
                  <w:r>
                    <w:rPr>
                      <w:color w:val="58595B"/>
                      <w:spacing w:val="-3"/>
                    </w:rPr>
                    <w:t>waste</w:t>
                  </w:r>
                  <w:r>
                    <w:rPr>
                      <w:color w:val="58595B"/>
                      <w:spacing w:val="-13"/>
                    </w:rPr>
                    <w:t> </w:t>
                  </w:r>
                  <w:r>
                    <w:rPr>
                      <w:color w:val="58595B"/>
                    </w:rPr>
                    <w:t>management,</w:t>
                  </w:r>
                  <w:r>
                    <w:rPr>
                      <w:color w:val="58595B"/>
                      <w:spacing w:val="-13"/>
                    </w:rPr>
                    <w:t> </w:t>
                  </w:r>
                  <w:r>
                    <w:rPr>
                      <w:color w:val="58595B"/>
                    </w:rPr>
                    <w:t>amenity</w:t>
                  </w:r>
                  <w:r>
                    <w:rPr>
                      <w:color w:val="58595B"/>
                      <w:spacing w:val="-13"/>
                    </w:rPr>
                    <w:t> </w:t>
                  </w:r>
                  <w:r>
                    <w:rPr>
                      <w:color w:val="58595B"/>
                    </w:rPr>
                    <w:t>impacts</w:t>
                  </w:r>
                  <w:r>
                    <w:rPr>
                      <w:color w:val="58595B"/>
                      <w:spacing w:val="-13"/>
                    </w:rPr>
                    <w:t> </w:t>
                  </w:r>
                  <w:r>
                    <w:rPr>
                      <w:color w:val="58595B"/>
                    </w:rPr>
                    <w:t>caused</w:t>
                  </w:r>
                  <w:r>
                    <w:rPr>
                      <w:color w:val="58595B"/>
                      <w:spacing w:val="-13"/>
                    </w:rPr>
                    <w:t> </w:t>
                  </w:r>
                  <w:r>
                    <w:rPr>
                      <w:color w:val="58595B"/>
                      <w:spacing w:val="-3"/>
                    </w:rPr>
                    <w:t>by</w:t>
                  </w:r>
                  <w:r>
                    <w:rPr>
                      <w:color w:val="58595B"/>
                      <w:spacing w:val="-13"/>
                    </w:rPr>
                    <w:t> </w:t>
                  </w:r>
                  <w:r>
                    <w:rPr>
                      <w:color w:val="58595B"/>
                    </w:rPr>
                    <w:t>poor</w:t>
                  </w:r>
                  <w:r>
                    <w:rPr>
                      <w:color w:val="58595B"/>
                      <w:spacing w:val="-13"/>
                    </w:rPr>
                    <w:t> </w:t>
                  </w:r>
                  <w:r>
                    <w:rPr>
                      <w:color w:val="58595B"/>
                    </w:rPr>
                    <w:t>land</w:t>
                  </w:r>
                  <w:r>
                    <w:rPr>
                      <w:color w:val="58595B"/>
                      <w:spacing w:val="-13"/>
                    </w:rPr>
                    <w:t> </w:t>
                  </w:r>
                  <w:r>
                    <w:rPr>
                      <w:color w:val="58595B"/>
                    </w:rPr>
                    <w:t>use</w:t>
                  </w:r>
                  <w:r>
                    <w:rPr>
                      <w:color w:val="58595B"/>
                      <w:spacing w:val="-13"/>
                    </w:rPr>
                    <w:t> </w:t>
                  </w:r>
                  <w:r>
                    <w:rPr>
                      <w:color w:val="58595B"/>
                    </w:rPr>
                    <w:t>planning</w:t>
                  </w:r>
                  <w:r>
                    <w:rPr>
                      <w:color w:val="58595B"/>
                      <w:spacing w:val="-13"/>
                    </w:rPr>
                    <w:t> </w:t>
                  </w:r>
                  <w:r>
                    <w:rPr>
                      <w:color w:val="58595B"/>
                    </w:rPr>
                    <w:t>decisions, and</w:t>
                  </w:r>
                  <w:r>
                    <w:rPr>
                      <w:color w:val="58595B"/>
                      <w:spacing w:val="-10"/>
                    </w:rPr>
                    <w:t> </w:t>
                  </w:r>
                  <w:r>
                    <w:rPr>
                      <w:color w:val="58595B"/>
                      <w:spacing w:val="-3"/>
                    </w:rPr>
                    <w:t>inadequate</w:t>
                  </w:r>
                  <w:r>
                    <w:rPr>
                      <w:color w:val="58595B"/>
                      <w:spacing w:val="-10"/>
                    </w:rPr>
                    <w:t> </w:t>
                  </w:r>
                  <w:r>
                    <w:rPr>
                      <w:color w:val="58595B"/>
                    </w:rPr>
                    <w:t>and</w:t>
                  </w:r>
                  <w:r>
                    <w:rPr>
                      <w:color w:val="58595B"/>
                      <w:spacing w:val="-10"/>
                    </w:rPr>
                    <w:t> </w:t>
                  </w:r>
                  <w:r>
                    <w:rPr>
                      <w:color w:val="58595B"/>
                    </w:rPr>
                    <w:t>ad</w:t>
                  </w:r>
                  <w:r>
                    <w:rPr>
                      <w:color w:val="58595B"/>
                      <w:spacing w:val="-10"/>
                    </w:rPr>
                    <w:t> </w:t>
                  </w:r>
                  <w:r>
                    <w:rPr>
                      <w:color w:val="58595B"/>
                    </w:rPr>
                    <w:t>hoc</w:t>
                  </w:r>
                  <w:r>
                    <w:rPr>
                      <w:color w:val="58595B"/>
                      <w:spacing w:val="-10"/>
                    </w:rPr>
                    <w:t> </w:t>
                  </w:r>
                  <w:r>
                    <w:rPr>
                      <w:color w:val="58595B"/>
                    </w:rPr>
                    <w:t>responses</w:t>
                  </w:r>
                  <w:r>
                    <w:rPr>
                      <w:color w:val="58595B"/>
                      <w:spacing w:val="-10"/>
                    </w:rPr>
                    <w:t> </w:t>
                  </w:r>
                  <w:r>
                    <w:rPr>
                      <w:color w:val="58595B"/>
                    </w:rPr>
                    <w:t>to</w:t>
                  </w:r>
                  <w:r>
                    <w:rPr>
                      <w:color w:val="58595B"/>
                      <w:spacing w:val="-10"/>
                    </w:rPr>
                    <w:t> </w:t>
                  </w:r>
                  <w:r>
                    <w:rPr>
                      <w:color w:val="58595B"/>
                    </w:rPr>
                    <w:t>health</w:t>
                  </w:r>
                  <w:r>
                    <w:rPr>
                      <w:color w:val="58595B"/>
                      <w:spacing w:val="-10"/>
                    </w:rPr>
                    <w:t> </w:t>
                  </w:r>
                  <w:r>
                    <w:rPr>
                      <w:color w:val="58595B"/>
                    </w:rPr>
                    <w:t>risks</w:t>
                  </w:r>
                  <w:r>
                    <w:rPr>
                      <w:color w:val="58595B"/>
                      <w:spacing w:val="-10"/>
                    </w:rPr>
                    <w:t> </w:t>
                  </w:r>
                  <w:r>
                    <w:rPr>
                      <w:color w:val="58595B"/>
                    </w:rPr>
                    <w:t>associated</w:t>
                  </w:r>
                  <w:r>
                    <w:rPr>
                      <w:color w:val="58595B"/>
                      <w:spacing w:val="-10"/>
                    </w:rPr>
                    <w:t> </w:t>
                  </w:r>
                  <w:r>
                    <w:rPr>
                      <w:color w:val="58595B"/>
                    </w:rPr>
                    <w:t>with</w:t>
                  </w:r>
                  <w:r>
                    <w:rPr>
                      <w:color w:val="58595B"/>
                      <w:spacing w:val="-10"/>
                    </w:rPr>
                    <w:t> </w:t>
                  </w:r>
                  <w:r>
                    <w:rPr>
                      <w:color w:val="58595B"/>
                    </w:rPr>
                    <w:t>pollution</w:t>
                  </w:r>
                  <w:r>
                    <w:rPr>
                      <w:color w:val="58595B"/>
                      <w:spacing w:val="-10"/>
                    </w:rPr>
                    <w:t> </w:t>
                  </w:r>
                  <w:r>
                    <w:rPr>
                      <w:color w:val="58595B"/>
                    </w:rPr>
                    <w:t>and</w:t>
                  </w:r>
                  <w:r>
                    <w:rPr>
                      <w:color w:val="58595B"/>
                      <w:spacing w:val="-10"/>
                    </w:rPr>
                    <w:t> </w:t>
                  </w:r>
                  <w:r>
                    <w:rPr>
                      <w:color w:val="58595B"/>
                      <w:spacing w:val="-3"/>
                    </w:rPr>
                    <w:t>waste.</w:t>
                  </w:r>
                </w:p>
              </w:txbxContent>
            </v:textbox>
            <w10:wrap type="none"/>
          </v:shape>
        </w:pict>
      </w:r>
      <w:r>
        <w:rPr/>
        <w:pict>
          <v:shape style="position:absolute;margin-left:69.866096pt;margin-top:168.393967pt;width:433.25pt;height:25.5pt;mso-position-horizontal-relative:page;mso-position-vertical-relative:page;z-index:-189304" type="#_x0000_t202" filled="false" stroked="false">
            <v:textbox inset="0,0,0,0">
              <w:txbxContent>
                <w:p>
                  <w:pPr>
                    <w:pStyle w:val="BodyText"/>
                    <w:spacing w:line="280" w:lineRule="auto"/>
                  </w:pPr>
                  <w:r>
                    <w:rPr>
                      <w:color w:val="58595B"/>
                    </w:rPr>
                    <w:t>Victoria</w:t>
                  </w:r>
                  <w:r>
                    <w:rPr>
                      <w:color w:val="58595B"/>
                      <w:spacing w:val="-7"/>
                    </w:rPr>
                    <w:t> </w:t>
                  </w:r>
                  <w:r>
                    <w:rPr>
                      <w:color w:val="58595B"/>
                      <w:spacing w:val="-3"/>
                    </w:rPr>
                    <w:t>needs</w:t>
                  </w:r>
                  <w:r>
                    <w:rPr>
                      <w:color w:val="58595B"/>
                      <w:spacing w:val="-7"/>
                    </w:rPr>
                    <w:t> </w:t>
                  </w:r>
                  <w:r>
                    <w:rPr>
                      <w:color w:val="58595B"/>
                    </w:rPr>
                    <w:t>a</w:t>
                  </w:r>
                  <w:r>
                    <w:rPr>
                      <w:color w:val="58595B"/>
                      <w:spacing w:val="-7"/>
                    </w:rPr>
                    <w:t> </w:t>
                  </w:r>
                  <w:r>
                    <w:rPr>
                      <w:color w:val="58595B"/>
                      <w:spacing w:val="-3"/>
                    </w:rPr>
                    <w:t>robust</w:t>
                  </w:r>
                  <w:r>
                    <w:rPr>
                      <w:color w:val="58595B"/>
                      <w:spacing w:val="-7"/>
                    </w:rPr>
                    <w:t> </w:t>
                  </w:r>
                  <w:r>
                    <w:rPr>
                      <w:color w:val="58595B"/>
                    </w:rPr>
                    <w:t>and</w:t>
                  </w:r>
                  <w:r>
                    <w:rPr>
                      <w:color w:val="58595B"/>
                      <w:spacing w:val="-7"/>
                    </w:rPr>
                    <w:t> </w:t>
                  </w:r>
                  <w:r>
                    <w:rPr>
                      <w:color w:val="58595B"/>
                      <w:spacing w:val="-3"/>
                    </w:rPr>
                    <w:t>responsive</w:t>
                  </w:r>
                  <w:r>
                    <w:rPr>
                      <w:color w:val="58595B"/>
                      <w:spacing w:val="-7"/>
                    </w:rPr>
                    <w:t> </w:t>
                  </w:r>
                  <w:r>
                    <w:rPr>
                      <w:color w:val="58595B"/>
                      <w:spacing w:val="-4"/>
                    </w:rPr>
                    <w:t>system</w:t>
                  </w:r>
                  <w:r>
                    <w:rPr>
                      <w:color w:val="58595B"/>
                      <w:spacing w:val="-7"/>
                    </w:rPr>
                    <w:t> </w:t>
                  </w:r>
                  <w:r>
                    <w:rPr>
                      <w:color w:val="58595B"/>
                    </w:rPr>
                    <w:t>to</w:t>
                  </w:r>
                  <w:r>
                    <w:rPr>
                      <w:color w:val="58595B"/>
                      <w:spacing w:val="-7"/>
                    </w:rPr>
                    <w:t> </w:t>
                  </w:r>
                  <w:r>
                    <w:rPr>
                      <w:color w:val="58595B"/>
                      <w:spacing w:val="-3"/>
                    </w:rPr>
                    <w:t>protect</w:t>
                  </w:r>
                  <w:r>
                    <w:rPr>
                      <w:color w:val="58595B"/>
                      <w:spacing w:val="-7"/>
                    </w:rPr>
                    <w:t> </w:t>
                  </w:r>
                  <w:r>
                    <w:rPr>
                      <w:color w:val="58595B"/>
                      <w:spacing w:val="-3"/>
                    </w:rPr>
                    <w:t>human</w:t>
                  </w:r>
                  <w:r>
                    <w:rPr>
                      <w:color w:val="58595B"/>
                      <w:spacing w:val="-7"/>
                    </w:rPr>
                    <w:t> </w:t>
                  </w:r>
                  <w:r>
                    <w:rPr>
                      <w:color w:val="58595B"/>
                      <w:spacing w:val="-3"/>
                    </w:rPr>
                    <w:t>health</w:t>
                  </w:r>
                  <w:r>
                    <w:rPr>
                      <w:color w:val="58595B"/>
                      <w:spacing w:val="-7"/>
                    </w:rPr>
                    <w:t> </w:t>
                  </w:r>
                  <w:r>
                    <w:rPr>
                      <w:color w:val="58595B"/>
                    </w:rPr>
                    <w:t>and</w:t>
                  </w:r>
                  <w:r>
                    <w:rPr>
                      <w:color w:val="58595B"/>
                      <w:spacing w:val="-7"/>
                    </w:rPr>
                    <w:t> </w:t>
                  </w:r>
                  <w:r>
                    <w:rPr>
                      <w:color w:val="58595B"/>
                    </w:rPr>
                    <w:t>the</w:t>
                  </w:r>
                  <w:r>
                    <w:rPr>
                      <w:color w:val="58595B"/>
                      <w:spacing w:val="-7"/>
                    </w:rPr>
                    <w:t> </w:t>
                  </w:r>
                  <w:r>
                    <w:rPr>
                      <w:color w:val="58595B"/>
                      <w:spacing w:val="-4"/>
                    </w:rPr>
                    <w:t>environment</w:t>
                  </w:r>
                  <w:r>
                    <w:rPr>
                      <w:color w:val="58595B"/>
                      <w:spacing w:val="-7"/>
                    </w:rPr>
                    <w:t> </w:t>
                  </w:r>
                  <w:r>
                    <w:rPr>
                      <w:color w:val="58595B"/>
                      <w:spacing w:val="-3"/>
                    </w:rPr>
                    <w:t>into</w:t>
                  </w:r>
                  <w:r>
                    <w:rPr>
                      <w:color w:val="58595B"/>
                      <w:spacing w:val="-7"/>
                    </w:rPr>
                    <w:t> </w:t>
                  </w:r>
                  <w:r>
                    <w:rPr>
                      <w:color w:val="58595B"/>
                    </w:rPr>
                    <w:t>the </w:t>
                  </w:r>
                  <w:r>
                    <w:rPr>
                      <w:color w:val="58595B"/>
                      <w:spacing w:val="-3"/>
                    </w:rPr>
                    <w:t>future,</w:t>
                  </w:r>
                  <w:r>
                    <w:rPr>
                      <w:color w:val="58595B"/>
                      <w:spacing w:val="-8"/>
                    </w:rPr>
                    <w:t> </w:t>
                  </w:r>
                  <w:r>
                    <w:rPr>
                      <w:color w:val="58595B"/>
                    </w:rPr>
                    <w:t>and</w:t>
                  </w:r>
                  <w:r>
                    <w:rPr>
                      <w:color w:val="58595B"/>
                      <w:spacing w:val="-8"/>
                    </w:rPr>
                    <w:t> </w:t>
                  </w:r>
                  <w:r>
                    <w:rPr>
                      <w:color w:val="58595B"/>
                      <w:spacing w:val="-3"/>
                    </w:rPr>
                    <w:t>this</w:t>
                  </w:r>
                  <w:r>
                    <w:rPr>
                      <w:color w:val="58595B"/>
                      <w:spacing w:val="-8"/>
                    </w:rPr>
                    <w:t> </w:t>
                  </w:r>
                  <w:r>
                    <w:rPr>
                      <w:color w:val="58595B"/>
                    </w:rPr>
                    <w:t>will</w:t>
                  </w:r>
                  <w:r>
                    <w:rPr>
                      <w:color w:val="58595B"/>
                      <w:spacing w:val="-8"/>
                    </w:rPr>
                    <w:t> </w:t>
                  </w:r>
                  <w:r>
                    <w:rPr>
                      <w:color w:val="58595B"/>
                      <w:spacing w:val="-4"/>
                    </w:rPr>
                    <w:t>involve</w:t>
                  </w:r>
                  <w:r>
                    <w:rPr>
                      <w:color w:val="58595B"/>
                      <w:spacing w:val="-8"/>
                    </w:rPr>
                    <w:t> </w:t>
                  </w:r>
                  <w:r>
                    <w:rPr>
                      <w:color w:val="58595B"/>
                      <w:spacing w:val="-3"/>
                    </w:rPr>
                    <w:t>transforming</w:t>
                  </w:r>
                  <w:r>
                    <w:rPr>
                      <w:color w:val="58595B"/>
                      <w:spacing w:val="-8"/>
                    </w:rPr>
                    <w:t> </w:t>
                  </w:r>
                  <w:r>
                    <w:rPr>
                      <w:color w:val="58595B"/>
                    </w:rPr>
                    <w:t>the</w:t>
                  </w:r>
                  <w:r>
                    <w:rPr>
                      <w:color w:val="58595B"/>
                      <w:spacing w:val="-8"/>
                    </w:rPr>
                    <w:t> </w:t>
                  </w:r>
                  <w:r>
                    <w:rPr>
                      <w:color w:val="58595B"/>
                      <w:spacing w:val="-4"/>
                    </w:rPr>
                    <w:t>EPA.</w:t>
                  </w:r>
                  <w:r>
                    <w:rPr>
                      <w:color w:val="58595B"/>
                      <w:spacing w:val="-8"/>
                    </w:rPr>
                    <w:t> </w:t>
                  </w:r>
                  <w:r>
                    <w:rPr>
                      <w:color w:val="58595B"/>
                      <w:spacing w:val="-3"/>
                    </w:rPr>
                    <w:t>But,</w:t>
                  </w:r>
                  <w:r>
                    <w:rPr>
                      <w:color w:val="58595B"/>
                      <w:spacing w:val="-8"/>
                    </w:rPr>
                    <w:t> </w:t>
                  </w:r>
                  <w:r>
                    <w:rPr>
                      <w:color w:val="58595B"/>
                    </w:rPr>
                    <w:t>it</w:t>
                  </w:r>
                  <w:r>
                    <w:rPr>
                      <w:color w:val="58595B"/>
                      <w:spacing w:val="-8"/>
                    </w:rPr>
                    <w:t> </w:t>
                  </w:r>
                  <w:r>
                    <w:rPr>
                      <w:color w:val="58595B"/>
                    </w:rPr>
                    <w:t>is</w:t>
                  </w:r>
                  <w:r>
                    <w:rPr>
                      <w:color w:val="58595B"/>
                      <w:spacing w:val="-8"/>
                    </w:rPr>
                    <w:t> </w:t>
                  </w:r>
                  <w:r>
                    <w:rPr>
                      <w:color w:val="58595B"/>
                      <w:spacing w:val="-3"/>
                    </w:rPr>
                    <w:t>not</w:t>
                  </w:r>
                  <w:r>
                    <w:rPr>
                      <w:color w:val="58595B"/>
                      <w:spacing w:val="-8"/>
                    </w:rPr>
                    <w:t> </w:t>
                  </w:r>
                  <w:r>
                    <w:rPr>
                      <w:color w:val="58595B"/>
                    </w:rPr>
                    <w:t>sufficient</w:t>
                  </w:r>
                  <w:r>
                    <w:rPr>
                      <w:color w:val="58595B"/>
                      <w:spacing w:val="-8"/>
                    </w:rPr>
                    <w:t> </w:t>
                  </w:r>
                  <w:r>
                    <w:rPr>
                      <w:color w:val="58595B"/>
                    </w:rPr>
                    <w:t>to</w:t>
                  </w:r>
                  <w:r>
                    <w:rPr>
                      <w:color w:val="58595B"/>
                      <w:spacing w:val="-8"/>
                    </w:rPr>
                    <w:t> </w:t>
                  </w:r>
                  <w:r>
                    <w:rPr>
                      <w:color w:val="58595B"/>
                      <w:spacing w:val="-3"/>
                    </w:rPr>
                    <w:t>deal</w:t>
                  </w:r>
                  <w:r>
                    <w:rPr>
                      <w:color w:val="58595B"/>
                      <w:spacing w:val="-8"/>
                    </w:rPr>
                    <w:t> </w:t>
                  </w:r>
                  <w:r>
                    <w:rPr>
                      <w:color w:val="58595B"/>
                    </w:rPr>
                    <w:t>with</w:t>
                  </w:r>
                  <w:r>
                    <w:rPr>
                      <w:color w:val="58595B"/>
                      <w:spacing w:val="-8"/>
                    </w:rPr>
                    <w:t> </w:t>
                  </w:r>
                  <w:r>
                    <w:rPr>
                      <w:color w:val="58595B"/>
                    </w:rPr>
                    <w:t>the</w:t>
                  </w:r>
                  <w:r>
                    <w:rPr>
                      <w:color w:val="58595B"/>
                      <w:spacing w:val="-8"/>
                    </w:rPr>
                    <w:t> </w:t>
                  </w:r>
                  <w:r>
                    <w:rPr>
                      <w:color w:val="58595B"/>
                      <w:spacing w:val="-6"/>
                    </w:rPr>
                    <w:t>EPA</w:t>
                  </w:r>
                  <w:r>
                    <w:rPr>
                      <w:color w:val="58595B"/>
                      <w:spacing w:val="-8"/>
                    </w:rPr>
                    <w:t> </w:t>
                  </w:r>
                  <w:r>
                    <w:rPr>
                      <w:color w:val="58595B"/>
                      <w:spacing w:val="-3"/>
                    </w:rPr>
                    <w:t>alone.</w:t>
                  </w:r>
                </w:p>
              </w:txbxContent>
            </v:textbox>
            <w10:wrap type="none"/>
          </v:shape>
        </w:pict>
      </w:r>
      <w:r>
        <w:rPr/>
        <w:pict>
          <v:shape style="position:absolute;margin-left:98.216103pt;margin-top:203.893967pt;width:366.8pt;height:25.5pt;mso-position-horizontal-relative:page;mso-position-vertical-relative:page;z-index:-189280" type="#_x0000_t202" filled="false" stroked="false">
            <v:textbox inset="0,0,0,0">
              <w:txbxContent>
                <w:p>
                  <w:pPr>
                    <w:spacing w:line="280" w:lineRule="auto" w:before="0"/>
                    <w:ind w:left="20" w:right="-8" w:firstLine="0"/>
                    <w:jc w:val="left"/>
                    <w:rPr>
                      <w:sz w:val="20"/>
                    </w:rPr>
                  </w:pPr>
                  <w:r>
                    <w:rPr>
                      <w:i/>
                      <w:color w:val="231F20"/>
                      <w:sz w:val="20"/>
                    </w:rPr>
                    <w:t>EPA’s capacity to deliver environmental and public health outcomes is not independent of other government departments. </w:t>
                  </w:r>
                  <w:r>
                    <w:rPr>
                      <w:color w:val="231F20"/>
                      <w:sz w:val="20"/>
                    </w:rPr>
                    <w:t>(City West Water submission, p. 1)</w:t>
                  </w:r>
                </w:p>
              </w:txbxContent>
            </v:textbox>
            <w10:wrap type="none"/>
          </v:shape>
        </w:pict>
      </w:r>
      <w:r>
        <w:rPr/>
        <w:pict>
          <v:shape style="position:absolute;margin-left:69.862801pt;margin-top:239.393967pt;width:430.35pt;height:93.05pt;mso-position-horizontal-relative:page;mso-position-vertical-relative:page;z-index:-189256" type="#_x0000_t202" filled="false" stroked="false">
            <v:textbox inset="0,0,0,0">
              <w:txbxContent>
                <w:p>
                  <w:pPr>
                    <w:pStyle w:val="BodyText"/>
                    <w:spacing w:line="280" w:lineRule="auto"/>
                    <w:ind w:right="280"/>
                  </w:pPr>
                  <w:r>
                    <w:rPr>
                      <w:color w:val="58595B"/>
                      <w:spacing w:val="-4"/>
                    </w:rPr>
                    <w:t>We </w:t>
                  </w:r>
                  <w:r>
                    <w:rPr>
                      <w:color w:val="58595B"/>
                    </w:rPr>
                    <w:t>considered other models </w:t>
                  </w:r>
                  <w:r>
                    <w:rPr>
                      <w:color w:val="58595B"/>
                      <w:spacing w:val="-3"/>
                    </w:rPr>
                    <w:t>within </w:t>
                  </w:r>
                  <w:r>
                    <w:rPr>
                      <w:color w:val="58595B"/>
                    </w:rPr>
                    <w:t>the Victorian </w:t>
                  </w:r>
                  <w:r>
                    <w:rPr>
                      <w:color w:val="58595B"/>
                      <w:spacing w:val="-3"/>
                    </w:rPr>
                    <w:t>Government </w:t>
                  </w:r>
                  <w:r>
                    <w:rPr>
                      <w:color w:val="58595B"/>
                    </w:rPr>
                    <w:t>where ‘joined up government’ has</w:t>
                  </w:r>
                  <w:r>
                    <w:rPr>
                      <w:color w:val="58595B"/>
                      <w:spacing w:val="-10"/>
                    </w:rPr>
                    <w:t> </w:t>
                  </w:r>
                  <w:r>
                    <w:rPr>
                      <w:color w:val="58595B"/>
                    </w:rPr>
                    <w:t>been</w:t>
                  </w:r>
                  <w:r>
                    <w:rPr>
                      <w:color w:val="58595B"/>
                      <w:spacing w:val="-10"/>
                    </w:rPr>
                    <w:t> </w:t>
                  </w:r>
                  <w:r>
                    <w:rPr>
                      <w:color w:val="58595B"/>
                    </w:rPr>
                    <w:t>a</w:t>
                  </w:r>
                  <w:r>
                    <w:rPr>
                      <w:color w:val="58595B"/>
                      <w:spacing w:val="-10"/>
                    </w:rPr>
                    <w:t> </w:t>
                  </w:r>
                  <w:r>
                    <w:rPr>
                      <w:color w:val="58595B"/>
                      <w:spacing w:val="-3"/>
                    </w:rPr>
                    <w:t>priority,</w:t>
                  </w:r>
                  <w:r>
                    <w:rPr>
                      <w:color w:val="58595B"/>
                      <w:spacing w:val="-10"/>
                    </w:rPr>
                    <w:t> </w:t>
                  </w:r>
                  <w:r>
                    <w:rPr>
                      <w:color w:val="58595B"/>
                    </w:rPr>
                    <w:t>particularly</w:t>
                  </w:r>
                  <w:r>
                    <w:rPr>
                      <w:color w:val="58595B"/>
                      <w:spacing w:val="-10"/>
                    </w:rPr>
                    <w:t> </w:t>
                  </w:r>
                  <w:r>
                    <w:rPr>
                      <w:color w:val="58595B"/>
                    </w:rPr>
                    <w:t>to</w:t>
                  </w:r>
                  <w:r>
                    <w:rPr>
                      <w:color w:val="58595B"/>
                      <w:spacing w:val="-10"/>
                    </w:rPr>
                    <w:t> </w:t>
                  </w:r>
                  <w:r>
                    <w:rPr>
                      <w:color w:val="58595B"/>
                    </w:rPr>
                    <w:t>more</w:t>
                  </w:r>
                  <w:r>
                    <w:rPr>
                      <w:color w:val="58595B"/>
                      <w:spacing w:val="-10"/>
                    </w:rPr>
                    <w:t> </w:t>
                  </w:r>
                  <w:r>
                    <w:rPr>
                      <w:color w:val="58595B"/>
                    </w:rPr>
                    <w:t>effectively</w:t>
                  </w:r>
                  <w:r>
                    <w:rPr>
                      <w:color w:val="58595B"/>
                      <w:spacing w:val="-10"/>
                    </w:rPr>
                    <w:t> </w:t>
                  </w:r>
                  <w:r>
                    <w:rPr>
                      <w:color w:val="58595B"/>
                      <w:spacing w:val="-3"/>
                    </w:rPr>
                    <w:t>manage</w:t>
                  </w:r>
                  <w:r>
                    <w:rPr>
                      <w:color w:val="58595B"/>
                      <w:spacing w:val="-10"/>
                    </w:rPr>
                    <w:t> </w:t>
                  </w:r>
                  <w:r>
                    <w:rPr>
                      <w:color w:val="58595B"/>
                    </w:rPr>
                    <w:t>risks.</w:t>
                  </w:r>
                  <w:r>
                    <w:rPr>
                      <w:color w:val="58595B"/>
                      <w:spacing w:val="-10"/>
                    </w:rPr>
                    <w:t> </w:t>
                  </w:r>
                  <w:r>
                    <w:rPr>
                      <w:color w:val="58595B"/>
                      <w:spacing w:val="-3"/>
                    </w:rPr>
                    <w:t>For</w:t>
                  </w:r>
                  <w:r>
                    <w:rPr>
                      <w:color w:val="58595B"/>
                      <w:spacing w:val="-10"/>
                    </w:rPr>
                    <w:t> </w:t>
                  </w:r>
                  <w:r>
                    <w:rPr>
                      <w:color w:val="58595B"/>
                      <w:spacing w:val="-3"/>
                    </w:rPr>
                    <w:t>example,</w:t>
                  </w:r>
                  <w:r>
                    <w:rPr>
                      <w:color w:val="58595B"/>
                      <w:spacing w:val="-10"/>
                    </w:rPr>
                    <w:t> </w:t>
                  </w:r>
                  <w:r>
                    <w:rPr>
                      <w:color w:val="58595B"/>
                    </w:rPr>
                    <w:t>for</w:t>
                  </w:r>
                  <w:r>
                    <w:rPr>
                      <w:color w:val="58595B"/>
                      <w:spacing w:val="-10"/>
                    </w:rPr>
                    <w:t> </w:t>
                  </w:r>
                  <w:r>
                    <w:rPr>
                      <w:color w:val="58595B"/>
                      <w:spacing w:val="-3"/>
                    </w:rPr>
                    <w:t>acute</w:t>
                  </w:r>
                  <w:r>
                    <w:rPr>
                      <w:color w:val="58595B"/>
                      <w:spacing w:val="-10"/>
                    </w:rPr>
                    <w:t> </w:t>
                  </w:r>
                  <w:r>
                    <w:rPr>
                      <w:color w:val="58595B"/>
                    </w:rPr>
                    <w:t>risks, the</w:t>
                  </w:r>
                  <w:r>
                    <w:rPr>
                      <w:color w:val="58595B"/>
                      <w:spacing w:val="-11"/>
                    </w:rPr>
                    <w:t> </w:t>
                  </w:r>
                  <w:r>
                    <w:rPr>
                      <w:color w:val="58595B"/>
                    </w:rPr>
                    <w:t>community</w:t>
                  </w:r>
                  <w:r>
                    <w:rPr>
                      <w:color w:val="58595B"/>
                      <w:spacing w:val="-11"/>
                    </w:rPr>
                    <w:t> </w:t>
                  </w:r>
                  <w:r>
                    <w:rPr>
                      <w:color w:val="58595B"/>
                    </w:rPr>
                    <w:t>expects</w:t>
                  </w:r>
                  <w:r>
                    <w:rPr>
                      <w:color w:val="58595B"/>
                      <w:spacing w:val="-11"/>
                    </w:rPr>
                    <w:t> </w:t>
                  </w:r>
                  <w:r>
                    <w:rPr>
                      <w:color w:val="58595B"/>
                    </w:rPr>
                    <w:t>emergency</w:t>
                  </w:r>
                  <w:r>
                    <w:rPr>
                      <w:color w:val="58595B"/>
                      <w:spacing w:val="-11"/>
                    </w:rPr>
                    <w:t> </w:t>
                  </w:r>
                  <w:r>
                    <w:rPr>
                      <w:color w:val="58595B"/>
                      <w:spacing w:val="-3"/>
                    </w:rPr>
                    <w:t>management</w:t>
                  </w:r>
                  <w:r>
                    <w:rPr>
                      <w:color w:val="58595B"/>
                      <w:spacing w:val="-11"/>
                    </w:rPr>
                    <w:t> </w:t>
                  </w:r>
                  <w:r>
                    <w:rPr>
                      <w:color w:val="58595B"/>
                    </w:rPr>
                    <w:t>is</w:t>
                  </w:r>
                  <w:r>
                    <w:rPr>
                      <w:color w:val="58595B"/>
                      <w:spacing w:val="-11"/>
                    </w:rPr>
                    <w:t> </w:t>
                  </w:r>
                  <w:r>
                    <w:rPr>
                      <w:color w:val="58595B"/>
                    </w:rPr>
                    <w:t>‘part</w:t>
                  </w:r>
                  <w:r>
                    <w:rPr>
                      <w:color w:val="58595B"/>
                      <w:spacing w:val="-11"/>
                    </w:rPr>
                    <w:t> </w:t>
                  </w:r>
                  <w:r>
                    <w:rPr>
                      <w:color w:val="58595B"/>
                    </w:rPr>
                    <w:t>of</w:t>
                  </w:r>
                  <w:r>
                    <w:rPr>
                      <w:color w:val="58595B"/>
                      <w:spacing w:val="-11"/>
                    </w:rPr>
                    <w:t> </w:t>
                  </w:r>
                  <w:r>
                    <w:rPr>
                      <w:color w:val="58595B"/>
                    </w:rPr>
                    <w:t>the</w:t>
                  </w:r>
                  <w:r>
                    <w:rPr>
                      <w:color w:val="58595B"/>
                      <w:spacing w:val="-11"/>
                    </w:rPr>
                    <w:t> </w:t>
                  </w:r>
                  <w:r>
                    <w:rPr>
                      <w:color w:val="58595B"/>
                      <w:spacing w:val="-3"/>
                    </w:rPr>
                    <w:t>daily</w:t>
                  </w:r>
                  <w:r>
                    <w:rPr>
                      <w:color w:val="58595B"/>
                      <w:spacing w:val="-11"/>
                    </w:rPr>
                    <w:t> </w:t>
                  </w:r>
                  <w:r>
                    <w:rPr>
                      <w:color w:val="58595B"/>
                      <w:spacing w:val="-3"/>
                    </w:rPr>
                    <w:t>business</w:t>
                  </w:r>
                  <w:r>
                    <w:rPr>
                      <w:color w:val="58595B"/>
                      <w:spacing w:val="-11"/>
                    </w:rPr>
                    <w:t> </w:t>
                  </w:r>
                  <w:r>
                    <w:rPr>
                      <w:color w:val="58595B"/>
                    </w:rPr>
                    <w:t>activities</w:t>
                  </w:r>
                  <w:r>
                    <w:rPr>
                      <w:color w:val="58595B"/>
                      <w:spacing w:val="-11"/>
                    </w:rPr>
                    <w:t> </w:t>
                  </w:r>
                  <w:r>
                    <w:rPr>
                      <w:color w:val="58595B"/>
                    </w:rPr>
                    <w:t>of</w:t>
                  </w:r>
                  <w:r>
                    <w:rPr>
                      <w:color w:val="58595B"/>
                      <w:spacing w:val="-11"/>
                    </w:rPr>
                    <w:t> </w:t>
                  </w:r>
                  <w:r>
                    <w:rPr>
                      <w:color w:val="58595B"/>
                    </w:rPr>
                    <w:t>the</w:t>
                  </w:r>
                </w:p>
                <w:p>
                  <w:pPr>
                    <w:pStyle w:val="BodyText"/>
                    <w:spacing w:line="280" w:lineRule="auto" w:before="2"/>
                    <w:rPr>
                      <w:sz w:val="11"/>
                    </w:rPr>
                  </w:pPr>
                  <w:r>
                    <w:rPr>
                      <w:color w:val="58595B"/>
                    </w:rPr>
                    <w:t>agencies</w:t>
                  </w:r>
                  <w:r>
                    <w:rPr>
                      <w:color w:val="58595B"/>
                      <w:spacing w:val="-10"/>
                    </w:rPr>
                    <w:t> </w:t>
                  </w:r>
                  <w:r>
                    <w:rPr>
                      <w:color w:val="58595B"/>
                      <w:spacing w:val="-3"/>
                    </w:rPr>
                    <w:t>[and]</w:t>
                  </w:r>
                  <w:r>
                    <w:rPr>
                      <w:color w:val="58595B"/>
                      <w:spacing w:val="-10"/>
                    </w:rPr>
                    <w:t> </w:t>
                  </w:r>
                  <w:r>
                    <w:rPr>
                      <w:color w:val="58595B"/>
                    </w:rPr>
                    <w:t>…</w:t>
                  </w:r>
                  <w:r>
                    <w:rPr>
                      <w:color w:val="58595B"/>
                      <w:spacing w:val="-10"/>
                    </w:rPr>
                    <w:t> </w:t>
                  </w:r>
                  <w:r>
                    <w:rPr>
                      <w:color w:val="58595B"/>
                    </w:rPr>
                    <w:t>under</w:t>
                  </w:r>
                  <w:r>
                    <w:rPr>
                      <w:color w:val="58595B"/>
                      <w:spacing w:val="-10"/>
                    </w:rPr>
                    <w:t> </w:t>
                  </w:r>
                  <w:r>
                    <w:rPr>
                      <w:color w:val="58595B"/>
                    </w:rPr>
                    <w:t>the</w:t>
                  </w:r>
                  <w:r>
                    <w:rPr>
                      <w:color w:val="58595B"/>
                      <w:spacing w:val="-10"/>
                    </w:rPr>
                    <w:t> </w:t>
                  </w:r>
                  <w:r>
                    <w:rPr>
                      <w:color w:val="58595B"/>
                      <w:spacing w:val="-2"/>
                    </w:rPr>
                    <w:t>new</w:t>
                  </w:r>
                  <w:r>
                    <w:rPr>
                      <w:color w:val="58595B"/>
                      <w:spacing w:val="-10"/>
                    </w:rPr>
                    <w:t> </w:t>
                  </w:r>
                  <w:r>
                    <w:rPr>
                      <w:color w:val="58595B"/>
                    </w:rPr>
                    <w:t>emergency</w:t>
                  </w:r>
                  <w:r>
                    <w:rPr>
                      <w:color w:val="58595B"/>
                      <w:spacing w:val="-10"/>
                    </w:rPr>
                    <w:t> </w:t>
                  </w:r>
                  <w:r>
                    <w:rPr>
                      <w:color w:val="58595B"/>
                      <w:spacing w:val="-3"/>
                    </w:rPr>
                    <w:t>management</w:t>
                  </w:r>
                  <w:r>
                    <w:rPr>
                      <w:color w:val="58595B"/>
                      <w:spacing w:val="-10"/>
                    </w:rPr>
                    <w:t> </w:t>
                  </w:r>
                  <w:r>
                    <w:rPr>
                      <w:color w:val="58595B"/>
                    </w:rPr>
                    <w:t>arrangements,</w:t>
                  </w:r>
                  <w:r>
                    <w:rPr>
                      <w:color w:val="58595B"/>
                      <w:spacing w:val="-10"/>
                    </w:rPr>
                    <w:t> </w:t>
                  </w:r>
                  <w:r>
                    <w:rPr>
                      <w:color w:val="58595B"/>
                      <w:spacing w:val="-4"/>
                    </w:rPr>
                    <w:t>[they]</w:t>
                  </w:r>
                  <w:r>
                    <w:rPr>
                      <w:color w:val="58595B"/>
                      <w:spacing w:val="-10"/>
                    </w:rPr>
                    <w:t> </w:t>
                  </w:r>
                  <w:r>
                    <w:rPr>
                      <w:color w:val="58595B"/>
                      <w:spacing w:val="-3"/>
                    </w:rPr>
                    <w:t>must</w:t>
                  </w:r>
                  <w:r>
                    <w:rPr>
                      <w:color w:val="58595B"/>
                      <w:spacing w:val="-10"/>
                    </w:rPr>
                    <w:t> </w:t>
                  </w:r>
                  <w:r>
                    <w:rPr>
                      <w:color w:val="58595B"/>
                      <w:spacing w:val="-3"/>
                    </w:rPr>
                    <w:t>adopt</w:t>
                  </w:r>
                  <w:r>
                    <w:rPr>
                      <w:color w:val="58595B"/>
                      <w:spacing w:val="-10"/>
                    </w:rPr>
                    <w:t> </w:t>
                  </w:r>
                  <w:r>
                    <w:rPr>
                      <w:color w:val="58595B"/>
                    </w:rPr>
                    <w:t>a</w:t>
                  </w:r>
                  <w:r>
                    <w:rPr>
                      <w:color w:val="58595B"/>
                      <w:spacing w:val="-10"/>
                    </w:rPr>
                    <w:t> </w:t>
                  </w:r>
                  <w:r>
                    <w:rPr>
                      <w:color w:val="58595B"/>
                    </w:rPr>
                    <w:t>more </w:t>
                  </w:r>
                  <w:r>
                    <w:rPr>
                      <w:color w:val="58595B"/>
                      <w:spacing w:val="-3"/>
                    </w:rPr>
                    <w:t>cooperative, coordinated </w:t>
                  </w:r>
                  <w:r>
                    <w:rPr>
                      <w:color w:val="58595B"/>
                    </w:rPr>
                    <w:t>and </w:t>
                  </w:r>
                  <w:r>
                    <w:rPr>
                      <w:color w:val="58595B"/>
                      <w:spacing w:val="-2"/>
                    </w:rPr>
                    <w:t>proactive </w:t>
                  </w:r>
                  <w:r>
                    <w:rPr>
                      <w:color w:val="58595B"/>
                    </w:rPr>
                    <w:t>approach to risk </w:t>
                  </w:r>
                  <w:r>
                    <w:rPr>
                      <w:color w:val="58595B"/>
                      <w:spacing w:val="-4"/>
                    </w:rPr>
                    <w:t>management’.</w:t>
                  </w:r>
                  <w:r>
                    <w:rPr>
                      <w:color w:val="58595B"/>
                      <w:spacing w:val="-4"/>
                      <w:position w:val="7"/>
                      <w:sz w:val="11"/>
                    </w:rPr>
                    <w:t>6 </w:t>
                  </w:r>
                  <w:r>
                    <w:rPr>
                      <w:color w:val="58595B"/>
                      <w:spacing w:val="-3"/>
                    </w:rPr>
                    <w:t>For managing cumulative </w:t>
                  </w:r>
                  <w:r>
                    <w:rPr>
                      <w:color w:val="58595B"/>
                    </w:rPr>
                    <w:t>risks </w:t>
                  </w:r>
                  <w:r>
                    <w:rPr>
                      <w:color w:val="58595B"/>
                      <w:spacing w:val="-3"/>
                    </w:rPr>
                    <w:t>over </w:t>
                  </w:r>
                  <w:r>
                    <w:rPr>
                      <w:color w:val="58595B"/>
                    </w:rPr>
                    <w:t>the longer term, such as </w:t>
                  </w:r>
                  <w:r>
                    <w:rPr>
                      <w:color w:val="58595B"/>
                      <w:spacing w:val="-3"/>
                    </w:rPr>
                    <w:t>climate change, </w:t>
                  </w:r>
                  <w:r>
                    <w:rPr>
                      <w:color w:val="58595B"/>
                    </w:rPr>
                    <w:t>the focus is also on the need for ‘whole-of- </w:t>
                  </w:r>
                  <w:r>
                    <w:rPr>
                      <w:color w:val="58595B"/>
                      <w:spacing w:val="-3"/>
                    </w:rPr>
                    <w:t>government </w:t>
                  </w:r>
                  <w:r>
                    <w:rPr>
                      <w:color w:val="58595B"/>
                    </w:rPr>
                    <w:t>policy’ and </w:t>
                  </w:r>
                  <w:r>
                    <w:rPr>
                      <w:color w:val="58595B"/>
                      <w:spacing w:val="-3"/>
                    </w:rPr>
                    <w:t>shared </w:t>
                  </w:r>
                  <w:r>
                    <w:rPr>
                      <w:color w:val="58595B"/>
                    </w:rPr>
                    <w:t>principles and</w:t>
                  </w:r>
                  <w:r>
                    <w:rPr>
                      <w:color w:val="58595B"/>
                      <w:spacing w:val="-39"/>
                    </w:rPr>
                    <w:t> </w:t>
                  </w:r>
                  <w:r>
                    <w:rPr>
                      <w:color w:val="58595B"/>
                      <w:spacing w:val="-3"/>
                    </w:rPr>
                    <w:t>priorities.</w:t>
                  </w:r>
                  <w:r>
                    <w:rPr>
                      <w:color w:val="58595B"/>
                      <w:spacing w:val="-3"/>
                      <w:position w:val="7"/>
                      <w:sz w:val="11"/>
                    </w:rPr>
                    <w:t>7</w:t>
                  </w:r>
                </w:p>
              </w:txbxContent>
            </v:textbox>
            <w10:wrap type="none"/>
          </v:shape>
        </w:pict>
      </w:r>
      <w:r>
        <w:rPr/>
        <w:pict>
          <v:shape style="position:absolute;margin-left:69.862999pt;margin-top:342.409668pt;width:432.65pt;height:66pt;mso-position-horizontal-relative:page;mso-position-vertical-relative:page;z-index:-189232" type="#_x0000_t202" filled="false" stroked="false">
            <v:textbox inset="0,0,0,0">
              <w:txbxContent>
                <w:p>
                  <w:pPr>
                    <w:pStyle w:val="BodyText"/>
                    <w:spacing w:line="280" w:lineRule="auto"/>
                  </w:pPr>
                  <w:r>
                    <w:rPr>
                      <w:color w:val="58595B"/>
                    </w:rPr>
                    <w:t>Outcomes-focused approaches operating across government are being adopted by jurisdictions around the world,</w:t>
                  </w:r>
                  <w:r>
                    <w:rPr>
                      <w:color w:val="58595B"/>
                      <w:position w:val="7"/>
                      <w:sz w:val="11"/>
                    </w:rPr>
                    <w:t>8 </w:t>
                  </w:r>
                  <w:r>
                    <w:rPr>
                      <w:color w:val="58595B"/>
                    </w:rPr>
                    <w:t>and in Victoria. These provide opportunities for: more effective multi-agency action, integrated strategic planning, focused attention on problem solving and achieving major shifts on nominated priorities, and mobilising data across government to measure results. The emphasis</w:t>
                  </w:r>
                  <w:r>
                    <w:rPr>
                      <w:color w:val="58595B"/>
                      <w:spacing w:val="-11"/>
                    </w:rPr>
                    <w:t> </w:t>
                  </w:r>
                  <w:r>
                    <w:rPr>
                      <w:color w:val="58595B"/>
                    </w:rPr>
                    <w:t>is</w:t>
                  </w:r>
                  <w:r>
                    <w:rPr>
                      <w:color w:val="58595B"/>
                      <w:spacing w:val="-11"/>
                    </w:rPr>
                    <w:t> </w:t>
                  </w:r>
                  <w:r>
                    <w:rPr>
                      <w:color w:val="58595B"/>
                    </w:rPr>
                    <w:t>on</w:t>
                  </w:r>
                  <w:r>
                    <w:rPr>
                      <w:color w:val="58595B"/>
                      <w:spacing w:val="-11"/>
                    </w:rPr>
                    <w:t> </w:t>
                  </w:r>
                  <w:r>
                    <w:rPr>
                      <w:color w:val="58595B"/>
                    </w:rPr>
                    <w:t>collective</w:t>
                  </w:r>
                  <w:r>
                    <w:rPr>
                      <w:color w:val="58595B"/>
                      <w:spacing w:val="-11"/>
                    </w:rPr>
                    <w:t> </w:t>
                  </w:r>
                  <w:r>
                    <w:rPr>
                      <w:color w:val="58595B"/>
                    </w:rPr>
                    <w:t>action</w:t>
                  </w:r>
                  <w:r>
                    <w:rPr>
                      <w:color w:val="58595B"/>
                      <w:spacing w:val="-11"/>
                    </w:rPr>
                    <w:t> </w:t>
                  </w:r>
                  <w:r>
                    <w:rPr>
                      <w:color w:val="58595B"/>
                    </w:rPr>
                    <w:t>both</w:t>
                  </w:r>
                  <w:r>
                    <w:rPr>
                      <w:color w:val="58595B"/>
                      <w:spacing w:val="-11"/>
                    </w:rPr>
                    <w:t> </w:t>
                  </w:r>
                  <w:r>
                    <w:rPr>
                      <w:color w:val="58595B"/>
                    </w:rPr>
                    <w:t>for</w:t>
                  </w:r>
                  <w:r>
                    <w:rPr>
                      <w:color w:val="58595B"/>
                      <w:spacing w:val="-11"/>
                    </w:rPr>
                    <w:t> </w:t>
                  </w:r>
                  <w:r>
                    <w:rPr>
                      <w:color w:val="58595B"/>
                    </w:rPr>
                    <w:t>rapid</w:t>
                  </w:r>
                  <w:r>
                    <w:rPr>
                      <w:color w:val="58595B"/>
                      <w:spacing w:val="-11"/>
                    </w:rPr>
                    <w:t> </w:t>
                  </w:r>
                  <w:r>
                    <w:rPr>
                      <w:color w:val="58595B"/>
                    </w:rPr>
                    <w:t>change</w:t>
                  </w:r>
                  <w:r>
                    <w:rPr>
                      <w:color w:val="58595B"/>
                      <w:spacing w:val="-11"/>
                    </w:rPr>
                    <w:t> </w:t>
                  </w:r>
                  <w:r>
                    <w:rPr>
                      <w:color w:val="58595B"/>
                    </w:rPr>
                    <w:t>and</w:t>
                  </w:r>
                  <w:r>
                    <w:rPr>
                      <w:color w:val="58595B"/>
                      <w:spacing w:val="-11"/>
                    </w:rPr>
                    <w:t> </w:t>
                  </w:r>
                  <w:r>
                    <w:rPr>
                      <w:color w:val="58595B"/>
                    </w:rPr>
                    <w:t>where</w:t>
                  </w:r>
                  <w:r>
                    <w:rPr>
                      <w:color w:val="58595B"/>
                      <w:spacing w:val="-11"/>
                    </w:rPr>
                    <w:t> </w:t>
                  </w:r>
                  <w:r>
                    <w:rPr>
                      <w:color w:val="58595B"/>
                    </w:rPr>
                    <w:t>there</w:t>
                  </w:r>
                  <w:r>
                    <w:rPr>
                      <w:color w:val="58595B"/>
                      <w:spacing w:val="-11"/>
                    </w:rPr>
                    <w:t> </w:t>
                  </w:r>
                  <w:r>
                    <w:rPr>
                      <w:color w:val="58595B"/>
                    </w:rPr>
                    <w:t>needs</w:t>
                  </w:r>
                  <w:r>
                    <w:rPr>
                      <w:color w:val="58595B"/>
                      <w:spacing w:val="-11"/>
                    </w:rPr>
                    <w:t> </w:t>
                  </w:r>
                  <w:r>
                    <w:rPr>
                      <w:color w:val="58595B"/>
                    </w:rPr>
                    <w:t>to</w:t>
                  </w:r>
                  <w:r>
                    <w:rPr>
                      <w:color w:val="58595B"/>
                      <w:spacing w:val="-11"/>
                    </w:rPr>
                    <w:t> </w:t>
                  </w:r>
                  <w:r>
                    <w:rPr>
                      <w:color w:val="58595B"/>
                    </w:rPr>
                    <w:t>be</w:t>
                  </w:r>
                  <w:r>
                    <w:rPr>
                      <w:color w:val="58595B"/>
                      <w:spacing w:val="-11"/>
                    </w:rPr>
                    <w:t> </w:t>
                  </w:r>
                  <w:r>
                    <w:rPr>
                      <w:color w:val="58595B"/>
                    </w:rPr>
                    <w:t>enduring</w:t>
                  </w:r>
                  <w:r>
                    <w:rPr>
                      <w:color w:val="58595B"/>
                      <w:spacing w:val="-11"/>
                    </w:rPr>
                    <w:t> </w:t>
                  </w:r>
                  <w:r>
                    <w:rPr>
                      <w:color w:val="58595B"/>
                    </w:rPr>
                    <w:t>effort.</w:t>
                  </w:r>
                </w:p>
              </w:txbxContent>
            </v:textbox>
            <w10:wrap type="none"/>
          </v:shape>
        </w:pict>
      </w:r>
      <w:r>
        <w:rPr/>
        <w:pict>
          <v:shape style="position:absolute;margin-left:69.862999pt;margin-top:418.409668pt;width:434.1pt;height:79.5pt;mso-position-horizontal-relative:page;mso-position-vertical-relative:page;z-index:-189208" type="#_x0000_t202" filled="false" stroked="false">
            <v:textbox inset="0,0,0,0">
              <w:txbxContent>
                <w:p>
                  <w:pPr>
                    <w:pStyle w:val="BodyText"/>
                    <w:spacing w:line="280" w:lineRule="auto"/>
                    <w:ind w:right="17"/>
                  </w:pPr>
                  <w:r>
                    <w:rPr>
                      <w:color w:val="58595B"/>
                    </w:rPr>
                    <w:t>Environment protection requires both a short and longer term focus and often involves cross- cutting issues or problems. As such, it needs to draw on these models for more effective whole- of-government engagement. The community expects measures that enable the </w:t>
                  </w:r>
                  <w:r>
                    <w:rPr>
                      <w:color w:val="58595B"/>
                      <w:spacing w:val="-4"/>
                    </w:rPr>
                    <w:t>EPA </w:t>
                  </w:r>
                  <w:r>
                    <w:rPr>
                      <w:color w:val="58595B"/>
                    </w:rPr>
                    <w:t>to have more influence within Victoria’s broader environment protection regime and across government. In particular, we consider the </w:t>
                  </w:r>
                  <w:r>
                    <w:rPr>
                      <w:color w:val="58595B"/>
                      <w:spacing w:val="-4"/>
                    </w:rPr>
                    <w:t>EPA </w:t>
                  </w:r>
                  <w:r>
                    <w:rPr>
                      <w:color w:val="58595B"/>
                    </w:rPr>
                    <w:t>must be more involved in, and provide expert input to, strategic planning and decision making by other areas of</w:t>
                  </w:r>
                  <w:r>
                    <w:rPr>
                      <w:color w:val="58595B"/>
                      <w:spacing w:val="-7"/>
                    </w:rPr>
                    <w:t> </w:t>
                  </w:r>
                  <w:r>
                    <w:rPr>
                      <w:color w:val="58595B"/>
                    </w:rPr>
                    <w:t>government.</w:t>
                  </w:r>
                </w:p>
              </w:txbxContent>
            </v:textbox>
            <w10:wrap type="none"/>
          </v:shape>
        </w:pict>
      </w:r>
      <w:r>
        <w:rPr/>
        <w:pict>
          <v:shape style="position:absolute;margin-left:69.866096pt;margin-top:510.54895pt;width:415.9pt;height:59.8pt;mso-position-horizontal-relative:page;mso-position-vertical-relative:page;z-index:-189184" type="#_x0000_t202" filled="false" stroked="false">
            <v:textbox inset="0,0,0,0">
              <w:txbxContent>
                <w:p>
                  <w:pPr>
                    <w:spacing w:line="265" w:lineRule="exact" w:before="0"/>
                    <w:ind w:left="20" w:right="0" w:firstLine="0"/>
                    <w:jc w:val="left"/>
                    <w:rPr>
                      <w:sz w:val="24"/>
                    </w:rPr>
                  </w:pPr>
                  <w:r>
                    <w:rPr>
                      <w:color w:val="0095A7"/>
                      <w:spacing w:val="-7"/>
                      <w:sz w:val="24"/>
                    </w:rPr>
                    <w:t>7.2  </w:t>
                  </w:r>
                  <w:r>
                    <w:rPr>
                      <w:color w:val="0095A7"/>
                      <w:sz w:val="24"/>
                    </w:rPr>
                    <w:t>The </w:t>
                  </w:r>
                  <w:r>
                    <w:rPr>
                      <w:color w:val="0095A7"/>
                      <w:spacing w:val="-5"/>
                      <w:sz w:val="24"/>
                    </w:rPr>
                    <w:t>EPA </w:t>
                  </w:r>
                  <w:r>
                    <w:rPr>
                      <w:color w:val="0095A7"/>
                      <w:sz w:val="24"/>
                    </w:rPr>
                    <w:t>as </w:t>
                  </w:r>
                  <w:r>
                    <w:rPr>
                      <w:color w:val="0095A7"/>
                      <w:spacing w:val="2"/>
                      <w:sz w:val="24"/>
                    </w:rPr>
                    <w:t>part </w:t>
                  </w:r>
                  <w:r>
                    <w:rPr>
                      <w:color w:val="0095A7"/>
                      <w:sz w:val="24"/>
                    </w:rPr>
                    <w:t>of a broader environment protection</w:t>
                  </w:r>
                  <w:r>
                    <w:rPr>
                      <w:color w:val="0095A7"/>
                      <w:spacing w:val="62"/>
                      <w:sz w:val="24"/>
                    </w:rPr>
                    <w:t> </w:t>
                  </w:r>
                  <w:r>
                    <w:rPr>
                      <w:color w:val="0095A7"/>
                      <w:sz w:val="24"/>
                    </w:rPr>
                    <w:t>regime</w:t>
                  </w:r>
                </w:p>
                <w:p>
                  <w:pPr>
                    <w:pStyle w:val="BodyText"/>
                    <w:spacing w:line="280" w:lineRule="auto" w:before="145"/>
                  </w:pPr>
                  <w:r>
                    <w:rPr>
                      <w:color w:val="58595B"/>
                    </w:rPr>
                    <w:t>Decisions made in many other areas of government can have major implications for environmental protection. For example, decisions on land use planning and infrastructure can create longstanding legacy problems for the EPA to manage.</w:t>
                  </w:r>
                </w:p>
              </w:txbxContent>
            </v:textbox>
            <w10:wrap type="none"/>
          </v:shape>
        </w:pict>
      </w:r>
      <w:r>
        <w:rPr/>
        <w:pict>
          <v:shape style="position:absolute;margin-left:69.866096pt;margin-top:580.338745pt;width:432.75pt;height:39pt;mso-position-horizontal-relative:page;mso-position-vertical-relative:page;z-index:-189160" type="#_x0000_t202" filled="false" stroked="false">
            <v:textbox inset="0,0,0,0">
              <w:txbxContent>
                <w:p>
                  <w:pPr>
                    <w:pStyle w:val="BodyText"/>
                    <w:spacing w:line="280" w:lineRule="auto"/>
                    <w:ind w:right="7"/>
                  </w:pPr>
                  <w:r>
                    <w:rPr>
                      <w:color w:val="58595B"/>
                      <w:spacing w:val="-4"/>
                    </w:rPr>
                    <w:t>We envisage </w:t>
                  </w:r>
                  <w:r>
                    <w:rPr>
                      <w:color w:val="58595B"/>
                    </w:rPr>
                    <w:t>an </w:t>
                  </w:r>
                  <w:r>
                    <w:rPr>
                      <w:color w:val="58595B"/>
                      <w:spacing w:val="-7"/>
                    </w:rPr>
                    <w:t>EPA </w:t>
                  </w:r>
                  <w:r>
                    <w:rPr>
                      <w:color w:val="58595B"/>
                      <w:spacing w:val="-3"/>
                    </w:rPr>
                    <w:t>of the </w:t>
                  </w:r>
                  <w:r>
                    <w:rPr>
                      <w:color w:val="58595B"/>
                      <w:spacing w:val="-4"/>
                    </w:rPr>
                    <w:t>future </w:t>
                  </w:r>
                  <w:r>
                    <w:rPr>
                      <w:color w:val="58595B"/>
                      <w:spacing w:val="-3"/>
                    </w:rPr>
                    <w:t>that focuses more </w:t>
                  </w:r>
                  <w:r>
                    <w:rPr>
                      <w:color w:val="58595B"/>
                    </w:rPr>
                    <w:t>on </w:t>
                  </w:r>
                  <w:r>
                    <w:rPr>
                      <w:color w:val="58595B"/>
                      <w:spacing w:val="-5"/>
                    </w:rPr>
                    <w:t>prevention, </w:t>
                  </w:r>
                  <w:r>
                    <w:rPr>
                      <w:color w:val="58595B"/>
                      <w:spacing w:val="-4"/>
                    </w:rPr>
                    <w:t>strategic problem solving </w:t>
                  </w:r>
                  <w:r>
                    <w:rPr>
                      <w:color w:val="58595B"/>
                      <w:spacing w:val="-3"/>
                    </w:rPr>
                    <w:t>and </w:t>
                  </w:r>
                  <w:r>
                    <w:rPr>
                      <w:color w:val="58595B"/>
                      <w:spacing w:val="-4"/>
                    </w:rPr>
                    <w:t>facilitation </w:t>
                  </w:r>
                  <w:r>
                    <w:rPr>
                      <w:color w:val="58595B"/>
                      <w:spacing w:val="-3"/>
                    </w:rPr>
                    <w:t>than </w:t>
                  </w:r>
                  <w:r>
                    <w:rPr>
                      <w:color w:val="58595B"/>
                    </w:rPr>
                    <w:t>on </w:t>
                  </w:r>
                  <w:r>
                    <w:rPr>
                      <w:color w:val="58595B"/>
                      <w:spacing w:val="-3"/>
                    </w:rPr>
                    <w:t>post-harm </w:t>
                  </w:r>
                  <w:r>
                    <w:rPr>
                      <w:color w:val="58595B"/>
                      <w:spacing w:val="-4"/>
                    </w:rPr>
                    <w:t>enforcement. </w:t>
                  </w:r>
                  <w:r>
                    <w:rPr>
                      <w:color w:val="58595B"/>
                      <w:spacing w:val="-3"/>
                    </w:rPr>
                    <w:t>But </w:t>
                  </w:r>
                  <w:r>
                    <w:rPr>
                      <w:color w:val="58595B"/>
                    </w:rPr>
                    <w:t>it </w:t>
                  </w:r>
                  <w:r>
                    <w:rPr>
                      <w:color w:val="58595B"/>
                      <w:spacing w:val="-4"/>
                    </w:rPr>
                    <w:t>must </w:t>
                  </w:r>
                  <w:r>
                    <w:rPr>
                      <w:color w:val="58595B"/>
                    </w:rPr>
                    <w:t>be </w:t>
                  </w:r>
                  <w:r>
                    <w:rPr>
                      <w:color w:val="58595B"/>
                      <w:spacing w:val="-4"/>
                    </w:rPr>
                    <w:t>‘at </w:t>
                  </w:r>
                  <w:r>
                    <w:rPr>
                      <w:color w:val="58595B"/>
                      <w:spacing w:val="-3"/>
                    </w:rPr>
                    <w:t>the </w:t>
                  </w:r>
                  <w:r>
                    <w:rPr>
                      <w:color w:val="58595B"/>
                      <w:spacing w:val="-4"/>
                    </w:rPr>
                    <w:t>table’ </w:t>
                  </w:r>
                  <w:r>
                    <w:rPr>
                      <w:color w:val="58595B"/>
                      <w:spacing w:val="-3"/>
                    </w:rPr>
                    <w:t>for </w:t>
                  </w:r>
                  <w:r>
                    <w:rPr>
                      <w:color w:val="58595B"/>
                      <w:spacing w:val="-4"/>
                    </w:rPr>
                    <w:t>strategic </w:t>
                  </w:r>
                  <w:r>
                    <w:rPr>
                      <w:color w:val="58595B"/>
                      <w:spacing w:val="-5"/>
                    </w:rPr>
                    <w:t>government </w:t>
                  </w:r>
                  <w:r>
                    <w:rPr>
                      <w:color w:val="58595B"/>
                      <w:spacing w:val="-3"/>
                    </w:rPr>
                    <w:t>decision </w:t>
                  </w:r>
                  <w:r>
                    <w:rPr>
                      <w:color w:val="58595B"/>
                      <w:spacing w:val="-4"/>
                    </w:rPr>
                    <w:t>making </w:t>
                  </w:r>
                  <w:r>
                    <w:rPr>
                      <w:color w:val="58595B"/>
                      <w:spacing w:val="-3"/>
                    </w:rPr>
                    <w:t>to </w:t>
                  </w:r>
                  <w:r>
                    <w:rPr>
                      <w:color w:val="58595B"/>
                      <w:spacing w:val="-5"/>
                    </w:rPr>
                    <w:t>achieve </w:t>
                  </w:r>
                  <w:r>
                    <w:rPr>
                      <w:color w:val="58595B"/>
                      <w:spacing w:val="-4"/>
                    </w:rPr>
                    <w:t>this. Specifically, </w:t>
                  </w:r>
                  <w:r>
                    <w:rPr>
                      <w:color w:val="58595B"/>
                      <w:spacing w:val="-3"/>
                    </w:rPr>
                    <w:t>the </w:t>
                  </w:r>
                  <w:r>
                    <w:rPr>
                      <w:color w:val="58595B"/>
                      <w:spacing w:val="-7"/>
                    </w:rPr>
                    <w:t>EPA </w:t>
                  </w:r>
                  <w:r>
                    <w:rPr>
                      <w:color w:val="58595B"/>
                      <w:spacing w:val="-4"/>
                    </w:rPr>
                    <w:t>must </w:t>
                  </w:r>
                  <w:r>
                    <w:rPr>
                      <w:color w:val="58595B"/>
                      <w:spacing w:val="-3"/>
                    </w:rPr>
                    <w:t>work with </w:t>
                  </w:r>
                  <w:r>
                    <w:rPr>
                      <w:color w:val="58595B"/>
                      <w:spacing w:val="-4"/>
                    </w:rPr>
                    <w:t>other </w:t>
                  </w:r>
                  <w:r>
                    <w:rPr>
                      <w:color w:val="58595B"/>
                      <w:spacing w:val="-3"/>
                    </w:rPr>
                    <w:t>agencies at </w:t>
                  </w:r>
                  <w:r>
                    <w:rPr>
                      <w:color w:val="58595B"/>
                      <w:spacing w:val="-5"/>
                    </w:rPr>
                    <w:t>several levels:</w:t>
                  </w:r>
                </w:p>
              </w:txbxContent>
            </v:textbox>
            <w10:wrap type="none"/>
          </v:shape>
        </w:pict>
      </w:r>
      <w:r>
        <w:rPr/>
        <w:pict>
          <v:shape style="position:absolute;margin-left:69.866096pt;margin-top:626.508789pt;width:5.5pt;height:12pt;mso-position-horizontal-relative:page;mso-position-vertical-relative:page;z-index:-18913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78.356102pt;margin-top:626.508789pt;width:423.55pt;height:164.05pt;mso-position-horizontal-relative:page;mso-position-vertical-relative:page;z-index:-189112" type="#_x0000_t202" filled="false" stroked="false">
            <v:textbox inset="0,0,0,0">
              <w:txbxContent>
                <w:p>
                  <w:pPr>
                    <w:pStyle w:val="BodyText"/>
                    <w:spacing w:line="280" w:lineRule="auto"/>
                    <w:ind w:right="10"/>
                  </w:pPr>
                  <w:r>
                    <w:rPr>
                      <w:color w:val="58595B"/>
                    </w:rPr>
                    <w:t>with </w:t>
                  </w:r>
                  <w:r>
                    <w:rPr>
                      <w:b/>
                      <w:color w:val="58595B"/>
                    </w:rPr>
                    <w:t>DELWP </w:t>
                  </w:r>
                  <w:r>
                    <w:rPr>
                      <w:color w:val="58595B"/>
                    </w:rPr>
                    <w:t>in responding to new risks and adjusting regulatory policy settings, and with </w:t>
                  </w:r>
                  <w:r>
                    <w:rPr>
                      <w:b/>
                      <w:color w:val="58595B"/>
                    </w:rPr>
                    <w:t>Sustainability Victoria</w:t>
                  </w:r>
                  <w:r>
                    <w:rPr>
                      <w:color w:val="58595B"/>
                    </w:rPr>
                    <w:t>, to deliver activities that manage pollution and waste, such as program support for regional waste groups</w:t>
                  </w:r>
                </w:p>
                <w:p>
                  <w:pPr>
                    <w:pStyle w:val="BodyText"/>
                    <w:spacing w:line="280" w:lineRule="auto" w:before="115"/>
                    <w:ind w:right="10"/>
                  </w:pPr>
                  <w:r>
                    <w:rPr>
                      <w:color w:val="58595B"/>
                    </w:rPr>
                    <w:t>within the </w:t>
                  </w:r>
                  <w:r>
                    <w:rPr>
                      <w:b/>
                      <w:color w:val="58595B"/>
                    </w:rPr>
                    <w:t>wider environmental portfolio</w:t>
                  </w:r>
                  <w:r>
                    <w:rPr>
                      <w:color w:val="58595B"/>
                    </w:rPr>
                    <w:t>, on issues that influence the condition of Victoria’s environment, including biodiversity protection, native vegetation regulation, catchment and coastal management and climate change</w:t>
                  </w:r>
                </w:p>
                <w:p>
                  <w:pPr>
                    <w:pStyle w:val="BodyText"/>
                    <w:spacing w:line="280" w:lineRule="auto" w:before="115"/>
                    <w:ind w:right="10"/>
                  </w:pPr>
                  <w:r>
                    <w:rPr>
                      <w:color w:val="58595B"/>
                    </w:rPr>
                    <w:t>with </w:t>
                  </w:r>
                  <w:r>
                    <w:rPr>
                      <w:b/>
                      <w:color w:val="58595B"/>
                    </w:rPr>
                    <w:t>planning and key economic portfolios</w:t>
                  </w:r>
                  <w:r>
                    <w:rPr>
                      <w:color w:val="58595B"/>
                    </w:rPr>
                    <w:t>, such as business development, resources and agriculture to ensure long term, environmentally sustainable and economically viable growth and development</w:t>
                  </w:r>
                </w:p>
                <w:p>
                  <w:pPr>
                    <w:pStyle w:val="BodyText"/>
                    <w:spacing w:line="280" w:lineRule="auto" w:before="115"/>
                    <w:ind w:right="200"/>
                  </w:pPr>
                  <w:r>
                    <w:rPr>
                      <w:color w:val="58595B"/>
                    </w:rPr>
                    <w:t>with a range of </w:t>
                  </w:r>
                  <w:r>
                    <w:rPr>
                      <w:b/>
                      <w:color w:val="58595B"/>
                    </w:rPr>
                    <w:t>social policy portfolios</w:t>
                  </w:r>
                  <w:r>
                    <w:rPr>
                      <w:color w:val="58595B"/>
                    </w:rPr>
                    <w:t>, given the impact the environment has on all facets of our society (particularly relating to the health portfolio).</w:t>
                  </w:r>
                </w:p>
              </w:txbxContent>
            </v:textbox>
            <w10:wrap type="none"/>
          </v:shape>
        </w:pict>
      </w:r>
      <w:r>
        <w:rPr/>
        <w:pict>
          <v:shape style="position:absolute;margin-left:69.866096pt;margin-top:672.678772pt;width:5.5pt;height:12pt;mso-position-horizontal-relative:page;mso-position-vertical-relative:page;z-index:-18908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66096pt;margin-top:718.848755pt;width:5.5pt;height:12pt;mso-position-horizontal-relative:page;mso-position-vertical-relative:page;z-index:-189064"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56102pt;margin-top:765.018738pt;width:5.5pt;height:12pt;mso-position-horizontal-relative:page;mso-position-vertical-relative:page;z-index:-18904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0pt;margin-top:44.090015pt;width:60.3pt;height:5.25pt;mso-position-horizontal-relative:page;mso-position-vertical-relative:page;z-index:-189016"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88992"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88968" from="534.996094pt,45.840015pt" to="595.276001pt,45.840015pt" stroked="true" strokeweight="7pt" strokecolor="#0095a7">
            <w10:wrap type="none"/>
          </v:line>
        </w:pict>
      </w:r>
      <w:r>
        <w:rPr/>
        <w:pict>
          <v:shape style="position:absolute;margin-left:163.585205pt;margin-top:40.902756pt;width:336.3pt;height:9.5pt;mso-position-horizontal-relative:page;mso-position-vertical-relative:page;z-index:-188944" type="#_x0000_t202" filled="false" stroked="false">
            <v:textbox inset="0,0,0,0">
              <w:txbxContent>
                <w:p>
                  <w:pPr>
                    <w:spacing w:before="1"/>
                    <w:ind w:left="20" w:right="0" w:firstLine="0"/>
                    <w:jc w:val="left"/>
                    <w:rPr>
                      <w:sz w:val="15"/>
                    </w:rPr>
                  </w:pPr>
                  <w:r>
                    <w:rPr>
                      <w:color w:val="58595B"/>
                      <w:sz w:val="15"/>
                    </w:rPr>
                    <w:t>CHAPTER 7    THE EPA’S ROLE WITHIN VICTORIA’S ENVIRONMENT PROTECTION REGIME</w:t>
                  </w:r>
                </w:p>
              </w:txbxContent>
            </v:textbox>
            <w10:wrap type="none"/>
          </v:shape>
        </w:pict>
      </w:r>
      <w:r>
        <w:rPr/>
        <w:pict>
          <v:shape style="position:absolute;margin-left:510.970215pt;margin-top:40.902756pt;width:14.4pt;height:9.5pt;mso-position-horizontal-relative:page;mso-position-vertical-relative:page;z-index:-188920" type="#_x0000_t202" filled="false" stroked="false">
            <v:textbox inset="0,0,0,0">
              <w:txbxContent>
                <w:p>
                  <w:pPr>
                    <w:spacing w:before="1"/>
                    <w:ind w:left="20" w:right="-3" w:firstLine="0"/>
                    <w:jc w:val="left"/>
                    <w:rPr>
                      <w:sz w:val="15"/>
                    </w:rPr>
                  </w:pPr>
                  <w:r>
                    <w:rPr>
                      <w:color w:val="58595B"/>
                      <w:sz w:val="15"/>
                    </w:rPr>
                    <w:t>129</w:t>
                  </w:r>
                </w:p>
              </w:txbxContent>
            </v:textbox>
            <w10:wrap type="none"/>
          </v:shape>
        </w:pict>
      </w:r>
      <w:r>
        <w:rPr/>
        <w:pict>
          <v:shape style="position:absolute;margin-left:89.708603pt;margin-top:105.893967pt;width:418.7pt;height:85.2pt;mso-position-horizontal-relative:page;mso-position-vertical-relative:page;z-index:-188896" type="#_x0000_t202" filled="false" stroked="false">
            <v:textbox inset="0,0,0,0">
              <w:txbxContent>
                <w:p>
                  <w:pPr>
                    <w:pStyle w:val="BodyText"/>
                    <w:spacing w:line="224" w:lineRule="exact"/>
                    <w:ind w:right="171"/>
                  </w:pPr>
                  <w:r>
                    <w:rPr>
                      <w:color w:val="0095A7"/>
                    </w:rPr>
                    <w:t>7.2.1  EPA’s contribution as a mature and proactive regulator</w:t>
                  </w:r>
                </w:p>
                <w:p>
                  <w:pPr>
                    <w:pStyle w:val="BodyText"/>
                    <w:spacing w:line="280" w:lineRule="auto" w:before="153"/>
                    <w:ind w:right="17"/>
                  </w:pPr>
                  <w:r>
                    <w:rPr>
                      <w:color w:val="58595B"/>
                    </w:rPr>
                    <w:t>The preamble to our terms of reference asked if the EPA is our environmental protector or regulator or both. The EPA is clearly both; indeed protection is implicit in its regulatory role. However, effective protection involves taking a broad and proactive view of the regulatory task</w:t>
                  </w:r>
                </w:p>
                <w:p>
                  <w:pPr>
                    <w:pStyle w:val="BodyText"/>
                    <w:spacing w:line="280" w:lineRule="auto" w:before="2"/>
                    <w:ind w:right="171"/>
                  </w:pPr>
                  <w:r>
                    <w:rPr>
                      <w:color w:val="58595B"/>
                    </w:rPr>
                    <w:t>– beyond conventional rule setting, compliance and enforcement – and it requires strategic engagement with other parts of government.</w:t>
                  </w:r>
                </w:p>
              </w:txbxContent>
            </v:textbox>
            <w10:wrap type="none"/>
          </v:shape>
        </w:pict>
      </w:r>
      <w:r>
        <w:rPr/>
        <w:pict>
          <v:shape style="position:absolute;margin-left:89.708603pt;margin-top:201.063965pt;width:427.95pt;height:66pt;mso-position-horizontal-relative:page;mso-position-vertical-relative:page;z-index:-188872" type="#_x0000_t202" filled="false" stroked="false">
            <v:textbox inset="0,0,0,0">
              <w:txbxContent>
                <w:p>
                  <w:pPr>
                    <w:pStyle w:val="BodyText"/>
                    <w:spacing w:line="280" w:lineRule="auto"/>
                  </w:pPr>
                  <w:r>
                    <w:rPr>
                      <w:color w:val="58595B"/>
                    </w:rPr>
                    <w:t>This broader engagement rarely occurs at present. The EPA plays a relatively narrow regulatory role, without significant influence on strategic planning and decision making within government. As a result, it comes in late and, at best, mitigates impacts after decisions have been made.</w:t>
                  </w:r>
                </w:p>
                <w:p>
                  <w:pPr>
                    <w:pStyle w:val="BodyText"/>
                    <w:spacing w:line="280" w:lineRule="auto" w:before="2"/>
                  </w:pPr>
                  <w:r>
                    <w:rPr>
                      <w:color w:val="58595B"/>
                    </w:rPr>
                    <w:t>There is a perception that the EPA is simply there to pick up the problems, even when it is clear that its regulatory toolkit is not sufficient or appropriate.</w:t>
                  </w:r>
                </w:p>
              </w:txbxContent>
            </v:textbox>
            <w10:wrap type="none"/>
          </v:shape>
        </w:pict>
      </w:r>
      <w:r>
        <w:rPr/>
        <w:pict>
          <v:shape style="position:absolute;margin-left:89.708603pt;margin-top:277.063965pt;width:418.95pt;height:117.85pt;mso-position-horizontal-relative:page;mso-position-vertical-relative:page;z-index:-188848" type="#_x0000_t202" filled="false" stroked="false">
            <v:textbox inset="0,0,0,0">
              <w:txbxContent>
                <w:p>
                  <w:pPr>
                    <w:pStyle w:val="BodyText"/>
                    <w:spacing w:line="280" w:lineRule="auto"/>
                  </w:pPr>
                  <w:r>
                    <w:rPr>
                      <w:color w:val="58595B"/>
                    </w:rPr>
                    <w:t>In proposing a greater role for the </w:t>
                  </w:r>
                  <w:r>
                    <w:rPr>
                      <w:color w:val="58595B"/>
                      <w:spacing w:val="-5"/>
                    </w:rPr>
                    <w:t>EPA </w:t>
                  </w:r>
                  <w:r>
                    <w:rPr>
                      <w:color w:val="58595B"/>
                    </w:rPr>
                    <w:t>in strategic decision making within government, we emphasise</w:t>
                  </w:r>
                  <w:r>
                    <w:rPr>
                      <w:color w:val="58595B"/>
                      <w:spacing w:val="-5"/>
                    </w:rPr>
                    <w:t> </w:t>
                  </w:r>
                  <w:r>
                    <w:rPr>
                      <w:color w:val="58595B"/>
                    </w:rPr>
                    <w:t>that</w:t>
                  </w:r>
                  <w:r>
                    <w:rPr>
                      <w:color w:val="58595B"/>
                      <w:spacing w:val="-5"/>
                    </w:rPr>
                    <w:t> </w:t>
                  </w:r>
                  <w:r>
                    <w:rPr>
                      <w:color w:val="58595B"/>
                    </w:rPr>
                    <w:t>it</w:t>
                  </w:r>
                  <w:r>
                    <w:rPr>
                      <w:color w:val="58595B"/>
                      <w:spacing w:val="-5"/>
                    </w:rPr>
                    <w:t> </w:t>
                  </w:r>
                  <w:r>
                    <w:rPr>
                      <w:color w:val="58595B"/>
                    </w:rPr>
                    <w:t>must</w:t>
                  </w:r>
                  <w:r>
                    <w:rPr>
                      <w:color w:val="58595B"/>
                      <w:spacing w:val="-5"/>
                    </w:rPr>
                    <w:t> </w:t>
                  </w:r>
                  <w:r>
                    <w:rPr>
                      <w:color w:val="58595B"/>
                    </w:rPr>
                    <w:t>be</w:t>
                  </w:r>
                  <w:r>
                    <w:rPr>
                      <w:color w:val="58595B"/>
                      <w:spacing w:val="-5"/>
                    </w:rPr>
                    <w:t> </w:t>
                  </w:r>
                  <w:r>
                    <w:rPr>
                      <w:color w:val="58595B"/>
                    </w:rPr>
                    <w:t>a</w:t>
                  </w:r>
                  <w:r>
                    <w:rPr>
                      <w:color w:val="58595B"/>
                      <w:spacing w:val="-5"/>
                    </w:rPr>
                    <w:t> </w:t>
                  </w:r>
                  <w:r>
                    <w:rPr>
                      <w:color w:val="58595B"/>
                    </w:rPr>
                    <w:t>‘mature</w:t>
                  </w:r>
                  <w:r>
                    <w:rPr>
                      <w:color w:val="58595B"/>
                      <w:spacing w:val="-5"/>
                    </w:rPr>
                    <w:t> </w:t>
                  </w:r>
                  <w:r>
                    <w:rPr>
                      <w:color w:val="58595B"/>
                    </w:rPr>
                    <w:t>regulator’</w:t>
                  </w:r>
                  <w:r>
                    <w:rPr>
                      <w:color w:val="58595B"/>
                      <w:spacing w:val="-5"/>
                    </w:rPr>
                    <w:t> </w:t>
                  </w:r>
                  <w:r>
                    <w:rPr>
                      <w:color w:val="58595B"/>
                    </w:rPr>
                    <w:t>–</w:t>
                  </w:r>
                  <w:r>
                    <w:rPr>
                      <w:color w:val="58595B"/>
                      <w:spacing w:val="-5"/>
                    </w:rPr>
                    <w:t> </w:t>
                  </w:r>
                  <w:r>
                    <w:rPr>
                      <w:color w:val="58595B"/>
                    </w:rPr>
                    <w:t>it</w:t>
                  </w:r>
                  <w:r>
                    <w:rPr>
                      <w:color w:val="58595B"/>
                      <w:spacing w:val="-5"/>
                    </w:rPr>
                    <w:t> </w:t>
                  </w:r>
                  <w:r>
                    <w:rPr>
                      <w:color w:val="58595B"/>
                    </w:rPr>
                    <w:t>cannot</w:t>
                  </w:r>
                  <w:r>
                    <w:rPr>
                      <w:color w:val="58595B"/>
                      <w:spacing w:val="-5"/>
                    </w:rPr>
                    <w:t> </w:t>
                  </w:r>
                  <w:r>
                    <w:rPr>
                      <w:color w:val="58595B"/>
                    </w:rPr>
                    <w:t>operate</w:t>
                  </w:r>
                  <w:r>
                    <w:rPr>
                      <w:color w:val="58595B"/>
                      <w:spacing w:val="-5"/>
                    </w:rPr>
                    <w:t> </w:t>
                  </w:r>
                  <w:r>
                    <w:rPr>
                      <w:color w:val="58595B"/>
                    </w:rPr>
                    <w:t>in</w:t>
                  </w:r>
                  <w:r>
                    <w:rPr>
                      <w:color w:val="58595B"/>
                      <w:spacing w:val="-5"/>
                    </w:rPr>
                    <w:t> </w:t>
                  </w:r>
                  <w:r>
                    <w:rPr>
                      <w:color w:val="58595B"/>
                    </w:rPr>
                    <w:t>these</w:t>
                  </w:r>
                  <w:r>
                    <w:rPr>
                      <w:color w:val="58595B"/>
                      <w:spacing w:val="-5"/>
                    </w:rPr>
                    <w:t> </w:t>
                  </w:r>
                  <w:r>
                    <w:rPr>
                      <w:color w:val="58595B"/>
                    </w:rPr>
                    <w:t>forums</w:t>
                  </w:r>
                  <w:r>
                    <w:rPr>
                      <w:color w:val="58595B"/>
                      <w:spacing w:val="-5"/>
                    </w:rPr>
                    <w:t> </w:t>
                  </w:r>
                  <w:r>
                    <w:rPr>
                      <w:color w:val="58595B"/>
                    </w:rPr>
                    <w:t>as</w:t>
                  </w:r>
                  <w:r>
                    <w:rPr>
                      <w:color w:val="58595B"/>
                      <w:spacing w:val="-5"/>
                    </w:rPr>
                    <w:t> </w:t>
                  </w:r>
                  <w:r>
                    <w:rPr>
                      <w:color w:val="58595B"/>
                    </w:rPr>
                    <w:t>a</w:t>
                  </w:r>
                  <w:r>
                    <w:rPr>
                      <w:color w:val="58595B"/>
                      <w:spacing w:val="-5"/>
                    </w:rPr>
                    <w:t> </w:t>
                  </w:r>
                  <w:r>
                    <w:rPr>
                      <w:color w:val="58595B"/>
                    </w:rPr>
                    <w:t>‘narrow’ regulator or rule </w:t>
                  </w:r>
                  <w:r>
                    <w:rPr>
                      <w:color w:val="58595B"/>
                      <w:spacing w:val="-3"/>
                    </w:rPr>
                    <w:t>setter, </w:t>
                  </w:r>
                  <w:r>
                    <w:rPr>
                      <w:color w:val="58595B"/>
                    </w:rPr>
                    <w:t>nor as partisan ‘champion’ for the environment that maintains a single focus. While all parties must understand that the </w:t>
                  </w:r>
                  <w:r>
                    <w:rPr>
                      <w:color w:val="58595B"/>
                      <w:spacing w:val="-5"/>
                    </w:rPr>
                    <w:t>EPA </w:t>
                  </w:r>
                  <w:r>
                    <w:rPr>
                      <w:color w:val="58595B"/>
                    </w:rPr>
                    <w:t>is not a policy </w:t>
                  </w:r>
                  <w:r>
                    <w:rPr>
                      <w:color w:val="58595B"/>
                      <w:spacing w:val="-3"/>
                    </w:rPr>
                    <w:t>setter, </w:t>
                  </w:r>
                  <w:r>
                    <w:rPr>
                      <w:color w:val="58595B"/>
                    </w:rPr>
                    <w:t>it can influence strategic government decisions if it</w:t>
                  </w:r>
                  <w:r>
                    <w:rPr>
                      <w:color w:val="58595B"/>
                      <w:spacing w:val="-38"/>
                    </w:rPr>
                    <w:t> </w:t>
                  </w:r>
                  <w:r>
                    <w:rPr>
                      <w:color w:val="58595B"/>
                    </w:rPr>
                    <w:t>can:</w:t>
                  </w:r>
                </w:p>
                <w:p>
                  <w:pPr>
                    <w:pStyle w:val="ListParagraph"/>
                    <w:numPr>
                      <w:ilvl w:val="0"/>
                      <w:numId w:val="46"/>
                    </w:numPr>
                    <w:tabs>
                      <w:tab w:pos="190" w:val="left" w:leader="none"/>
                    </w:tabs>
                    <w:spacing w:line="240" w:lineRule="auto" w:before="115" w:after="0"/>
                    <w:ind w:left="190" w:right="0" w:hanging="170"/>
                    <w:jc w:val="left"/>
                    <w:rPr>
                      <w:sz w:val="20"/>
                    </w:rPr>
                  </w:pPr>
                  <w:r>
                    <w:rPr>
                      <w:color w:val="58595B"/>
                      <w:sz w:val="20"/>
                    </w:rPr>
                    <w:t>inform with authoritative expert advice and on-the-ground</w:t>
                  </w:r>
                  <w:r>
                    <w:rPr>
                      <w:color w:val="58595B"/>
                      <w:spacing w:val="38"/>
                      <w:sz w:val="20"/>
                    </w:rPr>
                    <w:t> </w:t>
                  </w:r>
                  <w:r>
                    <w:rPr>
                      <w:color w:val="58595B"/>
                      <w:sz w:val="20"/>
                    </w:rPr>
                    <w:t>experience</w:t>
                  </w:r>
                </w:p>
                <w:p>
                  <w:pPr>
                    <w:pStyle w:val="ListParagraph"/>
                    <w:numPr>
                      <w:ilvl w:val="0"/>
                      <w:numId w:val="46"/>
                    </w:numPr>
                    <w:tabs>
                      <w:tab w:pos="190" w:val="left" w:leader="none"/>
                    </w:tabs>
                    <w:spacing w:line="280" w:lineRule="auto" w:before="153" w:after="0"/>
                    <w:ind w:left="190" w:right="991" w:hanging="170"/>
                    <w:jc w:val="left"/>
                    <w:rPr>
                      <w:sz w:val="20"/>
                    </w:rPr>
                  </w:pPr>
                  <w:r>
                    <w:rPr>
                      <w:color w:val="58595B"/>
                      <w:sz w:val="20"/>
                    </w:rPr>
                    <w:t>balance the social, economic and environmental impacts of both intervention and non-intervention.</w:t>
                  </w:r>
                </w:p>
              </w:txbxContent>
            </v:textbox>
            <w10:wrap type="none"/>
          </v:shape>
        </w:pict>
      </w:r>
      <w:r>
        <w:rPr/>
        <w:pict>
          <v:shape style="position:absolute;margin-left:89.708603pt;margin-top:404.903961pt;width:427.35pt;height:131.35pt;mso-position-horizontal-relative:page;mso-position-vertical-relative:page;z-index:-188824" type="#_x0000_t202" filled="false" stroked="false">
            <v:textbox inset="0,0,0,0">
              <w:txbxContent>
                <w:p>
                  <w:pPr>
                    <w:pStyle w:val="BodyText"/>
                    <w:spacing w:line="280" w:lineRule="auto"/>
                  </w:pPr>
                  <w:r>
                    <w:rPr>
                      <w:color w:val="58595B"/>
                    </w:rPr>
                    <w:t>We consider the EPA cannot properly acquit its statutory responsibilities for protection without these opportunities to be proactive and collaborative. In particular, it must be able to inform government decision making to:</w:t>
                  </w:r>
                </w:p>
                <w:p>
                  <w:pPr>
                    <w:pStyle w:val="ListParagraph"/>
                    <w:numPr>
                      <w:ilvl w:val="0"/>
                      <w:numId w:val="47"/>
                    </w:numPr>
                    <w:tabs>
                      <w:tab w:pos="190" w:val="left" w:leader="none"/>
                    </w:tabs>
                    <w:spacing w:line="280" w:lineRule="auto" w:before="115" w:after="0"/>
                    <w:ind w:left="190" w:right="17" w:hanging="170"/>
                    <w:jc w:val="left"/>
                    <w:rPr>
                      <w:sz w:val="20"/>
                    </w:rPr>
                  </w:pPr>
                  <w:r>
                    <w:rPr>
                      <w:color w:val="58595B"/>
                      <w:sz w:val="20"/>
                    </w:rPr>
                    <w:t>maximise opportunities for early interventions that prevent or reduce impacts from pollution and waste – for example, in planning major new waste and transport infrastructure, to address potential amenity and health</w:t>
                  </w:r>
                  <w:r>
                    <w:rPr>
                      <w:color w:val="58595B"/>
                      <w:spacing w:val="3"/>
                      <w:sz w:val="20"/>
                    </w:rPr>
                    <w:t> </w:t>
                  </w:r>
                  <w:r>
                    <w:rPr>
                      <w:color w:val="58595B"/>
                      <w:sz w:val="20"/>
                    </w:rPr>
                    <w:t>impacts</w:t>
                  </w:r>
                </w:p>
                <w:p>
                  <w:pPr>
                    <w:pStyle w:val="ListParagraph"/>
                    <w:numPr>
                      <w:ilvl w:val="0"/>
                      <w:numId w:val="47"/>
                    </w:numPr>
                    <w:tabs>
                      <w:tab w:pos="190" w:val="left" w:leader="none"/>
                    </w:tabs>
                    <w:spacing w:line="280" w:lineRule="auto" w:before="115" w:after="0"/>
                    <w:ind w:left="190" w:right="80" w:hanging="170"/>
                    <w:jc w:val="both"/>
                    <w:rPr>
                      <w:sz w:val="20"/>
                    </w:rPr>
                  </w:pPr>
                  <w:r>
                    <w:rPr>
                      <w:color w:val="58595B"/>
                      <w:sz w:val="20"/>
                    </w:rPr>
                    <w:t>generate collaboration across government on how best to tackle complex issues, and to seek solutions for intractable problems, including deploying appropriate tools and instruments from across</w:t>
                  </w:r>
                  <w:r>
                    <w:rPr>
                      <w:color w:val="58595B"/>
                      <w:spacing w:val="-1"/>
                      <w:sz w:val="20"/>
                    </w:rPr>
                    <w:t> </w:t>
                  </w:r>
                  <w:r>
                    <w:rPr>
                      <w:color w:val="58595B"/>
                      <w:sz w:val="20"/>
                    </w:rPr>
                    <w:t>government.</w:t>
                  </w:r>
                </w:p>
              </w:txbxContent>
            </v:textbox>
            <w10:wrap type="none"/>
          </v:shape>
        </w:pict>
      </w:r>
      <w:r>
        <w:rPr/>
        <w:pict>
          <v:shape style="position:absolute;margin-left:89.708603pt;margin-top:550.503967pt;width:434.15pt;height:98.7pt;mso-position-horizontal-relative:page;mso-position-vertical-relative:page;z-index:-188800" type="#_x0000_t202" filled="false" stroked="false">
            <v:textbox inset="0,0,0,0">
              <w:txbxContent>
                <w:p>
                  <w:pPr>
                    <w:pStyle w:val="BodyText"/>
                    <w:spacing w:line="224" w:lineRule="exact"/>
                    <w:ind w:right="17"/>
                  </w:pPr>
                  <w:r>
                    <w:rPr>
                      <w:color w:val="0095A7"/>
                    </w:rPr>
                    <w:t>7.2.2  Supporting health, liveability and prosperity outcomes</w:t>
                  </w:r>
                </w:p>
                <w:p>
                  <w:pPr>
                    <w:pStyle w:val="BodyText"/>
                    <w:spacing w:line="280" w:lineRule="auto" w:before="153"/>
                    <w:ind w:right="17"/>
                  </w:pPr>
                  <w:r>
                    <w:rPr>
                      <w:color w:val="58595B"/>
                      <w:spacing w:val="-3"/>
                    </w:rPr>
                    <w:t>Government policy frameworks </w:t>
                  </w:r>
                  <w:r>
                    <w:rPr>
                      <w:color w:val="58595B"/>
                    </w:rPr>
                    <w:t>for economic </w:t>
                  </w:r>
                  <w:r>
                    <w:rPr>
                      <w:color w:val="58595B"/>
                      <w:spacing w:val="-4"/>
                    </w:rPr>
                    <w:t>development </w:t>
                  </w:r>
                  <w:r>
                    <w:rPr>
                      <w:color w:val="58595B"/>
                    </w:rPr>
                    <w:t>– </w:t>
                  </w:r>
                  <w:r>
                    <w:rPr>
                      <w:color w:val="58595B"/>
                      <w:spacing w:val="-3"/>
                    </w:rPr>
                    <w:t>industrial, agricultural, resource </w:t>
                  </w:r>
                  <w:r>
                    <w:rPr>
                      <w:color w:val="58595B"/>
                      <w:spacing w:val="-4"/>
                    </w:rPr>
                    <w:t>development </w:t>
                  </w:r>
                  <w:r>
                    <w:rPr>
                      <w:color w:val="58595B"/>
                    </w:rPr>
                    <w:t>and </w:t>
                  </w:r>
                  <w:r>
                    <w:rPr>
                      <w:color w:val="58595B"/>
                      <w:spacing w:val="-3"/>
                    </w:rPr>
                    <w:t>tourism </w:t>
                  </w:r>
                  <w:r>
                    <w:rPr>
                      <w:color w:val="58595B"/>
                    </w:rPr>
                    <w:t>– and for </w:t>
                  </w:r>
                  <w:r>
                    <w:rPr>
                      <w:color w:val="58595B"/>
                      <w:spacing w:val="-3"/>
                    </w:rPr>
                    <w:t>urban </w:t>
                  </w:r>
                  <w:r>
                    <w:rPr>
                      <w:color w:val="58595B"/>
                      <w:spacing w:val="-4"/>
                    </w:rPr>
                    <w:t>development </w:t>
                  </w:r>
                  <w:r>
                    <w:rPr>
                      <w:color w:val="58595B"/>
                    </w:rPr>
                    <w:t>and </w:t>
                  </w:r>
                  <w:r>
                    <w:rPr>
                      <w:color w:val="58595B"/>
                      <w:spacing w:val="-3"/>
                    </w:rPr>
                    <w:t>essential infrastructure planning </w:t>
                  </w:r>
                  <w:r>
                    <w:rPr>
                      <w:color w:val="58595B"/>
                    </w:rPr>
                    <w:t>can </w:t>
                  </w:r>
                  <w:r>
                    <w:rPr>
                      <w:color w:val="58595B"/>
                      <w:spacing w:val="-3"/>
                    </w:rPr>
                    <w:t>benefit </w:t>
                  </w:r>
                  <w:r>
                    <w:rPr>
                      <w:color w:val="58595B"/>
                    </w:rPr>
                    <w:t>from </w:t>
                  </w:r>
                  <w:r>
                    <w:rPr>
                      <w:color w:val="58595B"/>
                      <w:spacing w:val="-3"/>
                    </w:rPr>
                    <w:t>considering </w:t>
                  </w:r>
                  <w:r>
                    <w:rPr>
                      <w:color w:val="58595B"/>
                    </w:rPr>
                    <w:t>early the </w:t>
                  </w:r>
                  <w:r>
                    <w:rPr>
                      <w:color w:val="58595B"/>
                      <w:spacing w:val="-3"/>
                    </w:rPr>
                    <w:t>potential implications </w:t>
                  </w:r>
                  <w:r>
                    <w:rPr>
                      <w:color w:val="58595B"/>
                    </w:rPr>
                    <w:t>for </w:t>
                  </w:r>
                  <w:r>
                    <w:rPr>
                      <w:color w:val="58595B"/>
                      <w:spacing w:val="-3"/>
                    </w:rPr>
                    <w:t>human health </w:t>
                  </w:r>
                  <w:r>
                    <w:rPr>
                      <w:color w:val="58595B"/>
                    </w:rPr>
                    <w:t>and the </w:t>
                  </w:r>
                  <w:r>
                    <w:rPr>
                      <w:color w:val="58595B"/>
                      <w:spacing w:val="-4"/>
                    </w:rPr>
                    <w:t>environment. </w:t>
                  </w:r>
                  <w:r>
                    <w:rPr>
                      <w:color w:val="58595B"/>
                      <w:spacing w:val="-3"/>
                    </w:rPr>
                    <w:t>Authorising</w:t>
                  </w:r>
                  <w:r>
                    <w:rPr>
                      <w:color w:val="58595B"/>
                      <w:spacing w:val="-7"/>
                    </w:rPr>
                    <w:t> </w:t>
                  </w:r>
                  <w:r>
                    <w:rPr>
                      <w:color w:val="58595B"/>
                    </w:rPr>
                    <w:t>a</w:t>
                  </w:r>
                  <w:r>
                    <w:rPr>
                      <w:color w:val="58595B"/>
                      <w:spacing w:val="-7"/>
                    </w:rPr>
                    <w:t> </w:t>
                  </w:r>
                  <w:r>
                    <w:rPr>
                      <w:color w:val="58595B"/>
                    </w:rPr>
                    <w:t>more</w:t>
                  </w:r>
                  <w:r>
                    <w:rPr>
                      <w:color w:val="58595B"/>
                      <w:spacing w:val="-7"/>
                    </w:rPr>
                    <w:t> </w:t>
                  </w:r>
                  <w:r>
                    <w:rPr>
                      <w:color w:val="58595B"/>
                      <w:spacing w:val="-3"/>
                    </w:rPr>
                    <w:t>engaged</w:t>
                  </w:r>
                  <w:r>
                    <w:rPr>
                      <w:color w:val="58595B"/>
                      <w:spacing w:val="-7"/>
                    </w:rPr>
                    <w:t> </w:t>
                  </w:r>
                  <w:r>
                    <w:rPr>
                      <w:color w:val="58595B"/>
                    </w:rPr>
                    <w:t>and</w:t>
                  </w:r>
                  <w:r>
                    <w:rPr>
                      <w:color w:val="58595B"/>
                      <w:spacing w:val="-7"/>
                    </w:rPr>
                    <w:t> </w:t>
                  </w:r>
                  <w:r>
                    <w:rPr>
                      <w:color w:val="58595B"/>
                      <w:spacing w:val="-3"/>
                    </w:rPr>
                    <w:t>facilitative</w:t>
                  </w:r>
                  <w:r>
                    <w:rPr>
                      <w:color w:val="58595B"/>
                      <w:spacing w:val="-7"/>
                    </w:rPr>
                    <w:t> </w:t>
                  </w:r>
                  <w:r>
                    <w:rPr>
                      <w:color w:val="58595B"/>
                    </w:rPr>
                    <w:t>role</w:t>
                  </w:r>
                  <w:r>
                    <w:rPr>
                      <w:color w:val="58595B"/>
                      <w:spacing w:val="-7"/>
                    </w:rPr>
                    <w:t> </w:t>
                  </w:r>
                  <w:r>
                    <w:rPr>
                      <w:color w:val="58595B"/>
                    </w:rPr>
                    <w:t>for</w:t>
                  </w:r>
                  <w:r>
                    <w:rPr>
                      <w:color w:val="58595B"/>
                      <w:spacing w:val="-7"/>
                    </w:rPr>
                    <w:t> </w:t>
                  </w:r>
                  <w:r>
                    <w:rPr>
                      <w:color w:val="58595B"/>
                    </w:rPr>
                    <w:t>the</w:t>
                  </w:r>
                  <w:r>
                    <w:rPr>
                      <w:color w:val="58595B"/>
                      <w:spacing w:val="-7"/>
                    </w:rPr>
                    <w:t> </w:t>
                  </w:r>
                  <w:r>
                    <w:rPr>
                      <w:color w:val="58595B"/>
                      <w:spacing w:val="-6"/>
                    </w:rPr>
                    <w:t>EPA</w:t>
                  </w:r>
                  <w:r>
                    <w:rPr>
                      <w:color w:val="58595B"/>
                      <w:spacing w:val="-7"/>
                    </w:rPr>
                    <w:t> </w:t>
                  </w:r>
                  <w:r>
                    <w:rPr>
                      <w:color w:val="58595B"/>
                      <w:spacing w:val="-3"/>
                    </w:rPr>
                    <w:t>allows</w:t>
                  </w:r>
                  <w:r>
                    <w:rPr>
                      <w:color w:val="58595B"/>
                      <w:spacing w:val="-7"/>
                    </w:rPr>
                    <w:t> </w:t>
                  </w:r>
                  <w:r>
                    <w:rPr>
                      <w:color w:val="58595B"/>
                      <w:spacing w:val="-4"/>
                    </w:rPr>
                    <w:t>government</w:t>
                  </w:r>
                  <w:r>
                    <w:rPr>
                      <w:color w:val="58595B"/>
                      <w:spacing w:val="-7"/>
                    </w:rPr>
                    <w:t> </w:t>
                  </w:r>
                  <w:r>
                    <w:rPr>
                      <w:color w:val="58595B"/>
                    </w:rPr>
                    <w:t>to</w:t>
                  </w:r>
                  <w:r>
                    <w:rPr>
                      <w:color w:val="58595B"/>
                      <w:spacing w:val="-7"/>
                    </w:rPr>
                    <w:t> </w:t>
                  </w:r>
                  <w:r>
                    <w:rPr>
                      <w:color w:val="58595B"/>
                      <w:spacing w:val="-3"/>
                    </w:rPr>
                    <w:t>draw</w:t>
                  </w:r>
                  <w:r>
                    <w:rPr>
                      <w:color w:val="58595B"/>
                      <w:spacing w:val="-7"/>
                    </w:rPr>
                    <w:t> </w:t>
                  </w:r>
                  <w:r>
                    <w:rPr>
                      <w:color w:val="58595B"/>
                    </w:rPr>
                    <w:t>on</w:t>
                  </w:r>
                  <w:r>
                    <w:rPr>
                      <w:color w:val="58595B"/>
                      <w:spacing w:val="-7"/>
                    </w:rPr>
                    <w:t> </w:t>
                  </w:r>
                  <w:r>
                    <w:rPr>
                      <w:color w:val="58595B"/>
                    </w:rPr>
                    <w:t>the</w:t>
                  </w:r>
                  <w:r>
                    <w:rPr>
                      <w:color w:val="58595B"/>
                      <w:spacing w:val="-7"/>
                    </w:rPr>
                    <w:t> </w:t>
                  </w:r>
                  <w:r>
                    <w:rPr>
                      <w:color w:val="58595B"/>
                      <w:spacing w:val="-9"/>
                    </w:rPr>
                    <w:t>EPA’s </w:t>
                  </w:r>
                  <w:r>
                    <w:rPr>
                      <w:color w:val="58595B"/>
                      <w:spacing w:val="-3"/>
                    </w:rPr>
                    <w:t>expertise. This approach </w:t>
                  </w:r>
                  <w:r>
                    <w:rPr>
                      <w:color w:val="58595B"/>
                    </w:rPr>
                    <w:t>will </w:t>
                  </w:r>
                  <w:r>
                    <w:rPr>
                      <w:color w:val="58595B"/>
                      <w:spacing w:val="-3"/>
                    </w:rPr>
                    <w:t>minimise </w:t>
                  </w:r>
                  <w:r>
                    <w:rPr>
                      <w:color w:val="58595B"/>
                    </w:rPr>
                    <w:t>the risk of </w:t>
                  </w:r>
                  <w:r>
                    <w:rPr>
                      <w:color w:val="58595B"/>
                      <w:spacing w:val="-3"/>
                    </w:rPr>
                    <w:t>decisions that create </w:t>
                  </w:r>
                  <w:r>
                    <w:rPr>
                      <w:color w:val="58595B"/>
                    </w:rPr>
                    <w:t>‘long tail’ and </w:t>
                  </w:r>
                  <w:r>
                    <w:rPr>
                      <w:color w:val="58595B"/>
                      <w:spacing w:val="-3"/>
                    </w:rPr>
                    <w:t>intractable pollution</w:t>
                  </w:r>
                  <w:r>
                    <w:rPr>
                      <w:color w:val="58595B"/>
                      <w:spacing w:val="-6"/>
                    </w:rPr>
                    <w:t> </w:t>
                  </w:r>
                  <w:r>
                    <w:rPr>
                      <w:color w:val="58595B"/>
                      <w:spacing w:val="-3"/>
                    </w:rPr>
                    <w:t>problems,</w:t>
                  </w:r>
                  <w:r>
                    <w:rPr>
                      <w:color w:val="58595B"/>
                      <w:spacing w:val="-6"/>
                    </w:rPr>
                    <w:t> </w:t>
                  </w:r>
                  <w:r>
                    <w:rPr>
                      <w:color w:val="58595B"/>
                      <w:spacing w:val="-2"/>
                    </w:rPr>
                    <w:t>which</w:t>
                  </w:r>
                  <w:r>
                    <w:rPr>
                      <w:color w:val="58595B"/>
                      <w:spacing w:val="-6"/>
                    </w:rPr>
                    <w:t> </w:t>
                  </w:r>
                  <w:r>
                    <w:rPr>
                      <w:color w:val="58595B"/>
                    </w:rPr>
                    <w:t>affect</w:t>
                  </w:r>
                  <w:r>
                    <w:rPr>
                      <w:color w:val="58595B"/>
                      <w:spacing w:val="-6"/>
                    </w:rPr>
                    <w:t> </w:t>
                  </w:r>
                  <w:r>
                    <w:rPr>
                      <w:color w:val="58595B"/>
                      <w:spacing w:val="-4"/>
                    </w:rPr>
                    <w:t>Victoria’s</w:t>
                  </w:r>
                  <w:r>
                    <w:rPr>
                      <w:color w:val="58595B"/>
                      <w:spacing w:val="-6"/>
                    </w:rPr>
                    <w:t> </w:t>
                  </w:r>
                  <w:r>
                    <w:rPr>
                      <w:color w:val="58595B"/>
                      <w:spacing w:val="-3"/>
                    </w:rPr>
                    <w:t>liveability</w:t>
                  </w:r>
                  <w:r>
                    <w:rPr>
                      <w:color w:val="58595B"/>
                      <w:spacing w:val="-6"/>
                    </w:rPr>
                    <w:t> </w:t>
                  </w:r>
                  <w:r>
                    <w:rPr>
                      <w:color w:val="58595B"/>
                    </w:rPr>
                    <w:t>and</w:t>
                  </w:r>
                  <w:r>
                    <w:rPr>
                      <w:color w:val="58595B"/>
                      <w:spacing w:val="-6"/>
                    </w:rPr>
                    <w:t> </w:t>
                  </w:r>
                  <w:r>
                    <w:rPr>
                      <w:color w:val="58595B"/>
                    </w:rPr>
                    <w:t>the</w:t>
                  </w:r>
                  <w:r>
                    <w:rPr>
                      <w:color w:val="58595B"/>
                      <w:spacing w:val="-6"/>
                    </w:rPr>
                    <w:t> </w:t>
                  </w:r>
                  <w:r>
                    <w:rPr>
                      <w:color w:val="58595B"/>
                      <w:spacing w:val="-3"/>
                    </w:rPr>
                    <w:t>health</w:t>
                  </w:r>
                  <w:r>
                    <w:rPr>
                      <w:color w:val="58595B"/>
                      <w:spacing w:val="-6"/>
                    </w:rPr>
                    <w:t> </w:t>
                  </w:r>
                  <w:r>
                    <w:rPr>
                      <w:color w:val="58595B"/>
                    </w:rPr>
                    <w:t>of</w:t>
                  </w:r>
                  <w:r>
                    <w:rPr>
                      <w:color w:val="58595B"/>
                      <w:spacing w:val="-6"/>
                    </w:rPr>
                    <w:t> </w:t>
                  </w:r>
                  <w:r>
                    <w:rPr>
                      <w:color w:val="58595B"/>
                      <w:spacing w:val="-3"/>
                    </w:rPr>
                    <w:t>Victorians</w:t>
                  </w:r>
                  <w:r>
                    <w:rPr>
                      <w:color w:val="58595B"/>
                      <w:spacing w:val="-6"/>
                    </w:rPr>
                    <w:t> </w:t>
                  </w:r>
                  <w:r>
                    <w:rPr>
                      <w:color w:val="58595B"/>
                    </w:rPr>
                    <w:t>for</w:t>
                  </w:r>
                  <w:r>
                    <w:rPr>
                      <w:color w:val="58595B"/>
                      <w:spacing w:val="-6"/>
                    </w:rPr>
                    <w:t> </w:t>
                  </w:r>
                  <w:r>
                    <w:rPr>
                      <w:color w:val="58595B"/>
                      <w:spacing w:val="-3"/>
                    </w:rPr>
                    <w:t>years</w:t>
                  </w:r>
                  <w:r>
                    <w:rPr>
                      <w:color w:val="58595B"/>
                      <w:spacing w:val="-6"/>
                    </w:rPr>
                    <w:t> </w:t>
                  </w:r>
                  <w:r>
                    <w:rPr>
                      <w:color w:val="58595B"/>
                    </w:rPr>
                    <w:t>to</w:t>
                  </w:r>
                  <w:r>
                    <w:rPr>
                      <w:color w:val="58595B"/>
                      <w:spacing w:val="-6"/>
                    </w:rPr>
                    <w:t> </w:t>
                  </w:r>
                  <w:r>
                    <w:rPr>
                      <w:color w:val="58595B"/>
                      <w:spacing w:val="-3"/>
                    </w:rPr>
                    <w:t>come.</w:t>
                  </w:r>
                </w:p>
              </w:txbxContent>
            </v:textbox>
            <w10:wrap type="none"/>
          </v:shape>
        </w:pict>
      </w:r>
      <w:r>
        <w:rPr/>
        <w:pict>
          <v:shape style="position:absolute;margin-left:89.707901pt;margin-top:659.17395pt;width:435.7pt;height:79.55pt;mso-position-horizontal-relative:page;mso-position-vertical-relative:page;z-index:-188776" type="#_x0000_t202" filled="false" stroked="false">
            <v:textbox inset="0,0,0,0">
              <w:txbxContent>
                <w:p>
                  <w:pPr>
                    <w:pStyle w:val="BodyText"/>
                    <w:spacing w:line="280" w:lineRule="auto"/>
                    <w:ind w:right="55"/>
                  </w:pPr>
                  <w:r>
                    <w:rPr>
                      <w:color w:val="58595B"/>
                    </w:rPr>
                    <w:t>In particular, the EPA must be involved in, and provide expert advice to, government processes for strategic land use planning and major infrastructure planning. The Plan Melbourne Refresh Ministerial Advisory Committee recognised how important whole-of-government coordination is to ‘… maintain Melbourne’s globally-recognised liveability and its role as an efficient business services city, tourism destination and freight and manufacturing hub’.</w:t>
                  </w:r>
                  <w:r>
                    <w:rPr>
                      <w:color w:val="58595B"/>
                      <w:position w:val="7"/>
                      <w:sz w:val="11"/>
                    </w:rPr>
                    <w:t>9  </w:t>
                  </w:r>
                  <w:r>
                    <w:rPr>
                      <w:color w:val="58595B"/>
                    </w:rPr>
                    <w:t>As proposed in the principles for the Plan Melbourne Refresh:</w:t>
                  </w:r>
                </w:p>
              </w:txbxContent>
            </v:textbox>
            <w10:wrap type="none"/>
          </v:shape>
        </w:pict>
      </w:r>
      <w:r>
        <w:rPr/>
        <w:pict>
          <v:shape style="position:absolute;margin-left:89.707901pt;margin-top:748.681396pt;width:434pt;height:52.5pt;mso-position-horizontal-relative:page;mso-position-vertical-relative:page;z-index:-188752" type="#_x0000_t202" filled="false" stroked="false">
            <v:textbox inset="0,0,0,0">
              <w:txbxContent>
                <w:p>
                  <w:pPr>
                    <w:spacing w:line="280" w:lineRule="auto" w:before="0"/>
                    <w:ind w:left="20" w:right="0" w:firstLine="0"/>
                    <w:jc w:val="left"/>
                    <w:rPr>
                      <w:sz w:val="11"/>
                    </w:rPr>
                  </w:pPr>
                  <w:r>
                    <w:rPr>
                      <w:i/>
                      <w:color w:val="231F20"/>
                      <w:sz w:val="20"/>
                    </w:rPr>
                    <w:t>Sustainable urban development requires effective coordinating planning and response action across government. Strategic planning processes will be effectively coordinated across government to help apply an integrated approach to addressing sustainability and climate change challenges while supporting economic and social wellbeing.</w:t>
                  </w:r>
                  <w:r>
                    <w:rPr>
                      <w:color w:val="231F20"/>
                      <w:position w:val="7"/>
                      <w:sz w:val="11"/>
                    </w:rPr>
                    <w:t>10</w:t>
                  </w:r>
                </w:p>
              </w:txbxContent>
            </v:textbox>
            <w10:wrap type="none"/>
          </v:shape>
        </w:pict>
      </w:r>
      <w:r>
        <w:rPr/>
        <w:pict>
          <v:shape style="position:absolute;margin-left:534.996094pt;margin-top:44.090015pt;width:60.3pt;height:5.25pt;mso-position-horizontal-relative:page;mso-position-vertical-relative:page;z-index:-18872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8704"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88680" from=".0pt,45.840015pt" to="60.2791pt,45.840015pt" stroked="true" strokeweight="7pt" strokecolor="#0095a7">
            <w10:wrap type="none"/>
          </v:line>
        </w:pict>
      </w:r>
      <w:r>
        <w:rPr/>
        <w:pict>
          <v:shape style="position:absolute;margin-left:69.866096pt;margin-top:40.902756pt;width:14.45pt;height:9.5pt;mso-position-horizontal-relative:page;mso-position-vertical-relative:page;z-index:-188656" type="#_x0000_t202" filled="false" stroked="false">
            <v:textbox inset="0,0,0,0">
              <w:txbxContent>
                <w:p>
                  <w:pPr>
                    <w:spacing w:before="1"/>
                    <w:ind w:left="20" w:right="-2" w:firstLine="0"/>
                    <w:jc w:val="left"/>
                    <w:rPr>
                      <w:sz w:val="15"/>
                    </w:rPr>
                  </w:pPr>
                  <w:r>
                    <w:rPr>
                      <w:color w:val="58595B"/>
                      <w:sz w:val="15"/>
                    </w:rPr>
                    <w:t>130</w:t>
                  </w:r>
                </w:p>
              </w:txbxContent>
            </v:textbox>
            <w10:wrap type="none"/>
          </v:shape>
        </w:pict>
      </w:r>
      <w:r>
        <w:rPr/>
        <w:pict>
          <v:shape style="position:absolute;margin-left:95.377899pt;margin-top:40.902756pt;width:147.75pt;height:9.5pt;mso-position-horizontal-relative:page;mso-position-vertical-relative:page;z-index:-18863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24.05pt;height:52.5pt;mso-position-horizontal-relative:page;mso-position-vertical-relative:page;z-index:-188608" type="#_x0000_t202" filled="false" stroked="false">
            <v:textbox inset="0,0,0,0">
              <w:txbxContent>
                <w:p>
                  <w:pPr>
                    <w:pStyle w:val="BodyText"/>
                    <w:spacing w:line="280" w:lineRule="auto"/>
                    <w:ind w:right="13"/>
                  </w:pPr>
                  <w:r>
                    <w:rPr>
                      <w:color w:val="58595B"/>
                    </w:rPr>
                    <w:t>To protect the health of Victorians from environmental hazards, the EPA must work closely with other government agencies, both those directly involved in health protection (such as DHHS and WorkSafe) and those who manage potential impacts on health, (such as the Department of Economic Development, Jobs, Transport and Resources and VicRoads).</w:t>
                  </w:r>
                </w:p>
              </w:txbxContent>
            </v:textbox>
            <w10:wrap type="none"/>
          </v:shape>
        </w:pict>
      </w:r>
      <w:r>
        <w:rPr/>
        <w:pict>
          <v:shape style="position:absolute;margin-left:69.866096pt;margin-top:168.393967pt;width:416.1pt;height:66pt;mso-position-horizontal-relative:page;mso-position-vertical-relative:page;z-index:-188584" type="#_x0000_t202" filled="false" stroked="false">
            <v:textbox inset="0,0,0,0">
              <w:txbxContent>
                <w:p>
                  <w:pPr>
                    <w:pStyle w:val="BodyText"/>
                    <w:spacing w:line="280" w:lineRule="auto"/>
                  </w:pPr>
                  <w:r>
                    <w:rPr>
                      <w:color w:val="58595B"/>
                    </w:rPr>
                    <w:t>However, ‘shared’ responsibilities for protecting the environment and public health can create overlaps and duplication, as well as a real and perceived risk that no one takes charge. Many stakeholders raised concerns about overlaps, gaps and lost opportunities for cooperation in our consultations and submissions. They linked their expectations for a more effective EPA to strengthened whole-of-government approaches.</w:t>
                  </w:r>
                </w:p>
              </w:txbxContent>
            </v:textbox>
            <w10:wrap type="none"/>
          </v:shape>
        </w:pict>
      </w:r>
      <w:r>
        <w:rPr/>
        <w:pict>
          <v:shape style="position:absolute;margin-left:98.216103pt;margin-top:244.393967pt;width:376.5pt;height:106.5pt;mso-position-horizontal-relative:page;mso-position-vertical-relative:page;z-index:-188560" type="#_x0000_t202" filled="false" stroked="false">
            <v:textbox inset="0,0,0,0">
              <w:txbxContent>
                <w:p>
                  <w:pPr>
                    <w:spacing w:line="280" w:lineRule="auto" w:before="0"/>
                    <w:ind w:left="20" w:right="150" w:firstLine="0"/>
                    <w:jc w:val="left"/>
                    <w:rPr>
                      <w:i/>
                      <w:sz w:val="20"/>
                    </w:rPr>
                  </w:pPr>
                  <w:r>
                    <w:rPr>
                      <w:i/>
                      <w:color w:val="231F20"/>
                      <w:spacing w:val="3"/>
                      <w:sz w:val="20"/>
                    </w:rPr>
                    <w:t>[T]he </w:t>
                  </w:r>
                  <w:r>
                    <w:rPr>
                      <w:i/>
                      <w:color w:val="231F20"/>
                      <w:sz w:val="20"/>
                    </w:rPr>
                    <w:t>[current legislative] structure causes difficulties for administrators, including the EPA and </w:t>
                  </w:r>
                  <w:r>
                    <w:rPr>
                      <w:i/>
                      <w:color w:val="231F20"/>
                      <w:spacing w:val="-2"/>
                      <w:sz w:val="20"/>
                    </w:rPr>
                    <w:t>DELWP, </w:t>
                  </w:r>
                  <w:r>
                    <w:rPr>
                      <w:i/>
                      <w:color w:val="231F20"/>
                      <w:sz w:val="20"/>
                    </w:rPr>
                    <w:t>as it is not often clear which authority is responsible for which Act (particularly where environmental and public health issues intersect). … [this] has resulted in unstructured coordination, and information and data sharing between relevant State and Commonwealth government bodies – such as public health authorities and the Commissioner for Environmental Sustainability – and the</w:t>
                  </w:r>
                </w:p>
                <w:p>
                  <w:pPr>
                    <w:spacing w:line="280" w:lineRule="auto" w:before="2"/>
                    <w:ind w:left="20" w:right="0" w:firstLine="0"/>
                    <w:jc w:val="left"/>
                    <w:rPr>
                      <w:sz w:val="20"/>
                    </w:rPr>
                  </w:pPr>
                  <w:r>
                    <w:rPr>
                      <w:i/>
                      <w:color w:val="231F20"/>
                      <w:sz w:val="20"/>
                    </w:rPr>
                    <w:t>EPA, DELWP and Sustainability Victoria as environment regulators. </w:t>
                  </w:r>
                  <w:r>
                    <w:rPr>
                      <w:color w:val="231F20"/>
                      <w:sz w:val="20"/>
                    </w:rPr>
                    <w:t>(Law Institute of Victoria submission, p. 3)</w:t>
                  </w:r>
                </w:p>
              </w:txbxContent>
            </v:textbox>
            <w10:wrap type="none"/>
          </v:shape>
        </w:pict>
      </w:r>
      <w:r>
        <w:rPr/>
        <w:pict>
          <v:shape style="position:absolute;margin-left:69.866096pt;margin-top:365.153961pt;width:429.8pt;height:71.7pt;mso-position-horizontal-relative:page;mso-position-vertical-relative:page;z-index:-188536" type="#_x0000_t202" filled="false" stroked="false">
            <v:textbox inset="0,0,0,0">
              <w:txbxContent>
                <w:p>
                  <w:pPr>
                    <w:pStyle w:val="BodyText"/>
                    <w:spacing w:line="224" w:lineRule="exact"/>
                  </w:pPr>
                  <w:r>
                    <w:rPr>
                      <w:color w:val="0095A7"/>
                    </w:rPr>
                    <w:t>7.2.3  As a protector of the environment</w:t>
                  </w:r>
                </w:p>
                <w:p>
                  <w:pPr>
                    <w:pStyle w:val="BodyText"/>
                    <w:spacing w:line="280" w:lineRule="auto" w:before="153"/>
                    <w:ind w:hanging="1"/>
                  </w:pPr>
                  <w:r>
                    <w:rPr>
                      <w:color w:val="58595B"/>
                    </w:rPr>
                    <w:t>Many of Victoria’s environmental indicators are in gradual and long term decline,</w:t>
                  </w:r>
                  <w:r>
                    <w:rPr>
                      <w:color w:val="58595B"/>
                      <w:position w:val="7"/>
                      <w:sz w:val="11"/>
                    </w:rPr>
                    <w:t>11 </w:t>
                  </w:r>
                  <w:r>
                    <w:rPr>
                      <w:color w:val="58595B"/>
                    </w:rPr>
                    <w:t>despite efforts of the government, business, not-for-profit and community sectors. Members of the community and environmental groups raised these concerns, which pose fundamental questions about the EPA’s role within the government’s approach to environment protection.</w:t>
                  </w:r>
                </w:p>
              </w:txbxContent>
            </v:textbox>
            <w10:wrap type="none"/>
          </v:shape>
        </w:pict>
      </w:r>
      <w:r>
        <w:rPr/>
        <w:pict>
          <v:shape style="position:absolute;margin-left:69.869003pt;margin-top:446.826965pt;width:427.25pt;height:79.5pt;mso-position-horizontal-relative:page;mso-position-vertical-relative:page;z-index:-188512" type="#_x0000_t202" filled="false" stroked="false">
            <v:textbox inset="0,0,0,0">
              <w:txbxContent>
                <w:p>
                  <w:pPr>
                    <w:pStyle w:val="BodyText"/>
                    <w:spacing w:line="280" w:lineRule="auto"/>
                    <w:ind w:right="18"/>
                  </w:pPr>
                  <w:r>
                    <w:rPr>
                      <w:color w:val="58595B"/>
                    </w:rPr>
                    <w:t>We consider it important for the </w:t>
                  </w:r>
                  <w:r>
                    <w:rPr>
                      <w:color w:val="58595B"/>
                      <w:spacing w:val="-4"/>
                    </w:rPr>
                    <w:t>EPA </w:t>
                  </w:r>
                  <w:r>
                    <w:rPr>
                      <w:color w:val="58595B"/>
                    </w:rPr>
                    <w:t>to retain its focus on managing pollution and waste impacts – this approach provides benefits of specialisation and focus. But, the </w:t>
                  </w:r>
                  <w:r>
                    <w:rPr>
                      <w:color w:val="58595B"/>
                      <w:spacing w:val="-4"/>
                    </w:rPr>
                    <w:t>EPA </w:t>
                  </w:r>
                  <w:r>
                    <w:rPr>
                      <w:color w:val="58595B"/>
                    </w:rPr>
                    <w:t>does have an important role in broader environment protection, which DELWP leads. At times, the </w:t>
                  </w:r>
                  <w:r>
                    <w:rPr>
                      <w:color w:val="58595B"/>
                      <w:spacing w:val="-4"/>
                    </w:rPr>
                    <w:t>EPA </w:t>
                  </w:r>
                  <w:r>
                    <w:rPr>
                      <w:color w:val="58595B"/>
                    </w:rPr>
                    <w:t>will work closely with DELWP and other government agencies, to address common threats (such as urban encroachment) or to determine the most effective intervention to manage pressures on natural systems (such as</w:t>
                  </w:r>
                  <w:r>
                    <w:rPr>
                      <w:color w:val="58595B"/>
                      <w:spacing w:val="-30"/>
                    </w:rPr>
                    <w:t> </w:t>
                  </w:r>
                  <w:r>
                    <w:rPr>
                      <w:color w:val="58595B"/>
                    </w:rPr>
                    <w:t>waterways).</w:t>
                  </w:r>
                </w:p>
              </w:txbxContent>
            </v:textbox>
            <w10:wrap type="none"/>
          </v:shape>
        </w:pict>
      </w:r>
      <w:r>
        <w:rPr/>
        <w:pict>
          <v:shape style="position:absolute;margin-left:69.866096pt;margin-top:538.966248pt;width:423.4pt;height:103.8pt;mso-position-horizontal-relative:page;mso-position-vertical-relative:page;z-index:-188488" type="#_x0000_t202" filled="false" stroked="false">
            <v:textbox inset="0,0,0,0">
              <w:txbxContent>
                <w:p>
                  <w:pPr>
                    <w:spacing w:line="265" w:lineRule="exact" w:before="0"/>
                    <w:ind w:left="20" w:right="0" w:firstLine="0"/>
                    <w:jc w:val="left"/>
                    <w:rPr>
                      <w:sz w:val="24"/>
                    </w:rPr>
                  </w:pPr>
                  <w:r>
                    <w:rPr>
                      <w:color w:val="0095A7"/>
                      <w:spacing w:val="-8"/>
                      <w:sz w:val="24"/>
                    </w:rPr>
                    <w:t>7.3  </w:t>
                  </w:r>
                  <w:r>
                    <w:rPr>
                      <w:color w:val="0095A7"/>
                      <w:sz w:val="24"/>
                    </w:rPr>
                    <w:t>Improving whole-of-government management of environmental</w:t>
                  </w:r>
                  <w:r>
                    <w:rPr>
                      <w:color w:val="0095A7"/>
                      <w:spacing w:val="64"/>
                      <w:sz w:val="24"/>
                    </w:rPr>
                    <w:t> </w:t>
                  </w:r>
                  <w:r>
                    <w:rPr>
                      <w:color w:val="0095A7"/>
                      <w:sz w:val="24"/>
                    </w:rPr>
                    <w:t>risks</w:t>
                  </w:r>
                </w:p>
                <w:p>
                  <w:pPr>
                    <w:pStyle w:val="BodyText"/>
                    <w:spacing w:line="280" w:lineRule="auto" w:before="145"/>
                  </w:pPr>
                  <w:r>
                    <w:rPr>
                      <w:color w:val="58595B"/>
                    </w:rPr>
                    <w:t>The EPA of the future needs effective institutional arrangements to deal with Victoria’s complex environment protection framework, including:</w:t>
                  </w:r>
                </w:p>
                <w:p>
                  <w:pPr>
                    <w:pStyle w:val="ListParagraph"/>
                    <w:numPr>
                      <w:ilvl w:val="0"/>
                      <w:numId w:val="48"/>
                    </w:numPr>
                    <w:tabs>
                      <w:tab w:pos="190" w:val="left" w:leader="none"/>
                    </w:tabs>
                    <w:spacing w:line="240" w:lineRule="auto" w:before="115" w:after="0"/>
                    <w:ind w:left="190" w:right="0" w:hanging="170"/>
                    <w:jc w:val="left"/>
                    <w:rPr>
                      <w:sz w:val="20"/>
                    </w:rPr>
                  </w:pPr>
                  <w:r>
                    <w:rPr>
                      <w:color w:val="58595B"/>
                      <w:sz w:val="20"/>
                    </w:rPr>
                    <w:t>clearly defined</w:t>
                  </w:r>
                  <w:r>
                    <w:rPr>
                      <w:color w:val="58595B"/>
                      <w:spacing w:val="10"/>
                      <w:sz w:val="20"/>
                    </w:rPr>
                    <w:t> </w:t>
                  </w:r>
                  <w:r>
                    <w:rPr>
                      <w:color w:val="58595B"/>
                      <w:sz w:val="20"/>
                    </w:rPr>
                    <w:t>objectives</w:t>
                  </w:r>
                </w:p>
                <w:p>
                  <w:pPr>
                    <w:pStyle w:val="ListParagraph"/>
                    <w:numPr>
                      <w:ilvl w:val="0"/>
                      <w:numId w:val="48"/>
                    </w:numPr>
                    <w:tabs>
                      <w:tab w:pos="190" w:val="left" w:leader="none"/>
                    </w:tabs>
                    <w:spacing w:line="240" w:lineRule="auto" w:before="153" w:after="0"/>
                    <w:ind w:left="190" w:right="0" w:hanging="170"/>
                    <w:jc w:val="left"/>
                    <w:rPr>
                      <w:sz w:val="20"/>
                    </w:rPr>
                  </w:pPr>
                  <w:r>
                    <w:rPr>
                      <w:color w:val="58595B"/>
                      <w:sz w:val="20"/>
                    </w:rPr>
                    <w:t>appropriately allocated roles and</w:t>
                  </w:r>
                  <w:r>
                    <w:rPr>
                      <w:color w:val="58595B"/>
                      <w:spacing w:val="10"/>
                      <w:sz w:val="20"/>
                    </w:rPr>
                    <w:t> </w:t>
                  </w:r>
                  <w:r>
                    <w:rPr>
                      <w:color w:val="58595B"/>
                      <w:sz w:val="20"/>
                    </w:rPr>
                    <w:t>responsibilities</w:t>
                  </w:r>
                </w:p>
                <w:p>
                  <w:pPr>
                    <w:pStyle w:val="ListParagraph"/>
                    <w:numPr>
                      <w:ilvl w:val="0"/>
                      <w:numId w:val="48"/>
                    </w:numPr>
                    <w:tabs>
                      <w:tab w:pos="190" w:val="left" w:leader="none"/>
                    </w:tabs>
                    <w:spacing w:line="240" w:lineRule="auto" w:before="153" w:after="0"/>
                    <w:ind w:left="190" w:right="0" w:hanging="170"/>
                    <w:jc w:val="left"/>
                    <w:rPr>
                      <w:sz w:val="11"/>
                    </w:rPr>
                  </w:pPr>
                  <w:r>
                    <w:rPr>
                      <w:color w:val="58595B"/>
                      <w:sz w:val="20"/>
                    </w:rPr>
                    <w:t>effective mechanisms to promote coordination between agencies and levels of</w:t>
                  </w:r>
                  <w:r>
                    <w:rPr>
                      <w:color w:val="58595B"/>
                      <w:spacing w:val="27"/>
                      <w:sz w:val="20"/>
                    </w:rPr>
                    <w:t> </w:t>
                  </w:r>
                  <w:r>
                    <w:rPr>
                      <w:color w:val="58595B"/>
                      <w:spacing w:val="-3"/>
                      <w:sz w:val="20"/>
                    </w:rPr>
                    <w:t>government.</w:t>
                  </w:r>
                  <w:r>
                    <w:rPr>
                      <w:color w:val="58595B"/>
                      <w:spacing w:val="-3"/>
                      <w:position w:val="7"/>
                      <w:sz w:val="11"/>
                    </w:rPr>
                    <w:t>12</w:t>
                  </w:r>
                </w:p>
              </w:txbxContent>
            </v:textbox>
            <w10:wrap type="none"/>
          </v:shape>
        </w:pict>
      </w:r>
      <w:r>
        <w:rPr/>
        <w:pict>
          <v:shape style="position:absolute;margin-left:69.866096pt;margin-top:652.767944pt;width:424.75pt;height:117.85pt;mso-position-horizontal-relative:page;mso-position-vertical-relative:page;z-index:-188464" type="#_x0000_t202" filled="false" stroked="false">
            <v:textbox inset="0,0,0,0">
              <w:txbxContent>
                <w:p>
                  <w:pPr>
                    <w:pStyle w:val="BodyText"/>
                    <w:spacing w:line="280" w:lineRule="auto"/>
                  </w:pPr>
                  <w:r>
                    <w:rPr>
                      <w:color w:val="58595B"/>
                    </w:rPr>
                    <w:t>We consider that new and strengthened mechanisms for collaboration and coordination across government are needed in the following key areas:</w:t>
                  </w:r>
                </w:p>
                <w:p>
                  <w:pPr>
                    <w:pStyle w:val="ListParagraph"/>
                    <w:numPr>
                      <w:ilvl w:val="0"/>
                      <w:numId w:val="49"/>
                    </w:numPr>
                    <w:tabs>
                      <w:tab w:pos="190" w:val="left" w:leader="none"/>
                    </w:tabs>
                    <w:spacing w:line="280" w:lineRule="auto" w:before="115" w:after="0"/>
                    <w:ind w:left="190" w:right="17" w:hanging="170"/>
                    <w:jc w:val="left"/>
                    <w:rPr>
                      <w:sz w:val="20"/>
                    </w:rPr>
                  </w:pPr>
                  <w:r>
                    <w:rPr>
                      <w:b/>
                      <w:color w:val="58595B"/>
                      <w:sz w:val="20"/>
                    </w:rPr>
                    <w:t>Whole of Victorian Government commitments</w:t>
                  </w:r>
                  <w:r>
                    <w:rPr>
                      <w:color w:val="58595B"/>
                      <w:sz w:val="20"/>
                    </w:rPr>
                    <w:t>, to identify consistent principles and overarching strategies, assess the most effective points for government intervention, and coordinate implementation – for example, on environmental justice or new policy measures to reduce Victoria’s greenhouse gas</w:t>
                  </w:r>
                  <w:r>
                    <w:rPr>
                      <w:color w:val="58595B"/>
                      <w:spacing w:val="-4"/>
                      <w:sz w:val="20"/>
                    </w:rPr>
                    <w:t> </w:t>
                  </w:r>
                  <w:r>
                    <w:rPr>
                      <w:color w:val="58595B"/>
                      <w:sz w:val="20"/>
                    </w:rPr>
                    <w:t>emissions.</w:t>
                  </w:r>
                </w:p>
                <w:p>
                  <w:pPr>
                    <w:pStyle w:val="ListParagraph"/>
                    <w:numPr>
                      <w:ilvl w:val="0"/>
                      <w:numId w:val="49"/>
                    </w:numPr>
                    <w:tabs>
                      <w:tab w:pos="190" w:val="left" w:leader="none"/>
                    </w:tabs>
                    <w:spacing w:line="280" w:lineRule="auto" w:before="115" w:after="0"/>
                    <w:ind w:left="190" w:right="320" w:hanging="170"/>
                    <w:jc w:val="left"/>
                    <w:rPr>
                      <w:sz w:val="20"/>
                    </w:rPr>
                  </w:pPr>
                  <w:r>
                    <w:rPr>
                      <w:b/>
                      <w:color w:val="58595B"/>
                      <w:sz w:val="20"/>
                    </w:rPr>
                    <w:t>Complex issues or sectors</w:t>
                  </w:r>
                  <w:r>
                    <w:rPr>
                      <w:color w:val="58595B"/>
                      <w:sz w:val="20"/>
                    </w:rPr>
                    <w:t>, to apply coordinated, systems-based approaches that avoid regulatory gaps, overlaps and perverse</w:t>
                  </w:r>
                  <w:r>
                    <w:rPr>
                      <w:color w:val="58595B"/>
                      <w:spacing w:val="11"/>
                      <w:sz w:val="20"/>
                    </w:rPr>
                    <w:t> </w:t>
                  </w:r>
                  <w:r>
                    <w:rPr>
                      <w:color w:val="58595B"/>
                      <w:sz w:val="20"/>
                    </w:rPr>
                    <w:t>outcomes.</w:t>
                  </w:r>
                </w:p>
              </w:txbxContent>
            </v:textbox>
            <w10:wrap type="none"/>
          </v:shape>
        </w:pict>
      </w:r>
      <w:r>
        <w:rPr/>
        <w:pict>
          <v:shape style="position:absolute;margin-left:.0pt;margin-top:44.090015pt;width:60.3pt;height:5.25pt;mso-position-horizontal-relative:page;mso-position-vertical-relative:page;z-index:-18844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8841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88392" from="534.996094pt,45.840015pt" to="595.276001pt,45.840015pt" stroked="true" strokeweight="7pt" strokecolor="#0095a7">
            <w10:wrap type="none"/>
          </v:line>
        </w:pict>
      </w:r>
      <w:r>
        <w:rPr/>
        <w:pict>
          <v:shape style="position:absolute;margin-left:163.582199pt;margin-top:40.902756pt;width:336.3pt;height:9.5pt;mso-position-horizontal-relative:page;mso-position-vertical-relative:page;z-index:-188368" type="#_x0000_t202" filled="false" stroked="false">
            <v:textbox inset="0,0,0,0">
              <w:txbxContent>
                <w:p>
                  <w:pPr>
                    <w:spacing w:before="1"/>
                    <w:ind w:left="20" w:right="0" w:firstLine="0"/>
                    <w:jc w:val="left"/>
                    <w:rPr>
                      <w:sz w:val="15"/>
                    </w:rPr>
                  </w:pPr>
                  <w:r>
                    <w:rPr>
                      <w:color w:val="58595B"/>
                      <w:sz w:val="15"/>
                    </w:rPr>
                    <w:t>CHAPTER 7    THE EPA’S ROLE WITHIN VICTORIA’S ENVIRONMENT PROTECTION REGIME</w:t>
                  </w:r>
                </w:p>
              </w:txbxContent>
            </v:textbox>
            <w10:wrap type="none"/>
          </v:shape>
        </w:pict>
      </w:r>
      <w:r>
        <w:rPr/>
        <w:pict>
          <v:shape style="position:absolute;margin-left:511.304688pt;margin-top:40.902756pt;width:14.1pt;height:9.5pt;mso-position-horizontal-relative:page;mso-position-vertical-relative:page;z-index:-188344" type="#_x0000_t202" filled="false" stroked="false">
            <v:textbox inset="0,0,0,0">
              <w:txbxContent>
                <w:p>
                  <w:pPr>
                    <w:spacing w:before="1"/>
                    <w:ind w:left="20" w:right="-9" w:firstLine="0"/>
                    <w:jc w:val="left"/>
                    <w:rPr>
                      <w:sz w:val="15"/>
                    </w:rPr>
                  </w:pPr>
                  <w:r>
                    <w:rPr>
                      <w:color w:val="58595B"/>
                      <w:sz w:val="15"/>
                    </w:rPr>
                    <w:t>131</w:t>
                  </w:r>
                </w:p>
              </w:txbxContent>
            </v:textbox>
            <w10:wrap type="none"/>
          </v:shape>
        </w:pict>
      </w:r>
      <w:r>
        <w:rPr/>
        <w:pict>
          <v:shape style="position:absolute;margin-left:89.709602pt;margin-top:105.893967pt;width:432.65pt;height:90.85pt;mso-position-horizontal-relative:page;mso-position-vertical-relative:page;z-index:-188320" type="#_x0000_t202" filled="false" stroked="false">
            <v:textbox inset="0,0,0,0">
              <w:txbxContent>
                <w:p>
                  <w:pPr>
                    <w:pStyle w:val="ListParagraph"/>
                    <w:numPr>
                      <w:ilvl w:val="0"/>
                      <w:numId w:val="50"/>
                    </w:numPr>
                    <w:tabs>
                      <w:tab w:pos="190" w:val="left" w:leader="none"/>
                    </w:tabs>
                    <w:spacing w:line="280" w:lineRule="auto" w:before="0" w:after="0"/>
                    <w:ind w:left="190" w:right="56" w:hanging="170"/>
                    <w:jc w:val="left"/>
                    <w:rPr>
                      <w:sz w:val="20"/>
                    </w:rPr>
                  </w:pPr>
                  <w:r>
                    <w:rPr>
                      <w:b/>
                      <w:color w:val="58595B"/>
                      <w:sz w:val="20"/>
                    </w:rPr>
                    <w:t>High level strategic planning</w:t>
                  </w:r>
                  <w:r>
                    <w:rPr>
                      <w:color w:val="58595B"/>
                      <w:sz w:val="20"/>
                    </w:rPr>
                    <w:t>, to ensure that decision making is appropriately informed about potential risks, issues and options early in the</w:t>
                  </w:r>
                  <w:r>
                    <w:rPr>
                      <w:color w:val="58595B"/>
                      <w:spacing w:val="7"/>
                      <w:sz w:val="20"/>
                    </w:rPr>
                    <w:t> </w:t>
                  </w:r>
                  <w:r>
                    <w:rPr>
                      <w:color w:val="58595B"/>
                      <w:sz w:val="20"/>
                    </w:rPr>
                    <w:t>process.</w:t>
                  </w:r>
                </w:p>
                <w:p>
                  <w:pPr>
                    <w:pStyle w:val="ListParagraph"/>
                    <w:numPr>
                      <w:ilvl w:val="0"/>
                      <w:numId w:val="50"/>
                    </w:numPr>
                    <w:tabs>
                      <w:tab w:pos="190" w:val="left" w:leader="none"/>
                    </w:tabs>
                    <w:spacing w:line="280" w:lineRule="auto" w:before="115" w:after="0"/>
                    <w:ind w:left="190" w:right="832" w:hanging="170"/>
                    <w:jc w:val="left"/>
                    <w:rPr>
                      <w:sz w:val="20"/>
                    </w:rPr>
                  </w:pPr>
                  <w:r>
                    <w:rPr>
                      <w:b/>
                      <w:color w:val="58595B"/>
                      <w:sz w:val="20"/>
                    </w:rPr>
                    <w:t>Major emerging challenges and entrenched problems </w:t>
                  </w:r>
                  <w:r>
                    <w:rPr>
                      <w:color w:val="58595B"/>
                      <w:sz w:val="20"/>
                    </w:rPr>
                    <w:t>that affect various areas of government, to facilitate multi-agency solutions and apply the right mix of</w:t>
                  </w:r>
                  <w:r>
                    <w:rPr>
                      <w:color w:val="58595B"/>
                      <w:spacing w:val="5"/>
                      <w:sz w:val="20"/>
                    </w:rPr>
                    <w:t> </w:t>
                  </w:r>
                  <w:r>
                    <w:rPr>
                      <w:color w:val="58595B"/>
                      <w:sz w:val="20"/>
                    </w:rPr>
                    <w:t>instruments.</w:t>
                  </w:r>
                </w:p>
                <w:p>
                  <w:pPr>
                    <w:pStyle w:val="ListParagraph"/>
                    <w:numPr>
                      <w:ilvl w:val="0"/>
                      <w:numId w:val="50"/>
                    </w:numPr>
                    <w:tabs>
                      <w:tab w:pos="190" w:val="left" w:leader="none"/>
                    </w:tabs>
                    <w:spacing w:line="280" w:lineRule="auto" w:before="115" w:after="0"/>
                    <w:ind w:left="190" w:right="17" w:hanging="170"/>
                    <w:jc w:val="left"/>
                    <w:rPr>
                      <w:sz w:val="20"/>
                    </w:rPr>
                  </w:pPr>
                  <w:r>
                    <w:rPr>
                      <w:b/>
                      <w:color w:val="58595B"/>
                      <w:sz w:val="20"/>
                    </w:rPr>
                    <w:t>Enhanced information sharing</w:t>
                  </w:r>
                  <w:r>
                    <w:rPr>
                      <w:color w:val="58595B"/>
                      <w:sz w:val="20"/>
                    </w:rPr>
                    <w:t>, to support environmental and public health management and improve transparency and accountability to the Victorian</w:t>
                  </w:r>
                  <w:r>
                    <w:rPr>
                      <w:color w:val="58595B"/>
                      <w:spacing w:val="3"/>
                      <w:sz w:val="20"/>
                    </w:rPr>
                    <w:t> </w:t>
                  </w:r>
                  <w:r>
                    <w:rPr>
                      <w:color w:val="58595B"/>
                      <w:sz w:val="20"/>
                    </w:rPr>
                    <w:t>community.</w:t>
                  </w:r>
                </w:p>
              </w:txbxContent>
            </v:textbox>
            <w10:wrap type="none"/>
          </v:shape>
        </w:pict>
      </w:r>
      <w:r>
        <w:rPr/>
        <w:pict>
          <v:shape style="position:absolute;margin-left:89.709602pt;margin-top:206.733963pt;width:435.65pt;height:39pt;mso-position-horizontal-relative:page;mso-position-vertical-relative:page;z-index:-188296" type="#_x0000_t202" filled="false" stroked="false">
            <v:textbox inset="0,0,0,0">
              <w:txbxContent>
                <w:p>
                  <w:pPr>
                    <w:pStyle w:val="BodyText"/>
                    <w:spacing w:line="280" w:lineRule="auto"/>
                    <w:ind w:right="-10"/>
                  </w:pPr>
                  <w:r>
                    <w:rPr>
                      <w:color w:val="58595B"/>
                    </w:rPr>
                    <w:t>There is value in giving some of these activities a statutory basis through a new legislative framework that applies to all agencies with roles and responsibilities in protecting the environment and public health.</w:t>
                  </w:r>
                </w:p>
              </w:txbxContent>
            </v:textbox>
            <w10:wrap type="none"/>
          </v:shape>
        </w:pict>
      </w:r>
      <w:r>
        <w:rPr/>
        <w:pict>
          <v:shape style="position:absolute;margin-left:89.709602pt;margin-top:259.993958pt;width:407.35pt;height:85.2pt;mso-position-horizontal-relative:page;mso-position-vertical-relative:page;z-index:-188272" type="#_x0000_t202" filled="false" stroked="false">
            <v:textbox inset="0,0,0,0">
              <w:txbxContent>
                <w:p>
                  <w:pPr>
                    <w:pStyle w:val="BodyText"/>
                    <w:spacing w:line="224" w:lineRule="exact"/>
                  </w:pPr>
                  <w:r>
                    <w:rPr>
                      <w:color w:val="0095A7"/>
                    </w:rPr>
                    <w:t>7.3.1  An overarching Environmental Protection (Integration and Coordination) Act</w:t>
                  </w:r>
                </w:p>
                <w:p>
                  <w:pPr>
                    <w:pStyle w:val="BodyText"/>
                    <w:spacing w:line="280" w:lineRule="auto" w:before="153"/>
                    <w:ind w:right="36"/>
                  </w:pPr>
                  <w:r>
                    <w:rPr>
                      <w:color w:val="58595B"/>
                    </w:rPr>
                    <w:t>We recommend creating an Environmental Protection (Integration and Coordination) Act – as new overarching legislation for environment protection and management led by </w:t>
                  </w:r>
                  <w:r>
                    <w:rPr>
                      <w:color w:val="58595B"/>
                      <w:spacing w:val="-6"/>
                    </w:rPr>
                    <w:t>DELWP. </w:t>
                  </w:r>
                  <w:r>
                    <w:rPr>
                      <w:color w:val="58595B"/>
                    </w:rPr>
                    <w:t>This legislation will provide a shared vision, objectives and principles that relevant agencies could apply in exercising their powers, and established mechanisms for coordination  across</w:t>
                  </w:r>
                  <w:r>
                    <w:rPr>
                      <w:color w:val="58595B"/>
                      <w:spacing w:val="-1"/>
                    </w:rPr>
                    <w:t> </w:t>
                  </w:r>
                  <w:r>
                    <w:rPr>
                      <w:color w:val="58595B"/>
                    </w:rPr>
                    <w:t>government.</w:t>
                  </w:r>
                </w:p>
              </w:txbxContent>
            </v:textbox>
            <w10:wrap type="none"/>
          </v:shape>
        </w:pict>
      </w:r>
      <w:r>
        <w:rPr/>
        <w:pict>
          <v:shape style="position:absolute;margin-left:118.059601pt;margin-top:355.163971pt;width:378.5pt;height:66pt;mso-position-horizontal-relative:page;mso-position-vertical-relative:page;z-index:-188248" type="#_x0000_t202" filled="false" stroked="false">
            <v:textbox inset="0,0,0,0">
              <w:txbxContent>
                <w:p>
                  <w:pPr>
                    <w:spacing w:line="280" w:lineRule="auto" w:before="0"/>
                    <w:ind w:left="20" w:right="43" w:firstLine="0"/>
                    <w:jc w:val="left"/>
                    <w:rPr>
                      <w:sz w:val="20"/>
                    </w:rPr>
                  </w:pPr>
                  <w:r>
                    <w:rPr>
                      <w:i/>
                      <w:color w:val="231F20"/>
                      <w:spacing w:val="2"/>
                      <w:sz w:val="20"/>
                    </w:rPr>
                    <w:t>[T]here </w:t>
                  </w:r>
                  <w:r>
                    <w:rPr>
                      <w:i/>
                      <w:color w:val="231F20"/>
                      <w:sz w:val="20"/>
                    </w:rPr>
                    <w:t>is a need for a whole-of-government strategy and approach to environmental protection and improvement that clarifies the roles of all the relevant organisations including EPA, the Commissioner for Environmental Sustainability, the Department of Environment Land Water and Planning (DELWP), Sustainability Victoria and the water businesses. </w:t>
                  </w:r>
                  <w:r>
                    <w:rPr>
                      <w:color w:val="231F20"/>
                      <w:sz w:val="20"/>
                    </w:rPr>
                    <w:t>(City West Water submission, p.</w:t>
                  </w:r>
                  <w:r>
                    <w:rPr>
                      <w:color w:val="231F20"/>
                      <w:spacing w:val="-24"/>
                      <w:sz w:val="20"/>
                    </w:rPr>
                    <w:t> </w:t>
                  </w:r>
                  <w:r>
                    <w:rPr>
                      <w:color w:val="231F20"/>
                      <w:spacing w:val="-7"/>
                      <w:sz w:val="20"/>
                    </w:rPr>
                    <w:t>1)</w:t>
                  </w:r>
                </w:p>
              </w:txbxContent>
            </v:textbox>
            <w10:wrap type="none"/>
          </v:shape>
        </w:pict>
      </w:r>
      <w:r>
        <w:rPr/>
        <w:pict>
          <v:shape style="position:absolute;margin-left:89.709602pt;margin-top:431.163971pt;width:423.05pt;height:39pt;mso-position-horizontal-relative:page;mso-position-vertical-relative:page;z-index:-188224" type="#_x0000_t202" filled="false" stroked="false">
            <v:textbox inset="0,0,0,0">
              <w:txbxContent>
                <w:p>
                  <w:pPr>
                    <w:pStyle w:val="BodyText"/>
                    <w:spacing w:line="280" w:lineRule="auto"/>
                    <w:ind w:right="-17"/>
                  </w:pPr>
                  <w:r>
                    <w:rPr>
                      <w:color w:val="58595B"/>
                    </w:rPr>
                    <w:t>The proposed legislation provides mechanisms for clarifying roles and responsibilities in joint regulation, and coordinated monitoring and reporting. The OECD recognised the need for such formal mechanisms to address regulatory overlap and empower coordination:</w:t>
                  </w:r>
                </w:p>
              </w:txbxContent>
            </v:textbox>
            <w10:wrap type="none"/>
          </v:shape>
        </w:pict>
      </w:r>
      <w:r>
        <w:rPr/>
        <w:pict>
          <v:shape style="position:absolute;margin-left:118.059601pt;margin-top:480.163971pt;width:375.25pt;height:39pt;mso-position-horizontal-relative:page;mso-position-vertical-relative:page;z-index:-188200" type="#_x0000_t202" filled="false" stroked="false">
            <v:textbox inset="0,0,0,0">
              <w:txbxContent>
                <w:p>
                  <w:pPr>
                    <w:spacing w:line="280" w:lineRule="auto" w:before="0"/>
                    <w:ind w:left="20" w:right="0" w:firstLine="0"/>
                    <w:jc w:val="left"/>
                    <w:rPr>
                      <w:sz w:val="20"/>
                    </w:rPr>
                  </w:pPr>
                  <w:r>
                    <w:rPr>
                      <w:i/>
                      <w:color w:val="231F20"/>
                      <w:sz w:val="20"/>
                    </w:rPr>
                    <w:t>To reduce overlap and regulatory burden, all regulators should be explicitly empowered and required to cooperate with other bodies (non-government and other levels of government) where this will assist in meeting their common objectives.</w:t>
                  </w:r>
                  <w:r>
                    <w:rPr>
                      <w:color w:val="231F20"/>
                      <w:sz w:val="20"/>
                    </w:rPr>
                    <w:t>13</w:t>
                  </w:r>
                </w:p>
              </w:txbxContent>
            </v:textbox>
            <w10:wrap type="none"/>
          </v:shape>
        </w:pict>
      </w:r>
      <w:r>
        <w:rPr/>
        <w:pict>
          <v:shape style="position:absolute;margin-left:89.709602pt;margin-top:529.16394pt;width:413.55pt;height:79.5pt;mso-position-horizontal-relative:page;mso-position-vertical-relative:page;z-index:-188176" type="#_x0000_t202" filled="false" stroked="false">
            <v:textbox inset="0,0,0,0">
              <w:txbxContent>
                <w:p>
                  <w:pPr>
                    <w:pStyle w:val="BodyText"/>
                    <w:spacing w:line="280" w:lineRule="auto"/>
                    <w:ind w:right="120"/>
                  </w:pPr>
                  <w:r>
                    <w:rPr>
                      <w:color w:val="58595B"/>
                    </w:rPr>
                    <w:t>Victoria </w:t>
                  </w:r>
                  <w:r>
                    <w:rPr>
                      <w:color w:val="58595B"/>
                      <w:spacing w:val="-3"/>
                    </w:rPr>
                    <w:t>already </w:t>
                  </w:r>
                  <w:r>
                    <w:rPr>
                      <w:color w:val="58595B"/>
                    </w:rPr>
                    <w:t>has </w:t>
                  </w:r>
                  <w:r>
                    <w:rPr>
                      <w:color w:val="58595B"/>
                      <w:spacing w:val="-3"/>
                    </w:rPr>
                    <w:t>several </w:t>
                  </w:r>
                  <w:r>
                    <w:rPr>
                      <w:color w:val="58595B"/>
                    </w:rPr>
                    <w:t>legislative instruments that provide models for these proposed arrangements. For example, the </w:t>
                  </w:r>
                  <w:r>
                    <w:rPr>
                      <w:i/>
                      <w:color w:val="58595B"/>
                    </w:rPr>
                    <w:t>Transport Integration Act </w:t>
                  </w:r>
                  <w:r>
                    <w:rPr>
                      <w:i/>
                      <w:color w:val="58595B"/>
                      <w:spacing w:val="-3"/>
                    </w:rPr>
                    <w:t>2010 </w:t>
                  </w:r>
                  <w:r>
                    <w:rPr>
                      <w:color w:val="58595B"/>
                    </w:rPr>
                    <w:t>provides a vision statement, objectives and principles for separate entities exercising powers or performing functions in  a related space. This Act also provides coordination mechanisms by allowing</w:t>
                  </w:r>
                  <w:r>
                    <w:rPr>
                      <w:color w:val="58595B"/>
                      <w:spacing w:val="-3"/>
                    </w:rPr>
                    <w:t> </w:t>
                  </w:r>
                  <w:r>
                    <w:rPr>
                      <w:color w:val="58595B"/>
                    </w:rPr>
                    <w:t>government</w:t>
                  </w:r>
                </w:p>
                <w:p>
                  <w:pPr>
                    <w:pStyle w:val="BodyText"/>
                    <w:spacing w:line="280" w:lineRule="auto" w:before="2"/>
                    <w:ind w:right="17"/>
                  </w:pPr>
                  <w:r>
                    <w:rPr>
                      <w:color w:val="58595B"/>
                    </w:rPr>
                    <w:t>(through an Order in Council) to bring a public body within the framework, either as part of its general operations or when carrying out particular functions or powers.</w:t>
                  </w:r>
                </w:p>
              </w:txbxContent>
            </v:textbox>
            <w10:wrap type="none"/>
          </v:shape>
        </w:pict>
      </w:r>
      <w:r>
        <w:rPr/>
        <w:pict>
          <v:shape style="position:absolute;margin-left:89.709602pt;margin-top:618.66394pt;width:433.25pt;height:66pt;mso-position-horizontal-relative:page;mso-position-vertical-relative:page;z-index:-188152" type="#_x0000_t202" filled="false" stroked="false">
            <v:textbox inset="0,0,0,0">
              <w:txbxContent>
                <w:p>
                  <w:pPr>
                    <w:pStyle w:val="BodyText"/>
                    <w:spacing w:line="280" w:lineRule="auto"/>
                  </w:pPr>
                  <w:r>
                    <w:rPr>
                      <w:color w:val="58595B"/>
                    </w:rPr>
                    <w:t>The </w:t>
                  </w:r>
                  <w:r>
                    <w:rPr>
                      <w:i/>
                      <w:color w:val="58595B"/>
                    </w:rPr>
                    <w:t>Child Safety and Wellbeing Act 2005 </w:t>
                  </w:r>
                  <w:r>
                    <w:rPr>
                      <w:color w:val="58595B"/>
                    </w:rPr>
                    <w:t>introduced the Children’s Services Coordination Board to improve child protection outcomes. The Board consists of key decision makers from relevant departments and agencies, including Victoria Police, the Department of Premier and Cabinet, the Department of Treasury and Finance, the Department of Education and Training, DHHS and the Department of Justice and Regulation.</w:t>
                  </w:r>
                </w:p>
              </w:txbxContent>
            </v:textbox>
            <w10:wrap type="none"/>
          </v:shape>
        </w:pict>
      </w:r>
      <w:r>
        <w:rPr/>
        <w:pict>
          <v:shape style="position:absolute;margin-left:89.709602pt;margin-top:694.66394pt;width:435.7pt;height:93pt;mso-position-horizontal-relative:page;mso-position-vertical-relative:page;z-index:-188128" type="#_x0000_t202" filled="false" stroked="false">
            <v:textbox inset="0,0,0,0">
              <w:txbxContent>
                <w:p>
                  <w:pPr>
                    <w:pStyle w:val="BodyText"/>
                    <w:spacing w:line="280" w:lineRule="auto"/>
                    <w:ind w:right="368"/>
                  </w:pPr>
                  <w:r>
                    <w:rPr>
                      <w:color w:val="58595B"/>
                    </w:rPr>
                    <w:t>A key issue to be considered is the scope of the proposed legislation, and therefore the extent of its effect across government. The EPA’s task, and the task of government more broadly, involves considering the environment alongside economic and social factors. That task is also</w:t>
                  </w:r>
                </w:p>
                <w:p>
                  <w:pPr>
                    <w:pStyle w:val="BodyText"/>
                    <w:spacing w:line="280" w:lineRule="auto" w:before="2"/>
                    <w:ind w:right="13"/>
                  </w:pPr>
                  <w:r>
                    <w:rPr>
                      <w:color w:val="58595B"/>
                    </w:rPr>
                    <w:t>affected </w:t>
                  </w:r>
                  <w:r>
                    <w:rPr>
                      <w:color w:val="58595B"/>
                      <w:spacing w:val="-3"/>
                    </w:rPr>
                    <w:t>by </w:t>
                  </w:r>
                  <w:r>
                    <w:rPr>
                      <w:color w:val="58595B"/>
                    </w:rPr>
                    <w:t>decisions made across a range of portfolio areas. </w:t>
                  </w:r>
                  <w:r>
                    <w:rPr>
                      <w:color w:val="58595B"/>
                      <w:spacing w:val="-9"/>
                    </w:rPr>
                    <w:t>To </w:t>
                  </w:r>
                  <w:r>
                    <w:rPr>
                      <w:color w:val="58595B"/>
                    </w:rPr>
                    <w:t>produce better decision making, the overarching legislation needs to encompass those parts of government involved in the environment,</w:t>
                  </w:r>
                  <w:r>
                    <w:rPr>
                      <w:color w:val="58595B"/>
                      <w:spacing w:val="-9"/>
                    </w:rPr>
                    <w:t> </w:t>
                  </w:r>
                  <w:r>
                    <w:rPr>
                      <w:color w:val="58595B"/>
                      <w:spacing w:val="-2"/>
                    </w:rPr>
                    <w:t>liveability,</w:t>
                  </w:r>
                  <w:r>
                    <w:rPr>
                      <w:color w:val="58595B"/>
                      <w:spacing w:val="-9"/>
                    </w:rPr>
                    <w:t> </w:t>
                  </w:r>
                  <w:r>
                    <w:rPr>
                      <w:color w:val="58595B"/>
                    </w:rPr>
                    <w:t>human</w:t>
                  </w:r>
                  <w:r>
                    <w:rPr>
                      <w:color w:val="58595B"/>
                      <w:spacing w:val="-9"/>
                    </w:rPr>
                    <w:t> </w:t>
                  </w:r>
                  <w:r>
                    <w:rPr>
                      <w:color w:val="58595B"/>
                    </w:rPr>
                    <w:t>health,</w:t>
                  </w:r>
                  <w:r>
                    <w:rPr>
                      <w:color w:val="58595B"/>
                      <w:spacing w:val="-9"/>
                    </w:rPr>
                    <w:t> </w:t>
                  </w:r>
                  <w:r>
                    <w:rPr>
                      <w:color w:val="58595B"/>
                    </w:rPr>
                    <w:t>economic</w:t>
                  </w:r>
                  <w:r>
                    <w:rPr>
                      <w:color w:val="58595B"/>
                      <w:spacing w:val="-9"/>
                    </w:rPr>
                    <w:t> </w:t>
                  </w:r>
                  <w:r>
                    <w:rPr>
                      <w:color w:val="58595B"/>
                    </w:rPr>
                    <w:t>viability</w:t>
                  </w:r>
                  <w:r>
                    <w:rPr>
                      <w:color w:val="58595B"/>
                      <w:spacing w:val="-9"/>
                    </w:rPr>
                    <w:t> </w:t>
                  </w:r>
                  <w:r>
                    <w:rPr>
                      <w:color w:val="58595B"/>
                    </w:rPr>
                    <w:t>and</w:t>
                  </w:r>
                  <w:r>
                    <w:rPr>
                      <w:color w:val="58595B"/>
                      <w:spacing w:val="-9"/>
                    </w:rPr>
                    <w:t> </w:t>
                  </w:r>
                  <w:r>
                    <w:rPr>
                      <w:color w:val="58595B"/>
                    </w:rPr>
                    <w:t>sustainable</w:t>
                  </w:r>
                  <w:r>
                    <w:rPr>
                      <w:color w:val="58595B"/>
                      <w:spacing w:val="-9"/>
                    </w:rPr>
                    <w:t> </w:t>
                  </w:r>
                  <w:r>
                    <w:rPr>
                      <w:color w:val="58595B"/>
                    </w:rPr>
                    <w:t>jobs.</w:t>
                  </w:r>
                  <w:r>
                    <w:rPr>
                      <w:color w:val="58595B"/>
                      <w:spacing w:val="-9"/>
                    </w:rPr>
                    <w:t> </w:t>
                  </w:r>
                  <w:r>
                    <w:rPr>
                      <w:color w:val="58595B"/>
                    </w:rPr>
                    <w:t>It</w:t>
                  </w:r>
                  <w:r>
                    <w:rPr>
                      <w:color w:val="58595B"/>
                      <w:spacing w:val="-9"/>
                    </w:rPr>
                    <w:t> </w:t>
                  </w:r>
                  <w:r>
                    <w:rPr>
                      <w:color w:val="58595B"/>
                    </w:rPr>
                    <w:t>will</w:t>
                  </w:r>
                  <w:r>
                    <w:rPr>
                      <w:color w:val="58595B"/>
                      <w:spacing w:val="-9"/>
                    </w:rPr>
                    <w:t> </w:t>
                  </w:r>
                  <w:r>
                    <w:rPr>
                      <w:color w:val="58595B"/>
                    </w:rPr>
                    <w:t>bring</w:t>
                  </w:r>
                  <w:r>
                    <w:rPr>
                      <w:color w:val="58595B"/>
                      <w:spacing w:val="-9"/>
                    </w:rPr>
                    <w:t> </w:t>
                  </w:r>
                  <w:r>
                    <w:rPr>
                      <w:color w:val="58595B"/>
                    </w:rPr>
                    <w:t>together agencies</w:t>
                  </w:r>
                  <w:r>
                    <w:rPr>
                      <w:color w:val="58595B"/>
                      <w:spacing w:val="-6"/>
                    </w:rPr>
                    <w:t> </w:t>
                  </w:r>
                  <w:r>
                    <w:rPr>
                      <w:color w:val="58595B"/>
                    </w:rPr>
                    <w:t>to</w:t>
                  </w:r>
                  <w:r>
                    <w:rPr>
                      <w:color w:val="58595B"/>
                      <w:spacing w:val="-6"/>
                    </w:rPr>
                    <w:t> </w:t>
                  </w:r>
                  <w:r>
                    <w:rPr>
                      <w:color w:val="58595B"/>
                    </w:rPr>
                    <w:t>work</w:t>
                  </w:r>
                  <w:r>
                    <w:rPr>
                      <w:color w:val="58595B"/>
                      <w:spacing w:val="-6"/>
                    </w:rPr>
                    <w:t> </w:t>
                  </w:r>
                  <w:r>
                    <w:rPr>
                      <w:color w:val="58595B"/>
                    </w:rPr>
                    <w:t>on</w:t>
                  </w:r>
                  <w:r>
                    <w:rPr>
                      <w:color w:val="58595B"/>
                      <w:spacing w:val="-6"/>
                    </w:rPr>
                    <w:t> </w:t>
                  </w:r>
                  <w:r>
                    <w:rPr>
                      <w:color w:val="58595B"/>
                    </w:rPr>
                    <w:t>complementary</w:t>
                  </w:r>
                  <w:r>
                    <w:rPr>
                      <w:color w:val="58595B"/>
                      <w:spacing w:val="-6"/>
                    </w:rPr>
                    <w:t> </w:t>
                  </w:r>
                  <w:r>
                    <w:rPr>
                      <w:color w:val="58595B"/>
                    </w:rPr>
                    <w:t>activity</w:t>
                  </w:r>
                  <w:r>
                    <w:rPr>
                      <w:color w:val="58595B"/>
                      <w:spacing w:val="-6"/>
                    </w:rPr>
                    <w:t> </w:t>
                  </w:r>
                  <w:r>
                    <w:rPr>
                      <w:color w:val="58595B"/>
                    </w:rPr>
                    <w:t>as</w:t>
                  </w:r>
                  <w:r>
                    <w:rPr>
                      <w:color w:val="58595B"/>
                      <w:spacing w:val="-6"/>
                    </w:rPr>
                    <w:t> </w:t>
                  </w:r>
                  <w:r>
                    <w:rPr>
                      <w:color w:val="58595B"/>
                    </w:rPr>
                    <w:t>well</w:t>
                  </w:r>
                  <w:r>
                    <w:rPr>
                      <w:color w:val="58595B"/>
                      <w:spacing w:val="-6"/>
                    </w:rPr>
                    <w:t> </w:t>
                  </w:r>
                  <w:r>
                    <w:rPr>
                      <w:color w:val="58595B"/>
                    </w:rPr>
                    <w:t>as</w:t>
                  </w:r>
                  <w:r>
                    <w:rPr>
                      <w:color w:val="58595B"/>
                      <w:spacing w:val="-6"/>
                    </w:rPr>
                    <w:t> </w:t>
                  </w:r>
                  <w:r>
                    <w:rPr>
                      <w:color w:val="58595B"/>
                    </w:rPr>
                    <w:t>to</w:t>
                  </w:r>
                  <w:r>
                    <w:rPr>
                      <w:color w:val="58595B"/>
                      <w:spacing w:val="-6"/>
                    </w:rPr>
                    <w:t> </w:t>
                  </w:r>
                  <w:r>
                    <w:rPr>
                      <w:color w:val="58595B"/>
                    </w:rPr>
                    <w:t>consider</w:t>
                  </w:r>
                  <w:r>
                    <w:rPr>
                      <w:color w:val="58595B"/>
                      <w:spacing w:val="-6"/>
                    </w:rPr>
                    <w:t> </w:t>
                  </w:r>
                  <w:r>
                    <w:rPr>
                      <w:color w:val="58595B"/>
                    </w:rPr>
                    <w:t>potentially</w:t>
                  </w:r>
                  <w:r>
                    <w:rPr>
                      <w:color w:val="58595B"/>
                      <w:spacing w:val="-6"/>
                    </w:rPr>
                    <w:t> </w:t>
                  </w:r>
                  <w:r>
                    <w:rPr>
                      <w:color w:val="58595B"/>
                    </w:rPr>
                    <w:t>competing</w:t>
                  </w:r>
                  <w:r>
                    <w:rPr>
                      <w:color w:val="58595B"/>
                      <w:spacing w:val="-6"/>
                    </w:rPr>
                    <w:t> </w:t>
                  </w:r>
                  <w:r>
                    <w:rPr>
                      <w:color w:val="58595B"/>
                    </w:rPr>
                    <w:t>interests.</w:t>
                  </w:r>
                </w:p>
              </w:txbxContent>
            </v:textbox>
            <w10:wrap type="none"/>
          </v:shape>
        </w:pict>
      </w:r>
      <w:r>
        <w:rPr/>
        <w:pict>
          <v:shape style="position:absolute;margin-left:534.996094pt;margin-top:44.090015pt;width:60.3pt;height:5.25pt;mso-position-horizontal-relative:page;mso-position-vertical-relative:page;z-index:-18810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8080"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88056" from=".0pt,45.840015pt" to="60.2791pt,45.840015pt" stroked="true" strokeweight="7pt" strokecolor="#0095a7">
            <w10:wrap type="none"/>
          </v:line>
        </w:pict>
      </w:r>
      <w:r>
        <w:rPr/>
        <w:pict>
          <v:shape style="position:absolute;margin-left:69.866096pt;margin-top:40.902756pt;width:14.35pt;height:9.5pt;mso-position-horizontal-relative:page;mso-position-vertical-relative:page;z-index:-188032" type="#_x0000_t202" filled="false" stroked="false">
            <v:textbox inset="0,0,0,0">
              <w:txbxContent>
                <w:p>
                  <w:pPr>
                    <w:spacing w:before="1"/>
                    <w:ind w:left="20" w:right="-4" w:firstLine="0"/>
                    <w:jc w:val="left"/>
                    <w:rPr>
                      <w:sz w:val="15"/>
                    </w:rPr>
                  </w:pPr>
                  <w:r>
                    <w:rPr>
                      <w:color w:val="58595B"/>
                      <w:sz w:val="15"/>
                    </w:rPr>
                    <w:t>132</w:t>
                  </w:r>
                </w:p>
              </w:txbxContent>
            </v:textbox>
            <w10:wrap type="none"/>
          </v:shape>
        </w:pict>
      </w:r>
      <w:r>
        <w:rPr/>
        <w:pict>
          <v:shape style="position:absolute;margin-left:95.377899pt;margin-top:40.902756pt;width:147.75pt;height:9.5pt;mso-position-horizontal-relative:page;mso-position-vertical-relative:page;z-index:-188008"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5.7pt;height:137.050pt;mso-position-horizontal-relative:page;mso-position-vertical-relative:page;z-index:-187984" type="#_x0000_t202" filled="false" stroked="false">
            <v:textbox inset="0,0,0,0">
              <w:txbxContent>
                <w:p>
                  <w:pPr>
                    <w:pStyle w:val="BodyText"/>
                    <w:spacing w:line="224" w:lineRule="exact"/>
                    <w:ind w:right="13"/>
                  </w:pPr>
                  <w:r>
                    <w:rPr>
                      <w:color w:val="58595B"/>
                    </w:rPr>
                    <w:t>Key areas of government to be involved include:</w:t>
                  </w:r>
                </w:p>
                <w:p>
                  <w:pPr>
                    <w:pStyle w:val="ListParagraph"/>
                    <w:numPr>
                      <w:ilvl w:val="0"/>
                      <w:numId w:val="51"/>
                    </w:numPr>
                    <w:tabs>
                      <w:tab w:pos="190" w:val="left" w:leader="none"/>
                    </w:tabs>
                    <w:spacing w:line="280" w:lineRule="auto" w:before="153" w:after="0"/>
                    <w:ind w:left="190" w:right="17" w:hanging="170"/>
                    <w:jc w:val="left"/>
                    <w:rPr>
                      <w:sz w:val="20"/>
                    </w:rPr>
                  </w:pPr>
                  <w:r>
                    <w:rPr>
                      <w:color w:val="58595B"/>
                      <w:sz w:val="20"/>
                    </w:rPr>
                    <w:t>entities directly responsible for the environment, including pollution, waste, biodiversity, native vegetation, catchment and coastal management and climate change, such as </w:t>
                  </w:r>
                  <w:r>
                    <w:rPr>
                      <w:color w:val="58595B"/>
                      <w:spacing w:val="-6"/>
                      <w:sz w:val="20"/>
                    </w:rPr>
                    <w:t>DELWP, </w:t>
                  </w:r>
                  <w:r>
                    <w:rPr>
                      <w:color w:val="58595B"/>
                      <w:sz w:val="20"/>
                    </w:rPr>
                    <w:t>the EPA, Sustainability Victoria, the Commissioner for Environmental Sustainability, Parks Victoria and water</w:t>
                  </w:r>
                  <w:r>
                    <w:rPr>
                      <w:color w:val="58595B"/>
                      <w:spacing w:val="3"/>
                      <w:sz w:val="20"/>
                    </w:rPr>
                    <w:t> </w:t>
                  </w:r>
                  <w:r>
                    <w:rPr>
                      <w:color w:val="58595B"/>
                      <w:sz w:val="20"/>
                    </w:rPr>
                    <w:t>authorities</w:t>
                  </w:r>
                </w:p>
                <w:p>
                  <w:pPr>
                    <w:pStyle w:val="ListParagraph"/>
                    <w:numPr>
                      <w:ilvl w:val="0"/>
                      <w:numId w:val="51"/>
                    </w:numPr>
                    <w:tabs>
                      <w:tab w:pos="190" w:val="left" w:leader="none"/>
                    </w:tabs>
                    <w:spacing w:line="280" w:lineRule="auto" w:before="115" w:after="0"/>
                    <w:ind w:left="190" w:right="577" w:hanging="170"/>
                    <w:jc w:val="left"/>
                    <w:rPr>
                      <w:sz w:val="20"/>
                    </w:rPr>
                  </w:pPr>
                  <w:r>
                    <w:rPr>
                      <w:color w:val="58595B"/>
                      <w:sz w:val="20"/>
                    </w:rPr>
                    <w:t>areas of government that consider environmental issues in their decision making, such as strategic land use planning and major infrastructure</w:t>
                  </w:r>
                  <w:r>
                    <w:rPr>
                      <w:color w:val="58595B"/>
                      <w:spacing w:val="6"/>
                      <w:sz w:val="20"/>
                    </w:rPr>
                    <w:t> </w:t>
                  </w:r>
                  <w:r>
                    <w:rPr>
                      <w:color w:val="58595B"/>
                      <w:sz w:val="20"/>
                    </w:rPr>
                    <w:t>agencies</w:t>
                  </w:r>
                </w:p>
                <w:p>
                  <w:pPr>
                    <w:pStyle w:val="ListParagraph"/>
                    <w:numPr>
                      <w:ilvl w:val="0"/>
                      <w:numId w:val="51"/>
                    </w:numPr>
                    <w:tabs>
                      <w:tab w:pos="190" w:val="left" w:leader="none"/>
                    </w:tabs>
                    <w:spacing w:line="280" w:lineRule="auto" w:before="115" w:after="0"/>
                    <w:ind w:left="190" w:right="489" w:hanging="170"/>
                    <w:jc w:val="left"/>
                    <w:rPr>
                      <w:sz w:val="20"/>
                    </w:rPr>
                  </w:pPr>
                  <w:r>
                    <w:rPr>
                      <w:color w:val="58595B"/>
                      <w:sz w:val="20"/>
                    </w:rPr>
                    <w:t>areas of government with a role in managing environmental risks to human health, such as WorkSafe and</w:t>
                  </w:r>
                  <w:r>
                    <w:rPr>
                      <w:color w:val="58595B"/>
                      <w:spacing w:val="2"/>
                      <w:sz w:val="20"/>
                    </w:rPr>
                    <w:t> </w:t>
                  </w:r>
                  <w:r>
                    <w:rPr>
                      <w:color w:val="58595B"/>
                      <w:sz w:val="20"/>
                    </w:rPr>
                    <w:t>DHHS.</w:t>
                  </w:r>
                </w:p>
              </w:txbxContent>
            </v:textbox>
            <w10:wrap type="none"/>
          </v:shape>
        </w:pict>
      </w:r>
      <w:r>
        <w:rPr/>
        <w:pict>
          <v:shape style="position:absolute;margin-left:69.866096pt;margin-top:252.903961pt;width:433.65pt;height:79.5pt;mso-position-horizontal-relative:page;mso-position-vertical-relative:page;z-index:-187960" type="#_x0000_t202" filled="false" stroked="false">
            <v:textbox inset="0,0,0,0">
              <w:txbxContent>
                <w:p>
                  <w:pPr>
                    <w:pStyle w:val="BodyText"/>
                    <w:spacing w:line="280" w:lineRule="auto"/>
                    <w:ind w:right="17"/>
                    <w:rPr>
                      <w:sz w:val="11"/>
                    </w:rPr>
                  </w:pPr>
                  <w:r>
                    <w:rPr>
                      <w:color w:val="58595B"/>
                    </w:rPr>
                    <w:t>Victoria has powerful examples of the benefits of strategic cooperation to enhance outcomes. The Department of Justice and Regulation works closely with Victoria Police, the Transport Accident Commission and VicRoads, for example, to improve road safety. Together, these agencies implement an integrated, multi-faceted approach to road safety, that combines targeting high risk behaviour, enforcing road safety law, improving Victoria’s road network, introducing education and public awareness initiatives, and conducting research and development.</w:t>
                  </w:r>
                  <w:r>
                    <w:rPr>
                      <w:color w:val="58595B"/>
                      <w:position w:val="7"/>
                      <w:sz w:val="11"/>
                    </w:rPr>
                    <w:t>14</w:t>
                  </w:r>
                </w:p>
              </w:txbxContent>
            </v:textbox>
            <w10:wrap type="none"/>
          </v:shape>
        </w:pict>
      </w:r>
      <w:r>
        <w:rPr/>
        <w:pict>
          <v:shape style="position:absolute;margin-left:69.866096pt;margin-top:342.409668pt;width:432.2pt;height:52.5pt;mso-position-horizontal-relative:page;mso-position-vertical-relative:page;z-index:-187936" type="#_x0000_t202" filled="false" stroked="false">
            <v:textbox inset="0,0,0,0">
              <w:txbxContent>
                <w:p>
                  <w:pPr>
                    <w:pStyle w:val="BodyText"/>
                    <w:spacing w:line="280" w:lineRule="auto"/>
                  </w:pPr>
                  <w:r>
                    <w:rPr>
                      <w:color w:val="58595B"/>
                    </w:rPr>
                    <w:t>The government could take a similar approach to address future challenges affecting the environment, amenity and public health. Examples include dealing with urban growth and densification, or the implications of transitioning to a low carbon economy, including rehabilitating Latrobe Valley brown coal open cut mines.</w:t>
                  </w:r>
                </w:p>
              </w:txbxContent>
            </v:textbox>
            <w10:wrap type="none"/>
          </v:shape>
        </w:pict>
      </w:r>
      <w:r>
        <w:rPr/>
        <w:pict>
          <v:shape style="position:absolute;margin-left:69.866096pt;margin-top:404.909668pt;width:434.8pt;height:39pt;mso-position-horizontal-relative:page;mso-position-vertical-relative:page;z-index:-187912" type="#_x0000_t202" filled="false" stroked="false">
            <v:textbox inset="0,0,0,0">
              <w:txbxContent>
                <w:p>
                  <w:pPr>
                    <w:pStyle w:val="BodyText"/>
                    <w:spacing w:line="280" w:lineRule="auto"/>
                    <w:ind w:right="6"/>
                  </w:pPr>
                  <w:r>
                    <w:rPr>
                      <w:color w:val="58595B"/>
                    </w:rPr>
                    <w:t>The </w:t>
                  </w:r>
                  <w:r>
                    <w:rPr>
                      <w:i/>
                      <w:color w:val="58595B"/>
                    </w:rPr>
                    <w:t>Climate Change Act 2010 </w:t>
                  </w:r>
                  <w:r>
                    <w:rPr>
                      <w:color w:val="58595B"/>
                    </w:rPr>
                    <w:t>provides another model of how the environment can be integrated into broader decision making. Specified government decision makers must have regard to climate change, as follows:</w:t>
                  </w:r>
                </w:p>
              </w:txbxContent>
            </v:textbox>
            <w10:wrap type="none"/>
          </v:shape>
        </w:pict>
      </w:r>
      <w:r>
        <w:rPr/>
        <w:pict>
          <v:shape style="position:absolute;margin-left:69.866096pt;margin-top:453.909668pt;width:415.8pt;height:25.5pt;mso-position-horizontal-relative:page;mso-position-vertical-relative:page;z-index:-187888" type="#_x0000_t202" filled="false" stroked="false">
            <v:textbox inset="0,0,0,0">
              <w:txbxContent>
                <w:p>
                  <w:pPr>
                    <w:spacing w:line="280" w:lineRule="auto" w:before="0"/>
                    <w:ind w:left="20" w:right="16" w:firstLine="0"/>
                    <w:jc w:val="left"/>
                    <w:rPr>
                      <w:i/>
                      <w:sz w:val="20"/>
                    </w:rPr>
                  </w:pPr>
                  <w:r>
                    <w:rPr>
                      <w:i/>
                      <w:color w:val="58595B"/>
                      <w:sz w:val="20"/>
                    </w:rPr>
                    <w:t>A person making a decision or taking an action referred to in subsection (1) </w:t>
                  </w:r>
                  <w:r>
                    <w:rPr>
                      <w:i/>
                      <w:color w:val="58595B"/>
                      <w:sz w:val="20"/>
                      <w:u w:val="single" w:color="0095A7"/>
                    </w:rPr>
                    <w:t>must have regard </w:t>
                  </w:r>
                  <w:r>
                    <w:rPr>
                      <w:i/>
                      <w:color w:val="58595B"/>
                      <w:sz w:val="20"/>
                    </w:rPr>
                    <w:t>to [emphasis added]—</w:t>
                  </w:r>
                </w:p>
              </w:txbxContent>
            </v:textbox>
            <w10:wrap type="none"/>
          </v:shape>
        </w:pict>
      </w:r>
      <w:r>
        <w:rPr/>
        <w:pict>
          <v:shape style="position:absolute;margin-left:69.866096pt;margin-top:486.579681pt;width:13.9pt;height:29.75pt;mso-position-horizontal-relative:page;mso-position-vertical-relative:page;z-index:-187864" type="#_x0000_t202" filled="false" stroked="false">
            <v:textbox inset="0,0,0,0">
              <w:txbxContent>
                <w:p>
                  <w:pPr>
                    <w:spacing w:line="224" w:lineRule="exact" w:before="0"/>
                    <w:ind w:left="20" w:right="-7" w:firstLine="0"/>
                    <w:jc w:val="left"/>
                    <w:rPr>
                      <w:i/>
                      <w:sz w:val="20"/>
                    </w:rPr>
                  </w:pPr>
                  <w:r>
                    <w:rPr>
                      <w:i/>
                      <w:color w:val="58595B"/>
                      <w:sz w:val="20"/>
                    </w:rPr>
                    <w:t>(a)</w:t>
                  </w:r>
                </w:p>
                <w:p>
                  <w:pPr>
                    <w:spacing w:before="125"/>
                    <w:ind w:left="20" w:right="-7" w:firstLine="0"/>
                    <w:jc w:val="left"/>
                    <w:rPr>
                      <w:i/>
                      <w:sz w:val="20"/>
                    </w:rPr>
                  </w:pPr>
                  <w:r>
                    <w:rPr>
                      <w:i/>
                      <w:color w:val="58595B"/>
                      <w:sz w:val="20"/>
                    </w:rPr>
                    <w:t>(b)</w:t>
                  </w:r>
                </w:p>
              </w:txbxContent>
            </v:textbox>
            <w10:wrap type="none"/>
          </v:shape>
        </w:pict>
      </w:r>
      <w:r>
        <w:rPr/>
        <w:pict>
          <v:shape style="position:absolute;margin-left:86.876099pt;margin-top:486.579681pt;width:367.4pt;height:61pt;mso-position-horizontal-relative:page;mso-position-vertical-relative:page;z-index:-187840" type="#_x0000_t202" filled="false" stroked="false">
            <v:textbox inset="0,0,0,0">
              <w:txbxContent>
                <w:p>
                  <w:pPr>
                    <w:spacing w:line="224" w:lineRule="exact" w:before="0"/>
                    <w:ind w:left="20" w:right="17" w:firstLine="0"/>
                    <w:jc w:val="left"/>
                    <w:rPr>
                      <w:i/>
                      <w:sz w:val="20"/>
                    </w:rPr>
                  </w:pPr>
                  <w:r>
                    <w:rPr>
                      <w:i/>
                      <w:color w:val="58595B"/>
                      <w:sz w:val="20"/>
                    </w:rPr>
                    <w:t>the potential impacts of climate change relevant to the decision or action; and</w:t>
                  </w:r>
                </w:p>
                <w:p>
                  <w:pPr>
                    <w:spacing w:line="280" w:lineRule="auto" w:before="125"/>
                    <w:ind w:left="20" w:right="17" w:firstLine="0"/>
                    <w:jc w:val="left"/>
                    <w:rPr>
                      <w:i/>
                      <w:sz w:val="20"/>
                    </w:rPr>
                  </w:pPr>
                  <w:r>
                    <w:rPr>
                      <w:i/>
                      <w:color w:val="58595B"/>
                      <w:sz w:val="20"/>
                    </w:rPr>
                    <w:t>the potential contribution to Victoria’s greenhouse gas emissions of the decision or action; and</w:t>
                  </w:r>
                </w:p>
                <w:p>
                  <w:pPr>
                    <w:spacing w:before="87"/>
                    <w:ind w:left="20" w:right="17" w:firstLine="0"/>
                    <w:jc w:val="left"/>
                    <w:rPr>
                      <w:i/>
                      <w:sz w:val="11"/>
                    </w:rPr>
                  </w:pPr>
                  <w:r>
                    <w:rPr>
                      <w:i/>
                      <w:color w:val="58595B"/>
                      <w:sz w:val="20"/>
                    </w:rPr>
                    <w:t>any guidelines issued by the Minister under section 15.</w:t>
                  </w:r>
                  <w:r>
                    <w:rPr>
                      <w:i/>
                      <w:color w:val="58595B"/>
                      <w:position w:val="7"/>
                      <w:sz w:val="11"/>
                    </w:rPr>
                    <w:t>15</w:t>
                  </w:r>
                </w:p>
              </w:txbxContent>
            </v:textbox>
            <w10:wrap type="none"/>
          </v:shape>
        </w:pict>
      </w:r>
      <w:r>
        <w:rPr/>
        <w:pict>
          <v:shape style="position:absolute;margin-left:69.866096pt;margin-top:535.579651pt;width:13.15pt;height:12pt;mso-position-horizontal-relative:page;mso-position-vertical-relative:page;z-index:-187816" type="#_x0000_t202" filled="false" stroked="false">
            <v:textbox inset="0,0,0,0">
              <w:txbxContent>
                <w:p>
                  <w:pPr>
                    <w:spacing w:line="224" w:lineRule="exact" w:before="0"/>
                    <w:ind w:left="20" w:right="-11" w:firstLine="0"/>
                    <w:jc w:val="left"/>
                    <w:rPr>
                      <w:i/>
                      <w:sz w:val="20"/>
                    </w:rPr>
                  </w:pPr>
                  <w:r>
                    <w:rPr>
                      <w:i/>
                      <w:color w:val="58595B"/>
                      <w:sz w:val="20"/>
                    </w:rPr>
                    <w:t>(c)</w:t>
                  </w:r>
                </w:p>
              </w:txbxContent>
            </v:textbox>
            <w10:wrap type="none"/>
          </v:shape>
        </w:pict>
      </w:r>
      <w:r>
        <w:rPr/>
        <w:pict>
          <v:shape style="position:absolute;margin-left:69.862pt;margin-top:557.594666pt;width:415.65pt;height:39pt;mso-position-horizontal-relative:page;mso-position-vertical-relative:page;z-index:-187792" type="#_x0000_t202" filled="false" stroked="false">
            <v:textbox inset="0,0,0,0">
              <w:txbxContent>
                <w:p>
                  <w:pPr>
                    <w:pStyle w:val="BodyText"/>
                    <w:spacing w:line="280" w:lineRule="auto"/>
                  </w:pPr>
                  <w:r>
                    <w:rPr>
                      <w:color w:val="58595B"/>
                    </w:rPr>
                    <w:t>Government could also strengthen existing general requirements in Victorian legislation</w:t>
                  </w:r>
                  <w:r>
                    <w:rPr>
                      <w:color w:val="58595B"/>
                      <w:position w:val="7"/>
                      <w:sz w:val="11"/>
                    </w:rPr>
                    <w:t>16 </w:t>
                  </w:r>
                  <w:r>
                    <w:rPr>
                      <w:color w:val="58595B"/>
                    </w:rPr>
                    <w:t>that require some consideration of the environment. Ministerial guidelines could include similar provisions for specific direction and consistency.</w:t>
                  </w:r>
                </w:p>
              </w:txbxContent>
            </v:textbox>
            <w10:wrap type="none"/>
          </v:shape>
        </w:pict>
      </w:r>
      <w:r>
        <w:rPr/>
        <w:pict>
          <v:shape style="position:absolute;margin-left:69.862pt;margin-top:606.594666pt;width:429.2pt;height:66.05pt;mso-position-horizontal-relative:page;mso-position-vertical-relative:page;z-index:-187768" type="#_x0000_t202" filled="false" stroked="false">
            <v:textbox inset="0,0,0,0">
              <w:txbxContent>
                <w:p>
                  <w:pPr>
                    <w:pStyle w:val="BodyText"/>
                    <w:spacing w:line="280" w:lineRule="auto"/>
                    <w:ind w:right="4"/>
                  </w:pPr>
                  <w:r>
                    <w:rPr>
                      <w:color w:val="58595B"/>
                    </w:rPr>
                    <w:t>Health and wellbeing concerns related to noise, odour and dust dominate community complaints to the EPA and were significant in many of our consultations. These problems tend to disproportionately affect certain segments of the community (see figure 10.2, chapter 10). The problems have social impacts, particularly on already disadvantaged communities.</w:t>
                  </w:r>
                  <w:r>
                    <w:rPr>
                      <w:color w:val="58595B"/>
                      <w:position w:val="7"/>
                      <w:sz w:val="11"/>
                    </w:rPr>
                    <w:t>17 </w:t>
                  </w:r>
                  <w:r>
                    <w:rPr>
                      <w:color w:val="58595B"/>
                    </w:rPr>
                    <w:t>As such, they warrant whole-of-government consideration (box 7.1).</w:t>
                  </w:r>
                </w:p>
              </w:txbxContent>
            </v:textbox>
            <w10:wrap type="none"/>
          </v:shape>
        </w:pict>
      </w:r>
      <w:r>
        <w:rPr/>
        <w:pict>
          <v:shape style="position:absolute;margin-left:69.862602pt;margin-top:682.598694pt;width:434.15pt;height:93pt;mso-position-horizontal-relative:page;mso-position-vertical-relative:page;z-index:-187744" type="#_x0000_t202" filled="false" stroked="false">
            <v:textbox inset="0,0,0,0">
              <w:txbxContent>
                <w:p>
                  <w:pPr>
                    <w:pStyle w:val="BodyText"/>
                    <w:spacing w:line="280" w:lineRule="auto"/>
                    <w:ind w:right="17"/>
                  </w:pPr>
                  <w:r>
                    <w:rPr>
                      <w:color w:val="58595B"/>
                      <w:spacing w:val="-3"/>
                    </w:rPr>
                    <w:t>They</w:t>
                  </w:r>
                  <w:r>
                    <w:rPr>
                      <w:color w:val="58595B"/>
                      <w:spacing w:val="-9"/>
                    </w:rPr>
                    <w:t> </w:t>
                  </w:r>
                  <w:r>
                    <w:rPr>
                      <w:color w:val="58595B"/>
                    </w:rPr>
                    <w:t>also</w:t>
                  </w:r>
                  <w:r>
                    <w:rPr>
                      <w:color w:val="58595B"/>
                      <w:spacing w:val="-9"/>
                    </w:rPr>
                    <w:t> </w:t>
                  </w:r>
                  <w:r>
                    <w:rPr>
                      <w:color w:val="58595B"/>
                    </w:rPr>
                    <w:t>indicate</w:t>
                  </w:r>
                  <w:r>
                    <w:rPr>
                      <w:color w:val="58595B"/>
                      <w:spacing w:val="-9"/>
                    </w:rPr>
                    <w:t> </w:t>
                  </w:r>
                  <w:r>
                    <w:rPr>
                      <w:color w:val="58595B"/>
                    </w:rPr>
                    <w:t>some</w:t>
                  </w:r>
                  <w:r>
                    <w:rPr>
                      <w:color w:val="58595B"/>
                      <w:spacing w:val="-9"/>
                    </w:rPr>
                    <w:t> </w:t>
                  </w:r>
                  <w:r>
                    <w:rPr>
                      <w:color w:val="58595B"/>
                      <w:spacing w:val="-5"/>
                    </w:rPr>
                    <w:t>key</w:t>
                  </w:r>
                  <w:r>
                    <w:rPr>
                      <w:color w:val="58595B"/>
                      <w:spacing w:val="-9"/>
                    </w:rPr>
                    <w:t> </w:t>
                  </w:r>
                  <w:r>
                    <w:rPr>
                      <w:color w:val="58595B"/>
                      <w:spacing w:val="-3"/>
                    </w:rPr>
                    <w:t>systemic</w:t>
                  </w:r>
                  <w:r>
                    <w:rPr>
                      <w:color w:val="58595B"/>
                      <w:spacing w:val="-9"/>
                    </w:rPr>
                    <w:t> </w:t>
                  </w:r>
                  <w:r>
                    <w:rPr>
                      <w:color w:val="58595B"/>
                    </w:rPr>
                    <w:t>problems</w:t>
                  </w:r>
                  <w:r>
                    <w:rPr>
                      <w:color w:val="58595B"/>
                      <w:spacing w:val="-9"/>
                    </w:rPr>
                    <w:t> </w:t>
                  </w:r>
                  <w:r>
                    <w:rPr>
                      <w:color w:val="58595B"/>
                    </w:rPr>
                    <w:t>in</w:t>
                  </w:r>
                  <w:r>
                    <w:rPr>
                      <w:color w:val="58595B"/>
                      <w:spacing w:val="-9"/>
                    </w:rPr>
                    <w:t> </w:t>
                  </w:r>
                  <w:r>
                    <w:rPr>
                      <w:color w:val="58595B"/>
                    </w:rPr>
                    <w:t>the</w:t>
                  </w:r>
                  <w:r>
                    <w:rPr>
                      <w:color w:val="58595B"/>
                      <w:spacing w:val="-9"/>
                    </w:rPr>
                    <w:t> </w:t>
                  </w:r>
                  <w:r>
                    <w:rPr>
                      <w:color w:val="58595B"/>
                    </w:rPr>
                    <w:t>current</w:t>
                  </w:r>
                  <w:r>
                    <w:rPr>
                      <w:color w:val="58595B"/>
                      <w:spacing w:val="-9"/>
                    </w:rPr>
                    <w:t> </w:t>
                  </w:r>
                  <w:r>
                    <w:rPr>
                      <w:color w:val="58595B"/>
                      <w:spacing w:val="-3"/>
                    </w:rPr>
                    <w:t>environmental</w:t>
                  </w:r>
                  <w:r>
                    <w:rPr>
                      <w:color w:val="58595B"/>
                      <w:spacing w:val="-9"/>
                    </w:rPr>
                    <w:t> </w:t>
                  </w:r>
                  <w:r>
                    <w:rPr>
                      <w:color w:val="58595B"/>
                    </w:rPr>
                    <w:t>protection</w:t>
                  </w:r>
                  <w:r>
                    <w:rPr>
                      <w:color w:val="58595B"/>
                      <w:spacing w:val="-9"/>
                    </w:rPr>
                    <w:t> </w:t>
                  </w:r>
                  <w:r>
                    <w:rPr>
                      <w:color w:val="58595B"/>
                    </w:rPr>
                    <w:t>regime,</w:t>
                  </w:r>
                  <w:r>
                    <w:rPr>
                      <w:color w:val="58595B"/>
                      <w:spacing w:val="-9"/>
                    </w:rPr>
                    <w:t> </w:t>
                  </w:r>
                  <w:r>
                    <w:rPr>
                      <w:color w:val="58595B"/>
                    </w:rPr>
                    <w:t>and reflect the </w:t>
                  </w:r>
                  <w:r>
                    <w:rPr>
                      <w:color w:val="58595B"/>
                      <w:spacing w:val="-8"/>
                    </w:rPr>
                    <w:t>EPA’s </w:t>
                  </w:r>
                  <w:r>
                    <w:rPr>
                      <w:color w:val="58595B"/>
                    </w:rPr>
                    <w:t>inability to resolve issues using its toolkit alone. </w:t>
                  </w:r>
                  <w:r>
                    <w:rPr>
                      <w:color w:val="58595B"/>
                      <w:spacing w:val="-3"/>
                    </w:rPr>
                    <w:t>They </w:t>
                  </w:r>
                  <w:r>
                    <w:rPr>
                      <w:color w:val="58595B"/>
                    </w:rPr>
                    <w:t>also show how decisions made in one part of </w:t>
                  </w:r>
                  <w:r>
                    <w:rPr>
                      <w:color w:val="58595B"/>
                      <w:spacing w:val="-3"/>
                    </w:rPr>
                    <w:t>government </w:t>
                  </w:r>
                  <w:r>
                    <w:rPr>
                      <w:color w:val="58595B"/>
                    </w:rPr>
                    <w:t>(including </w:t>
                  </w:r>
                  <w:r>
                    <w:rPr>
                      <w:color w:val="58595B"/>
                      <w:spacing w:val="-3"/>
                    </w:rPr>
                    <w:t>by </w:t>
                  </w:r>
                  <w:r>
                    <w:rPr>
                      <w:color w:val="58595B"/>
                    </w:rPr>
                    <w:t>local </w:t>
                  </w:r>
                  <w:r>
                    <w:rPr>
                      <w:color w:val="58595B"/>
                      <w:spacing w:val="-3"/>
                    </w:rPr>
                    <w:t>government) </w:t>
                  </w:r>
                  <w:r>
                    <w:rPr>
                      <w:color w:val="58595B"/>
                    </w:rPr>
                    <w:t>can produce long term problems that</w:t>
                  </w:r>
                  <w:r>
                    <w:rPr>
                      <w:color w:val="58595B"/>
                      <w:spacing w:val="-5"/>
                    </w:rPr>
                    <w:t> </w:t>
                  </w:r>
                  <w:r>
                    <w:rPr>
                      <w:color w:val="58595B"/>
                    </w:rPr>
                    <w:t>other</w:t>
                  </w:r>
                  <w:r>
                    <w:rPr>
                      <w:color w:val="58595B"/>
                      <w:spacing w:val="-5"/>
                    </w:rPr>
                    <w:t> </w:t>
                  </w:r>
                  <w:r>
                    <w:rPr>
                      <w:color w:val="58595B"/>
                    </w:rPr>
                    <w:t>parts</w:t>
                  </w:r>
                  <w:r>
                    <w:rPr>
                      <w:color w:val="58595B"/>
                      <w:spacing w:val="-5"/>
                    </w:rPr>
                    <w:t> </w:t>
                  </w:r>
                  <w:r>
                    <w:rPr>
                      <w:color w:val="58595B"/>
                    </w:rPr>
                    <w:t>of</w:t>
                  </w:r>
                  <w:r>
                    <w:rPr>
                      <w:color w:val="58595B"/>
                      <w:spacing w:val="-5"/>
                    </w:rPr>
                    <w:t> </w:t>
                  </w:r>
                  <w:r>
                    <w:rPr>
                      <w:color w:val="58595B"/>
                      <w:spacing w:val="-3"/>
                    </w:rPr>
                    <w:t>government</w:t>
                  </w:r>
                  <w:r>
                    <w:rPr>
                      <w:color w:val="58595B"/>
                      <w:spacing w:val="-5"/>
                    </w:rPr>
                    <w:t> </w:t>
                  </w:r>
                  <w:r>
                    <w:rPr>
                      <w:color w:val="58595B"/>
                    </w:rPr>
                    <w:t>must</w:t>
                  </w:r>
                  <w:r>
                    <w:rPr>
                      <w:color w:val="58595B"/>
                      <w:spacing w:val="-5"/>
                    </w:rPr>
                    <w:t> </w:t>
                  </w:r>
                  <w:r>
                    <w:rPr>
                      <w:color w:val="58595B"/>
                    </w:rPr>
                    <w:t>then</w:t>
                  </w:r>
                  <w:r>
                    <w:rPr>
                      <w:color w:val="58595B"/>
                      <w:spacing w:val="-5"/>
                    </w:rPr>
                    <w:t> </w:t>
                  </w:r>
                  <w:r>
                    <w:rPr>
                      <w:color w:val="58595B"/>
                      <w:spacing w:val="-3"/>
                    </w:rPr>
                    <w:t>handle.</w:t>
                  </w:r>
                  <w:r>
                    <w:rPr>
                      <w:color w:val="58595B"/>
                      <w:spacing w:val="-5"/>
                    </w:rPr>
                    <w:t> </w:t>
                  </w:r>
                  <w:r>
                    <w:rPr>
                      <w:color w:val="58595B"/>
                    </w:rPr>
                    <w:t>And</w:t>
                  </w:r>
                  <w:r>
                    <w:rPr>
                      <w:color w:val="58595B"/>
                      <w:spacing w:val="-5"/>
                    </w:rPr>
                    <w:t> </w:t>
                  </w:r>
                  <w:r>
                    <w:rPr>
                      <w:color w:val="58595B"/>
                      <w:spacing w:val="-3"/>
                    </w:rPr>
                    <w:t>they</w:t>
                  </w:r>
                  <w:r>
                    <w:rPr>
                      <w:color w:val="58595B"/>
                      <w:spacing w:val="-5"/>
                    </w:rPr>
                    <w:t> </w:t>
                  </w:r>
                  <w:r>
                    <w:rPr>
                      <w:color w:val="58595B"/>
                      <w:spacing w:val="-2"/>
                    </w:rPr>
                    <w:t>highlight</w:t>
                  </w:r>
                  <w:r>
                    <w:rPr>
                      <w:color w:val="58595B"/>
                      <w:spacing w:val="-5"/>
                    </w:rPr>
                    <w:t> </w:t>
                  </w:r>
                  <w:r>
                    <w:rPr>
                      <w:color w:val="58595B"/>
                    </w:rPr>
                    <w:t>the</w:t>
                  </w:r>
                  <w:r>
                    <w:rPr>
                      <w:color w:val="58595B"/>
                      <w:spacing w:val="-5"/>
                    </w:rPr>
                    <w:t> </w:t>
                  </w:r>
                  <w:r>
                    <w:rPr>
                      <w:color w:val="58595B"/>
                      <w:spacing w:val="-3"/>
                    </w:rPr>
                    <w:t>value</w:t>
                  </w:r>
                  <w:r>
                    <w:rPr>
                      <w:color w:val="58595B"/>
                      <w:spacing w:val="-5"/>
                    </w:rPr>
                    <w:t> </w:t>
                  </w:r>
                  <w:r>
                    <w:rPr>
                      <w:color w:val="58595B"/>
                    </w:rPr>
                    <w:t>of</w:t>
                  </w:r>
                  <w:r>
                    <w:rPr>
                      <w:color w:val="58595B"/>
                      <w:spacing w:val="-5"/>
                    </w:rPr>
                    <w:t> </w:t>
                  </w:r>
                  <w:r>
                    <w:rPr>
                      <w:color w:val="58595B"/>
                      <w:spacing w:val="-3"/>
                    </w:rPr>
                    <w:t>government</w:t>
                  </w:r>
                  <w:r>
                    <w:rPr>
                      <w:color w:val="58595B"/>
                      <w:spacing w:val="-5"/>
                    </w:rPr>
                    <w:t> </w:t>
                  </w:r>
                  <w:r>
                    <w:rPr>
                      <w:color w:val="58595B"/>
                      <w:spacing w:val="-3"/>
                    </w:rPr>
                    <w:t>having adequate</w:t>
                  </w:r>
                  <w:r>
                    <w:rPr>
                      <w:color w:val="58595B"/>
                      <w:spacing w:val="-8"/>
                    </w:rPr>
                    <w:t> </w:t>
                  </w:r>
                  <w:r>
                    <w:rPr>
                      <w:color w:val="58595B"/>
                    </w:rPr>
                    <w:t>processes</w:t>
                  </w:r>
                  <w:r>
                    <w:rPr>
                      <w:color w:val="58595B"/>
                      <w:spacing w:val="-8"/>
                    </w:rPr>
                    <w:t> </w:t>
                  </w:r>
                  <w:r>
                    <w:rPr>
                      <w:color w:val="58595B"/>
                    </w:rPr>
                    <w:t>for</w:t>
                  </w:r>
                  <w:r>
                    <w:rPr>
                      <w:color w:val="58595B"/>
                      <w:spacing w:val="-8"/>
                    </w:rPr>
                    <w:t> </w:t>
                  </w:r>
                  <w:r>
                    <w:rPr>
                      <w:color w:val="58595B"/>
                      <w:spacing w:val="-3"/>
                    </w:rPr>
                    <w:t>involving</w:t>
                  </w:r>
                  <w:r>
                    <w:rPr>
                      <w:color w:val="58595B"/>
                      <w:spacing w:val="-8"/>
                    </w:rPr>
                    <w:t> </w:t>
                  </w:r>
                  <w:r>
                    <w:rPr>
                      <w:color w:val="58595B"/>
                    </w:rPr>
                    <w:t>the</w:t>
                  </w:r>
                  <w:r>
                    <w:rPr>
                      <w:color w:val="58595B"/>
                      <w:spacing w:val="-8"/>
                    </w:rPr>
                    <w:t> </w:t>
                  </w:r>
                  <w:r>
                    <w:rPr>
                      <w:color w:val="58595B"/>
                      <w:spacing w:val="-5"/>
                    </w:rPr>
                    <w:t>EPA</w:t>
                  </w:r>
                  <w:r>
                    <w:rPr>
                      <w:color w:val="58595B"/>
                      <w:spacing w:val="-8"/>
                    </w:rPr>
                    <w:t> </w:t>
                  </w:r>
                  <w:r>
                    <w:rPr>
                      <w:color w:val="58595B"/>
                    </w:rPr>
                    <w:t>in</w:t>
                  </w:r>
                  <w:r>
                    <w:rPr>
                      <w:color w:val="58595B"/>
                      <w:spacing w:val="-8"/>
                    </w:rPr>
                    <w:t> </w:t>
                  </w:r>
                  <w:r>
                    <w:rPr>
                      <w:color w:val="58595B"/>
                    </w:rPr>
                    <w:t>strategic</w:t>
                  </w:r>
                  <w:r>
                    <w:rPr>
                      <w:color w:val="58595B"/>
                      <w:spacing w:val="-8"/>
                    </w:rPr>
                    <w:t> </w:t>
                  </w:r>
                  <w:r>
                    <w:rPr>
                      <w:color w:val="58595B"/>
                      <w:spacing w:val="-3"/>
                    </w:rPr>
                    <w:t>planning,</w:t>
                  </w:r>
                  <w:r>
                    <w:rPr>
                      <w:color w:val="58595B"/>
                      <w:spacing w:val="-8"/>
                    </w:rPr>
                    <w:t> </w:t>
                  </w:r>
                  <w:r>
                    <w:rPr>
                      <w:color w:val="58595B"/>
                    </w:rPr>
                    <w:t>particularly</w:t>
                  </w:r>
                  <w:r>
                    <w:rPr>
                      <w:color w:val="58595B"/>
                      <w:spacing w:val="-8"/>
                    </w:rPr>
                    <w:t> </w:t>
                  </w:r>
                  <w:r>
                    <w:rPr>
                      <w:color w:val="58595B"/>
                    </w:rPr>
                    <w:t>on</w:t>
                  </w:r>
                  <w:r>
                    <w:rPr>
                      <w:color w:val="58595B"/>
                      <w:spacing w:val="-8"/>
                    </w:rPr>
                    <w:t> </w:t>
                  </w:r>
                  <w:r>
                    <w:rPr>
                      <w:color w:val="58595B"/>
                    </w:rPr>
                    <w:t>land</w:t>
                  </w:r>
                  <w:r>
                    <w:rPr>
                      <w:color w:val="58595B"/>
                      <w:spacing w:val="-8"/>
                    </w:rPr>
                    <w:t> </w:t>
                  </w:r>
                  <w:r>
                    <w:rPr>
                      <w:color w:val="58595B"/>
                      <w:spacing w:val="-3"/>
                    </w:rPr>
                    <w:t>use.</w:t>
                  </w:r>
                  <w:r>
                    <w:rPr>
                      <w:color w:val="58595B"/>
                      <w:spacing w:val="-8"/>
                    </w:rPr>
                    <w:t> </w:t>
                  </w:r>
                  <w:r>
                    <w:rPr>
                      <w:color w:val="58595B"/>
                    </w:rPr>
                    <w:t>Population growth will </w:t>
                  </w:r>
                  <w:r>
                    <w:rPr>
                      <w:color w:val="58595B"/>
                      <w:spacing w:val="-3"/>
                    </w:rPr>
                    <w:t>exacerbate </w:t>
                  </w:r>
                  <w:r>
                    <w:rPr>
                      <w:color w:val="58595B"/>
                    </w:rPr>
                    <w:t>these types of problems in the </w:t>
                  </w:r>
                  <w:r>
                    <w:rPr>
                      <w:color w:val="58595B"/>
                      <w:spacing w:val="-3"/>
                    </w:rPr>
                    <w:t>future, </w:t>
                  </w:r>
                  <w:r>
                    <w:rPr>
                      <w:color w:val="58595B"/>
                    </w:rPr>
                    <w:t>unless there are </w:t>
                  </w:r>
                  <w:r>
                    <w:rPr>
                      <w:color w:val="58595B"/>
                      <w:spacing w:val="-2"/>
                    </w:rPr>
                    <w:t>new </w:t>
                  </w:r>
                  <w:r>
                    <w:rPr>
                      <w:color w:val="58595B"/>
                    </w:rPr>
                    <w:t>approaches to </w:t>
                  </w:r>
                  <w:r>
                    <w:rPr>
                      <w:color w:val="58595B"/>
                      <w:spacing w:val="-3"/>
                    </w:rPr>
                    <w:t>avoiding</w:t>
                  </w:r>
                  <w:r>
                    <w:rPr>
                      <w:color w:val="58595B"/>
                      <w:spacing w:val="-11"/>
                    </w:rPr>
                    <w:t> </w:t>
                  </w:r>
                  <w:r>
                    <w:rPr>
                      <w:color w:val="58595B"/>
                    </w:rPr>
                    <w:t>land</w:t>
                  </w:r>
                  <w:r>
                    <w:rPr>
                      <w:color w:val="58595B"/>
                      <w:spacing w:val="-11"/>
                    </w:rPr>
                    <w:t> </w:t>
                  </w:r>
                  <w:r>
                    <w:rPr>
                      <w:color w:val="58595B"/>
                    </w:rPr>
                    <w:t>use</w:t>
                  </w:r>
                  <w:r>
                    <w:rPr>
                      <w:color w:val="58595B"/>
                      <w:spacing w:val="-11"/>
                    </w:rPr>
                    <w:t> </w:t>
                  </w:r>
                  <w:r>
                    <w:rPr>
                      <w:color w:val="58595B"/>
                    </w:rPr>
                    <w:t>conflicts</w:t>
                  </w:r>
                  <w:r>
                    <w:rPr>
                      <w:color w:val="58595B"/>
                      <w:spacing w:val="-11"/>
                    </w:rPr>
                    <w:t> </w:t>
                  </w:r>
                  <w:r>
                    <w:rPr>
                      <w:color w:val="58595B"/>
                    </w:rPr>
                    <w:t>and</w:t>
                  </w:r>
                  <w:r>
                    <w:rPr>
                      <w:color w:val="58595B"/>
                      <w:spacing w:val="-11"/>
                    </w:rPr>
                    <w:t> </w:t>
                  </w:r>
                  <w:r>
                    <w:rPr>
                      <w:color w:val="58595B"/>
                    </w:rPr>
                    <w:t>to</w:t>
                  </w:r>
                  <w:r>
                    <w:rPr>
                      <w:color w:val="58595B"/>
                      <w:spacing w:val="-11"/>
                    </w:rPr>
                    <w:t> </w:t>
                  </w:r>
                  <w:r>
                    <w:rPr>
                      <w:color w:val="58595B"/>
                    </w:rPr>
                    <w:t>resolving</w:t>
                  </w:r>
                  <w:r>
                    <w:rPr>
                      <w:color w:val="58595B"/>
                      <w:spacing w:val="-11"/>
                    </w:rPr>
                    <w:t> </w:t>
                  </w:r>
                  <w:r>
                    <w:rPr>
                      <w:color w:val="58595B"/>
                    </w:rPr>
                    <w:t>or</w:t>
                  </w:r>
                  <w:r>
                    <w:rPr>
                      <w:color w:val="58595B"/>
                      <w:spacing w:val="-11"/>
                    </w:rPr>
                    <w:t> </w:t>
                  </w:r>
                  <w:r>
                    <w:rPr>
                      <w:color w:val="58595B"/>
                    </w:rPr>
                    <w:t>at</w:t>
                  </w:r>
                  <w:r>
                    <w:rPr>
                      <w:color w:val="58595B"/>
                      <w:spacing w:val="-11"/>
                    </w:rPr>
                    <w:t> </w:t>
                  </w:r>
                  <w:r>
                    <w:rPr>
                      <w:color w:val="58595B"/>
                    </w:rPr>
                    <w:t>least</w:t>
                  </w:r>
                  <w:r>
                    <w:rPr>
                      <w:color w:val="58595B"/>
                      <w:spacing w:val="-11"/>
                    </w:rPr>
                    <w:t> </w:t>
                  </w:r>
                  <w:r>
                    <w:rPr>
                      <w:color w:val="58595B"/>
                      <w:spacing w:val="-3"/>
                    </w:rPr>
                    <w:t>improving</w:t>
                  </w:r>
                  <w:r>
                    <w:rPr>
                      <w:color w:val="58595B"/>
                      <w:spacing w:val="-11"/>
                    </w:rPr>
                    <w:t> </w:t>
                  </w:r>
                  <w:r>
                    <w:rPr>
                      <w:color w:val="58595B"/>
                    </w:rPr>
                    <w:t>intractable</w:t>
                  </w:r>
                  <w:r>
                    <w:rPr>
                      <w:color w:val="58595B"/>
                      <w:spacing w:val="-11"/>
                    </w:rPr>
                    <w:t> </w:t>
                  </w:r>
                  <w:r>
                    <w:rPr>
                      <w:color w:val="58595B"/>
                    </w:rPr>
                    <w:t>situations.</w:t>
                  </w:r>
                </w:p>
              </w:txbxContent>
            </v:textbox>
            <w10:wrap type="none"/>
          </v:shape>
        </w:pict>
      </w:r>
      <w:r>
        <w:rPr/>
        <w:pict>
          <v:shape style="position:absolute;margin-left:.0pt;margin-top:44.090015pt;width:60.3pt;height:5.25pt;mso-position-horizontal-relative:page;mso-position-vertical-relative:page;z-index:-18772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8769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87672" from="534.996094pt,45.840015pt" to="595.276001pt,45.840015pt" stroked="true" strokeweight="7pt" strokecolor="#0095a7">
            <w10:wrap type="none"/>
          </v:line>
        </w:pict>
      </w:r>
      <w:r>
        <w:rPr/>
        <w:pict>
          <v:rect style="position:absolute;margin-left:90.709pt;margin-top:266.261017pt;width:432.701pt;height:358.812pt;mso-position-horizontal-relative:page;mso-position-vertical-relative:page;z-index:-187648" filled="true" fillcolor="#eaf2f3" stroked="false">
            <v:fill type="solid"/>
            <w10:wrap type="none"/>
          </v:rect>
        </w:pict>
      </w:r>
      <w:r>
        <w:rPr/>
        <w:pict>
          <v:shape style="position:absolute;margin-left:163.581497pt;margin-top:40.902756pt;width:336.3pt;height:9.5pt;mso-position-horizontal-relative:page;mso-position-vertical-relative:page;z-index:-187624" type="#_x0000_t202" filled="false" stroked="false">
            <v:textbox inset="0,0,0,0">
              <w:txbxContent>
                <w:p>
                  <w:pPr>
                    <w:spacing w:before="1"/>
                    <w:ind w:left="20" w:right="0" w:firstLine="0"/>
                    <w:jc w:val="left"/>
                    <w:rPr>
                      <w:sz w:val="15"/>
                    </w:rPr>
                  </w:pPr>
                  <w:r>
                    <w:rPr>
                      <w:color w:val="58595B"/>
                      <w:sz w:val="15"/>
                    </w:rPr>
                    <w:t>CHAPTER 7    THE EPA’S ROLE WITHIN VICTORIA’S ENVIRONMENT PROTECTION REGIME</w:t>
                  </w:r>
                </w:p>
              </w:txbxContent>
            </v:textbox>
            <w10:wrap type="none"/>
          </v:shape>
        </w:pict>
      </w:r>
      <w:r>
        <w:rPr/>
        <w:pict>
          <v:shape style="position:absolute;margin-left:510.951508pt;margin-top:40.902756pt;width:14.45pt;height:9.5pt;mso-position-horizontal-relative:page;mso-position-vertical-relative:page;z-index:-187600" type="#_x0000_t202" filled="false" stroked="false">
            <v:textbox inset="0,0,0,0">
              <w:txbxContent>
                <w:p>
                  <w:pPr>
                    <w:spacing w:before="1"/>
                    <w:ind w:left="20" w:right="-2" w:firstLine="0"/>
                    <w:jc w:val="left"/>
                    <w:rPr>
                      <w:sz w:val="15"/>
                    </w:rPr>
                  </w:pPr>
                  <w:r>
                    <w:rPr>
                      <w:color w:val="58595B"/>
                      <w:sz w:val="15"/>
                    </w:rPr>
                    <w:t>133</w:t>
                  </w:r>
                </w:p>
              </w:txbxContent>
            </v:textbox>
            <w10:wrap type="none"/>
          </v:shape>
        </w:pict>
      </w:r>
      <w:r>
        <w:rPr/>
        <w:pict>
          <v:shape style="position:absolute;margin-left:89.708603pt;margin-top:105.893967pt;width:433.65pt;height:52.5pt;mso-position-horizontal-relative:page;mso-position-vertical-relative:page;z-index:-187576" type="#_x0000_t202" filled="false" stroked="false">
            <v:textbox inset="0,0,0,0">
              <w:txbxContent>
                <w:p>
                  <w:pPr>
                    <w:pStyle w:val="BodyText"/>
                    <w:spacing w:line="280" w:lineRule="auto"/>
                    <w:ind w:right="17"/>
                  </w:pPr>
                  <w:r>
                    <w:rPr>
                      <w:color w:val="58595B"/>
                      <w:spacing w:val="-3"/>
                    </w:rPr>
                    <w:t>The proposed </w:t>
                  </w:r>
                  <w:r>
                    <w:rPr>
                      <w:color w:val="58595B"/>
                      <w:spacing w:val="-4"/>
                    </w:rPr>
                    <w:t>overarching legislative approach </w:t>
                  </w:r>
                  <w:r>
                    <w:rPr>
                      <w:color w:val="58595B"/>
                    </w:rPr>
                    <w:t>is a first </w:t>
                  </w:r>
                  <w:r>
                    <w:rPr>
                      <w:color w:val="58595B"/>
                      <w:spacing w:val="-4"/>
                    </w:rPr>
                    <w:t>step </w:t>
                  </w:r>
                  <w:r>
                    <w:rPr>
                      <w:color w:val="58595B"/>
                      <w:spacing w:val="-5"/>
                    </w:rPr>
                    <w:t>towards </w:t>
                  </w:r>
                  <w:r>
                    <w:rPr>
                      <w:color w:val="58595B"/>
                      <w:spacing w:val="-4"/>
                    </w:rPr>
                    <w:t>addressing </w:t>
                  </w:r>
                  <w:r>
                    <w:rPr>
                      <w:color w:val="58595B"/>
                      <w:spacing w:val="-3"/>
                    </w:rPr>
                    <w:t>some </w:t>
                  </w:r>
                  <w:r>
                    <w:rPr>
                      <w:color w:val="58595B"/>
                      <w:spacing w:val="-5"/>
                    </w:rPr>
                    <w:t>systemic </w:t>
                  </w:r>
                  <w:r>
                    <w:rPr>
                      <w:color w:val="58595B"/>
                      <w:spacing w:val="-4"/>
                    </w:rPr>
                    <w:t>problems </w:t>
                  </w:r>
                  <w:r>
                    <w:rPr>
                      <w:color w:val="58595B"/>
                      <w:spacing w:val="-3"/>
                    </w:rPr>
                    <w:t>and </w:t>
                  </w:r>
                  <w:r>
                    <w:rPr>
                      <w:color w:val="58595B"/>
                      <w:spacing w:val="-4"/>
                    </w:rPr>
                    <w:t>dealing </w:t>
                  </w:r>
                  <w:r>
                    <w:rPr>
                      <w:color w:val="58595B"/>
                      <w:spacing w:val="-3"/>
                    </w:rPr>
                    <w:t>with regulatory </w:t>
                  </w:r>
                  <w:r>
                    <w:rPr>
                      <w:color w:val="58595B"/>
                      <w:spacing w:val="-4"/>
                    </w:rPr>
                    <w:t>overlaps </w:t>
                  </w:r>
                  <w:r>
                    <w:rPr>
                      <w:color w:val="58595B"/>
                      <w:spacing w:val="-3"/>
                    </w:rPr>
                    <w:t>and </w:t>
                  </w:r>
                  <w:r>
                    <w:rPr>
                      <w:color w:val="58595B"/>
                      <w:spacing w:val="-4"/>
                    </w:rPr>
                    <w:t>gaps, </w:t>
                  </w:r>
                  <w:r>
                    <w:rPr>
                      <w:color w:val="58595B"/>
                      <w:spacing w:val="-3"/>
                    </w:rPr>
                    <w:t>but </w:t>
                  </w:r>
                  <w:r>
                    <w:rPr>
                      <w:color w:val="58595B"/>
                    </w:rPr>
                    <w:t>it </w:t>
                  </w:r>
                  <w:r>
                    <w:rPr>
                      <w:color w:val="58595B"/>
                      <w:spacing w:val="-4"/>
                    </w:rPr>
                    <w:t>cannot address </w:t>
                  </w:r>
                  <w:r>
                    <w:rPr>
                      <w:color w:val="58595B"/>
                      <w:spacing w:val="-3"/>
                    </w:rPr>
                    <w:t>all </w:t>
                  </w:r>
                  <w:r>
                    <w:rPr>
                      <w:color w:val="58595B"/>
                      <w:spacing w:val="-4"/>
                    </w:rPr>
                    <w:t>interactions between </w:t>
                  </w:r>
                  <w:r>
                    <w:rPr>
                      <w:color w:val="58595B"/>
                      <w:spacing w:val="-3"/>
                    </w:rPr>
                    <w:t>the </w:t>
                  </w:r>
                  <w:r>
                    <w:rPr>
                      <w:color w:val="58595B"/>
                      <w:spacing w:val="-7"/>
                    </w:rPr>
                    <w:t>EPA </w:t>
                  </w:r>
                  <w:r>
                    <w:rPr>
                      <w:color w:val="58595B"/>
                      <w:spacing w:val="-3"/>
                    </w:rPr>
                    <w:t>and </w:t>
                  </w:r>
                  <w:r>
                    <w:rPr>
                      <w:color w:val="58595B"/>
                      <w:spacing w:val="-4"/>
                    </w:rPr>
                    <w:t>other </w:t>
                  </w:r>
                  <w:r>
                    <w:rPr>
                      <w:color w:val="58595B"/>
                      <w:spacing w:val="-5"/>
                    </w:rPr>
                    <w:t>government </w:t>
                  </w:r>
                  <w:r>
                    <w:rPr>
                      <w:color w:val="58595B"/>
                      <w:spacing w:val="-4"/>
                    </w:rPr>
                    <w:t>agencies. </w:t>
                  </w:r>
                  <w:r>
                    <w:rPr>
                      <w:color w:val="58595B"/>
                      <w:spacing w:val="-3"/>
                    </w:rPr>
                    <w:t>Some </w:t>
                  </w:r>
                  <w:r>
                    <w:rPr>
                      <w:color w:val="58595B"/>
                      <w:spacing w:val="-4"/>
                    </w:rPr>
                    <w:t>issues (affecting health, planning, </w:t>
                  </w:r>
                  <w:r>
                    <w:rPr>
                      <w:color w:val="58595B"/>
                      <w:spacing w:val="-3"/>
                    </w:rPr>
                    <w:t>and </w:t>
                  </w:r>
                  <w:r>
                    <w:rPr>
                      <w:color w:val="58595B"/>
                      <w:spacing w:val="-4"/>
                    </w:rPr>
                    <w:t>noise </w:t>
                  </w:r>
                  <w:r>
                    <w:rPr>
                      <w:color w:val="58595B"/>
                      <w:spacing w:val="-3"/>
                    </w:rPr>
                    <w:t>and </w:t>
                  </w:r>
                  <w:r>
                    <w:rPr>
                      <w:color w:val="58595B"/>
                      <w:spacing w:val="-5"/>
                    </w:rPr>
                    <w:t>odour) </w:t>
                  </w:r>
                  <w:r>
                    <w:rPr>
                      <w:color w:val="58595B"/>
                      <w:spacing w:val="-3"/>
                    </w:rPr>
                    <w:t>will need specific statutory </w:t>
                  </w:r>
                  <w:r>
                    <w:rPr>
                      <w:color w:val="58595B"/>
                      <w:spacing w:val="-4"/>
                    </w:rPr>
                    <w:t>arrangements. We discuss </w:t>
                  </w:r>
                  <w:r>
                    <w:rPr>
                      <w:color w:val="58595B"/>
                      <w:spacing w:val="-3"/>
                    </w:rPr>
                    <w:t>these </w:t>
                  </w:r>
                  <w:r>
                    <w:rPr>
                      <w:color w:val="58595B"/>
                      <w:spacing w:val="-4"/>
                    </w:rPr>
                    <w:t>issues later </w:t>
                  </w:r>
                  <w:r>
                    <w:rPr>
                      <w:color w:val="58595B"/>
                    </w:rPr>
                    <w:t>in </w:t>
                  </w:r>
                  <w:r>
                    <w:rPr>
                      <w:color w:val="58595B"/>
                      <w:spacing w:val="-3"/>
                    </w:rPr>
                    <w:t>this </w:t>
                  </w:r>
                  <w:r>
                    <w:rPr>
                      <w:color w:val="58595B"/>
                    </w:rPr>
                    <w:t>report.</w:t>
                  </w:r>
                </w:p>
              </w:txbxContent>
            </v:textbox>
            <w10:wrap type="none"/>
          </v:shape>
        </w:pict>
      </w:r>
      <w:r>
        <w:rPr/>
        <w:pict>
          <v:shape style="position:absolute;margin-left:89.708603pt;margin-top:172.653961pt;width:430.15pt;height:85.2pt;mso-position-horizontal-relative:page;mso-position-vertical-relative:page;z-index:-187552" type="#_x0000_t202" filled="false" stroked="false">
            <v:textbox inset="0,0,0,0">
              <w:txbxContent>
                <w:p>
                  <w:pPr>
                    <w:pStyle w:val="BodyText"/>
                    <w:spacing w:line="224" w:lineRule="exact"/>
                    <w:ind w:right="-20"/>
                  </w:pPr>
                  <w:r>
                    <w:rPr>
                      <w:color w:val="0095A7"/>
                    </w:rPr>
                    <w:t>7.3.2  Collaborative solutions to complex or intractable problems</w:t>
                  </w:r>
                </w:p>
                <w:p>
                  <w:pPr>
                    <w:pStyle w:val="BodyText"/>
                    <w:spacing w:before="153"/>
                    <w:ind w:right="-20"/>
                  </w:pPr>
                  <w:r>
                    <w:rPr>
                      <w:color w:val="58595B"/>
                    </w:rPr>
                    <w:t>Deploying a whole-of-government toolkit to identify problems and assess alternative approaches</w:t>
                  </w:r>
                </w:p>
                <w:p>
                  <w:pPr>
                    <w:pStyle w:val="BodyText"/>
                    <w:spacing w:line="280" w:lineRule="auto" w:before="40"/>
                    <w:ind w:right="-20"/>
                  </w:pPr>
                  <w:r>
                    <w:rPr>
                      <w:color w:val="58595B"/>
                    </w:rPr>
                    <w:t>– including joint regulation and packaging incentives with education and regulation – will more effectively address complex problems. As well as strengthening risk management and avoiding unacceptable impacts, government has the opportunity to collaborate on seemingly entrenched and intractable problems, and on developing solutions that deliver multiple benefits.</w:t>
                  </w:r>
                </w:p>
              </w:txbxContent>
            </v:textbox>
            <w10:wrap type="none"/>
          </v:shape>
        </w:pict>
      </w:r>
      <w:r>
        <w:rPr/>
        <w:pict>
          <v:shape style="position:absolute;margin-left:89.732597pt;margin-top:643.631897pt;width:424.7pt;height:120pt;mso-position-horizontal-relative:page;mso-position-vertical-relative:page;z-index:-187528" type="#_x0000_t202" filled="false" stroked="false">
            <v:textbox inset="0,0,0,0">
              <w:txbxContent>
                <w:p>
                  <w:pPr>
                    <w:pStyle w:val="BodyText"/>
                    <w:spacing w:line="280" w:lineRule="auto"/>
                    <w:ind w:right="133"/>
                  </w:pPr>
                  <w:r>
                    <w:rPr>
                      <w:color w:val="58595B"/>
                    </w:rPr>
                    <w:t>The government toolkit includes a mix of instruments and tools. The effectiveness of different tools depends on the problems being addressed and the objectives. The EPA’s regulatory tools should not be considered in isolation. For water quality, the EPA has traditionally looked at engineering or ‘brown’ solutions, for example, rather than ‘greener’ interventions such as those involving native vegetation regrowth or re-establishing wetlands. There are signs that this is changing, driven in part by innovation by the water authorities (box 7.2). Establishing</w:t>
                  </w:r>
                </w:p>
                <w:p>
                  <w:pPr>
                    <w:pStyle w:val="BodyText"/>
                    <w:spacing w:line="280" w:lineRule="auto" w:before="2"/>
                  </w:pPr>
                  <w:r>
                    <w:rPr>
                      <w:color w:val="58595B"/>
                    </w:rPr>
                    <w:t>a formal overarching system for environmental management with specific mechanisms to foster collaborative problem solving will enable the EPA to draw on the knowledge and expertise of others and their tools.</w:t>
                  </w:r>
                </w:p>
              </w:txbxContent>
            </v:textbox>
            <w10:wrap type="none"/>
          </v:shape>
        </w:pict>
      </w:r>
      <w:r>
        <w:rPr/>
        <w:pict>
          <v:shape style="position:absolute;margin-left:90.709pt;margin-top:266.261017pt;width:432.75pt;height:358.85pt;mso-position-horizontal-relative:page;mso-position-vertical-relative:page;z-index:-187504" type="#_x0000_t202" filled="false" stroked="false">
            <v:textbox inset="0,0,0,0">
              <w:txbxContent>
                <w:p>
                  <w:pPr>
                    <w:pStyle w:val="BodyText"/>
                    <w:spacing w:before="128"/>
                    <w:ind w:left="170" w:right="482"/>
                  </w:pPr>
                  <w:r>
                    <w:rPr>
                      <w:b/>
                      <w:color w:val="0095A7"/>
                    </w:rPr>
                    <w:t>BOX 7.1  </w:t>
                  </w:r>
                  <w:r>
                    <w:rPr>
                      <w:color w:val="0095A7"/>
                    </w:rPr>
                    <w:t>COLLABORATION TO RESOLVE INTRACTABLE AMENITY PROBLEMS</w:t>
                  </w:r>
                </w:p>
                <w:p>
                  <w:pPr>
                    <w:pStyle w:val="BodyText"/>
                    <w:spacing w:line="280" w:lineRule="auto" w:before="153"/>
                    <w:ind w:left="170" w:right="482"/>
                  </w:pPr>
                  <w:r>
                    <w:rPr>
                      <w:color w:val="58595B"/>
                    </w:rPr>
                    <w:t>The EPA regularly faces local ‘hot spot’ problems that can persist for many years. These situations often involve entrenched land use conflict and multiple sources of pollution.</w:t>
                  </w:r>
                </w:p>
                <w:p>
                  <w:pPr>
                    <w:pStyle w:val="BodyText"/>
                    <w:spacing w:line="280" w:lineRule="auto" w:before="2"/>
                    <w:ind w:left="170" w:right="371"/>
                  </w:pPr>
                  <w:r>
                    <w:rPr>
                      <w:color w:val="58595B"/>
                    </w:rPr>
                    <w:t>Generally, the EPA cannot address these issues on its own; the problem may need multiple agencies or a whole-of-government approach.</w:t>
                  </w:r>
                </w:p>
                <w:p>
                  <w:pPr>
                    <w:pStyle w:val="BodyText"/>
                    <w:spacing w:line="280" w:lineRule="auto" w:before="172"/>
                    <w:ind w:left="170" w:right="267"/>
                  </w:pPr>
                  <w:r>
                    <w:rPr>
                      <w:color w:val="58595B"/>
                    </w:rPr>
                    <w:t>The Brooklyn Industrial Precinct is an example. The EPA has been working to resolve dust and odour issues here since 2008. The breakthrough came from the EPA working with local government and VicRoads on sealing roads that were significant causes of dust. The EPA used the results from its local air monitoring to make the case for sealing the roads.</w:t>
                  </w:r>
                </w:p>
                <w:p>
                  <w:pPr>
                    <w:pStyle w:val="BodyText"/>
                    <w:spacing w:line="280" w:lineRule="auto" w:before="172"/>
                    <w:ind w:left="170" w:right="482"/>
                  </w:pPr>
                  <w:r>
                    <w:rPr>
                      <w:color w:val="58595B"/>
                    </w:rPr>
                    <w:t>The EPA also uses its regulatory powers against businesses contributing to the odour and dust issues at Brooklyn, including:</w:t>
                  </w:r>
                </w:p>
                <w:p>
                  <w:pPr>
                    <w:pStyle w:val="ListParagraph"/>
                    <w:numPr>
                      <w:ilvl w:val="0"/>
                      <w:numId w:val="52"/>
                    </w:numPr>
                    <w:tabs>
                      <w:tab w:pos="341" w:val="left" w:leader="none"/>
                    </w:tabs>
                    <w:spacing w:line="240" w:lineRule="auto" w:before="115" w:after="0"/>
                    <w:ind w:left="340" w:right="0" w:hanging="170"/>
                    <w:jc w:val="left"/>
                    <w:rPr>
                      <w:sz w:val="20"/>
                    </w:rPr>
                  </w:pPr>
                  <w:r>
                    <w:rPr>
                      <w:color w:val="58595B"/>
                      <w:sz w:val="20"/>
                    </w:rPr>
                    <w:t>issuing remedial notices to undertake improvement</w:t>
                  </w:r>
                  <w:r>
                    <w:rPr>
                      <w:color w:val="58595B"/>
                      <w:spacing w:val="-2"/>
                      <w:sz w:val="20"/>
                    </w:rPr>
                    <w:t> </w:t>
                  </w:r>
                  <w:r>
                    <w:rPr>
                      <w:color w:val="58595B"/>
                      <w:sz w:val="20"/>
                    </w:rPr>
                    <w:t>works</w:t>
                  </w:r>
                </w:p>
                <w:p>
                  <w:pPr>
                    <w:pStyle w:val="ListParagraph"/>
                    <w:numPr>
                      <w:ilvl w:val="0"/>
                      <w:numId w:val="52"/>
                    </w:numPr>
                    <w:tabs>
                      <w:tab w:pos="341" w:val="left" w:leader="none"/>
                    </w:tabs>
                    <w:spacing w:line="240" w:lineRule="auto" w:before="153" w:after="0"/>
                    <w:ind w:left="340" w:right="0" w:hanging="170"/>
                    <w:jc w:val="left"/>
                    <w:rPr>
                      <w:sz w:val="20"/>
                    </w:rPr>
                  </w:pPr>
                  <w:r>
                    <w:rPr>
                      <w:color w:val="58595B"/>
                      <w:sz w:val="20"/>
                    </w:rPr>
                    <w:t>taking enforcement</w:t>
                  </w:r>
                  <w:r>
                    <w:rPr>
                      <w:color w:val="58595B"/>
                      <w:spacing w:val="5"/>
                      <w:sz w:val="20"/>
                    </w:rPr>
                    <w:t> </w:t>
                  </w:r>
                  <w:r>
                    <w:rPr>
                      <w:color w:val="58595B"/>
                      <w:sz w:val="20"/>
                    </w:rPr>
                    <w:t>action.</w:t>
                  </w:r>
                </w:p>
                <w:p>
                  <w:pPr>
                    <w:pStyle w:val="BodyText"/>
                    <w:spacing w:before="3"/>
                    <w:ind w:left="0"/>
                    <w:rPr>
                      <w:rFonts w:ascii="Times New Roman"/>
                      <w:sz w:val="18"/>
                    </w:rPr>
                  </w:pPr>
                </w:p>
                <w:p>
                  <w:pPr>
                    <w:pStyle w:val="BodyText"/>
                    <w:spacing w:line="280" w:lineRule="auto"/>
                    <w:ind w:left="170" w:right="161"/>
                  </w:pPr>
                  <w:r>
                    <w:rPr>
                      <w:color w:val="58595B"/>
                    </w:rPr>
                    <w:t>Whole-of-government coordination mechanisms can provide a forum for similar problem solving, when the regulator alone cannot achieve traction on the ground, or when progress needs a range of instruments and approaches.</w:t>
                  </w:r>
                </w:p>
                <w:p>
                  <w:pPr>
                    <w:spacing w:line="280" w:lineRule="auto" w:before="172"/>
                    <w:ind w:left="737" w:right="771" w:firstLine="0"/>
                    <w:jc w:val="left"/>
                    <w:rPr>
                      <w:sz w:val="20"/>
                    </w:rPr>
                  </w:pPr>
                  <w:r>
                    <w:rPr>
                      <w:i/>
                      <w:color w:val="231F20"/>
                      <w:sz w:val="20"/>
                    </w:rPr>
                    <w:t>Where issues are shared, or the complexity of issues in a particular location warrant it, there should be a process for coordinated action by the EPA, other agencies and local government. Greater use should be made of joint taskforces or similarly convened groups that have a specified task and set timeline to investigate, strategise and implement actions to address environment protection issues. </w:t>
                  </w:r>
                  <w:r>
                    <w:rPr>
                      <w:color w:val="231F20"/>
                      <w:sz w:val="20"/>
                    </w:rPr>
                    <w:t>(Brimbank City Council submission, p. 4)</w:t>
                  </w:r>
                </w:p>
              </w:txbxContent>
            </v:textbox>
            <w10:wrap type="none"/>
          </v:shape>
        </w:pict>
      </w:r>
      <w:r>
        <w:rPr/>
        <w:pict>
          <v:shape style="position:absolute;margin-left:534.996094pt;margin-top:44.090015pt;width:60.3pt;height:5.25pt;mso-position-horizontal-relative:page;mso-position-vertical-relative:page;z-index:-187480"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7456"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87432" from=".0pt,45.840015pt" to="60.2791pt,45.840015pt" stroked="true" strokeweight="7pt" strokecolor="#0095a7">
            <w10:wrap type="none"/>
          </v:line>
        </w:pict>
      </w:r>
      <w:r>
        <w:rPr/>
        <w:pict>
          <v:rect style="position:absolute;margin-left:70.865997pt;margin-top:107.717018pt;width:432.701pt;height:544.162pt;mso-position-horizontal-relative:page;mso-position-vertical-relative:page;z-index:-187408" filled="true" fillcolor="#eaf2f3" stroked="false">
            <v:fill type="solid"/>
            <w10:wrap type="none"/>
          </v:rect>
        </w:pict>
      </w:r>
      <w:r>
        <w:rPr/>
        <w:pict>
          <v:shape style="position:absolute;margin-left:69.866096pt;margin-top:40.902756pt;width:14.55pt;height:9.5pt;mso-position-horizontal-relative:page;mso-position-vertical-relative:page;z-index:-187384" type="#_x0000_t202" filled="false" stroked="false">
            <v:textbox inset="0,0,0,0">
              <w:txbxContent>
                <w:p>
                  <w:pPr>
                    <w:spacing w:before="1"/>
                    <w:ind w:left="20" w:right="0" w:firstLine="0"/>
                    <w:jc w:val="left"/>
                    <w:rPr>
                      <w:sz w:val="15"/>
                    </w:rPr>
                  </w:pPr>
                  <w:r>
                    <w:rPr>
                      <w:color w:val="58595B"/>
                      <w:sz w:val="15"/>
                    </w:rPr>
                    <w:t>134</w:t>
                  </w:r>
                </w:p>
              </w:txbxContent>
            </v:textbox>
            <w10:wrap type="none"/>
          </v:shape>
        </w:pict>
      </w:r>
      <w:r>
        <w:rPr/>
        <w:pict>
          <v:shape style="position:absolute;margin-left:95.377899pt;margin-top:40.902756pt;width:147.75pt;height:9.5pt;mso-position-horizontal-relative:page;mso-position-vertical-relative:page;z-index:-187360"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70.865997pt;margin-top:107.717018pt;width:432.7pt;height:544.2pt;mso-position-horizontal-relative:page;mso-position-vertical-relative:page;z-index:-187336" type="#_x0000_t202" filled="false" stroked="false">
            <v:textbox inset="0,0,0,0">
              <w:txbxContent>
                <w:p>
                  <w:pPr>
                    <w:pStyle w:val="BodyText"/>
                    <w:spacing w:before="128"/>
                    <w:ind w:left="170" w:right="277"/>
                  </w:pPr>
                  <w:r>
                    <w:rPr>
                      <w:b/>
                      <w:color w:val="0095A7"/>
                    </w:rPr>
                    <w:t>BOX 7.2 </w:t>
                  </w:r>
                  <w:r>
                    <w:rPr>
                      <w:color w:val="0095A7"/>
                    </w:rPr>
                    <w:t>THE EPA AND DIFFUSE WATER POLLUTION</w:t>
                  </w:r>
                </w:p>
                <w:p>
                  <w:pPr>
                    <w:pStyle w:val="BodyText"/>
                    <w:spacing w:line="280" w:lineRule="auto" w:before="153"/>
                    <w:ind w:left="170" w:right="366"/>
                  </w:pPr>
                  <w:r>
                    <w:rPr>
                      <w:color w:val="58595B"/>
                    </w:rPr>
                    <w:t>Victoria’s water resources are managed by a variety of agencies with differing objectives and geographical remits. The EPA, which monitors and addresses water pollution, is one of several agencies, which include:</w:t>
                  </w:r>
                </w:p>
                <w:p>
                  <w:pPr>
                    <w:pStyle w:val="ListParagraph"/>
                    <w:numPr>
                      <w:ilvl w:val="0"/>
                      <w:numId w:val="53"/>
                    </w:numPr>
                    <w:tabs>
                      <w:tab w:pos="341" w:val="left" w:leader="none"/>
                    </w:tabs>
                    <w:spacing w:line="240" w:lineRule="auto" w:before="115" w:after="0"/>
                    <w:ind w:left="340" w:right="0" w:hanging="170"/>
                    <w:jc w:val="left"/>
                    <w:rPr>
                      <w:sz w:val="20"/>
                    </w:rPr>
                  </w:pPr>
                  <w:r>
                    <w:rPr>
                      <w:color w:val="58595B"/>
                      <w:sz w:val="20"/>
                    </w:rPr>
                    <w:t>DELWP</w:t>
                  </w:r>
                  <w:r>
                    <w:rPr>
                      <w:color w:val="58595B"/>
                      <w:spacing w:val="-9"/>
                      <w:sz w:val="20"/>
                    </w:rPr>
                    <w:t> </w:t>
                  </w:r>
                  <w:r>
                    <w:rPr>
                      <w:color w:val="58595B"/>
                      <w:sz w:val="20"/>
                    </w:rPr>
                    <w:t>(policy,</w:t>
                  </w:r>
                  <w:r>
                    <w:rPr>
                      <w:color w:val="58595B"/>
                      <w:spacing w:val="-9"/>
                      <w:sz w:val="20"/>
                    </w:rPr>
                    <w:t> </w:t>
                  </w:r>
                  <w:r>
                    <w:rPr>
                      <w:color w:val="58595B"/>
                      <w:sz w:val="20"/>
                    </w:rPr>
                    <w:t>overall</w:t>
                  </w:r>
                  <w:r>
                    <w:rPr>
                      <w:color w:val="58595B"/>
                      <w:spacing w:val="-9"/>
                      <w:sz w:val="20"/>
                    </w:rPr>
                    <w:t> </w:t>
                  </w:r>
                  <w:r>
                    <w:rPr>
                      <w:color w:val="58595B"/>
                      <w:sz w:val="20"/>
                    </w:rPr>
                    <w:t>water</w:t>
                  </w:r>
                  <w:r>
                    <w:rPr>
                      <w:color w:val="58595B"/>
                      <w:spacing w:val="-9"/>
                      <w:sz w:val="20"/>
                    </w:rPr>
                    <w:t> </w:t>
                  </w:r>
                  <w:r>
                    <w:rPr>
                      <w:color w:val="58595B"/>
                      <w:sz w:val="20"/>
                    </w:rPr>
                    <w:t>quality,</w:t>
                  </w:r>
                  <w:r>
                    <w:rPr>
                      <w:color w:val="58595B"/>
                      <w:spacing w:val="-9"/>
                      <w:sz w:val="20"/>
                    </w:rPr>
                    <w:t> </w:t>
                  </w:r>
                  <w:r>
                    <w:rPr>
                      <w:color w:val="58595B"/>
                      <w:sz w:val="20"/>
                    </w:rPr>
                    <w:t>water</w:t>
                  </w:r>
                  <w:r>
                    <w:rPr>
                      <w:color w:val="58595B"/>
                      <w:spacing w:val="-9"/>
                      <w:sz w:val="20"/>
                    </w:rPr>
                    <w:t> </w:t>
                  </w:r>
                  <w:r>
                    <w:rPr>
                      <w:color w:val="58595B"/>
                      <w:sz w:val="20"/>
                    </w:rPr>
                    <w:t>trading)</w:t>
                  </w:r>
                </w:p>
                <w:p>
                  <w:pPr>
                    <w:pStyle w:val="ListParagraph"/>
                    <w:numPr>
                      <w:ilvl w:val="0"/>
                      <w:numId w:val="53"/>
                    </w:numPr>
                    <w:tabs>
                      <w:tab w:pos="341" w:val="left" w:leader="none"/>
                    </w:tabs>
                    <w:spacing w:line="280" w:lineRule="auto" w:before="153" w:after="0"/>
                    <w:ind w:left="340" w:right="522" w:hanging="170"/>
                    <w:jc w:val="left"/>
                    <w:rPr>
                      <w:sz w:val="20"/>
                    </w:rPr>
                  </w:pPr>
                  <w:r>
                    <w:rPr>
                      <w:color w:val="58595B"/>
                      <w:sz w:val="20"/>
                    </w:rPr>
                    <w:t>Catchment Management Authorities (program delivery and coordination in catchment to improve riparian environments and water</w:t>
                  </w:r>
                  <w:r>
                    <w:rPr>
                      <w:color w:val="58595B"/>
                      <w:spacing w:val="-16"/>
                      <w:sz w:val="20"/>
                    </w:rPr>
                    <w:t> </w:t>
                  </w:r>
                  <w:r>
                    <w:rPr>
                      <w:color w:val="58595B"/>
                      <w:sz w:val="20"/>
                    </w:rPr>
                    <w:t>quality)</w:t>
                  </w:r>
                </w:p>
                <w:p>
                  <w:pPr>
                    <w:pStyle w:val="ListParagraph"/>
                    <w:numPr>
                      <w:ilvl w:val="0"/>
                      <w:numId w:val="53"/>
                    </w:numPr>
                    <w:tabs>
                      <w:tab w:pos="340" w:val="left" w:leader="none"/>
                    </w:tabs>
                    <w:spacing w:line="240" w:lineRule="auto" w:before="115" w:after="0"/>
                    <w:ind w:left="339" w:right="0" w:hanging="170"/>
                    <w:jc w:val="left"/>
                    <w:rPr>
                      <w:sz w:val="20"/>
                    </w:rPr>
                  </w:pPr>
                  <w:r>
                    <w:rPr>
                      <w:color w:val="58595B"/>
                      <w:sz w:val="20"/>
                    </w:rPr>
                    <w:t>water corporations (service providers for waste and drinking water</w:t>
                  </w:r>
                  <w:r>
                    <w:rPr>
                      <w:color w:val="58595B"/>
                      <w:spacing w:val="4"/>
                      <w:sz w:val="20"/>
                    </w:rPr>
                    <w:t> </w:t>
                  </w:r>
                  <w:r>
                    <w:rPr>
                      <w:color w:val="58595B"/>
                      <w:sz w:val="20"/>
                    </w:rPr>
                    <w:t>services)</w:t>
                  </w:r>
                </w:p>
                <w:p>
                  <w:pPr>
                    <w:pStyle w:val="ListParagraph"/>
                    <w:numPr>
                      <w:ilvl w:val="0"/>
                      <w:numId w:val="53"/>
                    </w:numPr>
                    <w:tabs>
                      <w:tab w:pos="340" w:val="left" w:leader="none"/>
                    </w:tabs>
                    <w:spacing w:line="240" w:lineRule="auto" w:before="153" w:after="0"/>
                    <w:ind w:left="339" w:right="0" w:hanging="170"/>
                    <w:jc w:val="left"/>
                    <w:rPr>
                      <w:sz w:val="20"/>
                    </w:rPr>
                  </w:pPr>
                  <w:r>
                    <w:rPr>
                      <w:color w:val="58595B"/>
                      <w:spacing w:val="2"/>
                      <w:sz w:val="20"/>
                    </w:rPr>
                    <w:t>port </w:t>
                  </w:r>
                  <w:r>
                    <w:rPr>
                      <w:color w:val="58595B"/>
                      <w:sz w:val="20"/>
                    </w:rPr>
                    <w:t>authorities and regional coastal</w:t>
                  </w:r>
                  <w:r>
                    <w:rPr>
                      <w:color w:val="58595B"/>
                      <w:spacing w:val="10"/>
                      <w:sz w:val="20"/>
                    </w:rPr>
                    <w:t> </w:t>
                  </w:r>
                  <w:r>
                    <w:rPr>
                      <w:color w:val="58595B"/>
                      <w:sz w:val="20"/>
                    </w:rPr>
                    <w:t>boards</w:t>
                  </w:r>
                </w:p>
                <w:p>
                  <w:pPr>
                    <w:pStyle w:val="ListParagraph"/>
                    <w:numPr>
                      <w:ilvl w:val="0"/>
                      <w:numId w:val="53"/>
                    </w:numPr>
                    <w:tabs>
                      <w:tab w:pos="340" w:val="left" w:leader="none"/>
                    </w:tabs>
                    <w:spacing w:line="240" w:lineRule="auto" w:before="153" w:after="0"/>
                    <w:ind w:left="339" w:right="0" w:hanging="170"/>
                    <w:jc w:val="left"/>
                    <w:rPr>
                      <w:sz w:val="20"/>
                    </w:rPr>
                  </w:pPr>
                  <w:r>
                    <w:rPr>
                      <w:color w:val="58595B"/>
                      <w:sz w:val="20"/>
                    </w:rPr>
                    <w:t>environmental water holders (maintaining environmental flows through market</w:t>
                  </w:r>
                  <w:r>
                    <w:rPr>
                      <w:color w:val="58595B"/>
                      <w:spacing w:val="-27"/>
                      <w:sz w:val="20"/>
                    </w:rPr>
                    <w:t> </w:t>
                  </w:r>
                  <w:r>
                    <w:rPr>
                      <w:color w:val="58595B"/>
                      <w:sz w:val="20"/>
                    </w:rPr>
                    <w:t>mechanisms)</w:t>
                  </w:r>
                </w:p>
                <w:p>
                  <w:pPr>
                    <w:pStyle w:val="ListParagraph"/>
                    <w:numPr>
                      <w:ilvl w:val="0"/>
                      <w:numId w:val="53"/>
                    </w:numPr>
                    <w:tabs>
                      <w:tab w:pos="340" w:val="left" w:leader="none"/>
                    </w:tabs>
                    <w:spacing w:line="240" w:lineRule="auto" w:before="153" w:after="0"/>
                    <w:ind w:left="339" w:right="0" w:hanging="170"/>
                    <w:jc w:val="left"/>
                    <w:rPr>
                      <w:sz w:val="20"/>
                    </w:rPr>
                  </w:pPr>
                  <w:r>
                    <w:rPr>
                      <w:color w:val="58595B"/>
                      <w:sz w:val="20"/>
                    </w:rPr>
                    <w:t>Murray-Darling Basin Authority </w:t>
                  </w:r>
                  <w:r>
                    <w:rPr>
                      <w:color w:val="58595B"/>
                      <w:spacing w:val="-3"/>
                      <w:sz w:val="20"/>
                    </w:rPr>
                    <w:t>(use </w:t>
                  </w:r>
                  <w:r>
                    <w:rPr>
                      <w:color w:val="58595B"/>
                      <w:sz w:val="20"/>
                    </w:rPr>
                    <w:t>limits, environmental</w:t>
                  </w:r>
                  <w:r>
                    <w:rPr>
                      <w:color w:val="58595B"/>
                      <w:spacing w:val="5"/>
                      <w:sz w:val="20"/>
                    </w:rPr>
                    <w:t> </w:t>
                  </w:r>
                  <w:r>
                    <w:rPr>
                      <w:color w:val="58595B"/>
                      <w:sz w:val="20"/>
                    </w:rPr>
                    <w:t>objectives)</w:t>
                  </w:r>
                </w:p>
                <w:p>
                  <w:pPr>
                    <w:pStyle w:val="ListParagraph"/>
                    <w:numPr>
                      <w:ilvl w:val="0"/>
                      <w:numId w:val="53"/>
                    </w:numPr>
                    <w:tabs>
                      <w:tab w:pos="340" w:val="left" w:leader="none"/>
                    </w:tabs>
                    <w:spacing w:line="240" w:lineRule="auto" w:before="153" w:after="0"/>
                    <w:ind w:left="339" w:right="0" w:hanging="170"/>
                    <w:jc w:val="left"/>
                    <w:rPr>
                      <w:sz w:val="20"/>
                    </w:rPr>
                  </w:pPr>
                  <w:r>
                    <w:rPr>
                      <w:color w:val="58595B"/>
                      <w:sz w:val="20"/>
                    </w:rPr>
                    <w:t>local governments, Parks Victoria (water assets, storm water</w:t>
                  </w:r>
                  <w:r>
                    <w:rPr>
                      <w:color w:val="58595B"/>
                      <w:spacing w:val="-18"/>
                      <w:sz w:val="20"/>
                    </w:rPr>
                    <w:t> </w:t>
                  </w:r>
                  <w:r>
                    <w:rPr>
                      <w:color w:val="58595B"/>
                      <w:sz w:val="20"/>
                    </w:rPr>
                    <w:t>management).</w:t>
                  </w:r>
                </w:p>
                <w:p>
                  <w:pPr>
                    <w:pStyle w:val="BodyText"/>
                    <w:spacing w:before="3"/>
                    <w:ind w:left="0"/>
                    <w:rPr>
                      <w:rFonts w:ascii="Times New Roman"/>
                      <w:sz w:val="18"/>
                    </w:rPr>
                  </w:pPr>
                </w:p>
                <w:p>
                  <w:pPr>
                    <w:pStyle w:val="BodyText"/>
                    <w:spacing w:line="280" w:lineRule="auto"/>
                    <w:ind w:left="169" w:right="426"/>
                  </w:pPr>
                  <w:r>
                    <w:rPr>
                      <w:color w:val="58595B"/>
                    </w:rPr>
                    <w:t>Victoria’s rivers and other waterways face threats from diffuse pollution sources, affecting the environment, as well as beneficial human uses such as recreation. No single approach is suitable for all types of diffuse and small point sources of water pollution. A mix of policy</w:t>
                  </w:r>
                </w:p>
                <w:p>
                  <w:pPr>
                    <w:pStyle w:val="BodyText"/>
                    <w:spacing w:line="280" w:lineRule="auto" w:before="2"/>
                    <w:ind w:left="169" w:right="189"/>
                    <w:rPr>
                      <w:sz w:val="11"/>
                    </w:rPr>
                  </w:pPr>
                  <w:r>
                    <w:rPr>
                      <w:color w:val="58595B"/>
                    </w:rPr>
                    <w:t>instruments across agencies and regulators is likely to outperform any single instrument from a single agency. And the sequencing of policy instruments is probably as important as the instrument mix and targeting.</w:t>
                  </w:r>
                  <w:r>
                    <w:rPr>
                      <w:color w:val="58595B"/>
                      <w:position w:val="7"/>
                      <w:sz w:val="11"/>
                    </w:rPr>
                    <w:t>18</w:t>
                  </w:r>
                </w:p>
                <w:p>
                  <w:pPr>
                    <w:pStyle w:val="BodyText"/>
                    <w:spacing w:line="280" w:lineRule="auto" w:before="172"/>
                    <w:ind w:left="170" w:right="937"/>
                  </w:pPr>
                  <w:r>
                    <w:rPr>
                      <w:color w:val="58595B"/>
                    </w:rPr>
                    <w:t>The EPA of the future needs to be flexible and explore alternative solutions, including with other parts of government. Curbing pollution from urban stormwater drains, for</w:t>
                  </w:r>
                </w:p>
                <w:p>
                  <w:pPr>
                    <w:pStyle w:val="BodyText"/>
                    <w:spacing w:line="280" w:lineRule="auto" w:before="2"/>
                    <w:ind w:left="170" w:right="277"/>
                    <w:rPr>
                      <w:sz w:val="11"/>
                    </w:rPr>
                  </w:pPr>
                  <w:r>
                    <w:rPr>
                      <w:color w:val="58595B"/>
                    </w:rPr>
                    <w:t>example, may require very different strategies than those to control diffuse source pollution from agriculture.</w:t>
                  </w:r>
                  <w:r>
                    <w:rPr>
                      <w:color w:val="58595B"/>
                      <w:position w:val="7"/>
                      <w:sz w:val="11"/>
                    </w:rPr>
                    <w:t>19</w:t>
                  </w:r>
                </w:p>
                <w:p>
                  <w:pPr>
                    <w:pStyle w:val="BodyText"/>
                    <w:spacing w:line="280" w:lineRule="auto" w:before="172"/>
                    <w:ind w:left="170" w:right="189"/>
                  </w:pPr>
                  <w:r>
                    <w:rPr>
                      <w:color w:val="58595B"/>
                    </w:rPr>
                    <w:t>For example, addressing diffuse pollution from agriculture will involve interventions, such as farm management practices (like farm and nutrient management plans); design or technology standards; and broad scale planning and development control strategies to change land</w:t>
                  </w:r>
                </w:p>
                <w:p>
                  <w:pPr>
                    <w:pStyle w:val="BodyText"/>
                    <w:spacing w:before="2"/>
                    <w:ind w:left="170" w:right="277"/>
                    <w:rPr>
                      <w:sz w:val="11"/>
                    </w:rPr>
                  </w:pPr>
                  <w:r>
                    <w:rPr>
                      <w:color w:val="58595B"/>
                    </w:rPr>
                    <w:t>use patterns.</w:t>
                  </w:r>
                  <w:r>
                    <w:rPr>
                      <w:color w:val="58595B"/>
                      <w:position w:val="7"/>
                      <w:sz w:val="11"/>
                    </w:rPr>
                    <w:t>20</w:t>
                  </w:r>
                </w:p>
                <w:p>
                  <w:pPr>
                    <w:pStyle w:val="BodyText"/>
                    <w:spacing w:before="3"/>
                    <w:ind w:left="0"/>
                    <w:rPr>
                      <w:rFonts w:ascii="Times New Roman"/>
                      <w:sz w:val="18"/>
                    </w:rPr>
                  </w:pPr>
                </w:p>
                <w:p>
                  <w:pPr>
                    <w:pStyle w:val="BodyText"/>
                    <w:spacing w:line="280" w:lineRule="auto"/>
                    <w:ind w:left="170" w:right="189"/>
                  </w:pPr>
                  <w:r>
                    <w:rPr>
                      <w:color w:val="58595B"/>
                    </w:rPr>
                    <w:t>Widening perspectives and using a wider range of tools to tackle diffuse water pollution could also reduce costs for the same result, as argued by VicWater:</w:t>
                  </w:r>
                </w:p>
                <w:p>
                  <w:pPr>
                    <w:spacing w:line="280" w:lineRule="auto" w:before="172"/>
                    <w:ind w:left="737" w:right="1060" w:firstLine="0"/>
                    <w:jc w:val="left"/>
                    <w:rPr>
                      <w:sz w:val="20"/>
                    </w:rPr>
                  </w:pPr>
                  <w:r>
                    <w:rPr>
                      <w:i/>
                      <w:color w:val="231F20"/>
                      <w:sz w:val="20"/>
                    </w:rPr>
                    <w:t>Melbourne Water’s Dandenong Creek offsets project is an example where an upgrade to an Emergency Relief Structure (at a potential cost of $120 million) was offset by an approximately $20 million investment in range of projects to improve the stormwater entering Dandenong Creek, under a program called Enhancing Our Dandenong Creek. </w:t>
                  </w:r>
                  <w:r>
                    <w:rPr>
                      <w:color w:val="231F20"/>
                      <w:sz w:val="20"/>
                    </w:rPr>
                    <w:t>(Melbourne Water submission, p. 5)</w:t>
                  </w:r>
                </w:p>
              </w:txbxContent>
            </v:textbox>
            <w10:wrap type="none"/>
          </v:shape>
        </w:pict>
      </w:r>
      <w:r>
        <w:rPr/>
        <w:pict>
          <v:shape style="position:absolute;margin-left:.0pt;margin-top:44.090015pt;width:60.3pt;height:5.25pt;mso-position-horizontal-relative:page;mso-position-vertical-relative:page;z-index:-18731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87288"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87264" from="534.996094pt,45.840015pt" to="595.276001pt,45.840015pt" stroked="true" strokeweight="7pt" strokecolor="#0095a7">
            <w10:wrap type="none"/>
          </v:line>
        </w:pict>
      </w:r>
      <w:r>
        <w:rPr/>
        <w:pict>
          <v:shape style="position:absolute;margin-left:163.581497pt;margin-top:40.902756pt;width:361.8pt;height:9.5pt;mso-position-horizontal-relative:page;mso-position-vertical-relative:page;z-index:-187240" type="#_x0000_t202" filled="false" stroked="false">
            <v:textbox inset="0,0,0,0">
              <w:txbxContent>
                <w:p>
                  <w:pPr>
                    <w:tabs>
                      <w:tab w:pos="6967" w:val="left" w:leader="none"/>
                    </w:tabs>
                    <w:spacing w:before="1"/>
                    <w:ind w:left="20" w:right="0" w:firstLine="0"/>
                    <w:jc w:val="left"/>
                    <w:rPr>
                      <w:sz w:val="15"/>
                    </w:rPr>
                  </w:pPr>
                  <w:r>
                    <w:rPr>
                      <w:color w:val="58595B"/>
                      <w:spacing w:val="3"/>
                      <w:sz w:val="15"/>
                    </w:rPr>
                    <w:t>CHAPTER </w:t>
                  </w:r>
                  <w:r>
                    <w:rPr>
                      <w:color w:val="58595B"/>
                      <w:sz w:val="15"/>
                    </w:rPr>
                    <w:t>7    </w:t>
                  </w:r>
                  <w:r>
                    <w:rPr>
                      <w:color w:val="58595B"/>
                      <w:spacing w:val="3"/>
                      <w:sz w:val="15"/>
                    </w:rPr>
                    <w:t>THE </w:t>
                  </w:r>
                  <w:r>
                    <w:rPr>
                      <w:color w:val="58595B"/>
                      <w:sz w:val="15"/>
                    </w:rPr>
                    <w:t>EPA’S </w:t>
                  </w:r>
                  <w:r>
                    <w:rPr>
                      <w:color w:val="58595B"/>
                      <w:spacing w:val="2"/>
                      <w:sz w:val="15"/>
                    </w:rPr>
                    <w:t>ROLE </w:t>
                  </w:r>
                  <w:r>
                    <w:rPr>
                      <w:color w:val="58595B"/>
                      <w:spacing w:val="3"/>
                      <w:sz w:val="15"/>
                    </w:rPr>
                    <w:t>WITHIN </w:t>
                  </w:r>
                  <w:r>
                    <w:rPr>
                      <w:color w:val="58595B"/>
                      <w:spacing w:val="2"/>
                      <w:sz w:val="15"/>
                    </w:rPr>
                    <w:t>VICTORIA’S </w:t>
                  </w:r>
                  <w:r>
                    <w:rPr>
                      <w:color w:val="58595B"/>
                      <w:spacing w:val="3"/>
                      <w:sz w:val="15"/>
                    </w:rPr>
                    <w:t>ENVIRONMENT </w:t>
                  </w:r>
                  <w:r>
                    <w:rPr>
                      <w:color w:val="58595B"/>
                      <w:spacing w:val="2"/>
                      <w:sz w:val="15"/>
                    </w:rPr>
                    <w:t>PROTECTION</w:t>
                  </w:r>
                  <w:r>
                    <w:rPr>
                      <w:color w:val="58595B"/>
                      <w:spacing w:val="3"/>
                      <w:sz w:val="15"/>
                    </w:rPr>
                    <w:t> </w:t>
                  </w:r>
                  <w:r>
                    <w:rPr>
                      <w:color w:val="58595B"/>
                      <w:spacing w:val="2"/>
                      <w:sz w:val="15"/>
                    </w:rPr>
                    <w:t>REGIME</w:t>
                    <w:tab/>
                  </w:r>
                  <w:r>
                    <w:rPr>
                      <w:color w:val="58595B"/>
                      <w:sz w:val="15"/>
                    </w:rPr>
                    <w:t>135</w:t>
                  </w:r>
                </w:p>
              </w:txbxContent>
            </v:textbox>
            <w10:wrap type="none"/>
          </v:shape>
        </w:pict>
      </w:r>
      <w:r>
        <w:rPr/>
        <w:pict>
          <v:shape style="position:absolute;margin-left:89.708603pt;margin-top:105.893967pt;width:423.95pt;height:142.7pt;mso-position-horizontal-relative:page;mso-position-vertical-relative:page;z-index:-187216" type="#_x0000_t202" filled="false" stroked="false">
            <v:textbox inset="0,0,0,0">
              <w:txbxContent>
                <w:p>
                  <w:pPr>
                    <w:pStyle w:val="BodyText"/>
                    <w:spacing w:line="224" w:lineRule="exact"/>
                    <w:ind w:right="17"/>
                  </w:pPr>
                  <w:r>
                    <w:rPr>
                      <w:color w:val="0095A7"/>
                    </w:rPr>
                    <w:t>7.3.3  Collaboration on information</w:t>
                  </w:r>
                </w:p>
                <w:p>
                  <w:pPr>
                    <w:pStyle w:val="BodyText"/>
                    <w:spacing w:line="280" w:lineRule="auto" w:before="153"/>
                    <w:ind w:right="17"/>
                  </w:pPr>
                  <w:r>
                    <w:rPr>
                      <w:color w:val="58595B"/>
                    </w:rPr>
                    <w:t>Improving the evidence base for government decision making requires all relevant parties ‘at the</w:t>
                  </w:r>
                  <w:r>
                    <w:rPr>
                      <w:color w:val="58595B"/>
                      <w:spacing w:val="-7"/>
                    </w:rPr>
                    <w:t> </w:t>
                  </w:r>
                  <w:r>
                    <w:rPr>
                      <w:color w:val="58595B"/>
                    </w:rPr>
                    <w:t>table’</w:t>
                  </w:r>
                  <w:r>
                    <w:rPr>
                      <w:color w:val="58595B"/>
                      <w:spacing w:val="-7"/>
                    </w:rPr>
                    <w:t> </w:t>
                  </w:r>
                  <w:r>
                    <w:rPr>
                      <w:color w:val="58595B"/>
                    </w:rPr>
                    <w:t>and</w:t>
                  </w:r>
                  <w:r>
                    <w:rPr>
                      <w:color w:val="58595B"/>
                      <w:spacing w:val="-11"/>
                    </w:rPr>
                    <w:t> </w:t>
                  </w:r>
                  <w:r>
                    <w:rPr>
                      <w:color w:val="58595B"/>
                    </w:rPr>
                    <w:t>consistent</w:t>
                  </w:r>
                  <w:r>
                    <w:rPr>
                      <w:color w:val="58595B"/>
                      <w:spacing w:val="-11"/>
                    </w:rPr>
                    <w:t> </w:t>
                  </w:r>
                  <w:r>
                    <w:rPr>
                      <w:color w:val="58595B"/>
                    </w:rPr>
                    <w:t>and</w:t>
                  </w:r>
                  <w:r>
                    <w:rPr>
                      <w:color w:val="58595B"/>
                      <w:spacing w:val="-11"/>
                    </w:rPr>
                    <w:t> </w:t>
                  </w:r>
                  <w:r>
                    <w:rPr>
                      <w:color w:val="58595B"/>
                    </w:rPr>
                    <w:t>robust</w:t>
                  </w:r>
                  <w:r>
                    <w:rPr>
                      <w:color w:val="58595B"/>
                      <w:spacing w:val="-11"/>
                    </w:rPr>
                    <w:t> </w:t>
                  </w:r>
                  <w:r>
                    <w:rPr>
                      <w:color w:val="58595B"/>
                    </w:rPr>
                    <w:t>data</w:t>
                  </w:r>
                  <w:r>
                    <w:rPr>
                      <w:color w:val="58595B"/>
                      <w:spacing w:val="-11"/>
                    </w:rPr>
                    <w:t> </w:t>
                  </w:r>
                  <w:r>
                    <w:rPr>
                      <w:color w:val="58595B"/>
                    </w:rPr>
                    <w:t>–</w:t>
                  </w:r>
                  <w:r>
                    <w:rPr>
                      <w:color w:val="58595B"/>
                      <w:spacing w:val="-11"/>
                    </w:rPr>
                    <w:t> </w:t>
                  </w:r>
                  <w:r>
                    <w:rPr>
                      <w:color w:val="58595B"/>
                    </w:rPr>
                    <w:t>to</w:t>
                  </w:r>
                  <w:r>
                    <w:rPr>
                      <w:color w:val="58595B"/>
                      <w:spacing w:val="-11"/>
                    </w:rPr>
                    <w:t> </w:t>
                  </w:r>
                  <w:r>
                    <w:rPr>
                      <w:color w:val="58595B"/>
                    </w:rPr>
                    <w:t>identify</w:t>
                  </w:r>
                  <w:r>
                    <w:rPr>
                      <w:color w:val="58595B"/>
                      <w:spacing w:val="-11"/>
                    </w:rPr>
                    <w:t> </w:t>
                  </w:r>
                  <w:r>
                    <w:rPr>
                      <w:color w:val="58595B"/>
                    </w:rPr>
                    <w:t>emerging</w:t>
                  </w:r>
                  <w:r>
                    <w:rPr>
                      <w:color w:val="58595B"/>
                      <w:spacing w:val="-11"/>
                    </w:rPr>
                    <w:t> </w:t>
                  </w:r>
                  <w:r>
                    <w:rPr>
                      <w:color w:val="58595B"/>
                    </w:rPr>
                    <w:t>trends,</w:t>
                  </w:r>
                  <w:r>
                    <w:rPr>
                      <w:color w:val="58595B"/>
                      <w:spacing w:val="-11"/>
                    </w:rPr>
                    <w:t> </w:t>
                  </w:r>
                  <w:r>
                    <w:rPr>
                      <w:color w:val="58595B"/>
                    </w:rPr>
                    <w:t>assess</w:t>
                  </w:r>
                  <w:r>
                    <w:rPr>
                      <w:color w:val="58595B"/>
                      <w:spacing w:val="-11"/>
                    </w:rPr>
                    <w:t> </w:t>
                  </w:r>
                  <w:r>
                    <w:rPr>
                      <w:color w:val="58595B"/>
                    </w:rPr>
                    <w:t>risks</w:t>
                  </w:r>
                  <w:r>
                    <w:rPr>
                      <w:color w:val="58595B"/>
                      <w:spacing w:val="-11"/>
                    </w:rPr>
                    <w:t> </w:t>
                  </w:r>
                  <w:r>
                    <w:rPr>
                      <w:color w:val="58595B"/>
                    </w:rPr>
                    <w:t>and</w:t>
                  </w:r>
                  <w:r>
                    <w:rPr>
                      <w:color w:val="58595B"/>
                      <w:spacing w:val="-11"/>
                    </w:rPr>
                    <w:t> </w:t>
                  </w:r>
                  <w:r>
                    <w:rPr>
                      <w:color w:val="58595B"/>
                      <w:spacing w:val="-3"/>
                    </w:rPr>
                    <w:t>evaluate </w:t>
                  </w:r>
                  <w:r>
                    <w:rPr>
                      <w:color w:val="58595B"/>
                    </w:rPr>
                    <w:t>the effectiveness of interventions over time. The </w:t>
                  </w:r>
                  <w:r>
                    <w:rPr>
                      <w:color w:val="58595B"/>
                      <w:spacing w:val="-4"/>
                    </w:rPr>
                    <w:t>EPA </w:t>
                  </w:r>
                  <w:r>
                    <w:rPr>
                      <w:color w:val="58595B"/>
                    </w:rPr>
                    <w:t>and other agencies with responsibilities for environmental, public health and other liveability outcomes must work together on improved systems</w:t>
                  </w:r>
                  <w:r>
                    <w:rPr>
                      <w:color w:val="58595B"/>
                      <w:spacing w:val="-4"/>
                    </w:rPr>
                    <w:t> </w:t>
                  </w:r>
                  <w:r>
                    <w:rPr>
                      <w:color w:val="58595B"/>
                    </w:rPr>
                    <w:t>for:</w:t>
                  </w:r>
                </w:p>
                <w:p>
                  <w:pPr>
                    <w:pStyle w:val="ListParagraph"/>
                    <w:numPr>
                      <w:ilvl w:val="0"/>
                      <w:numId w:val="54"/>
                    </w:numPr>
                    <w:tabs>
                      <w:tab w:pos="190" w:val="left" w:leader="none"/>
                    </w:tabs>
                    <w:spacing w:line="240" w:lineRule="auto" w:before="115" w:after="0"/>
                    <w:ind w:left="190" w:right="0" w:hanging="170"/>
                    <w:jc w:val="left"/>
                    <w:rPr>
                      <w:sz w:val="20"/>
                    </w:rPr>
                  </w:pPr>
                  <w:r>
                    <w:rPr>
                      <w:color w:val="58595B"/>
                      <w:sz w:val="20"/>
                    </w:rPr>
                    <w:t>statewide environmental</w:t>
                  </w:r>
                  <w:r>
                    <w:rPr>
                      <w:color w:val="58595B"/>
                      <w:spacing w:val="-1"/>
                      <w:sz w:val="20"/>
                    </w:rPr>
                    <w:t> </w:t>
                  </w:r>
                  <w:r>
                    <w:rPr>
                      <w:color w:val="58595B"/>
                      <w:sz w:val="20"/>
                    </w:rPr>
                    <w:t>monitoring</w:t>
                  </w:r>
                </w:p>
                <w:p>
                  <w:pPr>
                    <w:pStyle w:val="ListParagraph"/>
                    <w:numPr>
                      <w:ilvl w:val="0"/>
                      <w:numId w:val="54"/>
                    </w:numPr>
                    <w:tabs>
                      <w:tab w:pos="190" w:val="left" w:leader="none"/>
                    </w:tabs>
                    <w:spacing w:line="240" w:lineRule="auto" w:before="153" w:after="0"/>
                    <w:ind w:left="190" w:right="0" w:hanging="170"/>
                    <w:jc w:val="left"/>
                    <w:rPr>
                      <w:sz w:val="20"/>
                    </w:rPr>
                  </w:pPr>
                  <w:r>
                    <w:rPr>
                      <w:color w:val="58595B"/>
                      <w:sz w:val="20"/>
                    </w:rPr>
                    <w:t>a statewide spatial data</w:t>
                  </w:r>
                  <w:r>
                    <w:rPr>
                      <w:color w:val="58595B"/>
                      <w:spacing w:val="-7"/>
                      <w:sz w:val="20"/>
                    </w:rPr>
                    <w:t> </w:t>
                  </w:r>
                  <w:r>
                    <w:rPr>
                      <w:color w:val="58595B"/>
                      <w:sz w:val="20"/>
                    </w:rPr>
                    <w:t>system</w:t>
                  </w:r>
                </w:p>
                <w:p>
                  <w:pPr>
                    <w:pStyle w:val="ListParagraph"/>
                    <w:numPr>
                      <w:ilvl w:val="0"/>
                      <w:numId w:val="54"/>
                    </w:numPr>
                    <w:tabs>
                      <w:tab w:pos="190" w:val="left" w:leader="none"/>
                    </w:tabs>
                    <w:spacing w:line="240" w:lineRule="auto" w:before="153" w:after="0"/>
                    <w:ind w:left="190" w:right="0" w:hanging="170"/>
                    <w:jc w:val="left"/>
                    <w:rPr>
                      <w:sz w:val="20"/>
                    </w:rPr>
                  </w:pPr>
                  <w:r>
                    <w:rPr>
                      <w:color w:val="58595B"/>
                      <w:sz w:val="20"/>
                    </w:rPr>
                    <w:t>statewide reporting of health, environmental and liveability</w:t>
                  </w:r>
                  <w:r>
                    <w:rPr>
                      <w:color w:val="58595B"/>
                      <w:spacing w:val="2"/>
                      <w:sz w:val="20"/>
                    </w:rPr>
                    <w:t> </w:t>
                  </w:r>
                  <w:r>
                    <w:rPr>
                      <w:color w:val="58595B"/>
                      <w:sz w:val="20"/>
                    </w:rPr>
                    <w:t>outcomes.</w:t>
                  </w:r>
                </w:p>
              </w:txbxContent>
            </v:textbox>
            <w10:wrap type="none"/>
          </v:shape>
        </w:pict>
      </w:r>
      <w:r>
        <w:rPr/>
        <w:pict>
          <v:shape style="position:absolute;margin-left:89.698601pt;margin-top:258.573975pt;width:430.85pt;height:93.05pt;mso-position-horizontal-relative:page;mso-position-vertical-relative:page;z-index:-187192" type="#_x0000_t202" filled="false" stroked="false">
            <v:textbox inset="0,0,0,0">
              <w:txbxContent>
                <w:p>
                  <w:pPr>
                    <w:pStyle w:val="BodyText"/>
                    <w:spacing w:line="280" w:lineRule="auto"/>
                    <w:ind w:right="17"/>
                  </w:pPr>
                  <w:r>
                    <w:rPr>
                      <w:color w:val="58595B"/>
                    </w:rPr>
                    <w:t>These developments could build on initiatives currently underway within government and in the academic and community sectors. Federation University’s Centre for eResearch and Digital Innovation (CeRDI), which works to facilitate data sharing across sectors, notes in its submission that ‘… the emerging opportunities [for the EPA and other parts of government] in the digital space are significant but collaboration will be important to capture them effectively’.</w:t>
                  </w:r>
                  <w:r>
                    <w:rPr>
                      <w:color w:val="58595B"/>
                      <w:position w:val="7"/>
                      <w:sz w:val="11"/>
                    </w:rPr>
                    <w:t>21  </w:t>
                  </w:r>
                  <w:r>
                    <w:rPr>
                      <w:color w:val="58595B"/>
                    </w:rPr>
                    <w:t>Data sharing highlights the potentially broad scope of collaboration, and of the potential benefits for government and a wide range of Victorians.</w:t>
                  </w:r>
                </w:p>
              </w:txbxContent>
            </v:textbox>
            <w10:wrap type="none"/>
          </v:shape>
        </w:pict>
      </w:r>
      <w:r>
        <w:rPr/>
        <w:pict>
          <v:shape style="position:absolute;margin-left:118.055496pt;margin-top:361.574982pt;width:370.15pt;height:93pt;mso-position-horizontal-relative:page;mso-position-vertical-relative:page;z-index:-187168" type="#_x0000_t202" filled="false" stroked="false">
            <v:textbox inset="0,0,0,0">
              <w:txbxContent>
                <w:p>
                  <w:pPr>
                    <w:spacing w:line="280" w:lineRule="auto" w:before="0"/>
                    <w:ind w:left="20" w:right="165" w:firstLine="0"/>
                    <w:jc w:val="left"/>
                    <w:rPr>
                      <w:i/>
                      <w:sz w:val="20"/>
                    </w:rPr>
                  </w:pPr>
                  <w:r>
                    <w:rPr>
                      <w:i/>
                      <w:color w:val="231F20"/>
                      <w:sz w:val="20"/>
                    </w:rPr>
                    <w:t>It is our contention that the EPA also has a role in making this data discoverable to interoperable web portals so that it can be integrated with the plethora of other data that is used to enhance decision making in other disciplines. Such examples</w:t>
                  </w:r>
                </w:p>
                <w:p>
                  <w:pPr>
                    <w:spacing w:line="280" w:lineRule="auto" w:before="2"/>
                    <w:ind w:left="20" w:right="13" w:firstLine="0"/>
                    <w:jc w:val="left"/>
                    <w:rPr>
                      <w:sz w:val="20"/>
                    </w:rPr>
                  </w:pPr>
                  <w:r>
                    <w:rPr>
                      <w:i/>
                      <w:color w:val="231F20"/>
                      <w:sz w:val="20"/>
                    </w:rPr>
                    <w:t>extend beyond the soil, water and natural resource management portals developed by CeRDI, to include others that are used by a range of private industries, public agencies and research institutions. </w:t>
                  </w:r>
                  <w:r>
                    <w:rPr>
                      <w:color w:val="231F20"/>
                      <w:sz w:val="20"/>
                    </w:rPr>
                    <w:t>(Centre for eResearch and Digital Innovation, Federation University submission, p. 2)</w:t>
                  </w:r>
                </w:p>
              </w:txbxContent>
            </v:textbox>
            <w10:wrap type="none"/>
          </v:shape>
        </w:pict>
      </w:r>
      <w:r>
        <w:rPr/>
        <w:pict>
          <v:shape style="position:absolute;margin-left:89.705498pt;margin-top:464.574982pt;width:423.4pt;height:79.55pt;mso-position-horizontal-relative:page;mso-position-vertical-relative:page;z-index:-187144" type="#_x0000_t202" filled="false" stroked="false">
            <v:textbox inset="0,0,0,0">
              <w:txbxContent>
                <w:p>
                  <w:pPr>
                    <w:pStyle w:val="BodyText"/>
                    <w:spacing w:line="280" w:lineRule="auto"/>
                    <w:ind w:right="17"/>
                  </w:pPr>
                  <w:r>
                    <w:rPr>
                      <w:color w:val="58595B"/>
                    </w:rPr>
                    <w:t>Data development and sharing initiatives within government are underway. The Commissioner for Environmental Sustainability’s ‘reporting reform’ program (tabled in Parliament in December </w:t>
                  </w:r>
                  <w:r>
                    <w:rPr>
                      <w:color w:val="58595B"/>
                      <w:spacing w:val="-4"/>
                    </w:rPr>
                    <w:t>2015) </w:t>
                  </w:r>
                  <w:r>
                    <w:rPr>
                      <w:color w:val="58595B"/>
                    </w:rPr>
                    <w:t>proposed using State of the Environment reporting as </w:t>
                  </w:r>
                  <w:r>
                    <w:rPr>
                      <w:color w:val="58595B"/>
                      <w:spacing w:val="-7"/>
                    </w:rPr>
                    <w:t>‘… </w:t>
                  </w:r>
                  <w:r>
                    <w:rPr>
                      <w:color w:val="58595B"/>
                    </w:rPr>
                    <w:t>a platform for broader change to drive better environmental outcomes’.</w:t>
                  </w:r>
                  <w:r>
                    <w:rPr>
                      <w:color w:val="58595B"/>
                      <w:position w:val="7"/>
                      <w:sz w:val="11"/>
                    </w:rPr>
                    <w:t>22 </w:t>
                  </w:r>
                  <w:r>
                    <w:rPr>
                      <w:color w:val="58595B"/>
                    </w:rPr>
                    <w:t>For the EPA, this approach provides opportunities to better integrate and align data across government; apply digital reporting and spatial mapping; and provide for citizen science input over</w:t>
                  </w:r>
                  <w:r>
                    <w:rPr>
                      <w:color w:val="58595B"/>
                      <w:spacing w:val="-5"/>
                    </w:rPr>
                    <w:t> </w:t>
                  </w:r>
                  <w:r>
                    <w:rPr>
                      <w:color w:val="58595B"/>
                    </w:rPr>
                    <w:t>time.</w:t>
                  </w:r>
                </w:p>
              </w:txbxContent>
            </v:textbox>
            <w10:wrap type="none"/>
          </v:shape>
        </w:pict>
      </w:r>
      <w:r>
        <w:rPr/>
        <w:pict>
          <v:shape style="position:absolute;margin-left:89.706802pt;margin-top:554.082886pt;width:420.45pt;height:79.5pt;mso-position-horizontal-relative:page;mso-position-vertical-relative:page;z-index:-187120" type="#_x0000_t202" filled="false" stroked="false">
            <v:textbox inset="0,0,0,0">
              <w:txbxContent>
                <w:p>
                  <w:pPr>
                    <w:pStyle w:val="BodyText"/>
                    <w:spacing w:line="280" w:lineRule="auto"/>
                    <w:ind w:right="17"/>
                  </w:pPr>
                  <w:r>
                    <w:rPr>
                      <w:color w:val="58595B"/>
                    </w:rPr>
                    <w:t>Similarly, DELWP’s Digital First program </w:t>
                  </w:r>
                  <w:r>
                    <w:rPr>
                      <w:color w:val="58595B"/>
                      <w:spacing w:val="-5"/>
                    </w:rPr>
                    <w:t>(a </w:t>
                  </w:r>
                  <w:r>
                    <w:rPr>
                      <w:color w:val="58595B"/>
                    </w:rPr>
                    <w:t>three year transformational program launched in August </w:t>
                  </w:r>
                  <w:r>
                    <w:rPr>
                      <w:color w:val="58595B"/>
                      <w:spacing w:val="-4"/>
                    </w:rPr>
                    <w:t>2015) </w:t>
                  </w:r>
                  <w:r>
                    <w:rPr>
                      <w:color w:val="58595B"/>
                    </w:rPr>
                    <w:t>addresses the lack of government-wide digital coordination and limited inter/ intra department knowledge sharing and data-based decision making. Digital First aims to provide a platform for increased connectivity and collaboration across all agencies involved in environmental protection and management, and to share knowledge between parts of DELWP and government, and with the</w:t>
                  </w:r>
                  <w:r>
                    <w:rPr>
                      <w:color w:val="58595B"/>
                      <w:spacing w:val="-2"/>
                    </w:rPr>
                    <w:t> </w:t>
                  </w:r>
                  <w:r>
                    <w:rPr>
                      <w:color w:val="58595B"/>
                    </w:rPr>
                    <w:t>public.</w:t>
                  </w:r>
                </w:p>
              </w:txbxContent>
            </v:textbox>
            <w10:wrap type="none"/>
          </v:shape>
        </w:pict>
      </w:r>
      <w:r>
        <w:rPr/>
        <w:pict>
          <v:shape style="position:absolute;margin-left:89.706802pt;margin-top:643.582886pt;width:433.75pt;height:79.5pt;mso-position-horizontal-relative:page;mso-position-vertical-relative:page;z-index:-187096" type="#_x0000_t202" filled="false" stroked="false">
            <v:textbox inset="0,0,0,0">
              <w:txbxContent>
                <w:p>
                  <w:pPr>
                    <w:pStyle w:val="BodyText"/>
                    <w:spacing w:line="280" w:lineRule="auto"/>
                    <w:ind w:right="17"/>
                  </w:pPr>
                  <w:r>
                    <w:rPr>
                      <w:color w:val="58595B"/>
                    </w:rPr>
                    <w:t>New digital technologies will continue to disrupt traditional ways of managing data, including new ways of collecting, storing, sharing, analysing and using data to predict outcomes. Data and other digital innovations do and will continue to present the EPA with significant opportunities to more effectively and efficiently navigate the challenges that it faces. Increasingly, the community will expect the EPA to be a digital, data driven organisation, to support its science and regulatory functions and to meet demands for transparency on processes and outcomes.</w:t>
                  </w:r>
                </w:p>
              </w:txbxContent>
            </v:textbox>
            <w10:wrap type="none"/>
          </v:shape>
        </w:pict>
      </w:r>
      <w:r>
        <w:rPr/>
        <w:pict>
          <v:shape style="position:absolute;margin-left:534.996094pt;margin-top:44.090015pt;width:60.3pt;height:5.25pt;mso-position-horizontal-relative:page;mso-position-vertical-relative:page;z-index:-18707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704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87024" from=".0pt,45.840015pt" to="60.2791pt,45.840015pt" stroked="true" strokeweight="7pt" strokecolor="#0095a7">
            <w10:wrap type="none"/>
          </v:line>
        </w:pict>
      </w:r>
      <w:r>
        <w:rPr/>
        <w:pict>
          <v:rect style="position:absolute;margin-left:70.865997pt;margin-top:325.969025pt;width:432.701pt;height:482.402pt;mso-position-horizontal-relative:page;mso-position-vertical-relative:page;z-index:-187000" filled="true" fillcolor="#eaf2f3" stroked="false">
            <v:fill type="solid"/>
            <w10:wrap type="none"/>
          </v:rect>
        </w:pict>
      </w:r>
      <w:r>
        <w:rPr/>
        <w:pict>
          <v:shape style="position:absolute;margin-left:69.866096pt;margin-top:40.902756pt;width:173.3pt;height:9.5pt;mso-position-horizontal-relative:page;mso-position-vertical-relative:page;z-index:-186976" type="#_x0000_t202" filled="false" stroked="false">
            <v:textbox inset="0,0,0,0">
              <w:txbxContent>
                <w:p>
                  <w:pPr>
                    <w:tabs>
                      <w:tab w:pos="530" w:val="left" w:leader="none"/>
                    </w:tabs>
                    <w:spacing w:before="1"/>
                    <w:ind w:left="20" w:right="0" w:firstLine="0"/>
                    <w:jc w:val="left"/>
                    <w:rPr>
                      <w:sz w:val="15"/>
                    </w:rPr>
                  </w:pPr>
                  <w:r>
                    <w:rPr>
                      <w:color w:val="58595B"/>
                      <w:sz w:val="15"/>
                    </w:rPr>
                    <w:t>136</w:t>
                    <w:tab/>
                  </w:r>
                  <w:r>
                    <w:rPr>
                      <w:color w:val="58595B"/>
                      <w:spacing w:val="3"/>
                      <w:sz w:val="15"/>
                    </w:rPr>
                    <w:t>INDEPENDENT </w:t>
                  </w:r>
                  <w:r>
                    <w:rPr>
                      <w:color w:val="58595B"/>
                      <w:spacing w:val="2"/>
                      <w:sz w:val="15"/>
                    </w:rPr>
                    <w:t>INQUIRY </w:t>
                  </w:r>
                  <w:r>
                    <w:rPr>
                      <w:color w:val="58595B"/>
                      <w:sz w:val="15"/>
                    </w:rPr>
                    <w:t>INTO </w:t>
                  </w:r>
                  <w:r>
                    <w:rPr>
                      <w:color w:val="58595B"/>
                      <w:spacing w:val="3"/>
                      <w:sz w:val="15"/>
                    </w:rPr>
                    <w:t>THE</w:t>
                  </w:r>
                  <w:r>
                    <w:rPr>
                      <w:color w:val="58595B"/>
                      <w:spacing w:val="17"/>
                      <w:sz w:val="15"/>
                    </w:rPr>
                    <w:t> </w:t>
                  </w:r>
                  <w:r>
                    <w:rPr>
                      <w:color w:val="58595B"/>
                      <w:sz w:val="15"/>
                    </w:rPr>
                    <w:t>EPA</w:t>
                  </w:r>
                </w:p>
              </w:txbxContent>
            </v:textbox>
            <w10:wrap type="none"/>
          </v:shape>
        </w:pict>
      </w:r>
      <w:r>
        <w:rPr/>
        <w:pict>
          <v:shape style="position:absolute;margin-left:69.866096pt;margin-top:105.72934pt;width:421.25pt;height:46.3pt;mso-position-horizontal-relative:page;mso-position-vertical-relative:page;z-index:-186952" type="#_x0000_t202" filled="false" stroked="false">
            <v:textbox inset="0,0,0,0">
              <w:txbxContent>
                <w:p>
                  <w:pPr>
                    <w:spacing w:line="265" w:lineRule="exact" w:before="0"/>
                    <w:ind w:left="20" w:right="14" w:firstLine="0"/>
                    <w:jc w:val="left"/>
                    <w:rPr>
                      <w:sz w:val="24"/>
                    </w:rPr>
                  </w:pPr>
                  <w:r>
                    <w:rPr>
                      <w:color w:val="0095A7"/>
                      <w:sz w:val="24"/>
                    </w:rPr>
                    <w:t>7.4  Working together on environmental justice</w:t>
                  </w:r>
                </w:p>
                <w:p>
                  <w:pPr>
                    <w:pStyle w:val="BodyText"/>
                    <w:spacing w:line="280" w:lineRule="auto" w:before="145"/>
                    <w:ind w:right="14"/>
                  </w:pPr>
                  <w:r>
                    <w:rPr>
                      <w:color w:val="58595B"/>
                    </w:rPr>
                    <w:t>Term of reference 4 asked us to consider how environmental justice might be incorporated into the EPA’s work, namely:</w:t>
                  </w:r>
                </w:p>
              </w:txbxContent>
            </v:textbox>
            <w10:wrap type="none"/>
          </v:shape>
        </w:pict>
      </w:r>
      <w:r>
        <w:rPr/>
        <w:pict>
          <v:shape style="position:absolute;margin-left:98.216103pt;margin-top:162.019272pt;width:374pt;height:52.5pt;mso-position-horizontal-relative:page;mso-position-vertical-relative:page;z-index:-186928" type="#_x0000_t202" filled="false" stroked="false">
            <v:textbox inset="0,0,0,0">
              <w:txbxContent>
                <w:p>
                  <w:pPr>
                    <w:spacing w:line="280" w:lineRule="auto" w:before="0"/>
                    <w:ind w:left="20" w:right="0" w:firstLine="0"/>
                    <w:jc w:val="left"/>
                    <w:rPr>
                      <w:i/>
                      <w:sz w:val="20"/>
                    </w:rPr>
                  </w:pPr>
                  <w:r>
                    <w:rPr>
                      <w:i/>
                      <w:color w:val="231F20"/>
                      <w:sz w:val="20"/>
                    </w:rPr>
                    <w:t>the ability of the EPA to ensure that the principle of environmental justice is adhered to, the environment is protected for the benefit of the community, and members of the community can be meaningfully involved in, and access fair treatment through, environmental regulation.</w:t>
                  </w:r>
                </w:p>
              </w:txbxContent>
            </v:textbox>
            <w10:wrap type="none"/>
          </v:shape>
        </w:pict>
      </w:r>
      <w:r>
        <w:rPr/>
        <w:pict>
          <v:shape style="position:absolute;margin-left:69.866096pt;margin-top:224.519272pt;width:424.45pt;height:93pt;mso-position-horizontal-relative:page;mso-position-vertical-relative:page;z-index:-186904" type="#_x0000_t202" filled="false" stroked="false">
            <v:textbox inset="0,0,0,0">
              <w:txbxContent>
                <w:p>
                  <w:pPr>
                    <w:pStyle w:val="BodyText"/>
                    <w:spacing w:line="280" w:lineRule="auto"/>
                    <w:ind w:right="10"/>
                    <w:rPr>
                      <w:sz w:val="11"/>
                    </w:rPr>
                  </w:pPr>
                  <w:r>
                    <w:rPr>
                      <w:color w:val="58595B"/>
                    </w:rPr>
                    <w:t>Environmental justice is relatively new in Australia. For this inquiry, we drew on the practice of other jurisdictions (particularly the United States), the work of academics and the views of the Victorian community (box 7.3). In particular, we considered the following objectives: ‘that the burdens of environmental pollution should be fairly distributed, as well as equal access to the public health benefits of a clean environment, for all people regardless of their social, economic or political status and [provision of] inclusive processes for decision making in environmental policy and regulation’.</w:t>
                  </w:r>
                  <w:r>
                    <w:rPr>
                      <w:color w:val="58595B"/>
                      <w:position w:val="7"/>
                      <w:sz w:val="11"/>
                    </w:rPr>
                    <w:t>23</w:t>
                  </w:r>
                </w:p>
              </w:txbxContent>
            </v:textbox>
            <w10:wrap type="none"/>
          </v:shape>
        </w:pict>
      </w:r>
      <w:r>
        <w:rPr/>
        <w:pict>
          <v:shape style="position:absolute;margin-left:70.865997pt;margin-top:325.969025pt;width:432.7pt;height:482.45pt;mso-position-horizontal-relative:page;mso-position-vertical-relative:page;z-index:-186880" type="#_x0000_t202" filled="false" stroked="false">
            <v:textbox inset="0,0,0,0">
              <w:txbxContent>
                <w:p>
                  <w:pPr>
                    <w:pStyle w:val="BodyText"/>
                    <w:spacing w:before="128"/>
                    <w:ind w:left="170" w:right="277"/>
                  </w:pPr>
                  <w:r>
                    <w:rPr>
                      <w:b/>
                      <w:color w:val="0095A7"/>
                    </w:rPr>
                    <w:t>BOX 7.3  </w:t>
                  </w:r>
                  <w:r>
                    <w:rPr>
                      <w:color w:val="0095A7"/>
                    </w:rPr>
                    <w:t>THE CONCEPT OF ENVIRONMENTAL JUSTICE</w:t>
                  </w:r>
                </w:p>
                <w:p>
                  <w:pPr>
                    <w:spacing w:before="153"/>
                    <w:ind w:left="170" w:right="277" w:firstLine="0"/>
                    <w:jc w:val="left"/>
                    <w:rPr>
                      <w:i/>
                      <w:sz w:val="20"/>
                    </w:rPr>
                  </w:pPr>
                  <w:r>
                    <w:rPr>
                      <w:i/>
                      <w:color w:val="6D6E71"/>
                      <w:sz w:val="20"/>
                    </w:rPr>
                    <w:t>United States</w:t>
                  </w:r>
                </w:p>
                <w:p>
                  <w:pPr>
                    <w:pStyle w:val="BodyText"/>
                    <w:spacing w:line="280" w:lineRule="auto" w:before="125"/>
                    <w:ind w:left="170" w:right="189"/>
                  </w:pPr>
                  <w:r>
                    <w:rPr>
                      <w:color w:val="58595B"/>
                    </w:rPr>
                    <w:t>The concept of environmental justice grew out of the United States in the 1980s, in response to poorer and minority communities objecting to heavily polluting industries being placed</w:t>
                  </w:r>
                </w:p>
                <w:p>
                  <w:pPr>
                    <w:pStyle w:val="BodyText"/>
                    <w:spacing w:line="280" w:lineRule="auto" w:before="2"/>
                    <w:ind w:left="170" w:right="678" w:hanging="1"/>
                  </w:pPr>
                  <w:r>
                    <w:rPr>
                      <w:color w:val="58595B"/>
                    </w:rPr>
                    <w:t>in their neighbourhoods.</w:t>
                  </w:r>
                  <w:r>
                    <w:rPr>
                      <w:color w:val="58595B"/>
                      <w:position w:val="7"/>
                      <w:sz w:val="11"/>
                    </w:rPr>
                    <w:t>24 </w:t>
                  </w:r>
                  <w:r>
                    <w:rPr>
                      <w:color w:val="58595B"/>
                    </w:rPr>
                    <w:t>It prompted studies and reports into associations between the racial and socioeconomic status of communities and the location of hazardous waste sites and facilities,</w:t>
                  </w:r>
                  <w:r>
                    <w:rPr>
                      <w:color w:val="58595B"/>
                      <w:position w:val="7"/>
                      <w:sz w:val="11"/>
                    </w:rPr>
                    <w:t>25 </w:t>
                  </w:r>
                  <w:r>
                    <w:rPr>
                      <w:color w:val="58595B"/>
                    </w:rPr>
                    <w:t>including a study undertaken in 1992 by the US Environmental Protection Agency.</w:t>
                  </w:r>
                  <w:r>
                    <w:rPr>
                      <w:color w:val="58595B"/>
                      <w:position w:val="7"/>
                      <w:sz w:val="11"/>
                    </w:rPr>
                    <w:t>26 </w:t>
                  </w:r>
                  <w:r>
                    <w:rPr>
                      <w:color w:val="58595B"/>
                    </w:rPr>
                    <w:t>In 1994, President Bill Clinton issued an Executive Order directing federal agencies to identify and address the disproportionately high and adverse human</w:t>
                  </w:r>
                </w:p>
                <w:p>
                  <w:pPr>
                    <w:pStyle w:val="BodyText"/>
                    <w:spacing w:line="280" w:lineRule="auto" w:before="2"/>
                    <w:ind w:left="170" w:right="277"/>
                    <w:rPr>
                      <w:sz w:val="11"/>
                    </w:rPr>
                  </w:pPr>
                  <w:r>
                    <w:rPr>
                      <w:color w:val="58595B"/>
                    </w:rPr>
                    <w:t>health or environmental effects of their actions on minority and low income populations, and to develop a strategy for implementing environmental justice.</w:t>
                  </w:r>
                  <w:r>
                    <w:rPr>
                      <w:color w:val="58595B"/>
                      <w:position w:val="7"/>
                      <w:sz w:val="11"/>
                    </w:rPr>
                    <w:t>27</w:t>
                  </w:r>
                </w:p>
                <w:p>
                  <w:pPr>
                    <w:pStyle w:val="BodyText"/>
                    <w:spacing w:before="10"/>
                    <w:ind w:left="0"/>
                    <w:rPr>
                      <w:rFonts w:ascii="Times New Roman"/>
                      <w:sz w:val="19"/>
                    </w:rPr>
                  </w:pPr>
                </w:p>
                <w:p>
                  <w:pPr>
                    <w:spacing w:before="0"/>
                    <w:ind w:left="170" w:right="277" w:firstLine="0"/>
                    <w:jc w:val="left"/>
                    <w:rPr>
                      <w:i/>
                      <w:sz w:val="20"/>
                    </w:rPr>
                  </w:pPr>
                  <w:r>
                    <w:rPr>
                      <w:i/>
                      <w:color w:val="6D6E71"/>
                      <w:sz w:val="20"/>
                    </w:rPr>
                    <w:t>International law</w:t>
                  </w:r>
                </w:p>
                <w:p>
                  <w:pPr>
                    <w:pStyle w:val="BodyText"/>
                    <w:spacing w:line="280" w:lineRule="auto" w:before="125"/>
                    <w:ind w:left="170" w:right="189"/>
                  </w:pPr>
                  <w:r>
                    <w:rPr>
                      <w:color w:val="58595B"/>
                    </w:rPr>
                    <w:t>In 1998, the United Nations Economic Commission for Europe negotiated the United Nations ‘Aarhus’ Convention on Access to Information, Public Participation in Decision Making and Access to Justice in Environmental Matters.</w:t>
                  </w:r>
                  <w:r>
                    <w:rPr>
                      <w:color w:val="58595B"/>
                      <w:position w:val="7"/>
                      <w:sz w:val="11"/>
                    </w:rPr>
                    <w:t>28 </w:t>
                  </w:r>
                  <w:r>
                    <w:rPr>
                      <w:color w:val="58595B"/>
                    </w:rPr>
                    <w:t>The Convention entered into force in 2001 with the objective to ‘… contribute to the protection of the right of every person of present and future generations to live in an environment adequate to his or her health and well-being’, by guaranteeing the following rights:</w:t>
                  </w:r>
                </w:p>
                <w:p>
                  <w:pPr>
                    <w:pStyle w:val="ListParagraph"/>
                    <w:numPr>
                      <w:ilvl w:val="0"/>
                      <w:numId w:val="55"/>
                    </w:numPr>
                    <w:tabs>
                      <w:tab w:pos="341" w:val="left" w:leader="none"/>
                    </w:tabs>
                    <w:spacing w:line="240" w:lineRule="auto" w:before="115" w:after="0"/>
                    <w:ind w:left="340" w:right="0" w:hanging="170"/>
                    <w:jc w:val="left"/>
                    <w:rPr>
                      <w:sz w:val="20"/>
                    </w:rPr>
                  </w:pPr>
                  <w:r>
                    <w:rPr>
                      <w:color w:val="58595B"/>
                      <w:sz w:val="20"/>
                    </w:rPr>
                    <w:t>access to</w:t>
                  </w:r>
                  <w:r>
                    <w:rPr>
                      <w:color w:val="58595B"/>
                      <w:spacing w:val="9"/>
                      <w:sz w:val="20"/>
                    </w:rPr>
                    <w:t> </w:t>
                  </w:r>
                  <w:r>
                    <w:rPr>
                      <w:color w:val="58595B"/>
                      <w:sz w:val="20"/>
                    </w:rPr>
                    <w:t>information</w:t>
                  </w:r>
                </w:p>
                <w:p>
                  <w:pPr>
                    <w:pStyle w:val="ListParagraph"/>
                    <w:numPr>
                      <w:ilvl w:val="0"/>
                      <w:numId w:val="55"/>
                    </w:numPr>
                    <w:tabs>
                      <w:tab w:pos="341" w:val="left" w:leader="none"/>
                    </w:tabs>
                    <w:spacing w:line="240" w:lineRule="auto" w:before="153" w:after="0"/>
                    <w:ind w:left="340" w:right="0" w:hanging="170"/>
                    <w:jc w:val="left"/>
                    <w:rPr>
                      <w:sz w:val="20"/>
                    </w:rPr>
                  </w:pPr>
                  <w:r>
                    <w:rPr>
                      <w:color w:val="58595B"/>
                      <w:sz w:val="20"/>
                    </w:rPr>
                    <w:t>public participation in decision</w:t>
                  </w:r>
                  <w:r>
                    <w:rPr>
                      <w:color w:val="58595B"/>
                      <w:spacing w:val="14"/>
                      <w:sz w:val="20"/>
                    </w:rPr>
                    <w:t> </w:t>
                  </w:r>
                  <w:r>
                    <w:rPr>
                      <w:color w:val="58595B"/>
                      <w:sz w:val="20"/>
                    </w:rPr>
                    <w:t>making</w:t>
                  </w:r>
                </w:p>
                <w:p>
                  <w:pPr>
                    <w:pStyle w:val="ListParagraph"/>
                    <w:numPr>
                      <w:ilvl w:val="0"/>
                      <w:numId w:val="55"/>
                    </w:numPr>
                    <w:tabs>
                      <w:tab w:pos="340" w:val="left" w:leader="none"/>
                    </w:tabs>
                    <w:spacing w:line="240" w:lineRule="auto" w:before="153" w:after="0"/>
                    <w:ind w:left="339" w:right="0" w:hanging="170"/>
                    <w:jc w:val="left"/>
                    <w:rPr>
                      <w:sz w:val="11"/>
                    </w:rPr>
                  </w:pPr>
                  <w:r>
                    <w:rPr>
                      <w:color w:val="58595B"/>
                      <w:sz w:val="20"/>
                    </w:rPr>
                    <w:t>access to justice in environmental</w:t>
                  </w:r>
                  <w:r>
                    <w:rPr>
                      <w:color w:val="58595B"/>
                      <w:spacing w:val="21"/>
                      <w:sz w:val="20"/>
                    </w:rPr>
                    <w:t> </w:t>
                  </w:r>
                  <w:r>
                    <w:rPr>
                      <w:color w:val="58595B"/>
                      <w:sz w:val="20"/>
                    </w:rPr>
                    <w:t>matters.</w:t>
                  </w:r>
                  <w:r>
                    <w:rPr>
                      <w:color w:val="58595B"/>
                      <w:position w:val="7"/>
                      <w:sz w:val="11"/>
                    </w:rPr>
                    <w:t>29</w:t>
                  </w:r>
                </w:p>
                <w:p>
                  <w:pPr>
                    <w:pStyle w:val="BodyText"/>
                    <w:spacing w:before="2"/>
                    <w:ind w:left="0"/>
                    <w:rPr>
                      <w:rFonts w:ascii="Times New Roman"/>
                      <w:sz w:val="23"/>
                    </w:rPr>
                  </w:pPr>
                </w:p>
                <w:p>
                  <w:pPr>
                    <w:spacing w:before="0"/>
                    <w:ind w:left="170" w:right="277" w:firstLine="0"/>
                    <w:jc w:val="left"/>
                    <w:rPr>
                      <w:i/>
                      <w:sz w:val="20"/>
                    </w:rPr>
                  </w:pPr>
                  <w:r>
                    <w:rPr>
                      <w:i/>
                      <w:color w:val="6D6E71"/>
                      <w:sz w:val="20"/>
                    </w:rPr>
                    <w:t>Australia</w:t>
                  </w:r>
                </w:p>
                <w:p>
                  <w:pPr>
                    <w:pStyle w:val="BodyText"/>
                    <w:spacing w:line="280" w:lineRule="auto" w:before="125"/>
                    <w:ind w:left="170" w:right="192"/>
                    <w:rPr>
                      <w:sz w:val="11"/>
                    </w:rPr>
                  </w:pPr>
                  <w:r>
                    <w:rPr>
                      <w:color w:val="58595B"/>
                    </w:rPr>
                    <w:t>The Australian Charter for Environmental Health, developed in 1999, provides that individuals and communities are entitled to live in a safe and healthy environment.</w:t>
                  </w:r>
                  <w:r>
                    <w:rPr>
                      <w:color w:val="58595B"/>
                      <w:position w:val="7"/>
                      <w:sz w:val="11"/>
                    </w:rPr>
                    <w:t>30  </w:t>
                  </w:r>
                  <w:r>
                    <w:rPr>
                      <w:color w:val="58595B"/>
                    </w:rPr>
                    <w:t>The 2012–15 National Environmental Health Strategy recognises that ‘… all levels of government and other key stakeholders make decisions, which impact on environmental health policy, regulation, research and practice [and that] many of these decisions are made outside the [health] framework’.</w:t>
                  </w:r>
                  <w:r>
                    <w:rPr>
                      <w:color w:val="58595B"/>
                      <w:position w:val="7"/>
                      <w:sz w:val="11"/>
                    </w:rPr>
                    <w:t>31</w:t>
                  </w:r>
                </w:p>
                <w:p>
                  <w:pPr>
                    <w:pStyle w:val="BodyText"/>
                    <w:spacing w:line="280" w:lineRule="auto" w:before="172"/>
                    <w:ind w:left="170" w:right="277"/>
                    <w:rPr>
                      <w:sz w:val="11"/>
                    </w:rPr>
                  </w:pPr>
                  <w:r>
                    <w:rPr>
                      <w:color w:val="58595B"/>
                    </w:rPr>
                    <w:t>More recently, state and local government agencies in Victoria have begun to examine the elements of environmental justice.</w:t>
                  </w:r>
                  <w:r>
                    <w:rPr>
                      <w:color w:val="58595B"/>
                      <w:position w:val="7"/>
                      <w:sz w:val="11"/>
                    </w:rPr>
                    <w:t>32</w:t>
                  </w:r>
                </w:p>
              </w:txbxContent>
            </v:textbox>
            <w10:wrap type="none"/>
          </v:shape>
        </w:pict>
      </w:r>
      <w:r>
        <w:rPr/>
        <w:pict>
          <v:shape style="position:absolute;margin-left:.0pt;margin-top:44.090015pt;width:60.3pt;height:5.25pt;mso-position-horizontal-relative:page;mso-position-vertical-relative:page;z-index:-186856"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86832"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86808" from="534.996094pt,45.840015pt" to="595.276001pt,45.840015pt" stroked="true" strokeweight="7pt" strokecolor="#0095a7">
            <w10:wrap type="none"/>
          </v:line>
        </w:pict>
      </w:r>
      <w:r>
        <w:rPr/>
        <w:pict>
          <v:rect style="position:absolute;margin-left:90.709pt;margin-top:480.77301pt;width:432.701pt;height:146.461pt;mso-position-horizontal-relative:page;mso-position-vertical-relative:page;z-index:-186784" filled="true" fillcolor="#eaf2f3" stroked="false">
            <v:fill type="solid"/>
            <w10:wrap type="none"/>
          </v:rect>
        </w:pict>
      </w:r>
      <w:r>
        <w:rPr/>
        <w:pict>
          <v:shape style="position:absolute;margin-left:163.582993pt;margin-top:40.902756pt;width:361.8pt;height:9.5pt;mso-position-horizontal-relative:page;mso-position-vertical-relative:page;z-index:-186760" type="#_x0000_t202" filled="false" stroked="false">
            <v:textbox inset="0,0,0,0">
              <w:txbxContent>
                <w:p>
                  <w:pPr>
                    <w:tabs>
                      <w:tab w:pos="6971" w:val="left" w:leader="none"/>
                    </w:tabs>
                    <w:spacing w:before="1"/>
                    <w:ind w:left="20" w:right="0" w:firstLine="0"/>
                    <w:jc w:val="left"/>
                    <w:rPr>
                      <w:sz w:val="15"/>
                    </w:rPr>
                  </w:pPr>
                  <w:r>
                    <w:rPr>
                      <w:color w:val="58595B"/>
                      <w:spacing w:val="3"/>
                      <w:sz w:val="15"/>
                    </w:rPr>
                    <w:t>CHAPTER </w:t>
                  </w:r>
                  <w:r>
                    <w:rPr>
                      <w:color w:val="58595B"/>
                      <w:sz w:val="15"/>
                    </w:rPr>
                    <w:t>7    </w:t>
                  </w:r>
                  <w:r>
                    <w:rPr>
                      <w:color w:val="58595B"/>
                      <w:spacing w:val="3"/>
                      <w:sz w:val="15"/>
                    </w:rPr>
                    <w:t>THE </w:t>
                  </w:r>
                  <w:r>
                    <w:rPr>
                      <w:color w:val="58595B"/>
                      <w:sz w:val="15"/>
                    </w:rPr>
                    <w:t>EPA’S </w:t>
                  </w:r>
                  <w:r>
                    <w:rPr>
                      <w:color w:val="58595B"/>
                      <w:spacing w:val="2"/>
                      <w:sz w:val="15"/>
                    </w:rPr>
                    <w:t>ROLE </w:t>
                  </w:r>
                  <w:r>
                    <w:rPr>
                      <w:color w:val="58595B"/>
                      <w:spacing w:val="3"/>
                      <w:sz w:val="15"/>
                    </w:rPr>
                    <w:t>WITHIN </w:t>
                  </w:r>
                  <w:r>
                    <w:rPr>
                      <w:color w:val="58595B"/>
                      <w:spacing w:val="2"/>
                      <w:sz w:val="15"/>
                    </w:rPr>
                    <w:t>VICTORIA’S </w:t>
                  </w:r>
                  <w:r>
                    <w:rPr>
                      <w:color w:val="58595B"/>
                      <w:spacing w:val="3"/>
                      <w:sz w:val="15"/>
                    </w:rPr>
                    <w:t>ENVIRONMENT </w:t>
                  </w:r>
                  <w:r>
                    <w:rPr>
                      <w:color w:val="58595B"/>
                      <w:spacing w:val="2"/>
                      <w:sz w:val="15"/>
                    </w:rPr>
                    <w:t>PROTECTION</w:t>
                  </w:r>
                  <w:r>
                    <w:rPr>
                      <w:color w:val="58595B"/>
                      <w:spacing w:val="3"/>
                      <w:sz w:val="15"/>
                    </w:rPr>
                    <w:t> </w:t>
                  </w:r>
                  <w:r>
                    <w:rPr>
                      <w:color w:val="58595B"/>
                      <w:spacing w:val="2"/>
                      <w:sz w:val="15"/>
                    </w:rPr>
                    <w:t>REGIME</w:t>
                    <w:tab/>
                  </w:r>
                  <w:r>
                    <w:rPr>
                      <w:color w:val="58595B"/>
                      <w:sz w:val="15"/>
                    </w:rPr>
                    <w:t>137</w:t>
                  </w:r>
                </w:p>
              </w:txbxContent>
            </v:textbox>
            <w10:wrap type="none"/>
          </v:shape>
        </w:pict>
      </w:r>
      <w:r>
        <w:rPr/>
        <w:pict>
          <v:shape style="position:absolute;margin-left:89.708603pt;margin-top:105.893967pt;width:419.2pt;height:52.5pt;mso-position-horizontal-relative:page;mso-position-vertical-relative:page;z-index:-186736" type="#_x0000_t202" filled="false" stroked="false">
            <v:textbox inset="0,0,0,0">
              <w:txbxContent>
                <w:p>
                  <w:pPr>
                    <w:pStyle w:val="BodyText"/>
                    <w:spacing w:line="280" w:lineRule="auto"/>
                    <w:rPr>
                      <w:sz w:val="11"/>
                    </w:rPr>
                  </w:pPr>
                  <w:r>
                    <w:rPr>
                      <w:color w:val="58595B"/>
                    </w:rPr>
                    <w:t>Our consultations demonstrated Victorians recognise and support elements of environmental justice; people are looking for fairness or equity. Indeed, many participants argued ‘… communities have a right to environmental protection, and it is important that all Victorians are treated consistently and fairly in environmental legislation and practice’.</w:t>
                  </w:r>
                  <w:r>
                    <w:rPr>
                      <w:color w:val="58595B"/>
                      <w:position w:val="7"/>
                      <w:sz w:val="11"/>
                    </w:rPr>
                    <w:t>33</w:t>
                  </w:r>
                </w:p>
              </w:txbxContent>
            </v:textbox>
            <w10:wrap type="none"/>
          </v:shape>
        </w:pict>
      </w:r>
      <w:r>
        <w:rPr/>
        <w:pict>
          <v:shape style="position:absolute;margin-left:118.055099pt;margin-top:168.397873pt;width:378.25pt;height:93pt;mso-position-horizontal-relative:page;mso-position-vertical-relative:page;z-index:-186712" type="#_x0000_t202" filled="false" stroked="false">
            <v:textbox inset="0,0,0,0">
              <w:txbxContent>
                <w:p>
                  <w:pPr>
                    <w:spacing w:line="280" w:lineRule="auto" w:before="0"/>
                    <w:ind w:left="20" w:right="0" w:firstLine="0"/>
                    <w:jc w:val="left"/>
                    <w:rPr>
                      <w:i/>
                      <w:sz w:val="20"/>
                    </w:rPr>
                  </w:pPr>
                  <w:r>
                    <w:rPr>
                      <w:i/>
                      <w:color w:val="231F20"/>
                      <w:sz w:val="20"/>
                    </w:rPr>
                    <w:t>Earlier</w:t>
                  </w:r>
                  <w:r>
                    <w:rPr>
                      <w:i/>
                      <w:color w:val="231F20"/>
                      <w:spacing w:val="-7"/>
                      <w:sz w:val="20"/>
                    </w:rPr>
                    <w:t> </w:t>
                  </w:r>
                  <w:r>
                    <w:rPr>
                      <w:i/>
                      <w:color w:val="231F20"/>
                      <w:sz w:val="20"/>
                    </w:rPr>
                    <w:t>EJA</w:t>
                  </w:r>
                  <w:r>
                    <w:rPr>
                      <w:i/>
                      <w:color w:val="231F20"/>
                      <w:spacing w:val="-7"/>
                      <w:sz w:val="20"/>
                    </w:rPr>
                    <w:t> </w:t>
                  </w:r>
                  <w:r>
                    <w:rPr>
                      <w:i/>
                      <w:color w:val="231F20"/>
                      <w:sz w:val="20"/>
                    </w:rPr>
                    <w:t>work</w:t>
                  </w:r>
                  <w:r>
                    <w:rPr>
                      <w:i/>
                      <w:color w:val="231F20"/>
                      <w:spacing w:val="-7"/>
                      <w:sz w:val="20"/>
                    </w:rPr>
                    <w:t> </w:t>
                  </w:r>
                  <w:r>
                    <w:rPr>
                      <w:i/>
                      <w:color w:val="231F20"/>
                      <w:sz w:val="20"/>
                    </w:rPr>
                    <w:t>on</w:t>
                  </w:r>
                  <w:r>
                    <w:rPr>
                      <w:i/>
                      <w:color w:val="231F20"/>
                      <w:spacing w:val="-7"/>
                      <w:sz w:val="20"/>
                    </w:rPr>
                    <w:t> </w:t>
                  </w:r>
                  <w:r>
                    <w:rPr>
                      <w:i/>
                      <w:color w:val="231F20"/>
                      <w:spacing w:val="-3"/>
                      <w:sz w:val="20"/>
                    </w:rPr>
                    <w:t>environmental</w:t>
                  </w:r>
                  <w:r>
                    <w:rPr>
                      <w:i/>
                      <w:color w:val="231F20"/>
                      <w:spacing w:val="-7"/>
                      <w:sz w:val="20"/>
                    </w:rPr>
                    <w:t> </w:t>
                  </w:r>
                  <w:r>
                    <w:rPr>
                      <w:i/>
                      <w:color w:val="231F20"/>
                      <w:sz w:val="20"/>
                    </w:rPr>
                    <w:t>justice</w:t>
                  </w:r>
                  <w:r>
                    <w:rPr>
                      <w:i/>
                      <w:color w:val="231F20"/>
                      <w:spacing w:val="-7"/>
                      <w:sz w:val="20"/>
                    </w:rPr>
                    <w:t> </w:t>
                  </w:r>
                  <w:r>
                    <w:rPr>
                      <w:i/>
                      <w:color w:val="231F20"/>
                      <w:sz w:val="20"/>
                    </w:rPr>
                    <w:t>highlighted</w:t>
                  </w:r>
                  <w:r>
                    <w:rPr>
                      <w:i/>
                      <w:color w:val="231F20"/>
                      <w:spacing w:val="-7"/>
                      <w:sz w:val="20"/>
                    </w:rPr>
                    <w:t> </w:t>
                  </w:r>
                  <w:r>
                    <w:rPr>
                      <w:i/>
                      <w:color w:val="231F20"/>
                      <w:sz w:val="20"/>
                    </w:rPr>
                    <w:t>the</w:t>
                  </w:r>
                  <w:r>
                    <w:rPr>
                      <w:i/>
                      <w:color w:val="231F20"/>
                      <w:spacing w:val="-7"/>
                      <w:sz w:val="20"/>
                    </w:rPr>
                    <w:t> </w:t>
                  </w:r>
                  <w:r>
                    <w:rPr>
                      <w:i/>
                      <w:color w:val="231F20"/>
                      <w:spacing w:val="-3"/>
                      <w:sz w:val="20"/>
                    </w:rPr>
                    <w:t>tendencies</w:t>
                  </w:r>
                  <w:r>
                    <w:rPr>
                      <w:i/>
                      <w:color w:val="231F20"/>
                      <w:spacing w:val="-7"/>
                      <w:sz w:val="20"/>
                    </w:rPr>
                    <w:t> </w:t>
                  </w:r>
                  <w:r>
                    <w:rPr>
                      <w:i/>
                      <w:color w:val="231F20"/>
                      <w:sz w:val="20"/>
                    </w:rPr>
                    <w:t>for</w:t>
                  </w:r>
                  <w:r>
                    <w:rPr>
                      <w:i/>
                      <w:color w:val="231F20"/>
                      <w:spacing w:val="-7"/>
                      <w:sz w:val="20"/>
                    </w:rPr>
                    <w:t> </w:t>
                  </w:r>
                  <w:r>
                    <w:rPr>
                      <w:i/>
                      <w:color w:val="231F20"/>
                      <w:spacing w:val="-3"/>
                      <w:sz w:val="20"/>
                    </w:rPr>
                    <w:t>environmental </w:t>
                  </w:r>
                  <w:r>
                    <w:rPr>
                      <w:i/>
                      <w:color w:val="231F20"/>
                      <w:sz w:val="20"/>
                    </w:rPr>
                    <w:t>harms</w:t>
                  </w:r>
                  <w:r>
                    <w:rPr>
                      <w:i/>
                      <w:color w:val="231F20"/>
                      <w:spacing w:val="-12"/>
                      <w:sz w:val="20"/>
                    </w:rPr>
                    <w:t> </w:t>
                  </w:r>
                  <w:r>
                    <w:rPr>
                      <w:i/>
                      <w:color w:val="231F20"/>
                      <w:sz w:val="20"/>
                    </w:rPr>
                    <w:t>and</w:t>
                  </w:r>
                  <w:r>
                    <w:rPr>
                      <w:i/>
                      <w:color w:val="231F20"/>
                      <w:spacing w:val="-12"/>
                      <w:sz w:val="20"/>
                    </w:rPr>
                    <w:t> </w:t>
                  </w:r>
                  <w:r>
                    <w:rPr>
                      <w:i/>
                      <w:color w:val="231F20"/>
                      <w:sz w:val="20"/>
                    </w:rPr>
                    <w:t>risks</w:t>
                  </w:r>
                  <w:r>
                    <w:rPr>
                      <w:i/>
                      <w:color w:val="231F20"/>
                      <w:spacing w:val="-12"/>
                      <w:sz w:val="20"/>
                    </w:rPr>
                    <w:t> </w:t>
                  </w:r>
                  <w:r>
                    <w:rPr>
                      <w:i/>
                      <w:color w:val="231F20"/>
                      <w:sz w:val="20"/>
                    </w:rPr>
                    <w:t>to</w:t>
                  </w:r>
                  <w:r>
                    <w:rPr>
                      <w:i/>
                      <w:color w:val="231F20"/>
                      <w:spacing w:val="-12"/>
                      <w:sz w:val="20"/>
                    </w:rPr>
                    <w:t> </w:t>
                  </w:r>
                  <w:r>
                    <w:rPr>
                      <w:i/>
                      <w:color w:val="231F20"/>
                      <w:sz w:val="20"/>
                    </w:rPr>
                    <w:t>be</w:t>
                  </w:r>
                  <w:r>
                    <w:rPr>
                      <w:i/>
                      <w:color w:val="231F20"/>
                      <w:spacing w:val="-12"/>
                      <w:sz w:val="20"/>
                    </w:rPr>
                    <w:t> </w:t>
                  </w:r>
                  <w:r>
                    <w:rPr>
                      <w:i/>
                      <w:color w:val="231F20"/>
                      <w:spacing w:val="-3"/>
                      <w:sz w:val="20"/>
                    </w:rPr>
                    <w:t>unevenly</w:t>
                  </w:r>
                  <w:r>
                    <w:rPr>
                      <w:i/>
                      <w:color w:val="231F20"/>
                      <w:spacing w:val="-12"/>
                      <w:sz w:val="20"/>
                    </w:rPr>
                    <w:t> </w:t>
                  </w:r>
                  <w:r>
                    <w:rPr>
                      <w:i/>
                      <w:color w:val="231F20"/>
                      <w:sz w:val="20"/>
                    </w:rPr>
                    <w:t>distributed</w:t>
                  </w:r>
                  <w:r>
                    <w:rPr>
                      <w:i/>
                      <w:color w:val="231F20"/>
                      <w:spacing w:val="-12"/>
                      <w:sz w:val="20"/>
                    </w:rPr>
                    <w:t> </w:t>
                  </w:r>
                  <w:r>
                    <w:rPr>
                      <w:i/>
                      <w:color w:val="231F20"/>
                      <w:sz w:val="20"/>
                    </w:rPr>
                    <w:t>across</w:t>
                  </w:r>
                  <w:r>
                    <w:rPr>
                      <w:i/>
                      <w:color w:val="231F20"/>
                      <w:spacing w:val="-12"/>
                      <w:sz w:val="20"/>
                    </w:rPr>
                    <w:t> </w:t>
                  </w:r>
                  <w:r>
                    <w:rPr>
                      <w:i/>
                      <w:color w:val="231F20"/>
                      <w:sz w:val="20"/>
                    </w:rPr>
                    <w:t>society</w:t>
                  </w:r>
                  <w:r>
                    <w:rPr>
                      <w:i/>
                      <w:color w:val="231F20"/>
                      <w:spacing w:val="-12"/>
                      <w:sz w:val="20"/>
                    </w:rPr>
                    <w:t> </w:t>
                  </w:r>
                  <w:r>
                    <w:rPr>
                      <w:i/>
                      <w:color w:val="231F20"/>
                      <w:sz w:val="20"/>
                    </w:rPr>
                    <w:t>and</w:t>
                  </w:r>
                  <w:r>
                    <w:rPr>
                      <w:i/>
                      <w:color w:val="231F20"/>
                      <w:spacing w:val="-12"/>
                      <w:sz w:val="20"/>
                    </w:rPr>
                    <w:t> </w:t>
                  </w:r>
                  <w:r>
                    <w:rPr>
                      <w:i/>
                      <w:color w:val="231F20"/>
                      <w:sz w:val="20"/>
                    </w:rPr>
                    <w:t>across</w:t>
                  </w:r>
                  <w:r>
                    <w:rPr>
                      <w:i/>
                      <w:color w:val="231F20"/>
                      <w:spacing w:val="-12"/>
                      <w:sz w:val="20"/>
                    </w:rPr>
                    <w:t> </w:t>
                  </w:r>
                  <w:r>
                    <w:rPr>
                      <w:i/>
                      <w:color w:val="231F20"/>
                      <w:sz w:val="20"/>
                    </w:rPr>
                    <w:t>regions.</w:t>
                  </w:r>
                </w:p>
                <w:p>
                  <w:pPr>
                    <w:spacing w:line="280" w:lineRule="auto" w:before="2"/>
                    <w:ind w:left="20" w:right="0" w:firstLine="0"/>
                    <w:jc w:val="left"/>
                    <w:rPr>
                      <w:sz w:val="20"/>
                    </w:rPr>
                  </w:pPr>
                  <w:r>
                    <w:rPr>
                      <w:i/>
                      <w:color w:val="231F20"/>
                      <w:sz w:val="20"/>
                    </w:rPr>
                    <w:t>In particular, … the </w:t>
                  </w:r>
                  <w:r>
                    <w:rPr>
                      <w:i/>
                      <w:color w:val="231F20"/>
                      <w:spacing w:val="-3"/>
                      <w:sz w:val="20"/>
                    </w:rPr>
                    <w:t>burdens </w:t>
                  </w:r>
                  <w:r>
                    <w:rPr>
                      <w:i/>
                      <w:color w:val="231F20"/>
                      <w:sz w:val="20"/>
                    </w:rPr>
                    <w:t>of </w:t>
                  </w:r>
                  <w:r>
                    <w:rPr>
                      <w:i/>
                      <w:color w:val="231F20"/>
                      <w:spacing w:val="-3"/>
                      <w:sz w:val="20"/>
                    </w:rPr>
                    <w:t>environmental </w:t>
                  </w:r>
                  <w:r>
                    <w:rPr>
                      <w:i/>
                      <w:color w:val="231F20"/>
                      <w:sz w:val="20"/>
                    </w:rPr>
                    <w:t>risks or other impositions fall disproportionately on rural, regional and remote communities as distinct from larger population centres, on working class and poorer neighbourhoods … as distinct from </w:t>
                  </w:r>
                  <w:r>
                    <w:rPr>
                      <w:i/>
                      <w:color w:val="231F20"/>
                      <w:spacing w:val="-3"/>
                      <w:sz w:val="20"/>
                    </w:rPr>
                    <w:t>wealthier</w:t>
                  </w:r>
                  <w:r>
                    <w:rPr>
                      <w:i/>
                      <w:color w:val="231F20"/>
                      <w:spacing w:val="-14"/>
                      <w:sz w:val="20"/>
                    </w:rPr>
                    <w:t> </w:t>
                  </w:r>
                  <w:r>
                    <w:rPr>
                      <w:i/>
                      <w:color w:val="231F20"/>
                      <w:sz w:val="20"/>
                    </w:rPr>
                    <w:t>areas,</w:t>
                  </w:r>
                  <w:r>
                    <w:rPr>
                      <w:i/>
                      <w:color w:val="231F20"/>
                      <w:spacing w:val="-14"/>
                      <w:sz w:val="20"/>
                    </w:rPr>
                    <w:t> </w:t>
                  </w:r>
                  <w:r>
                    <w:rPr>
                      <w:i/>
                      <w:color w:val="231F20"/>
                      <w:sz w:val="20"/>
                    </w:rPr>
                    <w:t>and</w:t>
                  </w:r>
                  <w:r>
                    <w:rPr>
                      <w:i/>
                      <w:color w:val="231F20"/>
                      <w:spacing w:val="-14"/>
                      <w:sz w:val="20"/>
                    </w:rPr>
                    <w:t> </w:t>
                  </w:r>
                  <w:r>
                    <w:rPr>
                      <w:i/>
                      <w:color w:val="231F20"/>
                      <w:sz w:val="20"/>
                    </w:rPr>
                    <w:t>fail</w:t>
                  </w:r>
                  <w:r>
                    <w:rPr>
                      <w:i/>
                      <w:color w:val="231F20"/>
                      <w:spacing w:val="-14"/>
                      <w:sz w:val="20"/>
                    </w:rPr>
                    <w:t> </w:t>
                  </w:r>
                  <w:r>
                    <w:rPr>
                      <w:i/>
                      <w:color w:val="231F20"/>
                      <w:sz w:val="20"/>
                    </w:rPr>
                    <w:t>to</w:t>
                  </w:r>
                  <w:r>
                    <w:rPr>
                      <w:i/>
                      <w:color w:val="231F20"/>
                      <w:spacing w:val="-14"/>
                      <w:sz w:val="20"/>
                    </w:rPr>
                    <w:t> </w:t>
                  </w:r>
                  <w:r>
                    <w:rPr>
                      <w:i/>
                      <w:color w:val="231F20"/>
                      <w:sz w:val="20"/>
                    </w:rPr>
                    <w:t>accommodate</w:t>
                  </w:r>
                  <w:r>
                    <w:rPr>
                      <w:i/>
                      <w:color w:val="231F20"/>
                      <w:spacing w:val="-14"/>
                      <w:sz w:val="20"/>
                    </w:rPr>
                    <w:t> </w:t>
                  </w:r>
                  <w:r>
                    <w:rPr>
                      <w:i/>
                      <w:color w:val="231F20"/>
                      <w:sz w:val="20"/>
                    </w:rPr>
                    <w:t>historic</w:t>
                  </w:r>
                  <w:r>
                    <w:rPr>
                      <w:i/>
                      <w:color w:val="231F20"/>
                      <w:spacing w:val="-14"/>
                      <w:sz w:val="20"/>
                    </w:rPr>
                    <w:t> </w:t>
                  </w:r>
                  <w:r>
                    <w:rPr>
                      <w:i/>
                      <w:color w:val="231F20"/>
                      <w:sz w:val="20"/>
                    </w:rPr>
                    <w:t>injustices</w:t>
                  </w:r>
                  <w:r>
                    <w:rPr>
                      <w:i/>
                      <w:color w:val="231F20"/>
                      <w:spacing w:val="-14"/>
                      <w:sz w:val="20"/>
                    </w:rPr>
                    <w:t> </w:t>
                  </w:r>
                  <w:r>
                    <w:rPr>
                      <w:i/>
                      <w:color w:val="231F20"/>
                      <w:sz w:val="20"/>
                    </w:rPr>
                    <w:t>against</w:t>
                  </w:r>
                  <w:r>
                    <w:rPr>
                      <w:i/>
                      <w:color w:val="231F20"/>
                      <w:spacing w:val="-14"/>
                      <w:sz w:val="20"/>
                    </w:rPr>
                    <w:t> </w:t>
                  </w:r>
                  <w:r>
                    <w:rPr>
                      <w:i/>
                      <w:color w:val="231F20"/>
                      <w:sz w:val="20"/>
                    </w:rPr>
                    <w:t>and</w:t>
                  </w:r>
                  <w:r>
                    <w:rPr>
                      <w:i/>
                      <w:color w:val="231F20"/>
                      <w:spacing w:val="-14"/>
                      <w:sz w:val="20"/>
                    </w:rPr>
                    <w:t> </w:t>
                  </w:r>
                  <w:r>
                    <w:rPr>
                      <w:i/>
                      <w:color w:val="231F20"/>
                      <w:sz w:val="20"/>
                    </w:rPr>
                    <w:t>dispossession of</w:t>
                  </w:r>
                  <w:r>
                    <w:rPr>
                      <w:i/>
                      <w:color w:val="231F20"/>
                      <w:spacing w:val="-13"/>
                      <w:sz w:val="20"/>
                    </w:rPr>
                    <w:t> </w:t>
                  </w:r>
                  <w:r>
                    <w:rPr>
                      <w:i/>
                      <w:color w:val="231F20"/>
                      <w:sz w:val="20"/>
                    </w:rPr>
                    <w:t>Aboriginal</w:t>
                  </w:r>
                  <w:r>
                    <w:rPr>
                      <w:i/>
                      <w:color w:val="231F20"/>
                      <w:spacing w:val="-13"/>
                      <w:sz w:val="20"/>
                    </w:rPr>
                    <w:t> </w:t>
                  </w:r>
                  <w:r>
                    <w:rPr>
                      <w:i/>
                      <w:color w:val="231F20"/>
                      <w:sz w:val="20"/>
                    </w:rPr>
                    <w:t>peoples.</w:t>
                  </w:r>
                  <w:r>
                    <w:rPr>
                      <w:i/>
                      <w:color w:val="231F20"/>
                      <w:spacing w:val="-13"/>
                      <w:sz w:val="20"/>
                    </w:rPr>
                    <w:t> </w:t>
                  </w:r>
                  <w:r>
                    <w:rPr>
                      <w:color w:val="231F20"/>
                      <w:spacing w:val="-3"/>
                      <w:sz w:val="20"/>
                    </w:rPr>
                    <w:t>(Environmental</w:t>
                  </w:r>
                  <w:r>
                    <w:rPr>
                      <w:color w:val="231F20"/>
                      <w:spacing w:val="-13"/>
                      <w:sz w:val="20"/>
                    </w:rPr>
                    <w:t> </w:t>
                  </w:r>
                  <w:r>
                    <w:rPr>
                      <w:color w:val="231F20"/>
                      <w:sz w:val="20"/>
                    </w:rPr>
                    <w:t>Justice</w:t>
                  </w:r>
                  <w:r>
                    <w:rPr>
                      <w:color w:val="231F20"/>
                      <w:spacing w:val="-13"/>
                      <w:sz w:val="20"/>
                    </w:rPr>
                    <w:t> </w:t>
                  </w:r>
                  <w:r>
                    <w:rPr>
                      <w:color w:val="231F20"/>
                      <w:sz w:val="20"/>
                    </w:rPr>
                    <w:t>Australia</w:t>
                  </w:r>
                  <w:r>
                    <w:rPr>
                      <w:color w:val="231F20"/>
                      <w:spacing w:val="-13"/>
                      <w:sz w:val="20"/>
                    </w:rPr>
                    <w:t> </w:t>
                  </w:r>
                  <w:r>
                    <w:rPr>
                      <w:color w:val="231F20"/>
                      <w:sz w:val="20"/>
                    </w:rPr>
                    <w:t>submission,</w:t>
                  </w:r>
                  <w:r>
                    <w:rPr>
                      <w:color w:val="231F20"/>
                      <w:spacing w:val="-13"/>
                      <w:sz w:val="20"/>
                    </w:rPr>
                    <w:t> </w:t>
                  </w:r>
                  <w:r>
                    <w:rPr>
                      <w:color w:val="231F20"/>
                      <w:spacing w:val="-3"/>
                      <w:sz w:val="20"/>
                    </w:rPr>
                    <w:t>p.</w:t>
                  </w:r>
                  <w:r>
                    <w:rPr>
                      <w:color w:val="231F20"/>
                      <w:spacing w:val="-13"/>
                      <w:sz w:val="20"/>
                    </w:rPr>
                    <w:t> </w:t>
                  </w:r>
                  <w:r>
                    <w:rPr>
                      <w:color w:val="231F20"/>
                      <w:sz w:val="20"/>
                    </w:rPr>
                    <w:t>7)</w:t>
                  </w:r>
                </w:p>
              </w:txbxContent>
            </v:textbox>
            <w10:wrap type="none"/>
          </v:shape>
        </w:pict>
      </w:r>
      <w:r>
        <w:rPr/>
        <w:pict>
          <v:shape style="position:absolute;margin-left:89.715103pt;margin-top:275.657867pt;width:233.6pt;height:12pt;mso-position-horizontal-relative:page;mso-position-vertical-relative:page;z-index:-186688" type="#_x0000_t202" filled="false" stroked="false">
            <v:textbox inset="0,0,0,0">
              <w:txbxContent>
                <w:p>
                  <w:pPr>
                    <w:pStyle w:val="BodyText"/>
                    <w:spacing w:line="224" w:lineRule="exact"/>
                    <w:ind w:right="-16"/>
                  </w:pPr>
                  <w:r>
                    <w:rPr>
                      <w:color w:val="0095A7"/>
                    </w:rPr>
                    <w:t>7.4.1  Whole-of-government approaches are needed</w:t>
                  </w:r>
                </w:p>
              </w:txbxContent>
            </v:textbox>
            <w10:wrap type="none"/>
          </v:shape>
        </w:pict>
      </w:r>
      <w:r>
        <w:rPr/>
        <w:pict>
          <v:shape style="position:absolute;margin-left:118.055099pt;margin-top:303.327881pt;width:373.75pt;height:93pt;mso-position-horizontal-relative:page;mso-position-vertical-relative:page;z-index:-186664" type="#_x0000_t202" filled="false" stroked="false">
            <v:textbox inset="0,0,0,0">
              <w:txbxContent>
                <w:p>
                  <w:pPr>
                    <w:spacing w:line="280" w:lineRule="auto" w:before="0"/>
                    <w:ind w:left="20" w:right="0" w:firstLine="0"/>
                    <w:jc w:val="left"/>
                    <w:rPr>
                      <w:i/>
                      <w:sz w:val="20"/>
                    </w:rPr>
                  </w:pPr>
                  <w:r>
                    <w:rPr>
                      <w:i/>
                      <w:color w:val="231F20"/>
                      <w:sz w:val="20"/>
                    </w:rPr>
                    <w:t>For much of its history, Melbourne’s western suburbs were effectively treated by governments and regulators as a sacrifice zone where a range of noxious industries could be located with little if any regard for the health and amenity of local residents</w:t>
                  </w:r>
                </w:p>
                <w:p>
                  <w:pPr>
                    <w:spacing w:line="280" w:lineRule="auto" w:before="2"/>
                    <w:ind w:left="20" w:right="0" w:firstLine="0"/>
                    <w:jc w:val="left"/>
                    <w:rPr>
                      <w:sz w:val="20"/>
                    </w:rPr>
                  </w:pPr>
                  <w:r>
                    <w:rPr>
                      <w:i/>
                      <w:color w:val="231F20"/>
                      <w:sz w:val="20"/>
                    </w:rPr>
                    <w:t>… While difficult problems remain in some areas (for example, heavy vehicle noise and pollution and localised problems with road dust) over the past few decades, environmental quality in Melbourne’s west has improved dramatically. </w:t>
                  </w:r>
                  <w:r>
                    <w:rPr>
                      <w:color w:val="231F20"/>
                      <w:sz w:val="20"/>
                    </w:rPr>
                    <w:t>(Robert Joy submission, p. 5)</w:t>
                  </w:r>
                </w:p>
              </w:txbxContent>
            </v:textbox>
            <w10:wrap type="none"/>
          </v:shape>
        </w:pict>
      </w:r>
      <w:r>
        <w:rPr/>
        <w:pict>
          <v:shape style="position:absolute;margin-left:89.705101pt;margin-top:406.327881pt;width:435.2pt;height:66pt;mso-position-horizontal-relative:page;mso-position-vertical-relative:page;z-index:-186640" type="#_x0000_t202" filled="false" stroked="false">
            <v:textbox inset="0,0,0,0">
              <w:txbxContent>
                <w:p>
                  <w:pPr>
                    <w:pStyle w:val="BodyText"/>
                    <w:spacing w:line="280" w:lineRule="auto"/>
                    <w:ind w:right="-9"/>
                  </w:pPr>
                  <w:r>
                    <w:rPr>
                      <w:color w:val="58595B"/>
                    </w:rPr>
                    <w:t>Environmental justice issues can be complex and broad ranging; they will take different forms between locations and over time (box 7.4). The interconnected nature of disadvantage, health and the environment, and the key role of land use planning policy and decisions means environmental justice requires a broader perspective. The EPA has a role, but addressing environmental justice goes well beyond the reach of regulation by EPA.</w:t>
                  </w:r>
                </w:p>
              </w:txbxContent>
            </v:textbox>
            <w10:wrap type="none"/>
          </v:shape>
        </w:pict>
      </w:r>
      <w:r>
        <w:rPr/>
        <w:pict>
          <v:shape style="position:absolute;margin-left:90.709pt;margin-top:480.77301pt;width:432.75pt;height:146.5pt;mso-position-horizontal-relative:page;mso-position-vertical-relative:page;z-index:-186616" type="#_x0000_t202" filled="false" stroked="false">
            <v:textbox inset="0,0,0,0">
              <w:txbxContent>
                <w:p>
                  <w:pPr>
                    <w:pStyle w:val="BodyText"/>
                    <w:spacing w:before="128"/>
                    <w:ind w:left="170" w:right="482"/>
                  </w:pPr>
                  <w:r>
                    <w:rPr>
                      <w:b/>
                      <w:color w:val="0095A7"/>
                    </w:rPr>
                    <w:t>BOX 7.4 </w:t>
                  </w:r>
                  <w:r>
                    <w:rPr>
                      <w:color w:val="0095A7"/>
                    </w:rPr>
                    <w:t>ENVIRONMENTAL JUSTICE ISSUES FOR VICTORIA</w:t>
                  </w:r>
                </w:p>
                <w:p>
                  <w:pPr>
                    <w:pStyle w:val="BodyText"/>
                    <w:spacing w:line="280" w:lineRule="auto" w:before="153"/>
                    <w:ind w:left="170" w:right="161"/>
                  </w:pPr>
                  <w:r>
                    <w:rPr>
                      <w:color w:val="58595B"/>
                    </w:rPr>
                    <w:t>Pollution impacts have historically been concentrated in areas of existing social disadvantage. Despite significant improvements in recent decades, these are still concerns for communities in parts of metropolitan Melbourne and regional Victoria.</w:t>
                  </w:r>
                </w:p>
                <w:p>
                  <w:pPr>
                    <w:spacing w:line="280" w:lineRule="auto" w:before="172"/>
                    <w:ind w:left="737" w:right="771" w:firstLine="0"/>
                    <w:jc w:val="left"/>
                    <w:rPr>
                      <w:sz w:val="20"/>
                    </w:rPr>
                  </w:pPr>
                  <w:r>
                    <w:rPr>
                      <w:i/>
                      <w:color w:val="231F20"/>
                      <w:sz w:val="20"/>
                    </w:rPr>
                    <w:t>Significant clusters of landfills and processing facilities occur in the western region of Melbourne, especially in Werribee, Laverton, Deer Park and Brooklyn, which means that local populations in the west will be disproportionately affected by the additional vehicle emissions and noise from waste trucks. </w:t>
                  </w:r>
                  <w:r>
                    <w:rPr>
                      <w:color w:val="231F20"/>
                      <w:sz w:val="20"/>
                    </w:rPr>
                    <w:t>(Maribyrnong City Council submission, p. 8)</w:t>
                  </w:r>
                </w:p>
              </w:txbxContent>
            </v:textbox>
            <w10:wrap type="none"/>
          </v:shape>
        </w:pict>
      </w:r>
      <w:r>
        <w:rPr/>
        <w:pict>
          <v:shape style="position:absolute;margin-left:534.996094pt;margin-top:44.090015pt;width:60.3pt;height:5.25pt;mso-position-horizontal-relative:page;mso-position-vertical-relative:page;z-index:-18659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656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86544" from=".0pt,45.840015pt" to="60.2791pt,45.840015pt" stroked="true" strokeweight="7pt" strokecolor="#0095a7">
            <w10:wrap type="none"/>
          </v:line>
        </w:pict>
      </w:r>
      <w:r>
        <w:rPr/>
        <w:pict>
          <v:rect style="position:absolute;margin-left:70.865997pt;margin-top:107.717018pt;width:432.701pt;height:292.8pt;mso-position-horizontal-relative:page;mso-position-vertical-relative:page;z-index:-186520" filled="true" fillcolor="#eaf2f3" stroked="false">
            <v:fill type="solid"/>
            <w10:wrap type="none"/>
          </v:rect>
        </w:pict>
      </w:r>
      <w:r>
        <w:rPr/>
        <w:pict>
          <v:shape style="position:absolute;margin-left:69.866096pt;margin-top:40.902756pt;width:14.45pt;height:9.5pt;mso-position-horizontal-relative:page;mso-position-vertical-relative:page;z-index:-186496" type="#_x0000_t202" filled="false" stroked="false">
            <v:textbox inset="0,0,0,0">
              <w:txbxContent>
                <w:p>
                  <w:pPr>
                    <w:spacing w:before="1"/>
                    <w:ind w:left="20" w:right="-2" w:firstLine="0"/>
                    <w:jc w:val="left"/>
                    <w:rPr>
                      <w:sz w:val="15"/>
                    </w:rPr>
                  </w:pPr>
                  <w:r>
                    <w:rPr>
                      <w:color w:val="58595B"/>
                      <w:sz w:val="15"/>
                    </w:rPr>
                    <w:t>138</w:t>
                  </w:r>
                </w:p>
              </w:txbxContent>
            </v:textbox>
            <w10:wrap type="none"/>
          </v:shape>
        </w:pict>
      </w:r>
      <w:r>
        <w:rPr/>
        <w:pict>
          <v:shape style="position:absolute;margin-left:95.377899pt;margin-top:40.902756pt;width:147.75pt;height:9.5pt;mso-position-horizontal-relative:page;mso-position-vertical-relative:page;z-index:-18647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5303pt;margin-top:419.081757pt;width:425.9pt;height:52.5pt;mso-position-horizontal-relative:page;mso-position-vertical-relative:page;z-index:-186448" type="#_x0000_t202" filled="false" stroked="false">
            <v:textbox inset="0,0,0,0">
              <w:txbxContent>
                <w:p>
                  <w:pPr>
                    <w:pStyle w:val="BodyText"/>
                    <w:spacing w:line="280" w:lineRule="auto"/>
                  </w:pPr>
                  <w:r>
                    <w:rPr>
                      <w:color w:val="58595B"/>
                    </w:rPr>
                    <w:t>We consider a whole-of-government commitment and collaboration is necessary to improve specific cases and to influence outcomes more generally. A whole-of-government strategy can set high level objectives on environmental justice. It also allows for consistency on matters such as procedural fairness in relevant processes.</w:t>
                  </w:r>
                </w:p>
              </w:txbxContent>
            </v:textbox>
            <w10:wrap type="none"/>
          </v:shape>
        </w:pict>
      </w:r>
      <w:r>
        <w:rPr/>
        <w:pict>
          <v:shape style="position:absolute;margin-left:69.865303pt;margin-top:481.581757pt;width:422.25pt;height:66pt;mso-position-horizontal-relative:page;mso-position-vertical-relative:page;z-index:-186424" type="#_x0000_t202" filled="false" stroked="false">
            <v:textbox inset="0,0,0,0">
              <w:txbxContent>
                <w:p>
                  <w:pPr>
                    <w:pStyle w:val="BodyText"/>
                    <w:spacing w:line="280" w:lineRule="auto"/>
                    <w:ind w:right="17"/>
                  </w:pPr>
                  <w:r>
                    <w:rPr>
                      <w:color w:val="58595B"/>
                    </w:rPr>
                    <w:t>Even with these foundations, however, delivering environmental justice outcomes will not be straightforward. There will inevitably be conflicts and tensions within government and across the community on environmental justice issues. But a whole-of-government approach provides a mechanism to consider these issues more explicitly. It can also guide individual agencies on how to approach their responsibilities.</w:t>
                  </w:r>
                </w:p>
              </w:txbxContent>
            </v:textbox>
            <w10:wrap type="none"/>
          </v:shape>
        </w:pict>
      </w:r>
      <w:r>
        <w:rPr/>
        <w:pict>
          <v:shape style="position:absolute;margin-left:69.865303pt;margin-top:557.581787pt;width:395.25pt;height:52.5pt;mso-position-horizontal-relative:page;mso-position-vertical-relative:page;z-index:-186400" type="#_x0000_t202" filled="false" stroked="false">
            <v:textbox inset="0,0,0,0">
              <w:txbxContent>
                <w:p>
                  <w:pPr>
                    <w:pStyle w:val="BodyText"/>
                    <w:spacing w:line="280" w:lineRule="auto"/>
                  </w:pPr>
                  <w:r>
                    <w:rPr>
                      <w:color w:val="58595B"/>
                    </w:rPr>
                    <w:t>Stakeholders supported a whole-of-government approach to environmental justice. They expressed aspirations for environmental justice that the EPA could not address alone.</w:t>
                  </w:r>
                </w:p>
                <w:p>
                  <w:pPr>
                    <w:pStyle w:val="BodyText"/>
                    <w:spacing w:line="280" w:lineRule="auto" w:before="2"/>
                  </w:pPr>
                  <w:r>
                    <w:rPr>
                      <w:color w:val="58595B"/>
                    </w:rPr>
                    <w:t>Stakeholders were also concerned about ad hoc approaches, emphasising the need for considered attention by government.</w:t>
                  </w:r>
                </w:p>
              </w:txbxContent>
            </v:textbox>
            <w10:wrap type="none"/>
          </v:shape>
        </w:pict>
      </w:r>
      <w:r>
        <w:rPr/>
        <w:pict>
          <v:shape style="position:absolute;margin-left:98.215302pt;margin-top:620.081787pt;width:370.9pt;height:52.5pt;mso-position-horizontal-relative:page;mso-position-vertical-relative:page;z-index:-186376" type="#_x0000_t202" filled="false" stroked="false">
            <v:textbox inset="0,0,0,0">
              <w:txbxContent>
                <w:p>
                  <w:pPr>
                    <w:spacing w:line="280" w:lineRule="auto" w:before="0"/>
                    <w:ind w:left="20" w:right="125" w:firstLine="0"/>
                    <w:jc w:val="left"/>
                    <w:rPr>
                      <w:i/>
                      <w:sz w:val="20"/>
                    </w:rPr>
                  </w:pPr>
                  <w:r>
                    <w:rPr>
                      <w:i/>
                      <w:color w:val="231F20"/>
                      <w:sz w:val="20"/>
                    </w:rPr>
                    <w:t>Environmental justice is the fair treatment and meaningful involvement of all people regardless of race, colour, national origin, or income with respect to the</w:t>
                  </w:r>
                </w:p>
                <w:p>
                  <w:pPr>
                    <w:spacing w:line="280" w:lineRule="auto" w:before="2"/>
                    <w:ind w:left="20" w:right="7" w:firstLine="0"/>
                    <w:jc w:val="left"/>
                    <w:rPr>
                      <w:sz w:val="20"/>
                    </w:rPr>
                  </w:pPr>
                  <w:r>
                    <w:rPr>
                      <w:i/>
                      <w:color w:val="231F20"/>
                      <w:sz w:val="20"/>
                    </w:rPr>
                    <w:t>development, implementation, and enforcement of environmental laws, regulations, and policies. </w:t>
                  </w:r>
                  <w:r>
                    <w:rPr>
                      <w:color w:val="231F20"/>
                      <w:sz w:val="20"/>
                    </w:rPr>
                    <w:t>(Doctors for the Environment Australia submission, p. 12)</w:t>
                  </w:r>
                </w:p>
              </w:txbxContent>
            </v:textbox>
            <w10:wrap type="none"/>
          </v:shape>
        </w:pict>
      </w:r>
      <w:r>
        <w:rPr/>
        <w:pict>
          <v:shape style="position:absolute;margin-left:98.215302pt;margin-top:682.581787pt;width:366.35pt;height:39pt;mso-position-horizontal-relative:page;mso-position-vertical-relative:page;z-index:-186352" type="#_x0000_t202" filled="false" stroked="false">
            <v:textbox inset="0,0,0,0">
              <w:txbxContent>
                <w:p>
                  <w:pPr>
                    <w:spacing w:line="280" w:lineRule="auto" w:before="0"/>
                    <w:ind w:left="20" w:right="17" w:firstLine="0"/>
                    <w:jc w:val="both"/>
                    <w:rPr>
                      <w:sz w:val="20"/>
                    </w:rPr>
                  </w:pPr>
                  <w:r>
                    <w:rPr>
                      <w:i/>
                      <w:color w:val="231F20"/>
                      <w:sz w:val="20"/>
                    </w:rPr>
                    <w:t>If environmental justice is a concept that is going to be incorporated either into the EPA’s remit or the Environment Protection Act, it will need to be rigorously defined and explained. </w:t>
                  </w:r>
                  <w:r>
                    <w:rPr>
                      <w:color w:val="231F20"/>
                      <w:sz w:val="20"/>
                    </w:rPr>
                    <w:t>(Australian Industry Group submission, p. 5)</w:t>
                  </w:r>
                </w:p>
              </w:txbxContent>
            </v:textbox>
            <w10:wrap type="none"/>
          </v:shape>
        </w:pict>
      </w:r>
      <w:r>
        <w:rPr/>
        <w:pict>
          <v:shape style="position:absolute;margin-left:98.215302pt;margin-top:731.581787pt;width:364.35pt;height:52.5pt;mso-position-horizontal-relative:page;mso-position-vertical-relative:page;z-index:-186328" type="#_x0000_t202" filled="false" stroked="false">
            <v:textbox inset="0,0,0,0">
              <w:txbxContent>
                <w:p>
                  <w:pPr>
                    <w:spacing w:line="280" w:lineRule="auto" w:before="0"/>
                    <w:ind w:left="20" w:right="0" w:firstLine="0"/>
                    <w:jc w:val="left"/>
                    <w:rPr>
                      <w:sz w:val="20"/>
                    </w:rPr>
                  </w:pPr>
                  <w:r>
                    <w:rPr>
                      <w:i/>
                      <w:color w:val="231F20"/>
                      <w:sz w:val="20"/>
                    </w:rPr>
                    <w:t>For</w:t>
                  </w:r>
                  <w:r>
                    <w:rPr>
                      <w:i/>
                      <w:color w:val="231F20"/>
                      <w:spacing w:val="-7"/>
                      <w:sz w:val="20"/>
                    </w:rPr>
                    <w:t> </w:t>
                  </w:r>
                  <w:r>
                    <w:rPr>
                      <w:i/>
                      <w:color w:val="231F20"/>
                      <w:sz w:val="20"/>
                    </w:rPr>
                    <w:t>the</w:t>
                  </w:r>
                  <w:r>
                    <w:rPr>
                      <w:i/>
                      <w:color w:val="231F20"/>
                      <w:spacing w:val="-7"/>
                      <w:sz w:val="20"/>
                    </w:rPr>
                    <w:t> </w:t>
                  </w:r>
                  <w:r>
                    <w:rPr>
                      <w:i/>
                      <w:color w:val="231F20"/>
                      <w:spacing w:val="-3"/>
                      <w:sz w:val="20"/>
                    </w:rPr>
                    <w:t>EPA</w:t>
                  </w:r>
                  <w:r>
                    <w:rPr>
                      <w:i/>
                      <w:color w:val="231F20"/>
                      <w:spacing w:val="-7"/>
                      <w:sz w:val="20"/>
                    </w:rPr>
                    <w:t> </w:t>
                  </w:r>
                  <w:r>
                    <w:rPr>
                      <w:i/>
                      <w:color w:val="231F20"/>
                      <w:sz w:val="20"/>
                    </w:rPr>
                    <w:t>to</w:t>
                  </w:r>
                  <w:r>
                    <w:rPr>
                      <w:i/>
                      <w:color w:val="231F20"/>
                      <w:spacing w:val="-7"/>
                      <w:sz w:val="20"/>
                    </w:rPr>
                    <w:t> </w:t>
                  </w:r>
                  <w:r>
                    <w:rPr>
                      <w:i/>
                      <w:color w:val="231F20"/>
                      <w:sz w:val="20"/>
                    </w:rPr>
                    <w:t>seriously</w:t>
                  </w:r>
                  <w:r>
                    <w:rPr>
                      <w:i/>
                      <w:color w:val="231F20"/>
                      <w:spacing w:val="-7"/>
                      <w:sz w:val="20"/>
                    </w:rPr>
                    <w:t> </w:t>
                  </w:r>
                  <w:r>
                    <w:rPr>
                      <w:i/>
                      <w:color w:val="231F20"/>
                      <w:sz w:val="20"/>
                    </w:rPr>
                    <w:t>apply</w:t>
                  </w:r>
                  <w:r>
                    <w:rPr>
                      <w:i/>
                      <w:color w:val="231F20"/>
                      <w:spacing w:val="-7"/>
                      <w:sz w:val="20"/>
                    </w:rPr>
                    <w:t> </w:t>
                  </w:r>
                  <w:r>
                    <w:rPr>
                      <w:i/>
                      <w:color w:val="231F20"/>
                      <w:sz w:val="20"/>
                    </w:rPr>
                    <w:t>environmental</w:t>
                  </w:r>
                  <w:r>
                    <w:rPr>
                      <w:i/>
                      <w:color w:val="231F20"/>
                      <w:spacing w:val="-7"/>
                      <w:sz w:val="20"/>
                    </w:rPr>
                    <w:t> </w:t>
                  </w:r>
                  <w:r>
                    <w:rPr>
                      <w:i/>
                      <w:color w:val="231F20"/>
                      <w:sz w:val="20"/>
                    </w:rPr>
                    <w:t>justice</w:t>
                  </w:r>
                  <w:r>
                    <w:rPr>
                      <w:i/>
                      <w:color w:val="231F20"/>
                      <w:spacing w:val="-7"/>
                      <w:sz w:val="20"/>
                    </w:rPr>
                    <w:t> </w:t>
                  </w:r>
                  <w:r>
                    <w:rPr>
                      <w:i/>
                      <w:color w:val="231F20"/>
                      <w:spacing w:val="-3"/>
                      <w:sz w:val="20"/>
                    </w:rPr>
                    <w:t>they</w:t>
                  </w:r>
                  <w:r>
                    <w:rPr>
                      <w:i/>
                      <w:color w:val="231F20"/>
                      <w:spacing w:val="-7"/>
                      <w:sz w:val="20"/>
                    </w:rPr>
                    <w:t> </w:t>
                  </w:r>
                  <w:r>
                    <w:rPr>
                      <w:i/>
                      <w:color w:val="231F20"/>
                      <w:sz w:val="20"/>
                    </w:rPr>
                    <w:t>will</w:t>
                  </w:r>
                  <w:r>
                    <w:rPr>
                      <w:i/>
                      <w:color w:val="231F20"/>
                      <w:spacing w:val="-7"/>
                      <w:sz w:val="20"/>
                    </w:rPr>
                    <w:t> </w:t>
                  </w:r>
                  <w:r>
                    <w:rPr>
                      <w:i/>
                      <w:color w:val="231F20"/>
                      <w:sz w:val="20"/>
                    </w:rPr>
                    <w:t>need</w:t>
                  </w:r>
                  <w:r>
                    <w:rPr>
                      <w:i/>
                      <w:color w:val="231F20"/>
                      <w:spacing w:val="-7"/>
                      <w:sz w:val="20"/>
                    </w:rPr>
                    <w:t> </w:t>
                  </w:r>
                  <w:r>
                    <w:rPr>
                      <w:i/>
                      <w:color w:val="231F20"/>
                      <w:sz w:val="20"/>
                    </w:rPr>
                    <w:t>a</w:t>
                  </w:r>
                  <w:r>
                    <w:rPr>
                      <w:i/>
                      <w:color w:val="231F20"/>
                      <w:spacing w:val="-7"/>
                      <w:sz w:val="20"/>
                    </w:rPr>
                    <w:t> </w:t>
                  </w:r>
                  <w:r>
                    <w:rPr>
                      <w:i/>
                      <w:color w:val="231F20"/>
                      <w:sz w:val="20"/>
                    </w:rPr>
                    <w:t>close</w:t>
                  </w:r>
                  <w:r>
                    <w:rPr>
                      <w:i/>
                      <w:color w:val="231F20"/>
                      <w:spacing w:val="-7"/>
                      <w:sz w:val="20"/>
                    </w:rPr>
                    <w:t> </w:t>
                  </w:r>
                  <w:r>
                    <w:rPr>
                      <w:i/>
                      <w:color w:val="231F20"/>
                      <w:sz w:val="20"/>
                    </w:rPr>
                    <w:t>working relationship with industry as well as a thorough understanding of the community’s requirements, which would require significant resources. </w:t>
                  </w:r>
                  <w:r>
                    <w:rPr>
                      <w:color w:val="231F20"/>
                      <w:sz w:val="20"/>
                    </w:rPr>
                    <w:t>(South East </w:t>
                  </w:r>
                  <w:r>
                    <w:rPr>
                      <w:color w:val="231F20"/>
                      <w:spacing w:val="-3"/>
                      <w:sz w:val="20"/>
                    </w:rPr>
                    <w:t>Water </w:t>
                  </w:r>
                  <w:r>
                    <w:rPr>
                      <w:color w:val="231F20"/>
                      <w:sz w:val="20"/>
                    </w:rPr>
                    <w:t>submission, </w:t>
                  </w:r>
                  <w:r>
                    <w:rPr>
                      <w:color w:val="231F20"/>
                      <w:spacing w:val="-3"/>
                      <w:sz w:val="20"/>
                    </w:rPr>
                    <w:t>p.</w:t>
                  </w:r>
                  <w:r>
                    <w:rPr>
                      <w:color w:val="231F20"/>
                      <w:spacing w:val="-16"/>
                      <w:sz w:val="20"/>
                    </w:rPr>
                    <w:t> </w:t>
                  </w:r>
                  <w:r>
                    <w:rPr>
                      <w:color w:val="231F20"/>
                      <w:spacing w:val="-5"/>
                      <w:sz w:val="20"/>
                    </w:rPr>
                    <w:t>8)</w:t>
                  </w:r>
                </w:p>
              </w:txbxContent>
            </v:textbox>
            <w10:wrap type="none"/>
          </v:shape>
        </w:pict>
      </w:r>
      <w:r>
        <w:rPr/>
        <w:pict>
          <v:shape style="position:absolute;margin-left:70.865997pt;margin-top:107.717018pt;width:432.7pt;height:292.8pt;mso-position-horizontal-relative:page;mso-position-vertical-relative:page;z-index:-186304" type="#_x0000_t202" filled="false" stroked="false">
            <v:textbox inset="0,0,0,0">
              <w:txbxContent>
                <w:p>
                  <w:pPr>
                    <w:pStyle w:val="BodyText"/>
                    <w:spacing w:line="280" w:lineRule="auto" w:before="128"/>
                    <w:ind w:left="170" w:right="448"/>
                    <w:rPr>
                      <w:sz w:val="11"/>
                    </w:rPr>
                  </w:pPr>
                  <w:r>
                    <w:rPr>
                      <w:color w:val="58595B"/>
                    </w:rPr>
                    <w:t>Residents living close to environmental ‘hot spots’ such as landfills, industrial facilities and major roads are impacted by odour, dust and noise. We heard from communities about the lack of response to concerns. There is also evidence that some communities experience serious health and amenity impacts.</w:t>
                  </w:r>
                  <w:r>
                    <w:rPr>
                      <w:color w:val="58595B"/>
                      <w:position w:val="7"/>
                      <w:sz w:val="11"/>
                    </w:rPr>
                    <w:t>34</w:t>
                  </w:r>
                </w:p>
                <w:p>
                  <w:pPr>
                    <w:pStyle w:val="BodyText"/>
                    <w:spacing w:line="280" w:lineRule="auto" w:before="172"/>
                    <w:ind w:left="169" w:right="238"/>
                  </w:pPr>
                  <w:r>
                    <w:rPr>
                      <w:color w:val="58595B"/>
                    </w:rPr>
                    <w:t>Residents of the coal mining centres in the Latrobe </w:t>
                  </w:r>
                  <w:r>
                    <w:rPr>
                      <w:color w:val="58595B"/>
                      <w:spacing w:val="-3"/>
                    </w:rPr>
                    <w:t>Valley </w:t>
                  </w:r>
                  <w:r>
                    <w:rPr>
                      <w:color w:val="58595B"/>
                    </w:rPr>
                    <w:t>have a reduced lifespan compared with other centres in Gippsland and with Victorians generally – four years for males and two years for females. Evidence suggests these results are consistent with effects from both mining and burning coal, and reflect socioeconomic circumstances.</w:t>
                  </w:r>
                  <w:r>
                    <w:rPr>
                      <w:color w:val="58595B"/>
                      <w:position w:val="7"/>
                      <w:sz w:val="11"/>
                    </w:rPr>
                    <w:t>35 </w:t>
                  </w:r>
                  <w:r>
                    <w:rPr>
                      <w:color w:val="58595B"/>
                    </w:rPr>
                    <w:t>The Hazelwood mine fire revealed the reality of environmental justice issues to the broader Victorian</w:t>
                  </w:r>
                  <w:r>
                    <w:rPr>
                      <w:color w:val="58595B"/>
                      <w:spacing w:val="2"/>
                    </w:rPr>
                    <w:t> </w:t>
                  </w:r>
                  <w:r>
                    <w:rPr>
                      <w:color w:val="58595B"/>
                    </w:rPr>
                    <w:t>community.</w:t>
                  </w:r>
                </w:p>
                <w:p>
                  <w:pPr>
                    <w:spacing w:before="172"/>
                    <w:ind w:left="736" w:right="277" w:firstLine="0"/>
                    <w:jc w:val="left"/>
                    <w:rPr>
                      <w:i/>
                      <w:sz w:val="20"/>
                    </w:rPr>
                  </w:pPr>
                  <w:r>
                    <w:rPr>
                      <w:i/>
                      <w:color w:val="231F20"/>
                      <w:sz w:val="20"/>
                    </w:rPr>
                    <w:t>Too often the poorer and more vulnerable members of society are exposed to</w:t>
                  </w:r>
                </w:p>
                <w:p>
                  <w:pPr>
                    <w:spacing w:line="280" w:lineRule="auto" w:before="40"/>
                    <w:ind w:left="736" w:right="678" w:firstLine="0"/>
                    <w:jc w:val="left"/>
                    <w:rPr>
                      <w:sz w:val="20"/>
                    </w:rPr>
                  </w:pPr>
                  <w:r>
                    <w:rPr>
                      <w:i/>
                      <w:color w:val="231F20"/>
                      <w:sz w:val="20"/>
                    </w:rPr>
                    <w:t>a greater distribution of polluted air. The residents of Morwell can certainly attest to this. </w:t>
                  </w:r>
                  <w:r>
                    <w:rPr>
                      <w:color w:val="231F20"/>
                      <w:sz w:val="20"/>
                    </w:rPr>
                    <w:t>(Clare Walter and Professor Lou Irving submission, p. 13)</w:t>
                  </w:r>
                </w:p>
                <w:p>
                  <w:pPr>
                    <w:spacing w:line="280" w:lineRule="auto" w:before="172"/>
                    <w:ind w:left="736" w:right="678" w:firstLine="0"/>
                    <w:jc w:val="left"/>
                    <w:rPr>
                      <w:i/>
                      <w:sz w:val="20"/>
                    </w:rPr>
                  </w:pPr>
                  <w:r>
                    <w:rPr>
                      <w:i/>
                      <w:color w:val="231F20"/>
                      <w:sz w:val="20"/>
                    </w:rPr>
                    <w:t>[F]or too long, people of the Latrobe Valley, who have provided electricity for the state of Victoria and yet remain one of the most economically disadvantaged regions in the state, have accepted that some illnesses are an inevitable cost</w:t>
                  </w:r>
                </w:p>
                <w:p>
                  <w:pPr>
                    <w:spacing w:line="280" w:lineRule="auto" w:before="2"/>
                    <w:ind w:left="736" w:right="916" w:firstLine="0"/>
                    <w:jc w:val="left"/>
                    <w:rPr>
                      <w:sz w:val="20"/>
                    </w:rPr>
                  </w:pPr>
                  <w:r>
                    <w:rPr>
                      <w:i/>
                      <w:color w:val="231F20"/>
                      <w:sz w:val="20"/>
                    </w:rPr>
                    <w:t>of working in and living around coal mines and power stations. An environment justice approach recognises that the burden of environmental pollution often falls upon those least equipped to deal with it (or complain about it). </w:t>
                  </w:r>
                  <w:r>
                    <w:rPr>
                      <w:color w:val="231F20"/>
                      <w:sz w:val="20"/>
                    </w:rPr>
                    <w:t>(Dan Musil submission, p. 2)</w:t>
                  </w:r>
                </w:p>
              </w:txbxContent>
            </v:textbox>
            <w10:wrap type="none"/>
          </v:shape>
        </w:pict>
      </w:r>
      <w:r>
        <w:rPr/>
        <w:pict>
          <v:shape style="position:absolute;margin-left:.0pt;margin-top:44.090015pt;width:60.3pt;height:5.25pt;mso-position-horizontal-relative:page;mso-position-vertical-relative:page;z-index:-18628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8625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86232" from="534.996094pt,45.840015pt" to="595.276001pt,45.840015pt" stroked="true" strokeweight="7pt" strokecolor="#0095a7">
            <w10:wrap type="none"/>
          </v:line>
        </w:pict>
      </w:r>
      <w:r>
        <w:rPr/>
        <w:pict>
          <v:shape style="position:absolute;margin-left:163.581497pt;margin-top:40.902756pt;width:336.3pt;height:9.5pt;mso-position-horizontal-relative:page;mso-position-vertical-relative:page;z-index:-186208" type="#_x0000_t202" filled="false" stroked="false">
            <v:textbox inset="0,0,0,0">
              <w:txbxContent>
                <w:p>
                  <w:pPr>
                    <w:spacing w:before="1"/>
                    <w:ind w:left="20" w:right="0" w:firstLine="0"/>
                    <w:jc w:val="left"/>
                    <w:rPr>
                      <w:sz w:val="15"/>
                    </w:rPr>
                  </w:pPr>
                  <w:r>
                    <w:rPr>
                      <w:color w:val="58595B"/>
                      <w:sz w:val="15"/>
                    </w:rPr>
                    <w:t>CHAPTER 7    THE EPA’S ROLE WITHIN VICTORIA’S ENVIRONMENT PROTECTION REGIME</w:t>
                  </w:r>
                </w:p>
              </w:txbxContent>
            </v:textbox>
            <w10:wrap type="none"/>
          </v:shape>
        </w:pict>
      </w:r>
      <w:r>
        <w:rPr/>
        <w:pict>
          <v:shape style="position:absolute;margin-left:510.951508pt;margin-top:40.902756pt;width:14.45pt;height:9.5pt;mso-position-horizontal-relative:page;mso-position-vertical-relative:page;z-index:-186184" type="#_x0000_t202" filled="false" stroked="false">
            <v:textbox inset="0,0,0,0">
              <w:txbxContent>
                <w:p>
                  <w:pPr>
                    <w:spacing w:before="1"/>
                    <w:ind w:left="20" w:right="-2" w:firstLine="0"/>
                    <w:jc w:val="left"/>
                    <w:rPr>
                      <w:sz w:val="15"/>
                    </w:rPr>
                  </w:pPr>
                  <w:r>
                    <w:rPr>
                      <w:color w:val="58595B"/>
                      <w:sz w:val="15"/>
                    </w:rPr>
                    <w:t>139</w:t>
                  </w:r>
                </w:p>
              </w:txbxContent>
            </v:textbox>
            <w10:wrap type="none"/>
          </v:shape>
        </w:pict>
      </w:r>
      <w:r>
        <w:rPr/>
        <w:pict>
          <v:shape style="position:absolute;margin-left:118.055099pt;margin-top:105.893967pt;width:374.35pt;height:25.5pt;mso-position-horizontal-relative:page;mso-position-vertical-relative:page;z-index:-186160" type="#_x0000_t202" filled="false" stroked="false">
            <v:textbox inset="0,0,0,0">
              <w:txbxContent>
                <w:p>
                  <w:pPr>
                    <w:spacing w:line="280" w:lineRule="auto" w:before="0"/>
                    <w:ind w:left="20" w:right="0" w:firstLine="0"/>
                    <w:jc w:val="left"/>
                    <w:rPr>
                      <w:sz w:val="20"/>
                    </w:rPr>
                  </w:pPr>
                  <w:r>
                    <w:rPr>
                      <w:i/>
                      <w:color w:val="231F20"/>
                      <w:sz w:val="20"/>
                    </w:rPr>
                    <w:t>Any concept of environmental justice needs to be able to accommodate site specific and regional circumstances. </w:t>
                  </w:r>
                  <w:r>
                    <w:rPr>
                      <w:color w:val="231F20"/>
                      <w:sz w:val="20"/>
                    </w:rPr>
                    <w:t>(Australian Paper submission, p. 5)</w:t>
                  </w:r>
                </w:p>
              </w:txbxContent>
            </v:textbox>
            <w10:wrap type="none"/>
          </v:shape>
        </w:pict>
      </w:r>
      <w:r>
        <w:rPr/>
        <w:pict>
          <v:shape style="position:absolute;margin-left:89.703796pt;margin-top:141.393967pt;width:435.7pt;height:120.05pt;mso-position-horizontal-relative:page;mso-position-vertical-relative:page;z-index:-186136" type="#_x0000_t202" filled="false" stroked="false">
            <v:textbox inset="0,0,0,0">
              <w:txbxContent>
                <w:p>
                  <w:pPr>
                    <w:pStyle w:val="BodyText"/>
                    <w:spacing w:line="280" w:lineRule="auto"/>
                    <w:ind w:right="245"/>
                  </w:pPr>
                  <w:r>
                    <w:rPr>
                      <w:color w:val="58595B"/>
                    </w:rPr>
                    <w:t>The EPA’s pollution complaints are one indicator of how pollution impacts disproportionately affect some members of the community.</w:t>
                  </w:r>
                  <w:r>
                    <w:rPr>
                      <w:color w:val="58595B"/>
                      <w:position w:val="7"/>
                      <w:sz w:val="11"/>
                    </w:rPr>
                    <w:t>36 </w:t>
                  </w:r>
                  <w:r>
                    <w:rPr>
                      <w:color w:val="58595B"/>
                    </w:rPr>
                    <w:t>Indeed, as the environmental regulator, the EPA has a role in mitigating and avoiding impacts. It considers environmental and health risks, impacts and harms on local communities as part of its routine regulatory activity in works approval and licensing decision making and in its ongoing compliance monitoring and enforcement activities.</w:t>
                  </w:r>
                </w:p>
                <w:p>
                  <w:pPr>
                    <w:pStyle w:val="BodyText"/>
                    <w:spacing w:line="280" w:lineRule="auto" w:before="2"/>
                    <w:ind w:right="17" w:hanging="1"/>
                    <w:jc w:val="both"/>
                  </w:pPr>
                  <w:r>
                    <w:rPr>
                      <w:color w:val="58595B"/>
                    </w:rPr>
                    <w:t>But there are limits to the EPA’s toolkit.</w:t>
                  </w:r>
                  <w:r>
                    <w:rPr>
                      <w:color w:val="58595B"/>
                      <w:position w:val="7"/>
                      <w:sz w:val="11"/>
                    </w:rPr>
                    <w:t>37 </w:t>
                  </w:r>
                  <w:r>
                    <w:rPr>
                      <w:color w:val="58595B"/>
                    </w:rPr>
                    <w:t>Often, coordinated action with other parts of government is the only way to avoid impacts and effect change for some entrenched problems, such as ‘diesel hot spots’.</w:t>
                  </w:r>
                  <w:r>
                    <w:rPr>
                      <w:color w:val="58595B"/>
                      <w:position w:val="7"/>
                      <w:sz w:val="11"/>
                    </w:rPr>
                    <w:t>38 </w:t>
                  </w:r>
                  <w:r>
                    <w:rPr>
                      <w:color w:val="58595B"/>
                    </w:rPr>
                    <w:t>We do not consider the EPA to be the appropriate agency to lead the implementation of environmental justice principles across government.</w:t>
                  </w:r>
                </w:p>
              </w:txbxContent>
            </v:textbox>
            <w10:wrap type="none"/>
          </v:shape>
        </w:pict>
      </w:r>
      <w:r>
        <w:rPr/>
        <w:pict>
          <v:shape style="position:absolute;margin-left:89.713501pt;margin-top:275.657867pt;width:399.6pt;height:31.2pt;mso-position-horizontal-relative:page;mso-position-vertical-relative:page;z-index:-186112" type="#_x0000_t202" filled="false" stroked="false">
            <v:textbox inset="0,0,0,0">
              <w:txbxContent>
                <w:p>
                  <w:pPr>
                    <w:pStyle w:val="BodyText"/>
                    <w:spacing w:line="224" w:lineRule="exact"/>
                  </w:pPr>
                  <w:r>
                    <w:rPr>
                      <w:color w:val="0095A7"/>
                    </w:rPr>
                    <w:t>7.4.2  Options for whole-of-government responses to environmental justice</w:t>
                  </w:r>
                </w:p>
                <w:p>
                  <w:pPr>
                    <w:pStyle w:val="BodyText"/>
                    <w:spacing w:before="153"/>
                  </w:pPr>
                  <w:r>
                    <w:rPr>
                      <w:color w:val="58595B"/>
                    </w:rPr>
                    <w:t>We considered the options for whole-of-government approaches to environmental justice.</w:t>
                  </w:r>
                </w:p>
              </w:txbxContent>
            </v:textbox>
            <w10:wrap type="none"/>
          </v:shape>
        </w:pict>
      </w:r>
      <w:r>
        <w:rPr/>
        <w:pict>
          <v:shape style="position:absolute;margin-left:89.713501pt;margin-top:319.667877pt;width:427.3pt;height:110.75pt;mso-position-horizontal-relative:page;mso-position-vertical-relative:page;z-index:-186088" type="#_x0000_t202" filled="false" stroked="false">
            <v:textbox inset="0,0,0,0">
              <w:txbxContent>
                <w:p>
                  <w:pPr>
                    <w:spacing w:line="224" w:lineRule="exact" w:before="0"/>
                    <w:ind w:left="20" w:right="17" w:firstLine="0"/>
                    <w:jc w:val="left"/>
                    <w:rPr>
                      <w:i/>
                      <w:sz w:val="20"/>
                    </w:rPr>
                  </w:pPr>
                  <w:r>
                    <w:rPr>
                      <w:i/>
                      <w:color w:val="6D6E71"/>
                      <w:sz w:val="20"/>
                    </w:rPr>
                    <w:t>Policy approach</w:t>
                  </w:r>
                </w:p>
                <w:p>
                  <w:pPr>
                    <w:pStyle w:val="BodyText"/>
                    <w:spacing w:line="280" w:lineRule="auto" w:before="125"/>
                    <w:ind w:right="17"/>
                  </w:pPr>
                  <w:r>
                    <w:rPr>
                      <w:color w:val="58595B"/>
                    </w:rPr>
                    <w:t>The Victorian Government could implement a whole-of-government environmental justice policy in addition to, or instead of, a legislative approach. In itself, a policy can support action by identifying consistent principles and priorities. For example, this approach has been used to drive changes on energy efficiency with government policy specifying performance targets and annual reporting requirements. However, a policy may not have the same enduring presence or carry the same weight as a legislated requirement to consider environmental justice principles and outcomes.</w:t>
                  </w:r>
                </w:p>
              </w:txbxContent>
            </v:textbox>
            <w10:wrap type="none"/>
          </v:shape>
        </w:pict>
      </w:r>
      <w:r>
        <w:rPr/>
        <w:pict>
          <v:shape style="position:absolute;margin-left:89.713501pt;margin-top:440.417877pt;width:426.5pt;height:25.5pt;mso-position-horizontal-relative:page;mso-position-vertical-relative:page;z-index:-186064" type="#_x0000_t202" filled="false" stroked="false">
            <v:textbox inset="0,0,0,0">
              <w:txbxContent>
                <w:p>
                  <w:pPr>
                    <w:pStyle w:val="BodyText"/>
                    <w:spacing w:line="280" w:lineRule="auto"/>
                  </w:pPr>
                  <w:r>
                    <w:rPr>
                      <w:color w:val="58595B"/>
                    </w:rPr>
                    <w:t>As a first step, we recommend DELWP define the Victorian Government’s environmental justice commitments and set priorities on key policy issues.</w:t>
                  </w:r>
                </w:p>
              </w:txbxContent>
            </v:textbox>
            <w10:wrap type="none"/>
          </v:shape>
        </w:pict>
      </w:r>
      <w:r>
        <w:rPr/>
        <w:pict>
          <v:shape style="position:absolute;margin-left:89.713501pt;margin-top:478.757874pt;width:435.45pt;height:70.25pt;mso-position-horizontal-relative:page;mso-position-vertical-relative:page;z-index:-186040" type="#_x0000_t202" filled="false" stroked="false">
            <v:textbox inset="0,0,0,0">
              <w:txbxContent>
                <w:p>
                  <w:pPr>
                    <w:spacing w:line="224" w:lineRule="exact" w:before="0"/>
                    <w:ind w:left="20" w:right="311" w:firstLine="0"/>
                    <w:jc w:val="left"/>
                    <w:rPr>
                      <w:i/>
                      <w:sz w:val="20"/>
                    </w:rPr>
                  </w:pPr>
                  <w:r>
                    <w:rPr>
                      <w:i/>
                      <w:color w:val="6D6E71"/>
                      <w:sz w:val="20"/>
                    </w:rPr>
                    <w:t>Legislating for whole-of-government decision making</w:t>
                  </w:r>
                </w:p>
                <w:p>
                  <w:pPr>
                    <w:pStyle w:val="BodyText"/>
                    <w:spacing w:line="280" w:lineRule="auto" w:before="125"/>
                  </w:pPr>
                  <w:r>
                    <w:rPr>
                      <w:color w:val="58595B"/>
                    </w:rPr>
                    <w:t>We consider it appropriate to include environmental justice principles in the proposed overarching Environment Protection (Integration and Coordination) Act. This approach ensures government decision making accounts for environmental justice (as specified through the legislation but with potential for application across the whole of government).</w:t>
                  </w:r>
                </w:p>
              </w:txbxContent>
            </v:textbox>
            <w10:wrap type="none"/>
          </v:shape>
        </w:pict>
      </w:r>
      <w:r>
        <w:rPr/>
        <w:pict>
          <v:shape style="position:absolute;margin-left:89.706398pt;margin-top:559.007874pt;width:419.6pt;height:83.05pt;mso-position-horizontal-relative:page;mso-position-vertical-relative:page;z-index:-186016" type="#_x0000_t202" filled="false" stroked="false">
            <v:textbox inset="0,0,0,0">
              <w:txbxContent>
                <w:p>
                  <w:pPr>
                    <w:pStyle w:val="BodyText"/>
                    <w:spacing w:line="280" w:lineRule="auto"/>
                    <w:ind w:right="14"/>
                  </w:pPr>
                  <w:r>
                    <w:rPr>
                      <w:color w:val="58595B"/>
                    </w:rPr>
                    <w:t>The </w:t>
                  </w:r>
                  <w:r>
                    <w:rPr>
                      <w:i/>
                      <w:color w:val="58595B"/>
                    </w:rPr>
                    <w:t>Climate Change Act 2010 </w:t>
                  </w:r>
                  <w:r>
                    <w:rPr>
                      <w:color w:val="58595B"/>
                    </w:rPr>
                    <w:t>adopts a similar approach. Decisions by government exercising powers under specific legislation</w:t>
                  </w:r>
                  <w:r>
                    <w:rPr>
                      <w:color w:val="58595B"/>
                      <w:position w:val="7"/>
                      <w:sz w:val="11"/>
                    </w:rPr>
                    <w:t>39  </w:t>
                  </w:r>
                  <w:r>
                    <w:rPr>
                      <w:color w:val="58595B"/>
                    </w:rPr>
                    <w:t>must have regard to:</w:t>
                  </w:r>
                </w:p>
                <w:p>
                  <w:pPr>
                    <w:pStyle w:val="ListParagraph"/>
                    <w:numPr>
                      <w:ilvl w:val="0"/>
                      <w:numId w:val="56"/>
                    </w:numPr>
                    <w:tabs>
                      <w:tab w:pos="190" w:val="left" w:leader="none"/>
                    </w:tabs>
                    <w:spacing w:line="240" w:lineRule="auto" w:before="115" w:after="0"/>
                    <w:ind w:left="190" w:right="0" w:hanging="170"/>
                    <w:jc w:val="left"/>
                    <w:rPr>
                      <w:sz w:val="20"/>
                    </w:rPr>
                  </w:pPr>
                  <w:r>
                    <w:rPr>
                      <w:color w:val="58595B"/>
                      <w:sz w:val="20"/>
                    </w:rPr>
                    <w:t>the potential impacts of climate change relevant to the decision or</w:t>
                  </w:r>
                  <w:r>
                    <w:rPr>
                      <w:color w:val="58595B"/>
                      <w:spacing w:val="3"/>
                      <w:sz w:val="20"/>
                    </w:rPr>
                    <w:t> </w:t>
                  </w:r>
                  <w:r>
                    <w:rPr>
                      <w:color w:val="58595B"/>
                      <w:sz w:val="20"/>
                    </w:rPr>
                    <w:t>action</w:t>
                  </w:r>
                </w:p>
                <w:p>
                  <w:pPr>
                    <w:pStyle w:val="ListParagraph"/>
                    <w:numPr>
                      <w:ilvl w:val="0"/>
                      <w:numId w:val="56"/>
                    </w:numPr>
                    <w:tabs>
                      <w:tab w:pos="190" w:val="left" w:leader="none"/>
                    </w:tabs>
                    <w:spacing w:line="240" w:lineRule="auto" w:before="153" w:after="0"/>
                    <w:ind w:left="190" w:right="0" w:hanging="170"/>
                    <w:jc w:val="left"/>
                    <w:rPr>
                      <w:sz w:val="20"/>
                    </w:rPr>
                  </w:pPr>
                  <w:r>
                    <w:rPr>
                      <w:color w:val="58595B"/>
                      <w:sz w:val="20"/>
                    </w:rPr>
                    <w:t>the potential contribution to Victoria’s greenhouse gas emissions of the decision or</w:t>
                  </w:r>
                  <w:r>
                    <w:rPr>
                      <w:color w:val="58595B"/>
                      <w:spacing w:val="8"/>
                      <w:sz w:val="20"/>
                    </w:rPr>
                    <w:t> </w:t>
                  </w:r>
                  <w:r>
                    <w:rPr>
                      <w:color w:val="58595B"/>
                      <w:sz w:val="20"/>
                    </w:rPr>
                    <w:t>action</w:t>
                  </w:r>
                </w:p>
                <w:p>
                  <w:pPr>
                    <w:pStyle w:val="ListParagraph"/>
                    <w:numPr>
                      <w:ilvl w:val="0"/>
                      <w:numId w:val="56"/>
                    </w:numPr>
                    <w:tabs>
                      <w:tab w:pos="190" w:val="left" w:leader="none"/>
                    </w:tabs>
                    <w:spacing w:line="240" w:lineRule="auto" w:before="153" w:after="0"/>
                    <w:ind w:left="190" w:right="0" w:hanging="170"/>
                    <w:jc w:val="left"/>
                    <w:rPr>
                      <w:sz w:val="11"/>
                    </w:rPr>
                  </w:pPr>
                  <w:r>
                    <w:rPr>
                      <w:color w:val="58595B"/>
                      <w:sz w:val="20"/>
                    </w:rPr>
                    <w:t>any guidelines issued by the</w:t>
                  </w:r>
                  <w:r>
                    <w:rPr>
                      <w:color w:val="58595B"/>
                      <w:spacing w:val="-6"/>
                      <w:sz w:val="20"/>
                    </w:rPr>
                    <w:t> </w:t>
                  </w:r>
                  <w:r>
                    <w:rPr>
                      <w:color w:val="58595B"/>
                      <w:sz w:val="20"/>
                    </w:rPr>
                    <w:t>Minister.</w:t>
                  </w:r>
                  <w:r>
                    <w:rPr>
                      <w:color w:val="58595B"/>
                      <w:position w:val="7"/>
                      <w:sz w:val="11"/>
                    </w:rPr>
                    <w:t>40</w:t>
                  </w:r>
                </w:p>
              </w:txbxContent>
            </v:textbox>
            <w10:wrap type="none"/>
          </v:shape>
        </w:pict>
      </w:r>
      <w:r>
        <w:rPr/>
        <w:pict>
          <v:shape style="position:absolute;margin-left:89.708702pt;margin-top:654.858459pt;width:431.55pt;height:70.25pt;mso-position-horizontal-relative:page;mso-position-vertical-relative:page;z-index:-185992" type="#_x0000_t202" filled="false" stroked="false">
            <v:textbox inset="0,0,0,0">
              <w:txbxContent>
                <w:p>
                  <w:pPr>
                    <w:spacing w:line="224" w:lineRule="exact" w:before="0"/>
                    <w:ind w:left="20" w:right="8" w:firstLine="0"/>
                    <w:jc w:val="left"/>
                    <w:rPr>
                      <w:i/>
                      <w:sz w:val="20"/>
                    </w:rPr>
                  </w:pPr>
                  <w:r>
                    <w:rPr>
                      <w:i/>
                      <w:color w:val="6D6E71"/>
                      <w:sz w:val="20"/>
                    </w:rPr>
                    <w:t>As a potential Charter right</w:t>
                  </w:r>
                </w:p>
                <w:p>
                  <w:pPr>
                    <w:pStyle w:val="BodyText"/>
                    <w:spacing w:line="280" w:lineRule="auto" w:before="125"/>
                    <w:ind w:right="54"/>
                  </w:pPr>
                  <w:r>
                    <w:rPr>
                      <w:color w:val="58595B"/>
                    </w:rPr>
                    <w:t>Victoria has had a legislated Charter of Human Rights and Responsibilities since </w:t>
                  </w:r>
                  <w:r>
                    <w:rPr>
                      <w:color w:val="58595B"/>
                      <w:spacing w:val="2"/>
                    </w:rPr>
                    <w:t>2006 </w:t>
                  </w:r>
                  <w:r>
                    <w:rPr>
                      <w:color w:val="58595B"/>
                    </w:rPr>
                    <w:t>(Victorian Charter, enacted in the </w:t>
                  </w:r>
                  <w:r>
                    <w:rPr>
                      <w:i/>
                      <w:color w:val="58595B"/>
                    </w:rPr>
                    <w:t>Charter of Human Rights and Responsibilities Act 2006</w:t>
                  </w:r>
                  <w:r>
                    <w:rPr>
                      <w:color w:val="58595B"/>
                    </w:rPr>
                    <w:t>). The </w:t>
                  </w:r>
                  <w:r>
                    <w:rPr>
                      <w:color w:val="58595B"/>
                      <w:spacing w:val="-4"/>
                    </w:rPr>
                    <w:t>2015 </w:t>
                  </w:r>
                  <w:r>
                    <w:rPr>
                      <w:color w:val="58595B"/>
                    </w:rPr>
                    <w:t>Charter review highlighted how such an instrument can influence government policy and  decision</w:t>
                  </w:r>
                  <w:r>
                    <w:rPr>
                      <w:color w:val="58595B"/>
                      <w:spacing w:val="1"/>
                    </w:rPr>
                    <w:t> </w:t>
                  </w:r>
                  <w:r>
                    <w:rPr>
                      <w:color w:val="58595B"/>
                    </w:rPr>
                    <w:t>making:</w:t>
                  </w:r>
                </w:p>
              </w:txbxContent>
            </v:textbox>
            <w10:wrap type="none"/>
          </v:shape>
        </w:pict>
      </w:r>
      <w:r>
        <w:rPr/>
        <w:pict>
          <v:shape style="position:absolute;margin-left:118.058701pt;margin-top:735.108459pt;width:363.9pt;height:52.5pt;mso-position-horizontal-relative:page;mso-position-vertical-relative:page;z-index:-185968" type="#_x0000_t202" filled="false" stroked="false">
            <v:textbox inset="0,0,0,0">
              <w:txbxContent>
                <w:p>
                  <w:pPr>
                    <w:spacing w:line="280" w:lineRule="auto" w:before="0"/>
                    <w:ind w:left="20" w:right="0" w:firstLine="0"/>
                    <w:jc w:val="left"/>
                    <w:rPr>
                      <w:sz w:val="11"/>
                    </w:rPr>
                  </w:pPr>
                  <w:r>
                    <w:rPr>
                      <w:i/>
                      <w:color w:val="231F20"/>
                      <w:sz w:val="20"/>
                    </w:rPr>
                    <w:t>The Charter has been a clear part of building a human rights culture in Victoria, particularly in the Victorian public sector. Over time, implementation of the charter has helped to build a greater consideration of and adherence to human rights principles by the public sector, Parliament and the courts in key areas.</w:t>
                  </w:r>
                  <w:r>
                    <w:rPr>
                      <w:color w:val="231F20"/>
                      <w:position w:val="7"/>
                      <w:sz w:val="11"/>
                    </w:rPr>
                    <w:t>41</w:t>
                  </w:r>
                </w:p>
              </w:txbxContent>
            </v:textbox>
            <w10:wrap type="none"/>
          </v:shape>
        </w:pict>
      </w:r>
      <w:r>
        <w:rPr/>
        <w:pict>
          <v:shape style="position:absolute;margin-left:534.996094pt;margin-top:44.090015pt;width:60.3pt;height:5.25pt;mso-position-horizontal-relative:page;mso-position-vertical-relative:page;z-index:-18594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5920"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85896" from=".0pt,45.840015pt" to="60.2791pt,45.840015pt" stroked="true" strokeweight="7pt" strokecolor="#0095a7">
            <w10:wrap type="none"/>
          </v:line>
        </w:pict>
      </w:r>
      <w:r>
        <w:rPr/>
        <w:pict>
          <v:shape style="position:absolute;margin-left:69.866096pt;margin-top:40.902756pt;width:14.45pt;height:9.5pt;mso-position-horizontal-relative:page;mso-position-vertical-relative:page;z-index:-185872" type="#_x0000_t202" filled="false" stroked="false">
            <v:textbox inset="0,0,0,0">
              <w:txbxContent>
                <w:p>
                  <w:pPr>
                    <w:spacing w:before="1"/>
                    <w:ind w:left="20" w:right="-2" w:firstLine="0"/>
                    <w:jc w:val="left"/>
                    <w:rPr>
                      <w:sz w:val="15"/>
                    </w:rPr>
                  </w:pPr>
                  <w:r>
                    <w:rPr>
                      <w:color w:val="58595B"/>
                      <w:sz w:val="15"/>
                    </w:rPr>
                    <w:t>140</w:t>
                  </w:r>
                </w:p>
              </w:txbxContent>
            </v:textbox>
            <w10:wrap type="none"/>
          </v:shape>
        </w:pict>
      </w:r>
      <w:r>
        <w:rPr/>
        <w:pict>
          <v:shape style="position:absolute;margin-left:95.377899pt;margin-top:40.902756pt;width:147.75pt;height:9.5pt;mso-position-horizontal-relative:page;mso-position-vertical-relative:page;z-index:-185848"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57pt;margin-top:105.893967pt;width:432.75pt;height:66pt;mso-position-horizontal-relative:page;mso-position-vertical-relative:page;z-index:-185824" type="#_x0000_t202" filled="false" stroked="false">
            <v:textbox inset="0,0,0,0">
              <w:txbxContent>
                <w:p>
                  <w:pPr>
                    <w:pStyle w:val="BodyText"/>
                    <w:spacing w:line="280" w:lineRule="auto"/>
                    <w:ind w:right="161"/>
                  </w:pPr>
                  <w:r>
                    <w:rPr>
                      <w:color w:val="58595B"/>
                    </w:rPr>
                    <w:t>This Victorian Charter provides that ‘… it is unlawful for a public authority to act in a way that is incompatible with a human right or, in making a decision, to fail to give proper consideration to</w:t>
                  </w:r>
                </w:p>
                <w:p>
                  <w:pPr>
                    <w:spacing w:line="280" w:lineRule="auto" w:before="2"/>
                    <w:ind w:left="20" w:right="7" w:firstLine="0"/>
                    <w:jc w:val="left"/>
                    <w:rPr>
                      <w:sz w:val="20"/>
                    </w:rPr>
                  </w:pPr>
                  <w:r>
                    <w:rPr>
                      <w:color w:val="58595B"/>
                      <w:sz w:val="20"/>
                    </w:rPr>
                    <w:t>a relevant human right.’</w:t>
                  </w:r>
                  <w:r>
                    <w:rPr>
                      <w:color w:val="58595B"/>
                      <w:position w:val="7"/>
                      <w:sz w:val="11"/>
                    </w:rPr>
                    <w:t>42 </w:t>
                  </w:r>
                  <w:r>
                    <w:rPr>
                      <w:color w:val="58595B"/>
                      <w:sz w:val="20"/>
                    </w:rPr>
                    <w:t>The most comprehensive approach to embedding environmental justice into all public authority</w:t>
                  </w:r>
                  <w:r>
                    <w:rPr>
                      <w:color w:val="58595B"/>
                      <w:position w:val="7"/>
                      <w:sz w:val="11"/>
                    </w:rPr>
                    <w:t>43 </w:t>
                  </w:r>
                  <w:r>
                    <w:rPr>
                      <w:color w:val="58595B"/>
                      <w:sz w:val="20"/>
                    </w:rPr>
                    <w:t>decision making could be via the rights and responsibilities approach in the </w:t>
                  </w:r>
                  <w:r>
                    <w:rPr>
                      <w:i/>
                      <w:color w:val="58595B"/>
                      <w:sz w:val="20"/>
                    </w:rPr>
                    <w:t>Charter of Human Rights and Responsibilities Act 2006</w:t>
                  </w:r>
                  <w:r>
                    <w:rPr>
                      <w:color w:val="58595B"/>
                      <w:sz w:val="20"/>
                    </w:rPr>
                    <w:t>.</w:t>
                  </w:r>
                </w:p>
              </w:txbxContent>
            </v:textbox>
            <w10:wrap type="none"/>
          </v:shape>
        </w:pict>
      </w:r>
      <w:r>
        <w:rPr/>
        <w:pict>
          <v:shape style="position:absolute;margin-left:69.8657pt;margin-top:181.893967pt;width:420.3pt;height:25.5pt;mso-position-horizontal-relative:page;mso-position-vertical-relative:page;z-index:-185800" type="#_x0000_t202" filled="false" stroked="false">
            <v:textbox inset="0,0,0,0">
              <w:txbxContent>
                <w:p>
                  <w:pPr>
                    <w:pStyle w:val="BodyText"/>
                    <w:spacing w:line="280" w:lineRule="auto"/>
                  </w:pPr>
                  <w:r>
                    <w:rPr>
                      <w:color w:val="58595B"/>
                    </w:rPr>
                    <w:t>Some participants supported this general approach, arguing environmental justice is based on rights to a healthy environment and access to justice:</w:t>
                  </w:r>
                </w:p>
              </w:txbxContent>
            </v:textbox>
            <w10:wrap type="none"/>
          </v:shape>
        </w:pict>
      </w:r>
      <w:r>
        <w:rPr/>
        <w:pict>
          <v:shape style="position:absolute;margin-left:98.215698pt;margin-top:217.393967pt;width:373pt;height:25.5pt;mso-position-horizontal-relative:page;mso-position-vertical-relative:page;z-index:-185776" type="#_x0000_t202" filled="false" stroked="false">
            <v:textbox inset="0,0,0,0">
              <w:txbxContent>
                <w:p>
                  <w:pPr>
                    <w:spacing w:line="280" w:lineRule="auto" w:before="0"/>
                    <w:ind w:left="20" w:right="0" w:firstLine="0"/>
                    <w:jc w:val="left"/>
                    <w:rPr>
                      <w:sz w:val="20"/>
                    </w:rPr>
                  </w:pPr>
                  <w:r>
                    <w:rPr>
                      <w:i/>
                      <w:color w:val="231F20"/>
                      <w:spacing w:val="-3"/>
                      <w:sz w:val="20"/>
                    </w:rPr>
                    <w:t>Clean</w:t>
                  </w:r>
                  <w:r>
                    <w:rPr>
                      <w:i/>
                      <w:color w:val="231F20"/>
                      <w:spacing w:val="-7"/>
                      <w:sz w:val="20"/>
                    </w:rPr>
                    <w:t> </w:t>
                  </w:r>
                  <w:r>
                    <w:rPr>
                      <w:i/>
                      <w:color w:val="231F20"/>
                      <w:spacing w:val="-5"/>
                      <w:sz w:val="20"/>
                    </w:rPr>
                    <w:t>air,</w:t>
                  </w:r>
                  <w:r>
                    <w:rPr>
                      <w:i/>
                      <w:color w:val="231F20"/>
                      <w:spacing w:val="-7"/>
                      <w:sz w:val="20"/>
                    </w:rPr>
                    <w:t> </w:t>
                  </w:r>
                  <w:r>
                    <w:rPr>
                      <w:i/>
                      <w:color w:val="231F20"/>
                      <w:sz w:val="20"/>
                    </w:rPr>
                    <w:t>soil</w:t>
                  </w:r>
                  <w:r>
                    <w:rPr>
                      <w:i/>
                      <w:color w:val="231F20"/>
                      <w:spacing w:val="-7"/>
                      <w:sz w:val="20"/>
                    </w:rPr>
                    <w:t> </w:t>
                  </w:r>
                  <w:r>
                    <w:rPr>
                      <w:i/>
                      <w:color w:val="231F20"/>
                      <w:sz w:val="20"/>
                    </w:rPr>
                    <w:t>and</w:t>
                  </w:r>
                  <w:r>
                    <w:rPr>
                      <w:i/>
                      <w:color w:val="231F20"/>
                      <w:spacing w:val="-7"/>
                      <w:sz w:val="20"/>
                    </w:rPr>
                    <w:t> </w:t>
                  </w:r>
                  <w:r>
                    <w:rPr>
                      <w:i/>
                      <w:color w:val="231F20"/>
                      <w:spacing w:val="-3"/>
                      <w:sz w:val="20"/>
                    </w:rPr>
                    <w:t>water</w:t>
                  </w:r>
                  <w:r>
                    <w:rPr>
                      <w:i/>
                      <w:color w:val="231F20"/>
                      <w:spacing w:val="-7"/>
                      <w:sz w:val="20"/>
                    </w:rPr>
                    <w:t> </w:t>
                  </w:r>
                  <w:r>
                    <w:rPr>
                      <w:i/>
                      <w:color w:val="231F20"/>
                      <w:sz w:val="20"/>
                    </w:rPr>
                    <w:t>are</w:t>
                  </w:r>
                  <w:r>
                    <w:rPr>
                      <w:i/>
                      <w:color w:val="231F20"/>
                      <w:spacing w:val="-7"/>
                      <w:sz w:val="20"/>
                    </w:rPr>
                    <w:t> </w:t>
                  </w:r>
                  <w:r>
                    <w:rPr>
                      <w:i/>
                      <w:color w:val="231F20"/>
                      <w:spacing w:val="-3"/>
                      <w:sz w:val="20"/>
                    </w:rPr>
                    <w:t>basic</w:t>
                  </w:r>
                  <w:r>
                    <w:rPr>
                      <w:i/>
                      <w:color w:val="231F20"/>
                      <w:spacing w:val="-7"/>
                      <w:sz w:val="20"/>
                    </w:rPr>
                    <w:t> </w:t>
                  </w:r>
                  <w:r>
                    <w:rPr>
                      <w:i/>
                      <w:color w:val="231F20"/>
                      <w:spacing w:val="-3"/>
                      <w:sz w:val="20"/>
                    </w:rPr>
                    <w:t>human</w:t>
                  </w:r>
                  <w:r>
                    <w:rPr>
                      <w:i/>
                      <w:color w:val="231F20"/>
                      <w:spacing w:val="-7"/>
                      <w:sz w:val="20"/>
                    </w:rPr>
                    <w:t> </w:t>
                  </w:r>
                  <w:r>
                    <w:rPr>
                      <w:i/>
                      <w:color w:val="231F20"/>
                      <w:sz w:val="20"/>
                    </w:rPr>
                    <w:t>rights</w:t>
                  </w:r>
                  <w:r>
                    <w:rPr>
                      <w:i/>
                      <w:color w:val="231F20"/>
                      <w:spacing w:val="-7"/>
                      <w:sz w:val="20"/>
                    </w:rPr>
                    <w:t> </w:t>
                  </w:r>
                  <w:r>
                    <w:rPr>
                      <w:i/>
                      <w:color w:val="231F20"/>
                      <w:sz w:val="20"/>
                    </w:rPr>
                    <w:t>and</w:t>
                  </w:r>
                  <w:r>
                    <w:rPr>
                      <w:i/>
                      <w:color w:val="231F20"/>
                      <w:spacing w:val="-7"/>
                      <w:sz w:val="20"/>
                    </w:rPr>
                    <w:t> </w:t>
                  </w:r>
                  <w:r>
                    <w:rPr>
                      <w:i/>
                      <w:color w:val="231F20"/>
                      <w:sz w:val="20"/>
                    </w:rPr>
                    <w:t>must</w:t>
                  </w:r>
                  <w:r>
                    <w:rPr>
                      <w:i/>
                      <w:color w:val="231F20"/>
                      <w:spacing w:val="-7"/>
                      <w:sz w:val="20"/>
                    </w:rPr>
                    <w:t> </w:t>
                  </w:r>
                  <w:r>
                    <w:rPr>
                      <w:i/>
                      <w:color w:val="231F20"/>
                      <w:sz w:val="20"/>
                    </w:rPr>
                    <w:t>be</w:t>
                  </w:r>
                  <w:r>
                    <w:rPr>
                      <w:i/>
                      <w:color w:val="231F20"/>
                      <w:spacing w:val="-7"/>
                      <w:sz w:val="20"/>
                    </w:rPr>
                    <w:t> </w:t>
                  </w:r>
                  <w:r>
                    <w:rPr>
                      <w:i/>
                      <w:color w:val="231F20"/>
                      <w:spacing w:val="-3"/>
                      <w:sz w:val="20"/>
                    </w:rPr>
                    <w:t>non-negotiable.</w:t>
                  </w:r>
                  <w:r>
                    <w:rPr>
                      <w:i/>
                      <w:color w:val="231F20"/>
                      <w:spacing w:val="-7"/>
                      <w:sz w:val="20"/>
                    </w:rPr>
                    <w:t> </w:t>
                  </w:r>
                  <w:r>
                    <w:rPr>
                      <w:color w:val="231F20"/>
                      <w:spacing w:val="-3"/>
                      <w:sz w:val="20"/>
                    </w:rPr>
                    <w:t>(Andrew </w:t>
                  </w:r>
                  <w:r>
                    <w:rPr>
                      <w:color w:val="231F20"/>
                      <w:sz w:val="20"/>
                    </w:rPr>
                    <w:t>Laird </w:t>
                  </w:r>
                  <w:r>
                    <w:rPr>
                      <w:color w:val="231F20"/>
                      <w:spacing w:val="-3"/>
                      <w:sz w:val="20"/>
                    </w:rPr>
                    <w:t>submission, p.</w:t>
                  </w:r>
                  <w:r>
                    <w:rPr>
                      <w:color w:val="231F20"/>
                      <w:spacing w:val="-15"/>
                      <w:sz w:val="20"/>
                    </w:rPr>
                    <w:t> </w:t>
                  </w:r>
                  <w:r>
                    <w:rPr>
                      <w:color w:val="231F20"/>
                      <w:spacing w:val="-6"/>
                      <w:sz w:val="20"/>
                    </w:rPr>
                    <w:t>2)</w:t>
                  </w:r>
                </w:p>
              </w:txbxContent>
            </v:textbox>
            <w10:wrap type="none"/>
          </v:shape>
        </w:pict>
      </w:r>
      <w:r>
        <w:rPr/>
        <w:pict>
          <v:shape style="position:absolute;margin-left:98.215698pt;margin-top:252.893967pt;width:367.25pt;height:52.5pt;mso-position-horizontal-relative:page;mso-position-vertical-relative:page;z-index:-185752" type="#_x0000_t202" filled="false" stroked="false">
            <v:textbox inset="0,0,0,0">
              <w:txbxContent>
                <w:p>
                  <w:pPr>
                    <w:spacing w:line="280" w:lineRule="auto" w:before="0"/>
                    <w:ind w:left="20" w:right="0" w:firstLine="0"/>
                    <w:jc w:val="left"/>
                    <w:rPr>
                      <w:sz w:val="20"/>
                    </w:rPr>
                  </w:pPr>
                  <w:r>
                    <w:rPr>
                      <w:i/>
                      <w:color w:val="231F20"/>
                      <w:sz w:val="20"/>
                    </w:rPr>
                    <w:t>It is morally unacceptable to have some communities living in areas where they experience greater pollution, with no affordable and effective mechanism available to them to resource a legal defence of their right to clean waterways, air and quiet neighbourhoods. </w:t>
                  </w:r>
                  <w:r>
                    <w:rPr>
                      <w:color w:val="231F20"/>
                      <w:sz w:val="20"/>
                    </w:rPr>
                    <w:t>(Friends of Steel Creek submission, p. 10)</w:t>
                  </w:r>
                </w:p>
              </w:txbxContent>
            </v:textbox>
            <w10:wrap type="none"/>
          </v:shape>
        </w:pict>
      </w:r>
      <w:r>
        <w:rPr/>
        <w:pict>
          <v:shape style="position:absolute;margin-left:69.863297pt;margin-top:315.393982pt;width:429.7pt;height:93.05pt;mso-position-horizontal-relative:page;mso-position-vertical-relative:page;z-index:-185728" type="#_x0000_t202" filled="false" stroked="false">
            <v:textbox inset="0,0,0,0">
              <w:txbxContent>
                <w:p>
                  <w:pPr>
                    <w:pStyle w:val="BodyText"/>
                    <w:spacing w:line="280" w:lineRule="auto"/>
                    <w:ind w:right="17"/>
                  </w:pPr>
                  <w:r>
                    <w:rPr>
                      <w:color w:val="58595B"/>
                    </w:rPr>
                    <w:t>Arguably, the Victorian charter contains civil and political rights that already reflect the participatory justice elements of environmental justice. But it does not provide for the more detailed expression of those rights contained in the Aarhus Convention.</w:t>
                  </w:r>
                  <w:r>
                    <w:rPr>
                      <w:color w:val="58595B"/>
                      <w:position w:val="7"/>
                      <w:sz w:val="11"/>
                    </w:rPr>
                    <w:t>44  </w:t>
                  </w:r>
                  <w:r>
                    <w:rPr>
                      <w:color w:val="58595B"/>
                    </w:rPr>
                    <w:t>Nor does it contain  any explicit economic, social or cultural rights (which could be argued include a right to a healthy environment) that would reflect the distributive justice</w:t>
                  </w:r>
                  <w:r>
                    <w:rPr>
                      <w:color w:val="58595B"/>
                      <w:position w:val="7"/>
                      <w:sz w:val="11"/>
                    </w:rPr>
                    <w:t>45 </w:t>
                  </w:r>
                  <w:r>
                    <w:rPr>
                      <w:color w:val="58595B"/>
                    </w:rPr>
                    <w:t>or restorative justice</w:t>
                  </w:r>
                  <w:r>
                    <w:rPr>
                      <w:color w:val="58595B"/>
                      <w:position w:val="7"/>
                      <w:sz w:val="11"/>
                    </w:rPr>
                    <w:t>46 </w:t>
                  </w:r>
                  <w:r>
                    <w:rPr>
                      <w:color w:val="58595B"/>
                    </w:rPr>
                    <w:t>elements of environmental justice. </w:t>
                  </w:r>
                  <w:r>
                    <w:rPr>
                      <w:color w:val="58595B"/>
                      <w:spacing w:val="-3"/>
                    </w:rPr>
                    <w:t>However, </w:t>
                  </w:r>
                  <w:r>
                    <w:rPr>
                      <w:color w:val="58595B"/>
                    </w:rPr>
                    <w:t>certain existing rights</w:t>
                  </w:r>
                  <w:r>
                    <w:rPr>
                      <w:color w:val="58595B"/>
                      <w:position w:val="7"/>
                      <w:sz w:val="11"/>
                    </w:rPr>
                    <w:t>47 </w:t>
                  </w:r>
                  <w:r>
                    <w:rPr>
                      <w:color w:val="58595B"/>
                    </w:rPr>
                    <w:t>might extend to consider impacts of government actions or decisions on a person’s enjoyment of the</w:t>
                  </w:r>
                  <w:r>
                    <w:rPr>
                      <w:color w:val="58595B"/>
                      <w:spacing w:val="-13"/>
                    </w:rPr>
                    <w:t> </w:t>
                  </w:r>
                  <w:r>
                    <w:rPr>
                      <w:color w:val="58595B"/>
                    </w:rPr>
                    <w:t>environment.</w:t>
                  </w:r>
                </w:p>
              </w:txbxContent>
            </v:textbox>
            <w10:wrap type="none"/>
          </v:shape>
        </w:pict>
      </w:r>
      <w:r>
        <w:rPr/>
        <w:pict>
          <v:shape style="position:absolute;margin-left:69.863098pt;margin-top:418.409668pt;width:433.15pt;height:79.55pt;mso-position-horizontal-relative:page;mso-position-vertical-relative:page;z-index:-185704" type="#_x0000_t202" filled="false" stroked="false">
            <v:textbox inset="0,0,0,0">
              <w:txbxContent>
                <w:p>
                  <w:pPr>
                    <w:pStyle w:val="BodyText"/>
                    <w:spacing w:line="280" w:lineRule="auto"/>
                    <w:ind w:right="7"/>
                    <w:rPr>
                      <w:sz w:val="11"/>
                    </w:rPr>
                  </w:pPr>
                  <w:r>
                    <w:rPr>
                      <w:color w:val="58595B"/>
                    </w:rPr>
                    <w:t>The 2015 review of the Victorian Charter noted ‘… issues were raised in relation to environmental justice, climate change, sustainable development and a healthy environment’.</w:t>
                  </w:r>
                  <w:r>
                    <w:rPr>
                      <w:color w:val="58595B"/>
                      <w:position w:val="7"/>
                      <w:sz w:val="11"/>
                    </w:rPr>
                    <w:t>48 </w:t>
                  </w:r>
                  <w:r>
                    <w:rPr>
                      <w:color w:val="58595B"/>
                    </w:rPr>
                    <w:t>The review concluded ‘… inclusion in the Charter of additional economic, social and cultural rights should be considered as part of a future review’,</w:t>
                  </w:r>
                  <w:r>
                    <w:rPr>
                      <w:color w:val="58595B"/>
                      <w:position w:val="7"/>
                      <w:sz w:val="11"/>
                    </w:rPr>
                    <w:t>49 </w:t>
                  </w:r>
                  <w:r>
                    <w:rPr>
                      <w:color w:val="58595B"/>
                    </w:rPr>
                    <w:t>echoing the 2011 review, which determined that ‘… the case for incorporation of additional categories of [economic, social and cultural] rights [had] not been made’.</w:t>
                  </w:r>
                  <w:r>
                    <w:rPr>
                      <w:color w:val="58595B"/>
                      <w:position w:val="7"/>
                      <w:sz w:val="11"/>
                    </w:rPr>
                    <w:t>50</w:t>
                  </w:r>
                </w:p>
              </w:txbxContent>
            </v:textbox>
            <w10:wrap type="none"/>
          </v:shape>
        </w:pict>
      </w:r>
      <w:r>
        <w:rPr/>
        <w:pict>
          <v:shape style="position:absolute;margin-left:69.866096pt;margin-top:510.54895pt;width:411pt;height:98.15pt;mso-position-horizontal-relative:page;mso-position-vertical-relative:page;z-index:-185680" type="#_x0000_t202" filled="false" stroked="false">
            <v:textbox inset="0,0,0,0">
              <w:txbxContent>
                <w:p>
                  <w:pPr>
                    <w:spacing w:line="265" w:lineRule="exact" w:before="0"/>
                    <w:ind w:left="20" w:right="17" w:firstLine="0"/>
                    <w:jc w:val="left"/>
                    <w:rPr>
                      <w:sz w:val="24"/>
                    </w:rPr>
                  </w:pPr>
                  <w:r>
                    <w:rPr>
                      <w:color w:val="0095A7"/>
                      <w:sz w:val="24"/>
                    </w:rPr>
                    <w:t>7.5  Legal rights for communities</w:t>
                  </w:r>
                </w:p>
                <w:p>
                  <w:pPr>
                    <w:pStyle w:val="BodyText"/>
                    <w:spacing w:before="145"/>
                    <w:ind w:right="17"/>
                  </w:pPr>
                  <w:r>
                    <w:rPr>
                      <w:color w:val="58595B"/>
                    </w:rPr>
                    <w:t>We recommend amending the EP Act to:</w:t>
                  </w:r>
                </w:p>
                <w:p>
                  <w:pPr>
                    <w:pStyle w:val="ListParagraph"/>
                    <w:numPr>
                      <w:ilvl w:val="0"/>
                      <w:numId w:val="57"/>
                    </w:numPr>
                    <w:tabs>
                      <w:tab w:pos="190" w:val="left" w:leader="none"/>
                    </w:tabs>
                    <w:spacing w:line="280" w:lineRule="auto" w:before="153" w:after="0"/>
                    <w:ind w:left="190" w:right="17" w:hanging="170"/>
                    <w:jc w:val="left"/>
                    <w:rPr>
                      <w:sz w:val="20"/>
                    </w:rPr>
                  </w:pPr>
                  <w:r>
                    <w:rPr>
                      <w:color w:val="58595B"/>
                      <w:sz w:val="20"/>
                    </w:rPr>
                    <w:t>clarify third </w:t>
                  </w:r>
                  <w:r>
                    <w:rPr>
                      <w:color w:val="58595B"/>
                      <w:spacing w:val="2"/>
                      <w:sz w:val="20"/>
                    </w:rPr>
                    <w:t>party </w:t>
                  </w:r>
                  <w:r>
                    <w:rPr>
                      <w:color w:val="58595B"/>
                      <w:sz w:val="20"/>
                    </w:rPr>
                    <w:t>right to apply to the Victorian Civil and Administrative Tribunal </w:t>
                  </w:r>
                  <w:r>
                    <w:rPr>
                      <w:color w:val="58595B"/>
                      <w:spacing w:val="-2"/>
                      <w:sz w:val="20"/>
                    </w:rPr>
                    <w:t>(VCAT) </w:t>
                  </w:r>
                  <w:r>
                    <w:rPr>
                      <w:color w:val="58595B"/>
                      <w:sz w:val="20"/>
                    </w:rPr>
                    <w:t>for review of regulatory decisions made by the</w:t>
                  </w:r>
                  <w:r>
                    <w:rPr>
                      <w:color w:val="58595B"/>
                      <w:spacing w:val="1"/>
                      <w:sz w:val="20"/>
                    </w:rPr>
                    <w:t> </w:t>
                  </w:r>
                  <w:r>
                    <w:rPr>
                      <w:color w:val="58595B"/>
                      <w:spacing w:val="-4"/>
                      <w:sz w:val="20"/>
                    </w:rPr>
                    <w:t>EPA</w:t>
                  </w:r>
                </w:p>
                <w:p>
                  <w:pPr>
                    <w:pStyle w:val="ListParagraph"/>
                    <w:numPr>
                      <w:ilvl w:val="0"/>
                      <w:numId w:val="57"/>
                    </w:numPr>
                    <w:tabs>
                      <w:tab w:pos="190" w:val="left" w:leader="none"/>
                    </w:tabs>
                    <w:spacing w:line="280" w:lineRule="auto" w:before="115" w:after="0"/>
                    <w:ind w:left="190" w:right="24" w:hanging="170"/>
                    <w:jc w:val="left"/>
                    <w:rPr>
                      <w:sz w:val="20"/>
                    </w:rPr>
                  </w:pPr>
                  <w:r>
                    <w:rPr>
                      <w:color w:val="58595B"/>
                      <w:sz w:val="20"/>
                    </w:rPr>
                    <w:t>allow third parties to institute civil proceedings and seek court orders to restrain or remedy breaches of the EP</w:t>
                  </w:r>
                  <w:r>
                    <w:rPr>
                      <w:color w:val="58595B"/>
                      <w:spacing w:val="3"/>
                      <w:sz w:val="20"/>
                    </w:rPr>
                    <w:t> </w:t>
                  </w:r>
                  <w:r>
                    <w:rPr>
                      <w:color w:val="58595B"/>
                      <w:sz w:val="20"/>
                    </w:rPr>
                    <w:t>Act.</w:t>
                  </w:r>
                </w:p>
              </w:txbxContent>
            </v:textbox>
            <w10:wrap type="none"/>
          </v:shape>
        </w:pict>
      </w:r>
      <w:r>
        <w:rPr/>
        <w:pict>
          <v:shape style="position:absolute;margin-left:69.866096pt;margin-top:618.678772pt;width:433.15pt;height:52.5pt;mso-position-horizontal-relative:page;mso-position-vertical-relative:page;z-index:-185656" type="#_x0000_t202" filled="false" stroked="false">
            <v:textbox inset="0,0,0,0">
              <w:txbxContent>
                <w:p>
                  <w:pPr>
                    <w:pStyle w:val="BodyText"/>
                    <w:spacing w:line="280" w:lineRule="auto"/>
                    <w:ind w:right="7"/>
                  </w:pPr>
                  <w:r>
                    <w:rPr>
                      <w:color w:val="58595B"/>
                    </w:rPr>
                    <w:t>At present, the EP Act gives third parties rights to seek VCAT reviews of a number of EPA decisions, but the law about who can seek these reviews should be clarified. Unlike in other jurisdictions, third parties in Victoria have no statutory entitlement to bring proceedings in the civil courts against a person who has breached, or is threatening to breach, the EP Act.</w:t>
                  </w:r>
                </w:p>
              </w:txbxContent>
            </v:textbox>
            <w10:wrap type="none"/>
          </v:shape>
        </w:pict>
      </w:r>
      <w:r>
        <w:rPr/>
        <w:pict>
          <v:shape style="position:absolute;margin-left:.0pt;margin-top:44.090015pt;width:60.3pt;height:5.25pt;mso-position-horizontal-relative:page;mso-position-vertical-relative:page;z-index:-18563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85608"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85584" from="534.996094pt,45.840015pt" to="595.276001pt,45.840015pt" stroked="true" strokeweight="7pt" strokecolor="#0095a7">
            <w10:wrap type="none"/>
          </v:line>
        </w:pict>
      </w:r>
      <w:r>
        <w:rPr/>
        <w:pict>
          <v:shape style="position:absolute;margin-left:163.582993pt;margin-top:40.902756pt;width:336.3pt;height:9.5pt;mso-position-horizontal-relative:page;mso-position-vertical-relative:page;z-index:-185560" type="#_x0000_t202" filled="false" stroked="false">
            <v:textbox inset="0,0,0,0">
              <w:txbxContent>
                <w:p>
                  <w:pPr>
                    <w:spacing w:before="1"/>
                    <w:ind w:left="20" w:right="0" w:firstLine="0"/>
                    <w:jc w:val="left"/>
                    <w:rPr>
                      <w:sz w:val="15"/>
                    </w:rPr>
                  </w:pPr>
                  <w:r>
                    <w:rPr>
                      <w:color w:val="58595B"/>
                      <w:sz w:val="15"/>
                    </w:rPr>
                    <w:t>CHAPTER 7    THE EPA’S ROLE WITHIN VICTORIA’S ENVIRONMENT PROTECTION REGIME</w:t>
                  </w:r>
                </w:p>
              </w:txbxContent>
            </v:textbox>
            <w10:wrap type="none"/>
          </v:shape>
        </w:pict>
      </w:r>
      <w:r>
        <w:rPr/>
        <w:pict>
          <v:shape style="position:absolute;margin-left:511.493011pt;margin-top:40.902756pt;width:13.5pt;height:9.5pt;mso-position-horizontal-relative:page;mso-position-vertical-relative:page;z-index:-185536" type="#_x0000_t202" filled="false" stroked="false">
            <v:textbox inset="0,0,0,0">
              <w:txbxContent>
                <w:p>
                  <w:pPr>
                    <w:spacing w:before="1"/>
                    <w:ind w:left="20" w:right="0" w:firstLine="0"/>
                    <w:jc w:val="left"/>
                    <w:rPr>
                      <w:sz w:val="15"/>
                    </w:rPr>
                  </w:pPr>
                  <w:r>
                    <w:rPr>
                      <w:color w:val="58595B"/>
                      <w:spacing w:val="-7"/>
                      <w:sz w:val="15"/>
                    </w:rPr>
                    <w:t>141</w:t>
                  </w:r>
                </w:p>
              </w:txbxContent>
            </v:textbox>
            <w10:wrap type="none"/>
          </v:shape>
        </w:pict>
      </w:r>
      <w:r>
        <w:rPr/>
        <w:pict>
          <v:shape style="position:absolute;margin-left:89.708603pt;margin-top:105.893967pt;width:430.35pt;height:31.2pt;mso-position-horizontal-relative:page;mso-position-vertical-relative:page;z-index:-185512" type="#_x0000_t202" filled="false" stroked="false">
            <v:textbox inset="0,0,0,0">
              <w:txbxContent>
                <w:p>
                  <w:pPr>
                    <w:pStyle w:val="BodyText"/>
                    <w:spacing w:line="224" w:lineRule="exact"/>
                  </w:pPr>
                  <w:r>
                    <w:rPr>
                      <w:color w:val="0095A7"/>
                    </w:rPr>
                    <w:t>7.5.1  Why third party rights are important</w:t>
                  </w:r>
                </w:p>
                <w:p>
                  <w:pPr>
                    <w:pStyle w:val="BodyText"/>
                    <w:spacing w:before="153"/>
                  </w:pPr>
                  <w:r>
                    <w:rPr>
                      <w:color w:val="58595B"/>
                    </w:rPr>
                    <w:t>Public participation and access to justice are key elements of a strong and robust justice system:</w:t>
                  </w:r>
                </w:p>
              </w:txbxContent>
            </v:textbox>
            <w10:wrap type="none"/>
          </v:shape>
        </w:pict>
      </w:r>
      <w:r>
        <w:rPr/>
        <w:pict>
          <v:shape style="position:absolute;margin-left:118.058601pt;margin-top:147.063965pt;width:378.95pt;height:66pt;mso-position-horizontal-relative:page;mso-position-vertical-relative:page;z-index:-185488" type="#_x0000_t202" filled="false" stroked="false">
            <v:textbox inset="0,0,0,0">
              <w:txbxContent>
                <w:p>
                  <w:pPr>
                    <w:spacing w:line="280" w:lineRule="auto" w:before="0"/>
                    <w:ind w:left="20" w:right="23" w:firstLine="0"/>
                    <w:jc w:val="left"/>
                    <w:rPr>
                      <w:i/>
                      <w:sz w:val="20"/>
                    </w:rPr>
                  </w:pPr>
                  <w:r>
                    <w:rPr>
                      <w:i/>
                      <w:color w:val="231F20"/>
                      <w:sz w:val="20"/>
                    </w:rPr>
                    <w:t>Environmental issues are best handled with the participation of all concerned citizens, at the relevant level … States shall facilitate and encourage public awareness and participation by making information widely available. Effective access to judicial and administrative proceedings, including redress and remedy,</w:t>
                  </w:r>
                  <w:r>
                    <w:rPr>
                      <w:i/>
                      <w:color w:val="231F20"/>
                      <w:spacing w:val="-6"/>
                      <w:sz w:val="20"/>
                    </w:rPr>
                    <w:t> </w:t>
                  </w:r>
                  <w:r>
                    <w:rPr>
                      <w:i/>
                      <w:color w:val="231F20"/>
                      <w:sz w:val="20"/>
                    </w:rPr>
                    <w:t>shall</w:t>
                  </w:r>
                </w:p>
                <w:p>
                  <w:pPr>
                    <w:spacing w:before="2"/>
                    <w:ind w:left="20" w:right="0" w:firstLine="0"/>
                    <w:jc w:val="left"/>
                    <w:rPr>
                      <w:sz w:val="11"/>
                    </w:rPr>
                  </w:pPr>
                  <w:r>
                    <w:rPr>
                      <w:i/>
                      <w:color w:val="231F20"/>
                      <w:sz w:val="20"/>
                    </w:rPr>
                    <w:t>be provided.</w:t>
                  </w:r>
                  <w:r>
                    <w:rPr>
                      <w:color w:val="231F20"/>
                      <w:position w:val="7"/>
                      <w:sz w:val="11"/>
                    </w:rPr>
                    <w:t>51</w:t>
                  </w:r>
                </w:p>
              </w:txbxContent>
            </v:textbox>
            <w10:wrap type="none"/>
          </v:shape>
        </w:pict>
      </w:r>
      <w:r>
        <w:rPr/>
        <w:pict>
          <v:shape style="position:absolute;margin-left:118.055099pt;margin-top:223.07106pt;width:377.35pt;height:66pt;mso-position-horizontal-relative:page;mso-position-vertical-relative:page;z-index:-185464" type="#_x0000_t202" filled="false" stroked="false">
            <v:textbox inset="0,0,0,0">
              <w:txbxContent>
                <w:p>
                  <w:pPr>
                    <w:spacing w:line="280" w:lineRule="auto" w:before="0"/>
                    <w:ind w:left="20" w:right="0" w:firstLine="0"/>
                    <w:jc w:val="left"/>
                    <w:rPr>
                      <w:sz w:val="11"/>
                    </w:rPr>
                  </w:pPr>
                  <w:r>
                    <w:rPr>
                      <w:i/>
                      <w:color w:val="231F20"/>
                      <w:sz w:val="20"/>
                    </w:rPr>
                    <w:t>The right to challenge environmental decisions made by government and to seek redress or enforcement of decisions made is fundamental to holding governments accountable, and to the rule of law. The right to challenge decisions will often involve citizens or communities seeking public interest outcomes that benefit the wider community, not only themselves as individuals.</w:t>
                  </w:r>
                  <w:r>
                    <w:rPr>
                      <w:color w:val="231F20"/>
                      <w:position w:val="7"/>
                      <w:sz w:val="11"/>
                    </w:rPr>
                    <w:t>52</w:t>
                  </w:r>
                </w:p>
              </w:txbxContent>
            </v:textbox>
            <w10:wrap type="none"/>
          </v:shape>
        </w:pict>
      </w:r>
      <w:r>
        <w:rPr/>
        <w:pict>
          <v:shape style="position:absolute;margin-left:118.055099pt;margin-top:299.074982pt;width:367.55pt;height:25.5pt;mso-position-horizontal-relative:page;mso-position-vertical-relative:page;z-index:-185440" type="#_x0000_t202" filled="false" stroked="false">
            <v:textbox inset="0,0,0,0">
              <w:txbxContent>
                <w:p>
                  <w:pPr>
                    <w:spacing w:line="280" w:lineRule="auto" w:before="0"/>
                    <w:ind w:left="20" w:right="0" w:firstLine="0"/>
                    <w:jc w:val="left"/>
                    <w:rPr>
                      <w:sz w:val="11"/>
                    </w:rPr>
                  </w:pPr>
                  <w:r>
                    <w:rPr>
                      <w:i/>
                      <w:color w:val="231F20"/>
                      <w:sz w:val="20"/>
                    </w:rPr>
                    <w:t>[T]he law is there not to be alienating and remote but for the protection and benefit of the community.</w:t>
                  </w:r>
                  <w:r>
                    <w:rPr>
                      <w:color w:val="231F20"/>
                      <w:position w:val="7"/>
                      <w:sz w:val="11"/>
                    </w:rPr>
                    <w:t>53</w:t>
                  </w:r>
                </w:p>
              </w:txbxContent>
            </v:textbox>
            <w10:wrap type="none"/>
          </v:shape>
        </w:pict>
      </w:r>
      <w:r>
        <w:rPr/>
        <w:pict>
          <v:shape style="position:absolute;margin-left:89.708603pt;margin-top:334.578979pt;width:435pt;height:39pt;mso-position-horizontal-relative:page;mso-position-vertical-relative:page;z-index:-185416" type="#_x0000_t202" filled="false" stroked="false">
            <v:textbox inset="0,0,0,0">
              <w:txbxContent>
                <w:p>
                  <w:pPr>
                    <w:pStyle w:val="BodyText"/>
                    <w:spacing w:line="280" w:lineRule="auto"/>
                    <w:ind w:right="17"/>
                  </w:pPr>
                  <w:r>
                    <w:rPr>
                      <w:color w:val="58595B"/>
                    </w:rPr>
                    <w:t>The trend in environment legislation is towards broadening standing and the grounds of review for third parties.</w:t>
                  </w:r>
                  <w:r>
                    <w:rPr>
                      <w:color w:val="58595B"/>
                      <w:position w:val="7"/>
                      <w:sz w:val="11"/>
                    </w:rPr>
                    <w:t>54 </w:t>
                  </w:r>
                  <w:r>
                    <w:rPr>
                      <w:color w:val="58595B"/>
                    </w:rPr>
                    <w:t>Many submissions supported extending third </w:t>
                  </w:r>
                  <w:r>
                    <w:rPr>
                      <w:color w:val="58595B"/>
                      <w:spacing w:val="2"/>
                    </w:rPr>
                    <w:t>party </w:t>
                  </w:r>
                  <w:r>
                    <w:rPr>
                      <w:color w:val="58595B"/>
                    </w:rPr>
                    <w:t>rights, although this view was not</w:t>
                  </w:r>
                  <w:r>
                    <w:rPr>
                      <w:color w:val="58595B"/>
                      <w:spacing w:val="-5"/>
                    </w:rPr>
                    <w:t> </w:t>
                  </w:r>
                  <w:r>
                    <w:rPr>
                      <w:color w:val="58595B"/>
                    </w:rPr>
                    <w:t>universal.</w:t>
                  </w:r>
                </w:p>
              </w:txbxContent>
            </v:textbox>
            <w10:wrap type="none"/>
          </v:shape>
        </w:pict>
      </w:r>
      <w:r>
        <w:rPr/>
        <w:pict>
          <v:shape style="position:absolute;margin-left:118.059998pt;margin-top:383.578979pt;width:368.85pt;height:25.5pt;mso-position-horizontal-relative:page;mso-position-vertical-relative:page;z-index:-185392" type="#_x0000_t202" filled="false" stroked="false">
            <v:textbox inset="0,0,0,0">
              <w:txbxContent>
                <w:p>
                  <w:pPr>
                    <w:spacing w:line="280" w:lineRule="auto" w:before="0"/>
                    <w:ind w:left="20" w:right="0" w:firstLine="0"/>
                    <w:jc w:val="left"/>
                    <w:rPr>
                      <w:sz w:val="20"/>
                    </w:rPr>
                  </w:pPr>
                  <w:r>
                    <w:rPr>
                      <w:i/>
                      <w:color w:val="231F20"/>
                      <w:sz w:val="20"/>
                    </w:rPr>
                    <w:t>It is important that EPA decisions and processes support the rights of communities to legally challenge decision making. </w:t>
                  </w:r>
                  <w:r>
                    <w:rPr>
                      <w:color w:val="231F20"/>
                      <w:sz w:val="20"/>
                    </w:rPr>
                    <w:t>(Environment Victoria submission, p. 4)</w:t>
                  </w:r>
                </w:p>
              </w:txbxContent>
            </v:textbox>
            <w10:wrap type="none"/>
          </v:shape>
        </w:pict>
      </w:r>
      <w:r>
        <w:rPr/>
        <w:pict>
          <v:shape style="position:absolute;margin-left:118.059998pt;margin-top:419.078979pt;width:364.7pt;height:39pt;mso-position-horizontal-relative:page;mso-position-vertical-relative:page;z-index:-185368" type="#_x0000_t202" filled="false" stroked="false">
            <v:textbox inset="0,0,0,0">
              <w:txbxContent>
                <w:p>
                  <w:pPr>
                    <w:spacing w:line="280" w:lineRule="auto" w:before="0"/>
                    <w:ind w:left="20" w:right="0" w:firstLine="0"/>
                    <w:jc w:val="left"/>
                    <w:rPr>
                      <w:sz w:val="20"/>
                    </w:rPr>
                  </w:pPr>
                  <w:r>
                    <w:rPr>
                      <w:i/>
                      <w:color w:val="231F20"/>
                      <w:sz w:val="20"/>
                    </w:rPr>
                    <w:t>Restrictions in the EP Act preventing community participation and merits and judicial review of EPA decision making is a failure to deliver environmental justice. </w:t>
                  </w:r>
                  <w:r>
                    <w:rPr>
                      <w:color w:val="231F20"/>
                      <w:sz w:val="20"/>
                    </w:rPr>
                    <w:t>(Greenchip Recycling submission, p. 16)</w:t>
                  </w:r>
                </w:p>
              </w:txbxContent>
            </v:textbox>
            <w10:wrap type="none"/>
          </v:shape>
        </w:pict>
      </w:r>
      <w:r>
        <w:rPr/>
        <w:pict>
          <v:shape style="position:absolute;margin-left:118.059998pt;margin-top:468.078979pt;width:375.7pt;height:52.5pt;mso-position-horizontal-relative:page;mso-position-vertical-relative:page;z-index:-185344" type="#_x0000_t202" filled="false" stroked="false">
            <v:textbox inset="0,0,0,0">
              <w:txbxContent>
                <w:p>
                  <w:pPr>
                    <w:spacing w:line="280" w:lineRule="auto" w:before="0"/>
                    <w:ind w:left="20" w:right="13" w:firstLine="0"/>
                    <w:jc w:val="left"/>
                    <w:rPr>
                      <w:sz w:val="20"/>
                    </w:rPr>
                  </w:pPr>
                  <w:r>
                    <w:rPr>
                      <w:i/>
                      <w:color w:val="231F20"/>
                      <w:sz w:val="20"/>
                    </w:rPr>
                    <w:t>Currently there are systemic problems with the ability for third party interference and the subjectivity of amenity impacts. These issues add significant cost to Victorian farming business and often lead to lengthy disputes. </w:t>
                  </w:r>
                  <w:r>
                    <w:rPr>
                      <w:color w:val="231F20"/>
                      <w:sz w:val="20"/>
                    </w:rPr>
                    <w:t>(Victorian Farmers Federation submission, p. 6)</w:t>
                  </w:r>
                </w:p>
              </w:txbxContent>
            </v:textbox>
            <w10:wrap type="none"/>
          </v:shape>
        </w:pict>
      </w:r>
      <w:r>
        <w:rPr/>
        <w:pict>
          <v:shape style="position:absolute;margin-left:118.059998pt;margin-top:530.578979pt;width:377.1pt;height:79.5pt;mso-position-horizontal-relative:page;mso-position-vertical-relative:page;z-index:-185320" type="#_x0000_t202" filled="false" stroked="false">
            <v:textbox inset="0,0,0,0">
              <w:txbxContent>
                <w:p>
                  <w:pPr>
                    <w:spacing w:line="280" w:lineRule="auto" w:before="0"/>
                    <w:ind w:left="20" w:right="17" w:firstLine="0"/>
                    <w:jc w:val="left"/>
                    <w:rPr>
                      <w:sz w:val="20"/>
                    </w:rPr>
                  </w:pPr>
                  <w:r>
                    <w:rPr>
                      <w:i/>
                      <w:color w:val="231F20"/>
                      <w:sz w:val="20"/>
                    </w:rPr>
                    <w:t>[O]pen standing laws in environmental statutes can improve environmental protection outcomes, and strengthen the legitimacy of those laws within the community. Third </w:t>
                  </w:r>
                  <w:r>
                    <w:rPr>
                      <w:i/>
                      <w:color w:val="231F20"/>
                      <w:spacing w:val="2"/>
                      <w:sz w:val="20"/>
                    </w:rPr>
                    <w:t>party </w:t>
                  </w:r>
                  <w:r>
                    <w:rPr>
                      <w:i/>
                      <w:color w:val="231F20"/>
                      <w:sz w:val="20"/>
                    </w:rPr>
                    <w:t>standing and public interest litigation are also </w:t>
                  </w:r>
                  <w:r>
                    <w:rPr>
                      <w:i/>
                      <w:color w:val="231F20"/>
                      <w:spacing w:val="-3"/>
                      <w:sz w:val="20"/>
                    </w:rPr>
                    <w:t>key </w:t>
                  </w:r>
                  <w:r>
                    <w:rPr>
                      <w:i/>
                      <w:color w:val="231F20"/>
                      <w:sz w:val="20"/>
                    </w:rPr>
                    <w:t>to providing environmental justice, because it helps ensure fair consequences for those who cause environmental harm, and facilitates community participation the operation of environmental laws. </w:t>
                  </w:r>
                  <w:r>
                    <w:rPr>
                      <w:color w:val="231F20"/>
                      <w:sz w:val="20"/>
                    </w:rPr>
                    <w:t>(Environmental Justice Australia submission, p.</w:t>
                  </w:r>
                  <w:r>
                    <w:rPr>
                      <w:color w:val="231F20"/>
                      <w:spacing w:val="-17"/>
                      <w:sz w:val="20"/>
                    </w:rPr>
                    <w:t> </w:t>
                  </w:r>
                  <w:r>
                    <w:rPr>
                      <w:color w:val="231F20"/>
                      <w:spacing w:val="-11"/>
                      <w:sz w:val="20"/>
                    </w:rPr>
                    <w:t>11)</w:t>
                  </w:r>
                </w:p>
              </w:txbxContent>
            </v:textbox>
            <w10:wrap type="none"/>
          </v:shape>
        </w:pict>
      </w:r>
      <w:r>
        <w:rPr/>
        <w:pict>
          <v:shape style="position:absolute;margin-left:89.709999pt;margin-top:620.078979pt;width:433.6pt;height:52.5pt;mso-position-horizontal-relative:page;mso-position-vertical-relative:page;z-index:-185296" type="#_x0000_t202" filled="false" stroked="false">
            <v:textbox inset="0,0,0,0">
              <w:txbxContent>
                <w:p>
                  <w:pPr>
                    <w:pStyle w:val="BodyText"/>
                    <w:spacing w:line="280" w:lineRule="auto"/>
                    <w:ind w:right="28"/>
                  </w:pPr>
                  <w:r>
                    <w:rPr>
                      <w:color w:val="58595B"/>
                    </w:rPr>
                    <w:t>Broadening third </w:t>
                  </w:r>
                  <w:r>
                    <w:rPr>
                      <w:color w:val="58595B"/>
                      <w:spacing w:val="2"/>
                    </w:rPr>
                    <w:t>party </w:t>
                  </w:r>
                  <w:r>
                    <w:rPr>
                      <w:color w:val="58595B"/>
                    </w:rPr>
                    <w:t>rights gives the community a greater capacity to participate in regulatory decision making and contributes to environmental justice outcomes. But to be effective, third </w:t>
                  </w:r>
                  <w:r>
                    <w:rPr>
                      <w:color w:val="58595B"/>
                      <w:spacing w:val="2"/>
                    </w:rPr>
                    <w:t>party </w:t>
                  </w:r>
                  <w:r>
                    <w:rPr>
                      <w:color w:val="58595B"/>
                    </w:rPr>
                    <w:t>rights must be carefully designed, to ensure that these rights are balanced against certainty and timeliness of decisions for</w:t>
                  </w:r>
                  <w:r>
                    <w:rPr>
                      <w:color w:val="58595B"/>
                      <w:spacing w:val="10"/>
                    </w:rPr>
                    <w:t> </w:t>
                  </w:r>
                  <w:r>
                    <w:rPr>
                      <w:color w:val="58595B"/>
                    </w:rPr>
                    <w:t>industry:</w:t>
                  </w:r>
                </w:p>
              </w:txbxContent>
            </v:textbox>
            <w10:wrap type="none"/>
          </v:shape>
        </w:pict>
      </w:r>
      <w:r>
        <w:rPr/>
        <w:pict>
          <v:shape style="position:absolute;margin-left:118.059998pt;margin-top:682.578979pt;width:377.95pt;height:39pt;mso-position-horizontal-relative:page;mso-position-vertical-relative:page;z-index:-185272" type="#_x0000_t202" filled="false" stroked="false">
            <v:textbox inset="0,0,0,0">
              <w:txbxContent>
                <w:p>
                  <w:pPr>
                    <w:spacing w:line="280" w:lineRule="auto" w:before="0"/>
                    <w:ind w:left="20" w:right="17" w:firstLine="0"/>
                    <w:jc w:val="both"/>
                    <w:rPr>
                      <w:sz w:val="11"/>
                    </w:rPr>
                  </w:pPr>
                  <w:r>
                    <w:rPr>
                      <w:i/>
                      <w:color w:val="231F20"/>
                      <w:sz w:val="20"/>
                    </w:rPr>
                    <w:t>While [the conferral of third party rights] allows increased citizen participation, it also enlivens the prospect of it being used as a political weapon to delay the construction, or impede the operation, of works.</w:t>
                  </w:r>
                  <w:r>
                    <w:rPr>
                      <w:color w:val="231F20"/>
                      <w:position w:val="7"/>
                      <w:sz w:val="11"/>
                    </w:rPr>
                    <w:t>55</w:t>
                  </w:r>
                </w:p>
              </w:txbxContent>
            </v:textbox>
            <w10:wrap type="none"/>
          </v:shape>
        </w:pict>
      </w:r>
      <w:r>
        <w:rPr/>
        <w:pict>
          <v:shape style="position:absolute;margin-left:534.996094pt;margin-top:44.090015pt;width:60.3pt;height:5.25pt;mso-position-horizontal-relative:page;mso-position-vertical-relative:page;z-index:-18524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5224"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85200" from=".0pt,45.840015pt" to="60.2791pt,45.840015pt" stroked="true" strokeweight="7pt" strokecolor="#0095a7">
            <w10:wrap type="none"/>
          </v:line>
        </w:pict>
      </w:r>
      <w:r>
        <w:rPr/>
        <w:pict>
          <v:shape style="position:absolute;margin-left:69.866096pt;margin-top:40.902756pt;width:14.25pt;height:9.5pt;mso-position-horizontal-relative:page;mso-position-vertical-relative:page;z-index:-185176" type="#_x0000_t202" filled="false" stroked="false">
            <v:textbox inset="0,0,0,0">
              <w:txbxContent>
                <w:p>
                  <w:pPr>
                    <w:spacing w:before="1"/>
                    <w:ind w:left="20" w:right="-6" w:firstLine="0"/>
                    <w:jc w:val="left"/>
                    <w:rPr>
                      <w:sz w:val="15"/>
                    </w:rPr>
                  </w:pPr>
                  <w:r>
                    <w:rPr>
                      <w:color w:val="58595B"/>
                      <w:sz w:val="15"/>
                    </w:rPr>
                    <w:t>142</w:t>
                  </w:r>
                </w:p>
              </w:txbxContent>
            </v:textbox>
            <w10:wrap type="none"/>
          </v:shape>
        </w:pict>
      </w:r>
      <w:r>
        <w:rPr/>
        <w:pict>
          <v:shape style="position:absolute;margin-left:95.377899pt;margin-top:40.902756pt;width:147.75pt;height:9.5pt;mso-position-horizontal-relative:page;mso-position-vertical-relative:page;z-index:-18515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290.95pt;height:69.55pt;mso-position-horizontal-relative:page;mso-position-vertical-relative:page;z-index:-185128" type="#_x0000_t202" filled="false" stroked="false">
            <v:textbox inset="0,0,0,0">
              <w:txbxContent>
                <w:p>
                  <w:pPr>
                    <w:pStyle w:val="BodyText"/>
                    <w:spacing w:line="400" w:lineRule="auto"/>
                  </w:pPr>
                  <w:r>
                    <w:rPr>
                      <w:color w:val="0095A7"/>
                    </w:rPr>
                    <w:t>7.5.2 Third party review of regulatory decisions under the EP Act </w:t>
                  </w:r>
                  <w:r>
                    <w:rPr>
                      <w:color w:val="58595B"/>
                    </w:rPr>
                    <w:t>We considered two broad questions about third party rights:</w:t>
                  </w:r>
                </w:p>
                <w:p>
                  <w:pPr>
                    <w:pStyle w:val="ListParagraph"/>
                    <w:numPr>
                      <w:ilvl w:val="0"/>
                      <w:numId w:val="58"/>
                    </w:numPr>
                    <w:tabs>
                      <w:tab w:pos="190" w:val="left" w:leader="none"/>
                    </w:tabs>
                    <w:spacing w:line="240" w:lineRule="auto" w:before="3" w:after="0"/>
                    <w:ind w:left="190" w:right="0" w:hanging="170"/>
                    <w:jc w:val="left"/>
                    <w:rPr>
                      <w:sz w:val="20"/>
                    </w:rPr>
                  </w:pPr>
                  <w:r>
                    <w:rPr>
                      <w:color w:val="58595B"/>
                      <w:sz w:val="20"/>
                    </w:rPr>
                    <w:t>What decisions can be reviewed?</w:t>
                  </w:r>
                </w:p>
                <w:p>
                  <w:pPr>
                    <w:pStyle w:val="ListParagraph"/>
                    <w:numPr>
                      <w:ilvl w:val="0"/>
                      <w:numId w:val="58"/>
                    </w:numPr>
                    <w:tabs>
                      <w:tab w:pos="190" w:val="left" w:leader="none"/>
                    </w:tabs>
                    <w:spacing w:line="240" w:lineRule="auto" w:before="153" w:after="0"/>
                    <w:ind w:left="190" w:right="0" w:hanging="170"/>
                    <w:jc w:val="left"/>
                    <w:rPr>
                      <w:sz w:val="20"/>
                    </w:rPr>
                  </w:pPr>
                  <w:r>
                    <w:rPr>
                      <w:color w:val="58595B"/>
                      <w:sz w:val="20"/>
                    </w:rPr>
                    <w:t>Standing – or who should have access to review</w:t>
                  </w:r>
                  <w:r>
                    <w:rPr>
                      <w:color w:val="58595B"/>
                      <w:spacing w:val="-7"/>
                      <w:sz w:val="20"/>
                    </w:rPr>
                    <w:t> </w:t>
                  </w:r>
                  <w:r>
                    <w:rPr>
                      <w:color w:val="58595B"/>
                      <w:sz w:val="20"/>
                    </w:rPr>
                    <w:t>rights?</w:t>
                  </w:r>
                </w:p>
              </w:txbxContent>
            </v:textbox>
            <w10:wrap type="none"/>
          </v:shape>
        </w:pict>
      </w:r>
      <w:r>
        <w:rPr/>
        <w:pict>
          <v:shape style="position:absolute;margin-left:69.866096pt;margin-top:188.243973pt;width:435.65pt;height:141.3pt;mso-position-horizontal-relative:page;mso-position-vertical-relative:page;z-index:-185104" type="#_x0000_t202" filled="false" stroked="false">
            <v:textbox inset="0,0,0,0">
              <w:txbxContent>
                <w:p>
                  <w:pPr>
                    <w:spacing w:line="224" w:lineRule="exact" w:before="0"/>
                    <w:ind w:left="20" w:right="-10" w:firstLine="0"/>
                    <w:jc w:val="left"/>
                    <w:rPr>
                      <w:i/>
                      <w:sz w:val="20"/>
                    </w:rPr>
                  </w:pPr>
                  <w:r>
                    <w:rPr>
                      <w:i/>
                      <w:color w:val="6D6E71"/>
                      <w:sz w:val="20"/>
                    </w:rPr>
                    <w:t>What decisions can be reviewed</w:t>
                  </w:r>
                </w:p>
                <w:p>
                  <w:pPr>
                    <w:pStyle w:val="BodyText"/>
                    <w:spacing w:line="280" w:lineRule="auto" w:before="125"/>
                    <w:ind w:right="354"/>
                  </w:pPr>
                  <w:r>
                    <w:rPr>
                      <w:color w:val="58595B"/>
                    </w:rPr>
                    <w:t>The EP Act gives </w:t>
                  </w:r>
                  <w:r>
                    <w:rPr>
                      <w:color w:val="58595B"/>
                      <w:spacing w:val="-5"/>
                    </w:rPr>
                    <w:t>VCAT </w:t>
                  </w:r>
                  <w:r>
                    <w:rPr>
                      <w:color w:val="58595B"/>
                    </w:rPr>
                    <w:t>jurisdiction to review the merits of a range of </w:t>
                  </w:r>
                  <w:r>
                    <w:rPr>
                      <w:color w:val="58595B"/>
                      <w:spacing w:val="-4"/>
                    </w:rPr>
                    <w:t>EPA </w:t>
                  </w:r>
                  <w:r>
                    <w:rPr>
                      <w:color w:val="58595B"/>
                    </w:rPr>
                    <w:t>decisions. Of these, works approvals and licence decisions are typically the most significant, and most often challenged. </w:t>
                  </w:r>
                  <w:r>
                    <w:rPr>
                      <w:color w:val="58595B"/>
                      <w:spacing w:val="-3"/>
                    </w:rPr>
                    <w:t>However, </w:t>
                  </w:r>
                  <w:r>
                    <w:rPr>
                      <w:color w:val="58595B"/>
                    </w:rPr>
                    <w:t>the EP Act (section </w:t>
                  </w:r>
                  <w:r>
                    <w:rPr>
                      <w:color w:val="58595B"/>
                      <w:spacing w:val="-5"/>
                    </w:rPr>
                    <w:t>33B(1)) </w:t>
                  </w:r>
                  <w:r>
                    <w:rPr>
                      <w:color w:val="58595B"/>
                    </w:rPr>
                    <w:t>limits third </w:t>
                  </w:r>
                  <w:r>
                    <w:rPr>
                      <w:color w:val="58595B"/>
                      <w:spacing w:val="2"/>
                    </w:rPr>
                    <w:t>party </w:t>
                  </w:r>
                  <w:r>
                    <w:rPr>
                      <w:color w:val="58595B"/>
                    </w:rPr>
                    <w:t>rights to review the following</w:t>
                  </w:r>
                  <w:r>
                    <w:rPr>
                      <w:color w:val="58595B"/>
                      <w:spacing w:val="1"/>
                    </w:rPr>
                    <w:t> </w:t>
                  </w:r>
                  <w:r>
                    <w:rPr>
                      <w:color w:val="58595B"/>
                    </w:rPr>
                    <w:t>decisions:</w:t>
                  </w:r>
                </w:p>
                <w:p>
                  <w:pPr>
                    <w:pStyle w:val="ListParagraph"/>
                    <w:numPr>
                      <w:ilvl w:val="0"/>
                      <w:numId w:val="59"/>
                    </w:numPr>
                    <w:tabs>
                      <w:tab w:pos="190" w:val="left" w:leader="none"/>
                    </w:tabs>
                    <w:spacing w:line="240" w:lineRule="auto" w:before="115" w:after="0"/>
                    <w:ind w:left="190" w:right="0" w:hanging="170"/>
                    <w:jc w:val="left"/>
                    <w:rPr>
                      <w:sz w:val="20"/>
                    </w:rPr>
                  </w:pPr>
                  <w:r>
                    <w:rPr>
                      <w:color w:val="58595B"/>
                      <w:sz w:val="20"/>
                    </w:rPr>
                    <w:t>to issue a works</w:t>
                  </w:r>
                  <w:r>
                    <w:rPr>
                      <w:color w:val="58595B"/>
                      <w:spacing w:val="-6"/>
                      <w:sz w:val="20"/>
                    </w:rPr>
                    <w:t> </w:t>
                  </w:r>
                  <w:r>
                    <w:rPr>
                      <w:color w:val="58595B"/>
                      <w:sz w:val="20"/>
                    </w:rPr>
                    <w:t>approval</w:t>
                  </w:r>
                </w:p>
                <w:p>
                  <w:pPr>
                    <w:pStyle w:val="ListParagraph"/>
                    <w:numPr>
                      <w:ilvl w:val="0"/>
                      <w:numId w:val="59"/>
                    </w:numPr>
                    <w:tabs>
                      <w:tab w:pos="190" w:val="left" w:leader="none"/>
                    </w:tabs>
                    <w:spacing w:line="280" w:lineRule="auto" w:before="153" w:after="0"/>
                    <w:ind w:left="190" w:right="17" w:hanging="170"/>
                    <w:jc w:val="left"/>
                    <w:rPr>
                      <w:sz w:val="20"/>
                    </w:rPr>
                  </w:pPr>
                  <w:r>
                    <w:rPr>
                      <w:color w:val="58595B"/>
                      <w:sz w:val="20"/>
                    </w:rPr>
                    <w:t>to issue or amend a licence in situations where the licence process effectively mirrors the works approval process because a works approval was not</w:t>
                  </w:r>
                  <w:r>
                    <w:rPr>
                      <w:color w:val="58595B"/>
                      <w:spacing w:val="-7"/>
                      <w:sz w:val="20"/>
                    </w:rPr>
                    <w:t> </w:t>
                  </w:r>
                  <w:r>
                    <w:rPr>
                      <w:color w:val="58595B"/>
                      <w:sz w:val="20"/>
                    </w:rPr>
                    <w:t>obtained</w:t>
                  </w:r>
                </w:p>
                <w:p>
                  <w:pPr>
                    <w:pStyle w:val="ListParagraph"/>
                    <w:numPr>
                      <w:ilvl w:val="0"/>
                      <w:numId w:val="59"/>
                    </w:numPr>
                    <w:tabs>
                      <w:tab w:pos="190" w:val="left" w:leader="none"/>
                    </w:tabs>
                    <w:spacing w:line="240" w:lineRule="auto" w:before="115" w:after="0"/>
                    <w:ind w:left="190" w:right="0" w:hanging="170"/>
                    <w:jc w:val="left"/>
                    <w:rPr>
                      <w:sz w:val="20"/>
                    </w:rPr>
                  </w:pPr>
                  <w:r>
                    <w:rPr>
                      <w:color w:val="58595B"/>
                      <w:sz w:val="20"/>
                    </w:rPr>
                    <w:t>to remove the suspension of a</w:t>
                  </w:r>
                  <w:r>
                    <w:rPr>
                      <w:color w:val="58595B"/>
                      <w:spacing w:val="-4"/>
                      <w:sz w:val="20"/>
                    </w:rPr>
                    <w:t> </w:t>
                  </w:r>
                  <w:r>
                    <w:rPr>
                      <w:color w:val="58595B"/>
                      <w:sz w:val="20"/>
                    </w:rPr>
                    <w:t>licence.</w:t>
                  </w:r>
                </w:p>
              </w:txbxContent>
            </v:textbox>
            <w10:wrap type="none"/>
          </v:shape>
        </w:pict>
      </w:r>
      <w:r>
        <w:rPr/>
        <w:pict>
          <v:shape style="position:absolute;margin-left:69.866096pt;margin-top:339.503967pt;width:417.65pt;height:93pt;mso-position-horizontal-relative:page;mso-position-vertical-relative:page;z-index:-185080" type="#_x0000_t202" filled="false" stroked="false">
            <v:textbox inset="0,0,0,0">
              <w:txbxContent>
                <w:p>
                  <w:pPr>
                    <w:pStyle w:val="BodyText"/>
                    <w:spacing w:line="280" w:lineRule="auto"/>
                    <w:ind w:right="8"/>
                  </w:pPr>
                  <w:r>
                    <w:rPr>
                      <w:color w:val="58595B"/>
                    </w:rPr>
                    <w:t>We consider it is appropriate to limit third party rights to these ‘approval’ decisions; we do not propose changing the class of decisions reviewable by VCAT. EPA works approvals assess whether construction, installation and modification of works meets environment protection standards. Works approvals are the core ‘approval’ decision for the EPA and, as such, are the EPA equivalent to planning permit decisions made under the land use planning framework.</w:t>
                  </w:r>
                </w:p>
                <w:p>
                  <w:pPr>
                    <w:pStyle w:val="BodyText"/>
                    <w:spacing w:line="280" w:lineRule="auto" w:before="2"/>
                    <w:ind w:right="8"/>
                  </w:pPr>
                  <w:r>
                    <w:rPr>
                      <w:color w:val="58595B"/>
                    </w:rPr>
                    <w:t>Third party rights offer the greatest value for ‘approval’ decisions because they relate to construction or activities that have yet to commence.</w:t>
                  </w:r>
                </w:p>
              </w:txbxContent>
            </v:textbox>
            <w10:wrap type="none"/>
          </v:shape>
        </w:pict>
      </w:r>
      <w:r>
        <w:rPr/>
        <w:pict>
          <v:shape style="position:absolute;margin-left:69.866096pt;margin-top:445.343964pt;width:430.55pt;height:70.25pt;mso-position-horizontal-relative:page;mso-position-vertical-relative:page;z-index:-185056" type="#_x0000_t202" filled="false" stroked="false">
            <v:textbox inset="0,0,0,0">
              <w:txbxContent>
                <w:p>
                  <w:pPr>
                    <w:spacing w:line="224" w:lineRule="exact" w:before="0"/>
                    <w:ind w:left="20" w:right="11" w:firstLine="0"/>
                    <w:jc w:val="left"/>
                    <w:rPr>
                      <w:i/>
                      <w:sz w:val="20"/>
                    </w:rPr>
                  </w:pPr>
                  <w:r>
                    <w:rPr>
                      <w:i/>
                      <w:color w:val="6D6E71"/>
                      <w:sz w:val="20"/>
                    </w:rPr>
                    <w:t>Standing for third parties</w:t>
                  </w:r>
                </w:p>
                <w:p>
                  <w:pPr>
                    <w:pStyle w:val="BodyText"/>
                    <w:spacing w:line="280" w:lineRule="auto" w:before="125"/>
                    <w:ind w:right="11"/>
                  </w:pPr>
                  <w:r>
                    <w:rPr>
                      <w:color w:val="58595B"/>
                    </w:rPr>
                    <w:t>We recommend amending section 33B(1) of the EP Act, to set out in full the terms of section 5 of the </w:t>
                  </w:r>
                  <w:r>
                    <w:rPr>
                      <w:i/>
                      <w:color w:val="58595B"/>
                    </w:rPr>
                    <w:t>Victorian Civil and Administrative Tribunal Act 1998 </w:t>
                  </w:r>
                  <w:r>
                    <w:rPr>
                      <w:color w:val="58595B"/>
                    </w:rPr>
                    <w:t>(VCAT Act) to confirm the broader basis on which a third party may seek VCAT review. This change will entrench the right of third parties to have access to a cost effective and timely forum for reviewing EPA decisions.</w:t>
                  </w:r>
                </w:p>
              </w:txbxContent>
            </v:textbox>
            <w10:wrap type="none"/>
          </v:shape>
        </w:pict>
      </w:r>
      <w:r>
        <w:rPr/>
        <w:pict>
          <v:shape style="position:absolute;margin-left:69.862602pt;margin-top:525.593994pt;width:414.1pt;height:52.55pt;mso-position-horizontal-relative:page;mso-position-vertical-relative:page;z-index:-185032" type="#_x0000_t202" filled="false" stroked="false">
            <v:textbox inset="0,0,0,0">
              <w:txbxContent>
                <w:p>
                  <w:pPr>
                    <w:spacing w:line="280" w:lineRule="auto" w:before="0"/>
                    <w:ind w:left="20" w:right="0" w:firstLine="0"/>
                    <w:jc w:val="left"/>
                    <w:rPr>
                      <w:sz w:val="20"/>
                    </w:rPr>
                  </w:pPr>
                  <w:r>
                    <w:rPr>
                      <w:color w:val="58595B"/>
                      <w:sz w:val="20"/>
                    </w:rPr>
                    <w:t>The right of third party review of EPA decisions is conferred on ‘a person whose interests are affected by the decision’. As VCAT explained in </w:t>
                  </w:r>
                  <w:r>
                    <w:rPr>
                      <w:i/>
                      <w:color w:val="58595B"/>
                      <w:sz w:val="20"/>
                    </w:rPr>
                    <w:t>Dual Gas Pty Ltd v Environment Protection Authority </w:t>
                  </w:r>
                  <w:r>
                    <w:rPr>
                      <w:color w:val="58595B"/>
                      <w:sz w:val="20"/>
                    </w:rPr>
                    <w:t>(‘</w:t>
                  </w:r>
                  <w:r>
                    <w:rPr>
                      <w:i/>
                      <w:color w:val="58595B"/>
                      <w:sz w:val="20"/>
                    </w:rPr>
                    <w:t>Dual Gas</w:t>
                  </w:r>
                  <w:r>
                    <w:rPr>
                      <w:color w:val="58595B"/>
                      <w:sz w:val="20"/>
                    </w:rPr>
                    <w:t>’),</w:t>
                  </w:r>
                  <w:r>
                    <w:rPr>
                      <w:color w:val="58595B"/>
                      <w:position w:val="7"/>
                      <w:sz w:val="11"/>
                    </w:rPr>
                    <w:t>56 </w:t>
                  </w:r>
                  <w:r>
                    <w:rPr>
                      <w:color w:val="58595B"/>
                      <w:sz w:val="20"/>
                    </w:rPr>
                    <w:t>this phrase was inserted into the EP Act in 1998, to coincide with the commencement of the VCAT Act.</w:t>
                  </w:r>
                </w:p>
              </w:txbxContent>
            </v:textbox>
            <w10:wrap type="none"/>
          </v:shape>
        </w:pict>
      </w:r>
      <w:r>
        <w:rPr/>
        <w:pict>
          <v:shape style="position:absolute;margin-left:69.862602pt;margin-top:588.098694pt;width:429.35pt;height:66pt;mso-position-horizontal-relative:page;mso-position-vertical-relative:page;z-index:-185008" type="#_x0000_t202" filled="false" stroked="false">
            <v:textbox inset="0,0,0,0">
              <w:txbxContent>
                <w:p>
                  <w:pPr>
                    <w:pStyle w:val="BodyText"/>
                    <w:spacing w:line="224" w:lineRule="exact"/>
                    <w:ind w:right="4"/>
                  </w:pPr>
                  <w:r>
                    <w:rPr>
                      <w:color w:val="58595B"/>
                    </w:rPr>
                    <w:t>Section 5 of the VCAT Act has a broad definition of when a person’s interests are affected by</w:t>
                  </w:r>
                </w:p>
                <w:p>
                  <w:pPr>
                    <w:pStyle w:val="BodyText"/>
                    <w:spacing w:line="280" w:lineRule="auto" w:before="40"/>
                    <w:ind w:right="4"/>
                    <w:rPr>
                      <w:sz w:val="11"/>
                    </w:rPr>
                  </w:pPr>
                  <w:r>
                    <w:rPr>
                      <w:color w:val="58595B"/>
                    </w:rPr>
                    <w:t>a decision. VCAT concluded there was a clear legislative intent that the broad scope of section 5 of the VCAT Act should apply to applications for review under section 33B(1) of the EP Act. As VCAT noted, section 5 ‘… provides a very wide meaning to a person’s interests that may be affected by a decision’.</w:t>
                  </w:r>
                  <w:r>
                    <w:rPr>
                      <w:color w:val="58595B"/>
                      <w:position w:val="7"/>
                      <w:sz w:val="11"/>
                    </w:rPr>
                    <w:t>57</w:t>
                  </w:r>
                </w:p>
              </w:txbxContent>
            </v:textbox>
            <w10:wrap type="none"/>
          </v:shape>
        </w:pict>
      </w:r>
      <w:r>
        <w:rPr/>
        <w:pict>
          <v:shape style="position:absolute;margin-left:69.866096pt;margin-top:664.106445pt;width:422.1pt;height:25.5pt;mso-position-horizontal-relative:page;mso-position-vertical-relative:page;z-index:-184984" type="#_x0000_t202" filled="false" stroked="false">
            <v:textbox inset="0,0,0,0">
              <w:txbxContent>
                <w:p>
                  <w:pPr>
                    <w:pStyle w:val="BodyText"/>
                    <w:spacing w:line="280" w:lineRule="auto"/>
                    <w:ind w:right="-14"/>
                  </w:pPr>
                  <w:r>
                    <w:rPr>
                      <w:color w:val="58595B"/>
                    </w:rPr>
                    <w:t>In VCAT’s view, the express wording of section 5, when read in conjunction with section 33B(1) of the EP Act:</w:t>
                  </w:r>
                </w:p>
              </w:txbxContent>
            </v:textbox>
            <w10:wrap type="none"/>
          </v:shape>
        </w:pict>
      </w:r>
      <w:r>
        <w:rPr/>
        <w:pict>
          <v:shape style="position:absolute;margin-left:98.216103pt;margin-top:699.606445pt;width:373.7pt;height:52.5pt;mso-position-horizontal-relative:page;mso-position-vertical-relative:page;z-index:-184960" type="#_x0000_t202" filled="false" stroked="false">
            <v:textbox inset="0,0,0,0">
              <w:txbxContent>
                <w:p>
                  <w:pPr>
                    <w:spacing w:line="280" w:lineRule="auto" w:before="0"/>
                    <w:ind w:left="20" w:right="0" w:firstLine="0"/>
                    <w:jc w:val="left"/>
                    <w:rPr>
                      <w:sz w:val="11"/>
                    </w:rPr>
                  </w:pPr>
                  <w:r>
                    <w:rPr>
                      <w:i/>
                      <w:color w:val="231F20"/>
                      <w:sz w:val="20"/>
                    </w:rPr>
                    <w:t>… clearly evinces an intention to have a wider and more liberal test for standing for the purpose of Tribunal review proceedings, when compared to the ‘special interest’ test for standing in environmental matters that applies at common law and for cases of judicial review and similar proceedings.</w:t>
                  </w:r>
                  <w:r>
                    <w:rPr>
                      <w:color w:val="231F20"/>
                      <w:position w:val="7"/>
                      <w:sz w:val="11"/>
                    </w:rPr>
                    <w:t>58</w:t>
                  </w:r>
                </w:p>
              </w:txbxContent>
            </v:textbox>
            <w10:wrap type="none"/>
          </v:shape>
        </w:pict>
      </w:r>
      <w:r>
        <w:rPr/>
        <w:pict>
          <v:shape style="position:absolute;margin-left:.0pt;margin-top:44.090015pt;width:60.3pt;height:5.25pt;mso-position-horizontal-relative:page;mso-position-vertical-relative:page;z-index:-184936"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84912"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84888" from="534.996094pt,45.840015pt" to="595.276001pt,45.840015pt" stroked="true" strokeweight="7pt" strokecolor="#0095a7">
            <w10:wrap type="none"/>
          </v:line>
        </w:pict>
      </w:r>
      <w:r>
        <w:rPr/>
        <w:pict>
          <v:shape style="position:absolute;margin-left:163.582199pt;margin-top:40.902756pt;width:336.3pt;height:9.5pt;mso-position-horizontal-relative:page;mso-position-vertical-relative:page;z-index:-184864" type="#_x0000_t202" filled="false" stroked="false">
            <v:textbox inset="0,0,0,0">
              <w:txbxContent>
                <w:p>
                  <w:pPr>
                    <w:spacing w:before="1"/>
                    <w:ind w:left="20" w:right="0" w:firstLine="0"/>
                    <w:jc w:val="left"/>
                    <w:rPr>
                      <w:sz w:val="15"/>
                    </w:rPr>
                  </w:pPr>
                  <w:r>
                    <w:rPr>
                      <w:color w:val="58595B"/>
                      <w:sz w:val="15"/>
                    </w:rPr>
                    <w:t>CHAPTER 7    THE EPA’S ROLE WITHIN VICTORIA’S ENVIRONMENT PROTECTION REGIME</w:t>
                  </w:r>
                </w:p>
              </w:txbxContent>
            </v:textbox>
            <w10:wrap type="none"/>
          </v:shape>
        </w:pict>
      </w:r>
      <w:r>
        <w:rPr/>
        <w:pict>
          <v:shape style="position:absolute;margin-left:510.929688pt;margin-top:40.902756pt;width:14.45pt;height:9.5pt;mso-position-horizontal-relative:page;mso-position-vertical-relative:page;z-index:-184840" type="#_x0000_t202" filled="false" stroked="false">
            <v:textbox inset="0,0,0,0">
              <w:txbxContent>
                <w:p>
                  <w:pPr>
                    <w:spacing w:before="1"/>
                    <w:ind w:left="20" w:right="-2" w:firstLine="0"/>
                    <w:jc w:val="left"/>
                    <w:rPr>
                      <w:sz w:val="15"/>
                    </w:rPr>
                  </w:pPr>
                  <w:r>
                    <w:rPr>
                      <w:color w:val="58595B"/>
                      <w:sz w:val="15"/>
                    </w:rPr>
                    <w:t>143</w:t>
                  </w:r>
                </w:p>
              </w:txbxContent>
            </v:textbox>
            <w10:wrap type="none"/>
          </v:shape>
        </w:pict>
      </w:r>
      <w:r>
        <w:rPr/>
        <w:pict>
          <v:shape style="position:absolute;margin-left:89.708603pt;margin-top:105.893967pt;width:115.85pt;height:12pt;mso-position-horizontal-relative:page;mso-position-vertical-relative:page;z-index:-184816" type="#_x0000_t202" filled="false" stroked="false">
            <v:textbox inset="0,0,0,0">
              <w:txbxContent>
                <w:p>
                  <w:pPr>
                    <w:pStyle w:val="BodyText"/>
                    <w:spacing w:line="224" w:lineRule="exact"/>
                  </w:pPr>
                  <w:r>
                    <w:rPr>
                      <w:color w:val="58595B"/>
                    </w:rPr>
                    <w:t>In summary, </w:t>
                  </w:r>
                  <w:r>
                    <w:rPr>
                      <w:color w:val="58595B"/>
                      <w:spacing w:val="-5"/>
                    </w:rPr>
                    <w:t>VCAT </w:t>
                  </w:r>
                  <w:r>
                    <w:rPr>
                      <w:color w:val="58595B"/>
                    </w:rPr>
                    <w:t>found:</w:t>
                  </w:r>
                </w:p>
              </w:txbxContent>
            </v:textbox>
            <w10:wrap type="none"/>
          </v:shape>
        </w:pict>
      </w:r>
      <w:r>
        <w:rPr/>
        <w:pict>
          <v:shape style="position:absolute;margin-left:118.048599pt;margin-top:127.893967pt;width:369.25pt;height:66pt;mso-position-horizontal-relative:page;mso-position-vertical-relative:page;z-index:-184792" type="#_x0000_t202" filled="false" stroked="false">
            <v:textbox inset="0,0,0,0">
              <w:txbxContent>
                <w:p>
                  <w:pPr>
                    <w:spacing w:line="280" w:lineRule="auto" w:before="0"/>
                    <w:ind w:left="20" w:right="0" w:firstLine="0"/>
                    <w:jc w:val="left"/>
                    <w:rPr>
                      <w:i/>
                      <w:sz w:val="20"/>
                    </w:rPr>
                  </w:pPr>
                  <w:r>
                    <w:rPr>
                      <w:i/>
                      <w:color w:val="231F20"/>
                      <w:sz w:val="20"/>
                    </w:rPr>
                    <w:t>What is required is that the person seeking standing demonstrates a material connection with the subject matter of the decision under review – that is, a genuine interest … this may arise from a genuinely held and articulated intellectual or aesthetic concern in the particular subject matter of the decision, as opposed to</w:t>
                  </w:r>
                </w:p>
                <w:p>
                  <w:pPr>
                    <w:spacing w:before="2"/>
                    <w:ind w:left="20" w:right="0" w:firstLine="0"/>
                    <w:jc w:val="left"/>
                    <w:rPr>
                      <w:sz w:val="11"/>
                    </w:rPr>
                  </w:pPr>
                  <w:r>
                    <w:rPr>
                      <w:i/>
                      <w:color w:val="231F20"/>
                      <w:sz w:val="20"/>
                    </w:rPr>
                    <w:t>a broader environmental concern generally.</w:t>
                  </w:r>
                  <w:r>
                    <w:rPr>
                      <w:color w:val="231F20"/>
                      <w:position w:val="7"/>
                      <w:sz w:val="11"/>
                    </w:rPr>
                    <w:t>59</w:t>
                  </w:r>
                </w:p>
              </w:txbxContent>
            </v:textbox>
            <w10:wrap type="none"/>
          </v:shape>
        </w:pict>
      </w:r>
      <w:r>
        <w:rPr/>
        <w:pict>
          <v:shape style="position:absolute;margin-left:89.708603pt;margin-top:203.901764pt;width:423.05pt;height:52.5pt;mso-position-horizontal-relative:page;mso-position-vertical-relative:page;z-index:-184768" type="#_x0000_t202" filled="false" stroked="false">
            <v:textbox inset="0,0,0,0">
              <w:txbxContent>
                <w:p>
                  <w:pPr>
                    <w:pStyle w:val="BodyText"/>
                    <w:spacing w:line="280" w:lineRule="auto"/>
                    <w:ind w:right="17"/>
                  </w:pPr>
                  <w:r>
                    <w:rPr>
                      <w:color w:val="58595B"/>
                    </w:rPr>
                    <w:t>The legal correctness of this decision has not been challenged. In our view, it provides an appropriate test for standing for third </w:t>
                  </w:r>
                  <w:r>
                    <w:rPr>
                      <w:color w:val="58595B"/>
                      <w:spacing w:val="2"/>
                    </w:rPr>
                    <w:t>party </w:t>
                  </w:r>
                  <w:r>
                    <w:rPr>
                      <w:color w:val="58595B"/>
                    </w:rPr>
                    <w:t>review, while ensuring that standing is not unlimited. </w:t>
                  </w:r>
                  <w:r>
                    <w:rPr>
                      <w:color w:val="58595B"/>
                      <w:spacing w:val="-3"/>
                    </w:rPr>
                    <w:t>However, </w:t>
                  </w:r>
                  <w:r>
                    <w:rPr>
                      <w:color w:val="58595B"/>
                    </w:rPr>
                    <w:t>because </w:t>
                  </w:r>
                  <w:r>
                    <w:rPr>
                      <w:color w:val="58595B"/>
                      <w:spacing w:val="-5"/>
                    </w:rPr>
                    <w:t>VCAT </w:t>
                  </w:r>
                  <w:r>
                    <w:rPr>
                      <w:color w:val="58595B"/>
                    </w:rPr>
                    <w:t>is not bound to follow its own decisions, the position on the standing of third parties in EP Act reviews is still not certain. As </w:t>
                  </w:r>
                  <w:r>
                    <w:rPr>
                      <w:color w:val="58595B"/>
                      <w:spacing w:val="-5"/>
                    </w:rPr>
                    <w:t>VCAT </w:t>
                  </w:r>
                  <w:r>
                    <w:rPr>
                      <w:color w:val="58595B"/>
                    </w:rPr>
                    <w:t>identified in </w:t>
                  </w:r>
                  <w:r>
                    <w:rPr>
                      <w:i/>
                      <w:color w:val="58595B"/>
                    </w:rPr>
                    <w:t>Dual</w:t>
                  </w:r>
                  <w:r>
                    <w:rPr>
                      <w:i/>
                      <w:color w:val="58595B"/>
                      <w:spacing w:val="27"/>
                    </w:rPr>
                    <w:t> </w:t>
                  </w:r>
                  <w:r>
                    <w:rPr>
                      <w:i/>
                      <w:color w:val="58595B"/>
                    </w:rPr>
                    <w:t>Gas</w:t>
                  </w:r>
                  <w:r>
                    <w:rPr>
                      <w:color w:val="58595B"/>
                    </w:rPr>
                    <w:t>:</w:t>
                  </w:r>
                </w:p>
              </w:txbxContent>
            </v:textbox>
            <w10:wrap type="none"/>
          </v:shape>
        </w:pict>
      </w:r>
      <w:r>
        <w:rPr/>
        <w:pict>
          <v:shape style="position:absolute;margin-left:118.058601pt;margin-top:266.401764pt;width:360.25pt;height:39pt;mso-position-horizontal-relative:page;mso-position-vertical-relative:page;z-index:-184744" type="#_x0000_t202" filled="false" stroked="false">
            <v:textbox inset="0,0,0,0">
              <w:txbxContent>
                <w:p>
                  <w:pPr>
                    <w:spacing w:line="280" w:lineRule="auto" w:before="0"/>
                    <w:ind w:left="20" w:right="0" w:firstLine="0"/>
                    <w:jc w:val="left"/>
                    <w:rPr>
                      <w:sz w:val="11"/>
                    </w:rPr>
                  </w:pPr>
                  <w:r>
                    <w:rPr>
                      <w:i/>
                      <w:color w:val="231F20"/>
                      <w:sz w:val="20"/>
                    </w:rPr>
                    <w:t>The issue of standing in EPA works approval matters has been a matter of continuing debate for many years, and we consider that legislative clarification or a court ruling may be necessary to provide greater future certainty.</w:t>
                  </w:r>
                  <w:r>
                    <w:rPr>
                      <w:color w:val="231F20"/>
                      <w:position w:val="7"/>
                      <w:sz w:val="11"/>
                    </w:rPr>
                    <w:t>60</w:t>
                  </w:r>
                </w:p>
              </w:txbxContent>
            </v:textbox>
            <w10:wrap type="none"/>
          </v:shape>
        </w:pict>
      </w:r>
      <w:r>
        <w:rPr/>
        <w:pict>
          <v:shape style="position:absolute;margin-left:89.708603pt;margin-top:315.409668pt;width:404.4pt;height:25.5pt;mso-position-horizontal-relative:page;mso-position-vertical-relative:page;z-index:-184720" type="#_x0000_t202" filled="false" stroked="false">
            <v:textbox inset="0,0,0,0">
              <w:txbxContent>
                <w:p>
                  <w:pPr>
                    <w:pStyle w:val="BodyText"/>
                    <w:spacing w:line="280" w:lineRule="auto"/>
                    <w:ind w:right="-1"/>
                  </w:pPr>
                  <w:r>
                    <w:rPr>
                      <w:color w:val="58595B"/>
                    </w:rPr>
                    <w:t>Amending section 33B(1) of the EP Act to reflect the terms set out in section 5 of the VCAT Act will provide this certainty.</w:t>
                  </w:r>
                </w:p>
              </w:txbxContent>
            </v:textbox>
            <w10:wrap type="none"/>
          </v:shape>
        </w:pict>
      </w:r>
      <w:r>
        <w:rPr/>
        <w:pict>
          <v:shape style="position:absolute;margin-left:89.708603pt;margin-top:355.169678pt;width:397.2pt;height:71.7pt;mso-position-horizontal-relative:page;mso-position-vertical-relative:page;z-index:-184696" type="#_x0000_t202" filled="false" stroked="false">
            <v:textbox inset="0,0,0,0">
              <w:txbxContent>
                <w:p>
                  <w:pPr>
                    <w:pStyle w:val="BodyText"/>
                    <w:spacing w:line="224" w:lineRule="exact"/>
                    <w:ind w:right="17"/>
                  </w:pPr>
                  <w:r>
                    <w:rPr>
                      <w:color w:val="0095A7"/>
                    </w:rPr>
                    <w:t>7.5.3  Access to civil remedies for breach of the EP Act</w:t>
                  </w:r>
                </w:p>
                <w:p>
                  <w:pPr>
                    <w:spacing w:line="280" w:lineRule="auto" w:before="153"/>
                    <w:ind w:left="586" w:right="17" w:firstLine="0"/>
                    <w:jc w:val="left"/>
                    <w:rPr>
                      <w:sz w:val="11"/>
                    </w:rPr>
                  </w:pPr>
                  <w:r>
                    <w:rPr>
                      <w:i/>
                      <w:color w:val="231F20"/>
                      <w:sz w:val="20"/>
                    </w:rPr>
                    <w:t>The advantages of civil enforcement proceedings as opposed to criminal prosecutions are that it is easier to prove a breach of the law on the civil standard of proof, and that action is taken to restrain wrongful conduct and its environmental impacts before they happen, rather than await and then punish the conduct.</w:t>
                  </w:r>
                  <w:r>
                    <w:rPr>
                      <w:color w:val="231F20"/>
                      <w:position w:val="7"/>
                      <w:sz w:val="11"/>
                    </w:rPr>
                    <w:t>61</w:t>
                  </w:r>
                </w:p>
              </w:txbxContent>
            </v:textbox>
            <w10:wrap type="none"/>
          </v:shape>
        </w:pict>
      </w:r>
      <w:r>
        <w:rPr/>
        <w:pict>
          <v:shape style="position:absolute;margin-left:89.708603pt;margin-top:436.838776pt;width:427.8pt;height:52.5pt;mso-position-horizontal-relative:page;mso-position-vertical-relative:page;z-index:-184672" type="#_x0000_t202" filled="false" stroked="false">
            <v:textbox inset="0,0,0,0">
              <w:txbxContent>
                <w:p>
                  <w:pPr>
                    <w:pStyle w:val="BodyText"/>
                    <w:spacing w:line="280" w:lineRule="auto"/>
                    <w:ind w:right="-11"/>
                  </w:pPr>
                  <w:r>
                    <w:rPr>
                      <w:color w:val="58595B"/>
                    </w:rPr>
                    <w:t>The regulator has primary responsibility to enforce the law. We envisage the EPA as a stronger regulator in the future, and propose a range of enhancements so that the EPA can take stronger preventative action (chapter 12) and hold polluters to account (chapter 13). Third party access to civil remedies can provide an important safeguard if the regulator fails to act.</w:t>
                  </w:r>
                </w:p>
              </w:txbxContent>
            </v:textbox>
            <w10:wrap type="none"/>
          </v:shape>
        </w:pict>
      </w:r>
      <w:r>
        <w:rPr/>
        <w:pict>
          <v:shape style="position:absolute;margin-left:89.708603pt;margin-top:499.338776pt;width:412.1pt;height:39.050pt;mso-position-horizontal-relative:page;mso-position-vertical-relative:page;z-index:-184648" type="#_x0000_t202" filled="false" stroked="false">
            <v:textbox inset="0,0,0,0">
              <w:txbxContent>
                <w:p>
                  <w:pPr>
                    <w:pStyle w:val="BodyText"/>
                    <w:spacing w:line="280" w:lineRule="auto"/>
                    <w:ind w:right="-20"/>
                  </w:pPr>
                  <w:r>
                    <w:rPr>
                      <w:color w:val="58595B"/>
                    </w:rPr>
                    <w:t>The EP Act confers no right of civil action on </w:t>
                  </w:r>
                  <w:r>
                    <w:rPr>
                      <w:color w:val="58595B"/>
                      <w:spacing w:val="-4"/>
                    </w:rPr>
                    <w:t>any </w:t>
                  </w:r>
                  <w:r>
                    <w:rPr>
                      <w:color w:val="58595B"/>
                      <w:spacing w:val="-3"/>
                    </w:rPr>
                    <w:t>third party. </w:t>
                  </w:r>
                  <w:r>
                    <w:rPr>
                      <w:color w:val="58595B"/>
                    </w:rPr>
                    <w:t>By </w:t>
                  </w:r>
                  <w:r>
                    <w:rPr>
                      <w:color w:val="58595B"/>
                      <w:spacing w:val="-3"/>
                    </w:rPr>
                    <w:t>contrast, other jurisdictions </w:t>
                  </w:r>
                  <w:r>
                    <w:rPr>
                      <w:color w:val="58595B"/>
                      <w:spacing w:val="-4"/>
                    </w:rPr>
                    <w:t>(for example, </w:t>
                  </w:r>
                  <w:r>
                    <w:rPr>
                      <w:color w:val="58595B"/>
                    </w:rPr>
                    <w:t>South Australia,</w:t>
                  </w:r>
                  <w:r>
                    <w:rPr>
                      <w:color w:val="58595B"/>
                      <w:position w:val="7"/>
                      <w:sz w:val="11"/>
                    </w:rPr>
                    <w:t>62 </w:t>
                  </w:r>
                  <w:r>
                    <w:rPr>
                      <w:color w:val="58595B"/>
                    </w:rPr>
                    <w:t>New South Wales</w:t>
                  </w:r>
                  <w:r>
                    <w:rPr>
                      <w:color w:val="58595B"/>
                      <w:position w:val="7"/>
                      <w:sz w:val="11"/>
                    </w:rPr>
                    <w:t>63 </w:t>
                  </w:r>
                  <w:r>
                    <w:rPr>
                      <w:color w:val="58595B"/>
                    </w:rPr>
                    <w:t>and Queensland</w:t>
                  </w:r>
                  <w:r>
                    <w:rPr>
                      <w:color w:val="58595B"/>
                      <w:position w:val="7"/>
                      <w:sz w:val="11"/>
                    </w:rPr>
                    <w:t>64</w:t>
                  </w:r>
                  <w:r>
                    <w:rPr>
                      <w:color w:val="58595B"/>
                    </w:rPr>
                    <w:t>) allow an </w:t>
                  </w:r>
                  <w:r>
                    <w:rPr>
                      <w:color w:val="58595B"/>
                      <w:spacing w:val="-3"/>
                    </w:rPr>
                    <w:t>interested </w:t>
                  </w:r>
                  <w:r>
                    <w:rPr>
                      <w:color w:val="58595B"/>
                    </w:rPr>
                    <w:t>party to bring proceedings to address a breach of the relevant environment protection act.</w:t>
                  </w:r>
                </w:p>
              </w:txbxContent>
            </v:textbox>
            <w10:wrap type="none"/>
          </v:shape>
        </w:pict>
      </w:r>
      <w:r>
        <w:rPr/>
        <w:pict>
          <v:shape style="position:absolute;margin-left:89.709503pt;margin-top:548.342773pt;width:303.45pt;height:12pt;mso-position-horizontal-relative:page;mso-position-vertical-relative:page;z-index:-184624" type="#_x0000_t202" filled="false" stroked="false">
            <v:textbox inset="0,0,0,0">
              <w:txbxContent>
                <w:p>
                  <w:pPr>
                    <w:pStyle w:val="BodyText"/>
                    <w:spacing w:line="224" w:lineRule="exact"/>
                  </w:pPr>
                  <w:r>
                    <w:rPr>
                      <w:color w:val="58595B"/>
                    </w:rPr>
                    <w:t>McHugh J of the High Court said of the New South Wales provision:</w:t>
                  </w:r>
                </w:p>
              </w:txbxContent>
            </v:textbox>
            <w10:wrap type="none"/>
          </v:shape>
        </w:pict>
      </w:r>
      <w:r>
        <w:rPr/>
        <w:pict>
          <v:shape style="position:absolute;margin-left:118.059502pt;margin-top:570.342773pt;width:378.25pt;height:52.5pt;mso-position-horizontal-relative:page;mso-position-vertical-relative:page;z-index:-184600" type="#_x0000_t202" filled="false" stroked="false">
            <v:textbox inset="0,0,0,0">
              <w:txbxContent>
                <w:p>
                  <w:pPr>
                    <w:spacing w:line="280" w:lineRule="auto" w:before="0"/>
                    <w:ind w:left="20" w:right="0" w:firstLine="0"/>
                    <w:jc w:val="left"/>
                    <w:rPr>
                      <w:sz w:val="11"/>
                    </w:rPr>
                  </w:pPr>
                  <w:r>
                    <w:rPr>
                      <w:i/>
                      <w:color w:val="231F20"/>
                      <w:spacing w:val="-3"/>
                      <w:sz w:val="20"/>
                    </w:rPr>
                    <w:t>Under wide standing provisions </w:t>
                  </w:r>
                  <w:r>
                    <w:rPr>
                      <w:i/>
                      <w:color w:val="231F20"/>
                      <w:sz w:val="20"/>
                    </w:rPr>
                    <w:t>such as </w:t>
                  </w:r>
                  <w:r>
                    <w:rPr>
                      <w:i/>
                      <w:color w:val="231F20"/>
                      <w:spacing w:val="-4"/>
                      <w:sz w:val="20"/>
                    </w:rPr>
                    <w:t>[these], </w:t>
                  </w:r>
                  <w:r>
                    <w:rPr>
                      <w:i/>
                      <w:color w:val="231F20"/>
                      <w:spacing w:val="-3"/>
                      <w:sz w:val="20"/>
                    </w:rPr>
                    <w:t>applicants </w:t>
                  </w:r>
                  <w:r>
                    <w:rPr>
                      <w:i/>
                      <w:color w:val="231F20"/>
                      <w:sz w:val="20"/>
                    </w:rPr>
                    <w:t>are simply </w:t>
                  </w:r>
                  <w:r>
                    <w:rPr>
                      <w:i/>
                      <w:color w:val="231F20"/>
                      <w:spacing w:val="-3"/>
                      <w:sz w:val="20"/>
                    </w:rPr>
                    <w:t>given enhanced access </w:t>
                  </w:r>
                  <w:r>
                    <w:rPr>
                      <w:i/>
                      <w:color w:val="231F20"/>
                      <w:sz w:val="20"/>
                    </w:rPr>
                    <w:t>to </w:t>
                  </w:r>
                  <w:r>
                    <w:rPr>
                      <w:i/>
                      <w:color w:val="231F20"/>
                      <w:spacing w:val="-3"/>
                      <w:sz w:val="20"/>
                    </w:rPr>
                    <w:t>restrain </w:t>
                  </w:r>
                  <w:r>
                    <w:rPr>
                      <w:i/>
                      <w:color w:val="231F20"/>
                      <w:sz w:val="20"/>
                    </w:rPr>
                    <w:t>or </w:t>
                  </w:r>
                  <w:r>
                    <w:rPr>
                      <w:i/>
                      <w:color w:val="231F20"/>
                      <w:spacing w:val="-3"/>
                      <w:sz w:val="20"/>
                    </w:rPr>
                    <w:t>remedy breaches </w:t>
                  </w:r>
                  <w:r>
                    <w:rPr>
                      <w:i/>
                      <w:color w:val="231F20"/>
                      <w:sz w:val="20"/>
                    </w:rPr>
                    <w:t>of </w:t>
                  </w:r>
                  <w:r>
                    <w:rPr>
                      <w:i/>
                      <w:color w:val="231F20"/>
                      <w:spacing w:val="-3"/>
                      <w:sz w:val="20"/>
                    </w:rPr>
                    <w:t>law </w:t>
                  </w:r>
                  <w:r>
                    <w:rPr>
                      <w:i/>
                      <w:color w:val="231F20"/>
                      <w:spacing w:val="-4"/>
                      <w:sz w:val="20"/>
                    </w:rPr>
                    <w:t>by </w:t>
                  </w:r>
                  <w:r>
                    <w:rPr>
                      <w:i/>
                      <w:color w:val="231F20"/>
                      <w:spacing w:val="-3"/>
                      <w:sz w:val="20"/>
                    </w:rPr>
                    <w:t>respondents. </w:t>
                  </w:r>
                  <w:r>
                    <w:rPr>
                      <w:i/>
                      <w:color w:val="231F20"/>
                      <w:sz w:val="20"/>
                    </w:rPr>
                    <w:t>Since </w:t>
                  </w:r>
                  <w:r>
                    <w:rPr>
                      <w:i/>
                      <w:color w:val="231F20"/>
                      <w:spacing w:val="-3"/>
                      <w:sz w:val="20"/>
                    </w:rPr>
                    <w:t>the </w:t>
                  </w:r>
                  <w:r>
                    <w:rPr>
                      <w:i/>
                      <w:color w:val="231F20"/>
                      <w:sz w:val="20"/>
                    </w:rPr>
                    <w:t>[local council] is </w:t>
                  </w:r>
                  <w:r>
                    <w:rPr>
                      <w:i/>
                      <w:color w:val="231F20"/>
                      <w:spacing w:val="-3"/>
                      <w:sz w:val="20"/>
                    </w:rPr>
                    <w:t>already </w:t>
                  </w:r>
                  <w:r>
                    <w:rPr>
                      <w:i/>
                      <w:color w:val="231F20"/>
                      <w:spacing w:val="-4"/>
                      <w:sz w:val="20"/>
                    </w:rPr>
                    <w:t>expected </w:t>
                  </w:r>
                  <w:r>
                    <w:rPr>
                      <w:i/>
                      <w:color w:val="231F20"/>
                      <w:sz w:val="20"/>
                    </w:rPr>
                    <w:t>to comply </w:t>
                  </w:r>
                  <w:r>
                    <w:rPr>
                      <w:i/>
                      <w:color w:val="231F20"/>
                      <w:spacing w:val="-3"/>
                      <w:sz w:val="20"/>
                    </w:rPr>
                    <w:t>with the </w:t>
                  </w:r>
                  <w:r>
                    <w:rPr>
                      <w:i/>
                      <w:color w:val="231F20"/>
                      <w:spacing w:val="-5"/>
                      <w:sz w:val="20"/>
                    </w:rPr>
                    <w:t>law, </w:t>
                  </w:r>
                  <w:r>
                    <w:rPr>
                      <w:i/>
                      <w:color w:val="231F20"/>
                      <w:spacing w:val="-3"/>
                      <w:sz w:val="20"/>
                    </w:rPr>
                    <w:t>giving </w:t>
                  </w:r>
                  <w:r>
                    <w:rPr>
                      <w:i/>
                      <w:color w:val="231F20"/>
                      <w:sz w:val="20"/>
                    </w:rPr>
                    <w:t>a </w:t>
                  </w:r>
                  <w:r>
                    <w:rPr>
                      <w:i/>
                      <w:color w:val="231F20"/>
                      <w:spacing w:val="-3"/>
                      <w:sz w:val="20"/>
                    </w:rPr>
                    <w:t>member </w:t>
                  </w:r>
                  <w:r>
                    <w:rPr>
                      <w:i/>
                      <w:color w:val="231F20"/>
                      <w:sz w:val="20"/>
                    </w:rPr>
                    <w:t>of </w:t>
                  </w:r>
                  <w:r>
                    <w:rPr>
                      <w:i/>
                      <w:color w:val="231F20"/>
                      <w:spacing w:val="-3"/>
                      <w:sz w:val="20"/>
                    </w:rPr>
                    <w:t>the public </w:t>
                  </w:r>
                  <w:r>
                    <w:rPr>
                      <w:i/>
                      <w:color w:val="231F20"/>
                      <w:sz w:val="20"/>
                    </w:rPr>
                    <w:t>a right to </w:t>
                  </w:r>
                  <w:r>
                    <w:rPr>
                      <w:i/>
                      <w:color w:val="231F20"/>
                      <w:spacing w:val="-3"/>
                      <w:sz w:val="20"/>
                    </w:rPr>
                    <w:t>ensure that the [council] has </w:t>
                  </w:r>
                  <w:r>
                    <w:rPr>
                      <w:i/>
                      <w:color w:val="231F20"/>
                      <w:sz w:val="20"/>
                    </w:rPr>
                    <w:t>so complied </w:t>
                  </w:r>
                  <w:r>
                    <w:rPr>
                      <w:i/>
                      <w:color w:val="231F20"/>
                      <w:spacing w:val="-3"/>
                      <w:sz w:val="20"/>
                    </w:rPr>
                    <w:t>causes </w:t>
                  </w:r>
                  <w:r>
                    <w:rPr>
                      <w:i/>
                      <w:color w:val="231F20"/>
                      <w:sz w:val="20"/>
                    </w:rPr>
                    <w:t>no </w:t>
                  </w:r>
                  <w:r>
                    <w:rPr>
                      <w:i/>
                      <w:color w:val="231F20"/>
                      <w:spacing w:val="-4"/>
                      <w:sz w:val="20"/>
                    </w:rPr>
                    <w:t>relevant </w:t>
                  </w:r>
                  <w:r>
                    <w:rPr>
                      <w:i/>
                      <w:color w:val="231F20"/>
                      <w:spacing w:val="-3"/>
                      <w:sz w:val="20"/>
                    </w:rPr>
                    <w:t>prejudice </w:t>
                  </w:r>
                  <w:r>
                    <w:rPr>
                      <w:i/>
                      <w:color w:val="231F20"/>
                      <w:sz w:val="20"/>
                    </w:rPr>
                    <w:t>to </w:t>
                  </w:r>
                  <w:r>
                    <w:rPr>
                      <w:i/>
                      <w:color w:val="231F20"/>
                      <w:spacing w:val="-3"/>
                      <w:sz w:val="20"/>
                    </w:rPr>
                    <w:t>the [council].</w:t>
                  </w:r>
                  <w:r>
                    <w:rPr>
                      <w:color w:val="231F20"/>
                      <w:spacing w:val="-3"/>
                      <w:position w:val="7"/>
                      <w:sz w:val="11"/>
                    </w:rPr>
                    <w:t>65</w:t>
                  </w:r>
                </w:p>
              </w:txbxContent>
            </v:textbox>
            <w10:wrap type="none"/>
          </v:shape>
        </w:pict>
      </w:r>
      <w:r>
        <w:rPr/>
        <w:pict>
          <v:shape style="position:absolute;margin-left:89.708603pt;margin-top:632.854553pt;width:413.85pt;height:25.5pt;mso-position-horizontal-relative:page;mso-position-vertical-relative:page;z-index:-184576" type="#_x0000_t202" filled="false" stroked="false">
            <v:textbox inset="0,0,0,0">
              <w:txbxContent>
                <w:p>
                  <w:pPr>
                    <w:pStyle w:val="BodyText"/>
                    <w:spacing w:line="280" w:lineRule="auto"/>
                  </w:pPr>
                  <w:r>
                    <w:rPr>
                      <w:color w:val="58595B"/>
                    </w:rPr>
                    <w:t>Third party civil remedies also exist for breaches of Federal US environmental law (known as ‘citizen suits’), such as air</w:t>
                  </w:r>
                  <w:r>
                    <w:rPr>
                      <w:color w:val="58595B"/>
                      <w:position w:val="7"/>
                      <w:sz w:val="11"/>
                    </w:rPr>
                    <w:t>66  </w:t>
                  </w:r>
                  <w:r>
                    <w:rPr>
                      <w:color w:val="58595B"/>
                    </w:rPr>
                    <w:t>and water</w:t>
                  </w:r>
                  <w:r>
                    <w:rPr>
                      <w:color w:val="58595B"/>
                      <w:position w:val="7"/>
                      <w:sz w:val="11"/>
                    </w:rPr>
                    <w:t>67  </w:t>
                  </w:r>
                  <w:r>
                    <w:rPr>
                      <w:color w:val="58595B"/>
                    </w:rPr>
                    <w:t>pollution controls.</w:t>
                  </w:r>
                </w:p>
              </w:txbxContent>
            </v:textbox>
            <w10:wrap type="none"/>
          </v:shape>
        </w:pict>
      </w:r>
      <w:r>
        <w:rPr/>
        <w:pict>
          <v:shape style="position:absolute;margin-left:89.705902pt;margin-top:668.354553pt;width:434.8pt;height:106.55pt;mso-position-horizontal-relative:page;mso-position-vertical-relative:page;z-index:-184552" type="#_x0000_t202" filled="false" stroked="false">
            <v:textbox inset="0,0,0,0">
              <w:txbxContent>
                <w:p>
                  <w:pPr>
                    <w:pStyle w:val="BodyText"/>
                    <w:spacing w:line="280" w:lineRule="auto"/>
                    <w:ind w:right="127"/>
                  </w:pPr>
                  <w:r>
                    <w:rPr>
                      <w:color w:val="58595B"/>
                    </w:rPr>
                    <w:t>In South Australia, the power for third parties to seek civil remedies for breaches of the </w:t>
                  </w:r>
                  <w:r>
                    <w:rPr>
                      <w:i/>
                      <w:color w:val="58595B"/>
                    </w:rPr>
                    <w:t>Environment Protection Act 1993 </w:t>
                  </w:r>
                  <w:r>
                    <w:rPr>
                      <w:color w:val="58595B"/>
                    </w:rPr>
                    <w:t>includes breaches of the general duty. Members of the community can seek a court order to prevent a breach of the general duty, or to require the taking of action to make good environmental damage or prevent or mitigate environmental harm.</w:t>
                  </w:r>
                </w:p>
                <w:p>
                  <w:pPr>
                    <w:pStyle w:val="BodyText"/>
                    <w:spacing w:line="280" w:lineRule="auto" w:before="2"/>
                    <w:ind w:right="6"/>
                    <w:rPr>
                      <w:sz w:val="11"/>
                    </w:rPr>
                  </w:pPr>
                  <w:r>
                    <w:rPr>
                      <w:color w:val="58595B"/>
                    </w:rPr>
                    <w:t>Application to the court may be made by ‘any person whose interests are affected by the subject matter of the application’,</w:t>
                  </w:r>
                  <w:r>
                    <w:rPr>
                      <w:color w:val="58595B"/>
                      <w:position w:val="7"/>
                      <w:sz w:val="11"/>
                    </w:rPr>
                    <w:t>68 </w:t>
                  </w:r>
                  <w:r>
                    <w:rPr>
                      <w:color w:val="58595B"/>
                    </w:rPr>
                    <w:t>and by ‘any other person with the permission of the Court’.</w:t>
                  </w:r>
                  <w:r>
                    <w:rPr>
                      <w:color w:val="58595B"/>
                      <w:position w:val="7"/>
                      <w:sz w:val="11"/>
                    </w:rPr>
                    <w:t>69 </w:t>
                  </w:r>
                  <w:r>
                    <w:rPr>
                      <w:color w:val="58595B"/>
                    </w:rPr>
                    <w:t>The court can only grant permission if it is satisfied that the proceedings are in the public interest, not an abuse of process, and that there is a reasonable case to be made.</w:t>
                  </w:r>
                  <w:r>
                    <w:rPr>
                      <w:color w:val="58595B"/>
                      <w:position w:val="7"/>
                      <w:sz w:val="11"/>
                    </w:rPr>
                    <w:t>70</w:t>
                  </w:r>
                </w:p>
              </w:txbxContent>
            </v:textbox>
            <w10:wrap type="none"/>
          </v:shape>
        </w:pict>
      </w:r>
      <w:r>
        <w:rPr/>
        <w:pict>
          <v:shape style="position:absolute;margin-left:534.996094pt;margin-top:44.090015pt;width:60.3pt;height:5.25pt;mso-position-horizontal-relative:page;mso-position-vertical-relative:page;z-index:-18452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4504"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84480" from=".0pt,45.840015pt" to="60.2791pt,45.840015pt" stroked="true" strokeweight="7pt" strokecolor="#0095a7">
            <w10:wrap type="none"/>
          </v:line>
        </w:pict>
      </w:r>
      <w:r>
        <w:rPr/>
        <w:pict>
          <v:shape style="position:absolute;margin-left:69.866096pt;margin-top:40.902756pt;width:14.55pt;height:9.5pt;mso-position-horizontal-relative:page;mso-position-vertical-relative:page;z-index:-184456" type="#_x0000_t202" filled="false" stroked="false">
            <v:textbox inset="0,0,0,0">
              <w:txbxContent>
                <w:p>
                  <w:pPr>
                    <w:spacing w:before="1"/>
                    <w:ind w:left="20" w:right="0" w:firstLine="0"/>
                    <w:jc w:val="left"/>
                    <w:rPr>
                      <w:sz w:val="15"/>
                    </w:rPr>
                  </w:pPr>
                  <w:r>
                    <w:rPr>
                      <w:color w:val="58595B"/>
                      <w:sz w:val="15"/>
                    </w:rPr>
                    <w:t>144</w:t>
                  </w:r>
                </w:p>
              </w:txbxContent>
            </v:textbox>
            <w10:wrap type="none"/>
          </v:shape>
        </w:pict>
      </w:r>
      <w:r>
        <w:rPr/>
        <w:pict>
          <v:shape style="position:absolute;margin-left:95.377899pt;margin-top:40.902756pt;width:147.75pt;height:9.5pt;mso-position-horizontal-relative:page;mso-position-vertical-relative:page;z-index:-18443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27.55pt;height:79.5pt;mso-position-horizontal-relative:page;mso-position-vertical-relative:page;z-index:-184408" type="#_x0000_t202" filled="false" stroked="false">
            <v:textbox inset="0,0,0,0">
              <w:txbxContent>
                <w:p>
                  <w:pPr>
                    <w:pStyle w:val="BodyText"/>
                    <w:spacing w:line="280" w:lineRule="auto"/>
                  </w:pPr>
                  <w:r>
                    <w:rPr>
                      <w:color w:val="58595B"/>
                    </w:rPr>
                    <w:t>At present in Victoria, only the EPA can apply for an injunction to restrain a person from contravening the EP Act or licence, permit or notice conditions, or to compel a person to comply with the EP Act or licence, permit or notice conditions. We recommend adopting the South Australian approach to complement the proposed general duty and to provide third parties access to the same expanded range of civil remedies for breaches of the EP Act as can be sought by the Authority itself (which we recommend in chapter 12).</w:t>
                  </w:r>
                </w:p>
              </w:txbxContent>
            </v:textbox>
            <w10:wrap type="none"/>
          </v:shape>
        </w:pict>
      </w:r>
      <w:r>
        <w:rPr/>
        <w:pict>
          <v:shape style="position:absolute;margin-left:69.866096pt;margin-top:195.393967pt;width:432.5pt;height:39pt;mso-position-horizontal-relative:page;mso-position-vertical-relative:page;z-index:-184384" type="#_x0000_t202" filled="false" stroked="false">
            <v:textbox inset="0,0,0,0">
              <w:txbxContent>
                <w:p>
                  <w:pPr>
                    <w:pStyle w:val="BodyText"/>
                    <w:spacing w:line="280" w:lineRule="auto"/>
                    <w:ind w:right="5"/>
                  </w:pPr>
                  <w:r>
                    <w:rPr>
                      <w:color w:val="58595B"/>
                    </w:rPr>
                    <w:t>As in other jurisdictions, we propose that civil remedies will be by court order, rather than through a tribunal such as VCAT. Based on the experience in other jurisdictions, we do not consider that this will create an undue burden on business or a significant impact on the court system.</w:t>
                  </w:r>
                </w:p>
              </w:txbxContent>
            </v:textbox>
            <w10:wrap type="none"/>
          </v:shape>
        </w:pict>
      </w:r>
      <w:r>
        <w:rPr/>
        <w:pict>
          <v:shape style="position:absolute;margin-left:69.866096pt;margin-top:248.653961pt;width:428.55pt;height:58.2pt;mso-position-horizontal-relative:page;mso-position-vertical-relative:page;z-index:-184360" type="#_x0000_t202" filled="false" stroked="false">
            <v:textbox inset="0,0,0,0">
              <w:txbxContent>
                <w:p>
                  <w:pPr>
                    <w:pStyle w:val="BodyText"/>
                    <w:spacing w:line="224" w:lineRule="exact"/>
                  </w:pPr>
                  <w:r>
                    <w:rPr>
                      <w:color w:val="0095A7"/>
                    </w:rPr>
                    <w:t>7.5.4  Is a specialist environment court warranted?</w:t>
                  </w:r>
                </w:p>
                <w:p>
                  <w:pPr>
                    <w:pStyle w:val="BodyText"/>
                    <w:spacing w:line="280" w:lineRule="auto" w:before="153"/>
                  </w:pPr>
                  <w:r>
                    <w:rPr>
                      <w:color w:val="58595B"/>
                    </w:rPr>
                    <w:t>A number of submissions proposed establishing a specialist environment court in Victoria, along the lines of the NSW Land and Environment Court. This was also raised in many of our public consultation sessions:</w:t>
                  </w:r>
                </w:p>
              </w:txbxContent>
            </v:textbox>
            <w10:wrap type="none"/>
          </v:shape>
        </w:pict>
      </w:r>
      <w:r>
        <w:rPr/>
        <w:pict>
          <v:shape style="position:absolute;margin-left:98.216103pt;margin-top:316.823975pt;width:378pt;height:93pt;mso-position-horizontal-relative:page;mso-position-vertical-relative:page;z-index:-184336" type="#_x0000_t202" filled="false" stroked="false">
            <v:textbox inset="0,0,0,0">
              <w:txbxContent>
                <w:p>
                  <w:pPr>
                    <w:spacing w:line="280" w:lineRule="auto" w:before="0"/>
                    <w:ind w:left="20" w:right="290" w:firstLine="0"/>
                    <w:jc w:val="left"/>
                    <w:rPr>
                      <w:i/>
                      <w:sz w:val="20"/>
                    </w:rPr>
                  </w:pPr>
                  <w:r>
                    <w:rPr>
                      <w:i/>
                      <w:color w:val="231F20"/>
                      <w:sz w:val="20"/>
                    </w:rPr>
                    <w:t>With the exception of </w:t>
                  </w:r>
                  <w:r>
                    <w:rPr>
                      <w:i/>
                      <w:color w:val="231F20"/>
                      <w:spacing w:val="-6"/>
                      <w:sz w:val="20"/>
                    </w:rPr>
                    <w:t>VCAT </w:t>
                  </w:r>
                  <w:r>
                    <w:rPr>
                      <w:i/>
                      <w:color w:val="231F20"/>
                      <w:sz w:val="20"/>
                    </w:rPr>
                    <w:t>through its Planning and Environment List, which only has limited jurisdiction to review decisions made under the EP Act, Victoria lacks a</w:t>
                  </w:r>
                  <w:r>
                    <w:rPr>
                      <w:i/>
                      <w:color w:val="231F20"/>
                      <w:spacing w:val="-3"/>
                      <w:sz w:val="20"/>
                    </w:rPr>
                    <w:t> </w:t>
                  </w:r>
                  <w:r>
                    <w:rPr>
                      <w:i/>
                      <w:color w:val="231F20"/>
                      <w:sz w:val="20"/>
                    </w:rPr>
                    <w:t>specialist</w:t>
                  </w:r>
                  <w:r>
                    <w:rPr>
                      <w:i/>
                      <w:color w:val="231F20"/>
                      <w:spacing w:val="-3"/>
                      <w:sz w:val="20"/>
                    </w:rPr>
                    <w:t> </w:t>
                  </w:r>
                  <w:r>
                    <w:rPr>
                      <w:i/>
                      <w:color w:val="231F20"/>
                      <w:sz w:val="20"/>
                    </w:rPr>
                    <w:t>planning</w:t>
                  </w:r>
                  <w:r>
                    <w:rPr>
                      <w:i/>
                      <w:color w:val="231F20"/>
                      <w:spacing w:val="-3"/>
                      <w:sz w:val="20"/>
                    </w:rPr>
                    <w:t> </w:t>
                  </w:r>
                  <w:r>
                    <w:rPr>
                      <w:i/>
                      <w:color w:val="231F20"/>
                      <w:sz w:val="20"/>
                    </w:rPr>
                    <w:t>and</w:t>
                  </w:r>
                  <w:r>
                    <w:rPr>
                      <w:i/>
                      <w:color w:val="231F20"/>
                      <w:spacing w:val="-3"/>
                      <w:sz w:val="20"/>
                    </w:rPr>
                    <w:t> </w:t>
                  </w:r>
                  <w:r>
                    <w:rPr>
                      <w:i/>
                      <w:color w:val="231F20"/>
                      <w:sz w:val="20"/>
                    </w:rPr>
                    <w:t>environment</w:t>
                  </w:r>
                  <w:r>
                    <w:rPr>
                      <w:i/>
                      <w:color w:val="231F20"/>
                      <w:spacing w:val="-3"/>
                      <w:sz w:val="20"/>
                    </w:rPr>
                    <w:t> </w:t>
                  </w:r>
                  <w:r>
                    <w:rPr>
                      <w:i/>
                      <w:color w:val="231F20"/>
                      <w:spacing w:val="2"/>
                      <w:sz w:val="20"/>
                    </w:rPr>
                    <w:t>Court</w:t>
                  </w:r>
                  <w:r>
                    <w:rPr>
                      <w:i/>
                      <w:color w:val="231F20"/>
                      <w:spacing w:val="-3"/>
                      <w:sz w:val="20"/>
                    </w:rPr>
                    <w:t> </w:t>
                  </w:r>
                  <w:r>
                    <w:rPr>
                      <w:i/>
                      <w:color w:val="231F20"/>
                      <w:sz w:val="20"/>
                    </w:rPr>
                    <w:t>or</w:t>
                  </w:r>
                  <w:r>
                    <w:rPr>
                      <w:i/>
                      <w:color w:val="231F20"/>
                      <w:spacing w:val="-3"/>
                      <w:sz w:val="20"/>
                    </w:rPr>
                    <w:t> </w:t>
                  </w:r>
                  <w:r>
                    <w:rPr>
                      <w:i/>
                      <w:color w:val="231F20"/>
                      <w:sz w:val="20"/>
                    </w:rPr>
                    <w:t>tribunal.</w:t>
                  </w:r>
                  <w:r>
                    <w:rPr>
                      <w:i/>
                      <w:color w:val="231F20"/>
                      <w:spacing w:val="-7"/>
                      <w:sz w:val="20"/>
                    </w:rPr>
                    <w:t> </w:t>
                  </w:r>
                  <w:r>
                    <w:rPr>
                      <w:i/>
                      <w:color w:val="231F20"/>
                      <w:sz w:val="20"/>
                    </w:rPr>
                    <w:t>As</w:t>
                  </w:r>
                  <w:r>
                    <w:rPr>
                      <w:i/>
                      <w:color w:val="231F20"/>
                      <w:spacing w:val="-7"/>
                      <w:sz w:val="20"/>
                    </w:rPr>
                    <w:t> </w:t>
                  </w:r>
                  <w:r>
                    <w:rPr>
                      <w:i/>
                      <w:color w:val="231F20"/>
                      <w:sz w:val="20"/>
                    </w:rPr>
                    <w:t>a</w:t>
                  </w:r>
                  <w:r>
                    <w:rPr>
                      <w:i/>
                      <w:color w:val="231F20"/>
                      <w:spacing w:val="-7"/>
                      <w:sz w:val="20"/>
                    </w:rPr>
                    <w:t> </w:t>
                  </w:r>
                  <w:r>
                    <w:rPr>
                      <w:i/>
                      <w:color w:val="231F20"/>
                      <w:sz w:val="20"/>
                    </w:rPr>
                    <w:t>result,</w:t>
                  </w:r>
                  <w:r>
                    <w:rPr>
                      <w:i/>
                      <w:color w:val="231F20"/>
                      <w:spacing w:val="-7"/>
                      <w:sz w:val="20"/>
                    </w:rPr>
                    <w:t> </w:t>
                  </w:r>
                  <w:r>
                    <w:rPr>
                      <w:i/>
                      <w:color w:val="231F20"/>
                      <w:sz w:val="20"/>
                    </w:rPr>
                    <w:t>Victoria</w:t>
                  </w:r>
                  <w:r>
                    <w:rPr>
                      <w:i/>
                      <w:color w:val="231F20"/>
                      <w:spacing w:val="-7"/>
                      <w:sz w:val="20"/>
                    </w:rPr>
                    <w:t> </w:t>
                  </w:r>
                  <w:r>
                    <w:rPr>
                      <w:i/>
                      <w:color w:val="231F20"/>
                      <w:spacing w:val="-3"/>
                      <w:sz w:val="20"/>
                    </w:rPr>
                    <w:t>lacks</w:t>
                  </w:r>
                </w:p>
                <w:p>
                  <w:pPr>
                    <w:spacing w:line="280" w:lineRule="auto" w:before="2"/>
                    <w:ind w:left="20" w:right="0" w:firstLine="0"/>
                    <w:jc w:val="left"/>
                    <w:rPr>
                      <w:sz w:val="20"/>
                    </w:rPr>
                  </w:pPr>
                  <w:r>
                    <w:rPr>
                      <w:i/>
                      <w:color w:val="231F20"/>
                      <w:spacing w:val="-3"/>
                      <w:sz w:val="20"/>
                    </w:rPr>
                    <w:t>development </w:t>
                  </w:r>
                  <w:r>
                    <w:rPr>
                      <w:i/>
                      <w:color w:val="231F20"/>
                      <w:sz w:val="20"/>
                    </w:rPr>
                    <w:t>of a coherent body of </w:t>
                  </w:r>
                  <w:r>
                    <w:rPr>
                      <w:i/>
                      <w:color w:val="231F20"/>
                      <w:spacing w:val="-3"/>
                      <w:sz w:val="20"/>
                    </w:rPr>
                    <w:t>environmental </w:t>
                  </w:r>
                  <w:r>
                    <w:rPr>
                      <w:i/>
                      <w:color w:val="231F20"/>
                      <w:sz w:val="20"/>
                    </w:rPr>
                    <w:t>case </w:t>
                  </w:r>
                  <w:r>
                    <w:rPr>
                      <w:i/>
                      <w:color w:val="231F20"/>
                      <w:spacing w:val="-4"/>
                      <w:sz w:val="20"/>
                    </w:rPr>
                    <w:t>law. </w:t>
                  </w:r>
                  <w:r>
                    <w:rPr>
                      <w:i/>
                      <w:color w:val="231F20"/>
                      <w:sz w:val="20"/>
                    </w:rPr>
                    <w:t>This leads to uncertainty and</w:t>
                  </w:r>
                  <w:r>
                    <w:rPr>
                      <w:i/>
                      <w:color w:val="231F20"/>
                      <w:spacing w:val="-10"/>
                      <w:sz w:val="20"/>
                    </w:rPr>
                    <w:t> </w:t>
                  </w:r>
                  <w:r>
                    <w:rPr>
                      <w:i/>
                      <w:color w:val="231F20"/>
                      <w:spacing w:val="-3"/>
                      <w:sz w:val="20"/>
                    </w:rPr>
                    <w:t>inconsistency</w:t>
                  </w:r>
                  <w:r>
                    <w:rPr>
                      <w:i/>
                      <w:color w:val="231F20"/>
                      <w:spacing w:val="-10"/>
                      <w:sz w:val="20"/>
                    </w:rPr>
                    <w:t> </w:t>
                  </w:r>
                  <w:r>
                    <w:rPr>
                      <w:i/>
                      <w:color w:val="231F20"/>
                      <w:sz w:val="20"/>
                    </w:rPr>
                    <w:t>in</w:t>
                  </w:r>
                  <w:r>
                    <w:rPr>
                      <w:i/>
                      <w:color w:val="231F20"/>
                      <w:spacing w:val="-10"/>
                      <w:sz w:val="20"/>
                    </w:rPr>
                    <w:t> </w:t>
                  </w:r>
                  <w:r>
                    <w:rPr>
                      <w:i/>
                      <w:color w:val="231F20"/>
                      <w:sz w:val="20"/>
                    </w:rPr>
                    <w:t>decision</w:t>
                  </w:r>
                  <w:r>
                    <w:rPr>
                      <w:i/>
                      <w:color w:val="231F20"/>
                      <w:spacing w:val="-10"/>
                      <w:sz w:val="20"/>
                    </w:rPr>
                    <w:t> </w:t>
                  </w:r>
                  <w:r>
                    <w:rPr>
                      <w:i/>
                      <w:color w:val="231F20"/>
                      <w:sz w:val="20"/>
                    </w:rPr>
                    <w:t>making</w:t>
                  </w:r>
                  <w:r>
                    <w:rPr>
                      <w:i/>
                      <w:color w:val="231F20"/>
                      <w:spacing w:val="-10"/>
                      <w:sz w:val="20"/>
                    </w:rPr>
                    <w:t> </w:t>
                  </w:r>
                  <w:r>
                    <w:rPr>
                      <w:i/>
                      <w:color w:val="231F20"/>
                      <w:sz w:val="20"/>
                    </w:rPr>
                    <w:t>in</w:t>
                  </w:r>
                  <w:r>
                    <w:rPr>
                      <w:i/>
                      <w:color w:val="231F20"/>
                      <w:spacing w:val="-10"/>
                      <w:sz w:val="20"/>
                    </w:rPr>
                    <w:t> </w:t>
                  </w:r>
                  <w:r>
                    <w:rPr>
                      <w:i/>
                      <w:color w:val="231F20"/>
                      <w:sz w:val="20"/>
                    </w:rPr>
                    <w:t>Victoria,</w:t>
                  </w:r>
                  <w:r>
                    <w:rPr>
                      <w:i/>
                      <w:color w:val="231F20"/>
                      <w:spacing w:val="-10"/>
                      <w:sz w:val="20"/>
                    </w:rPr>
                    <w:t> </w:t>
                  </w:r>
                  <w:r>
                    <w:rPr>
                      <w:i/>
                      <w:color w:val="231F20"/>
                      <w:sz w:val="20"/>
                    </w:rPr>
                    <w:t>which</w:t>
                  </w:r>
                  <w:r>
                    <w:rPr>
                      <w:i/>
                      <w:color w:val="231F20"/>
                      <w:spacing w:val="-10"/>
                      <w:sz w:val="20"/>
                    </w:rPr>
                    <w:t> </w:t>
                  </w:r>
                  <w:r>
                    <w:rPr>
                      <w:i/>
                      <w:color w:val="231F20"/>
                      <w:sz w:val="20"/>
                    </w:rPr>
                    <w:t>ultimately</w:t>
                  </w:r>
                  <w:r>
                    <w:rPr>
                      <w:i/>
                      <w:color w:val="231F20"/>
                      <w:spacing w:val="-10"/>
                      <w:sz w:val="20"/>
                    </w:rPr>
                    <w:t> </w:t>
                  </w:r>
                  <w:r>
                    <w:rPr>
                      <w:i/>
                      <w:color w:val="231F20"/>
                      <w:sz w:val="20"/>
                    </w:rPr>
                    <w:t>has</w:t>
                  </w:r>
                  <w:r>
                    <w:rPr>
                      <w:i/>
                      <w:color w:val="231F20"/>
                      <w:spacing w:val="-10"/>
                      <w:sz w:val="20"/>
                    </w:rPr>
                    <w:t> </w:t>
                  </w:r>
                  <w:r>
                    <w:rPr>
                      <w:i/>
                      <w:color w:val="231F20"/>
                      <w:sz w:val="20"/>
                    </w:rPr>
                    <w:t>an</w:t>
                  </w:r>
                  <w:r>
                    <w:rPr>
                      <w:i/>
                      <w:color w:val="231F20"/>
                      <w:spacing w:val="-10"/>
                      <w:sz w:val="20"/>
                    </w:rPr>
                    <w:t> </w:t>
                  </w:r>
                  <w:r>
                    <w:rPr>
                      <w:i/>
                      <w:color w:val="231F20"/>
                      <w:sz w:val="20"/>
                    </w:rPr>
                    <w:t>impact</w:t>
                  </w:r>
                  <w:r>
                    <w:rPr>
                      <w:i/>
                      <w:color w:val="231F20"/>
                      <w:spacing w:val="-10"/>
                      <w:sz w:val="20"/>
                    </w:rPr>
                    <w:t> </w:t>
                  </w:r>
                  <w:r>
                    <w:rPr>
                      <w:i/>
                      <w:color w:val="231F20"/>
                      <w:sz w:val="20"/>
                    </w:rPr>
                    <w:t>on</w:t>
                  </w:r>
                  <w:r>
                    <w:rPr>
                      <w:i/>
                      <w:color w:val="231F20"/>
                      <w:spacing w:val="-10"/>
                      <w:sz w:val="20"/>
                    </w:rPr>
                    <w:t> </w:t>
                  </w:r>
                  <w:r>
                    <w:rPr>
                      <w:i/>
                      <w:color w:val="231F20"/>
                      <w:sz w:val="20"/>
                    </w:rPr>
                    <w:t>the stability and predictability of the regulatory environment in Victoria. </w:t>
                  </w:r>
                  <w:r>
                    <w:rPr>
                      <w:color w:val="231F20"/>
                      <w:sz w:val="20"/>
                    </w:rPr>
                    <w:t>(Law Institute of Victoria submission, p.</w:t>
                  </w:r>
                  <w:r>
                    <w:rPr>
                      <w:color w:val="231F20"/>
                      <w:spacing w:val="2"/>
                      <w:sz w:val="20"/>
                    </w:rPr>
                    <w:t> </w:t>
                  </w:r>
                  <w:r>
                    <w:rPr>
                      <w:color w:val="231F20"/>
                      <w:spacing w:val="-5"/>
                      <w:sz w:val="20"/>
                    </w:rPr>
                    <w:t>4)</w:t>
                  </w:r>
                </w:p>
              </w:txbxContent>
            </v:textbox>
            <w10:wrap type="none"/>
          </v:shape>
        </w:pict>
      </w:r>
      <w:r>
        <w:rPr/>
        <w:pict>
          <v:shape style="position:absolute;margin-left:98.216103pt;margin-top:419.823975pt;width:376.2pt;height:25.5pt;mso-position-horizontal-relative:page;mso-position-vertical-relative:page;z-index:-184312" type="#_x0000_t202" filled="false" stroked="false">
            <v:textbox inset="0,0,0,0">
              <w:txbxContent>
                <w:p>
                  <w:pPr>
                    <w:spacing w:line="224" w:lineRule="exact" w:before="0"/>
                    <w:ind w:left="20" w:right="0" w:firstLine="0"/>
                    <w:jc w:val="left"/>
                    <w:rPr>
                      <w:i/>
                      <w:sz w:val="20"/>
                    </w:rPr>
                  </w:pPr>
                  <w:r>
                    <w:rPr>
                      <w:i/>
                      <w:color w:val="231F20"/>
                      <w:sz w:val="20"/>
                    </w:rPr>
                    <w:t>The submission advocates the creation of a dedicated Land and Environment Court.</w:t>
                  </w:r>
                </w:p>
                <w:p>
                  <w:pPr>
                    <w:pStyle w:val="BodyText"/>
                    <w:spacing w:before="40"/>
                  </w:pPr>
                  <w:r>
                    <w:rPr>
                      <w:color w:val="231F20"/>
                    </w:rPr>
                    <w:t>(Monash Business School submission, p. 18)</w:t>
                  </w:r>
                </w:p>
              </w:txbxContent>
            </v:textbox>
            <w10:wrap type="none"/>
          </v:shape>
        </w:pict>
      </w:r>
      <w:r>
        <w:rPr/>
        <w:pict>
          <v:shape style="position:absolute;margin-left:98.216103pt;margin-top:455.323975pt;width:366.05pt;height:93pt;mso-position-horizontal-relative:page;mso-position-vertical-relative:page;z-index:-184288" type="#_x0000_t202" filled="false" stroked="false">
            <v:textbox inset="0,0,0,0">
              <w:txbxContent>
                <w:p>
                  <w:pPr>
                    <w:spacing w:line="280" w:lineRule="auto" w:before="0"/>
                    <w:ind w:left="20" w:right="10" w:firstLine="0"/>
                    <w:jc w:val="left"/>
                    <w:rPr>
                      <w:sz w:val="20"/>
                    </w:rPr>
                  </w:pPr>
                  <w:r>
                    <w:rPr>
                      <w:i/>
                      <w:color w:val="231F20"/>
                      <w:sz w:val="20"/>
                    </w:rPr>
                    <w:t>Another missing link in this discussion is that of a Land and Environment Court, similar to that which has existed in New South Wales since it was set up under the Land and Environment Court Act 1979 (NSW). In many jurisdictions around the world these specialist Environment courts have been shown to improve decision making on environmental justice, both in terms of consistency of decision making and in use of appropriate levels of sanction. </w:t>
                  </w:r>
                  <w:r>
                    <w:rPr>
                      <w:color w:val="231F20"/>
                      <w:sz w:val="20"/>
                    </w:rPr>
                    <w:t>(Community and Public Sector Union Victoria submission, p. 20)</w:t>
                  </w:r>
                </w:p>
              </w:txbxContent>
            </v:textbox>
            <w10:wrap type="none"/>
          </v:shape>
        </w:pict>
      </w:r>
      <w:r>
        <w:rPr/>
        <w:pict>
          <v:shape style="position:absolute;margin-left:69.866096pt;margin-top:558.323975pt;width:423.6pt;height:52.5pt;mso-position-horizontal-relative:page;mso-position-vertical-relative:page;z-index:-184264" type="#_x0000_t202" filled="false" stroked="false">
            <v:textbox inset="0,0,0,0">
              <w:txbxContent>
                <w:p>
                  <w:pPr>
                    <w:pStyle w:val="BodyText"/>
                    <w:spacing w:line="280" w:lineRule="auto"/>
                  </w:pPr>
                  <w:r>
                    <w:rPr>
                      <w:color w:val="58595B"/>
                    </w:rPr>
                    <w:t>However, we do not support this proposal. Courts and tribunals in Victoria usually have general jurisdiction. Rather than create specialist bodies, divisions or lists are created within courts and tribunals to develop knowledge and experience in specific subject matters. VCAT, in particular, was established to offer a ‘one-stop shop’ dealing with a range of disputes.</w:t>
                  </w:r>
                </w:p>
              </w:txbxContent>
            </v:textbox>
            <w10:wrap type="none"/>
          </v:shape>
        </w:pict>
      </w:r>
      <w:r>
        <w:rPr/>
        <w:pict>
          <v:shape style="position:absolute;margin-left:98.216103pt;margin-top:620.823975pt;width:348pt;height:66pt;mso-position-horizontal-relative:page;mso-position-vertical-relative:page;z-index:-184240" type="#_x0000_t202" filled="false" stroked="false">
            <v:textbox inset="0,0,0,0">
              <w:txbxContent>
                <w:p>
                  <w:pPr>
                    <w:spacing w:line="280" w:lineRule="auto" w:before="0"/>
                    <w:ind w:left="20" w:right="19" w:firstLine="0"/>
                    <w:jc w:val="left"/>
                    <w:rPr>
                      <w:sz w:val="11"/>
                    </w:rPr>
                  </w:pPr>
                  <w:r>
                    <w:rPr>
                      <w:i/>
                      <w:color w:val="231F20"/>
                      <w:spacing w:val="-6"/>
                      <w:sz w:val="20"/>
                    </w:rPr>
                    <w:t>VCAT </w:t>
                  </w:r>
                  <w:r>
                    <w:rPr>
                      <w:i/>
                      <w:color w:val="231F20"/>
                      <w:sz w:val="20"/>
                    </w:rPr>
                    <w:t>was established to provide a new structure for Victoria’s tribunals and  to streamline their operation; to improve access to justice; to facilitate the use of technology and alternative dispute resolution; and to develop flexible and cost effective practices for hearing and determining disputes in its original and review</w:t>
                  </w:r>
                  <w:r>
                    <w:rPr>
                      <w:i/>
                      <w:color w:val="231F20"/>
                      <w:spacing w:val="-4"/>
                      <w:sz w:val="20"/>
                    </w:rPr>
                    <w:t> </w:t>
                  </w:r>
                  <w:r>
                    <w:rPr>
                      <w:i/>
                      <w:color w:val="231F20"/>
                      <w:sz w:val="20"/>
                    </w:rPr>
                    <w:t>jurisdictions.</w:t>
                  </w:r>
                  <w:r>
                    <w:rPr>
                      <w:color w:val="231F20"/>
                      <w:position w:val="7"/>
                      <w:sz w:val="11"/>
                    </w:rPr>
                    <w:t>71</w:t>
                  </w:r>
                </w:p>
              </w:txbxContent>
            </v:textbox>
            <w10:wrap type="none"/>
          </v:shape>
        </w:pict>
      </w:r>
      <w:r>
        <w:rPr/>
        <w:pict>
          <v:shape style="position:absolute;margin-left:69.866096pt;margin-top:696.84668pt;width:432.05pt;height:52.5pt;mso-position-horizontal-relative:page;mso-position-vertical-relative:page;z-index:-184216" type="#_x0000_t202" filled="false" stroked="false">
            <v:textbox inset="0,0,0,0">
              <w:txbxContent>
                <w:p>
                  <w:pPr>
                    <w:pStyle w:val="BodyText"/>
                    <w:spacing w:line="280" w:lineRule="auto"/>
                    <w:ind w:right="13"/>
                  </w:pPr>
                  <w:r>
                    <w:rPr>
                      <w:color w:val="58595B"/>
                    </w:rPr>
                    <w:t>VCAT reviews only a small number of EP Act decisions each year; VCAT has conducted 5–10 reviews a year over the past three years. We do not believe that there is a sufficient case load for EP Act decisions to warrant creating a new court and overturning the general approach adopted in Victoria. We are not convinced VCAT’s expertise in this area is inadequate.</w:t>
                  </w:r>
                </w:p>
              </w:txbxContent>
            </v:textbox>
            <w10:wrap type="none"/>
          </v:shape>
        </w:pict>
      </w:r>
      <w:r>
        <w:rPr/>
        <w:pict>
          <v:shape style="position:absolute;margin-left:69.866096pt;margin-top:759.34668pt;width:427.7pt;height:25.5pt;mso-position-horizontal-relative:page;mso-position-vertical-relative:page;z-index:-184192" type="#_x0000_t202" filled="false" stroked="false">
            <v:textbox inset="0,0,0,0">
              <w:txbxContent>
                <w:p>
                  <w:pPr>
                    <w:pStyle w:val="BodyText"/>
                    <w:spacing w:line="280" w:lineRule="auto"/>
                  </w:pPr>
                  <w:r>
                    <w:rPr>
                      <w:color w:val="58595B"/>
                    </w:rPr>
                    <w:t>If the government wishes to consider this issue further, serious consideration of such a proposal would require a separate inquiry.</w:t>
                  </w:r>
                </w:p>
              </w:txbxContent>
            </v:textbox>
            <w10:wrap type="none"/>
          </v:shape>
        </w:pict>
      </w:r>
      <w:r>
        <w:rPr/>
        <w:pict>
          <v:shape style="position:absolute;margin-left:.0pt;margin-top:44.090015pt;width:60.3pt;height:5.25pt;mso-position-horizontal-relative:page;mso-position-vertical-relative:page;z-index:-184168"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84144"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84120" from="534.996094pt,45.840015pt" to="595.276001pt,45.840015pt" stroked="true" strokeweight="7pt" strokecolor="#0095a7">
            <w10:wrap type="none"/>
          </v:line>
        </w:pict>
      </w:r>
      <w:r>
        <w:rPr/>
        <w:pict>
          <v:shape style="position:absolute;margin-left:163.582199pt;margin-top:40.902756pt;width:336.3pt;height:9.5pt;mso-position-horizontal-relative:page;mso-position-vertical-relative:page;z-index:-184096" type="#_x0000_t202" filled="false" stroked="false">
            <v:textbox inset="0,0,0,0">
              <w:txbxContent>
                <w:p>
                  <w:pPr>
                    <w:spacing w:before="1"/>
                    <w:ind w:left="20" w:right="0" w:firstLine="0"/>
                    <w:jc w:val="left"/>
                    <w:rPr>
                      <w:sz w:val="15"/>
                    </w:rPr>
                  </w:pPr>
                  <w:r>
                    <w:rPr>
                      <w:color w:val="58595B"/>
                      <w:sz w:val="15"/>
                    </w:rPr>
                    <w:t>CHAPTER 7    THE EPA’S ROLE WITHIN VICTORIA’S ENVIRONMENT PROTECTION REGIME</w:t>
                  </w:r>
                </w:p>
              </w:txbxContent>
            </v:textbox>
            <w10:wrap type="none"/>
          </v:shape>
        </w:pict>
      </w:r>
      <w:r>
        <w:rPr/>
        <w:pict>
          <v:shape style="position:absolute;margin-left:510.929688pt;margin-top:40.902756pt;width:14.45pt;height:9.5pt;mso-position-horizontal-relative:page;mso-position-vertical-relative:page;z-index:-184072" type="#_x0000_t202" filled="false" stroked="false">
            <v:textbox inset="0,0,0,0">
              <w:txbxContent>
                <w:p>
                  <w:pPr>
                    <w:spacing w:before="1"/>
                    <w:ind w:left="20" w:right="-2" w:firstLine="0"/>
                    <w:jc w:val="left"/>
                    <w:rPr>
                      <w:sz w:val="15"/>
                    </w:rPr>
                  </w:pPr>
                  <w:r>
                    <w:rPr>
                      <w:color w:val="58595B"/>
                      <w:sz w:val="15"/>
                    </w:rPr>
                    <w:t>145</w:t>
                  </w:r>
                </w:p>
              </w:txbxContent>
            </v:textbox>
            <w10:wrap type="none"/>
          </v:shape>
        </w:pict>
      </w:r>
      <w:r>
        <w:rPr/>
        <w:pict>
          <v:shape style="position:absolute;margin-left:89.708603pt;margin-top:105.72934pt;width:434.8pt;height:86.8pt;mso-position-horizontal-relative:page;mso-position-vertical-relative:page;z-index:-184048" type="#_x0000_t202" filled="false" stroked="false">
            <v:textbox inset="0,0,0,0">
              <w:txbxContent>
                <w:p>
                  <w:pPr>
                    <w:spacing w:line="235" w:lineRule="auto" w:before="0"/>
                    <w:ind w:left="20" w:right="758" w:firstLine="0"/>
                    <w:jc w:val="left"/>
                    <w:rPr>
                      <w:sz w:val="24"/>
                    </w:rPr>
                  </w:pPr>
                  <w:r>
                    <w:rPr>
                      <w:color w:val="0095A7"/>
                      <w:sz w:val="24"/>
                    </w:rPr>
                    <w:t>7.6 Implementing elements of environmental justice through regulatory best practice</w:t>
                  </w:r>
                </w:p>
                <w:p>
                  <w:pPr>
                    <w:pStyle w:val="BodyText"/>
                    <w:spacing w:line="280" w:lineRule="auto" w:before="146"/>
                    <w:ind w:right="28"/>
                  </w:pPr>
                  <w:r>
                    <w:rPr>
                      <w:color w:val="58595B"/>
                    </w:rPr>
                    <w:t>Some elements of environmental justice relating to accountability, transparency and engagement, are simply consistent with regulatory best practice, and are expected of the EPA. We address these aspects of environmental justice in other recommendations on improving regulatory  practice (table</w:t>
                  </w:r>
                  <w:r>
                    <w:rPr>
                      <w:color w:val="58595B"/>
                      <w:spacing w:val="5"/>
                    </w:rPr>
                    <w:t> </w:t>
                  </w:r>
                  <w:r>
                    <w:rPr>
                      <w:color w:val="58595B"/>
                      <w:spacing w:val="-12"/>
                    </w:rPr>
                    <w:t>7.1).</w:t>
                  </w:r>
                </w:p>
              </w:txbxContent>
            </v:textbox>
            <w10:wrap type="none"/>
          </v:shape>
        </w:pict>
      </w:r>
      <w:r>
        <w:rPr/>
        <w:pict>
          <v:shape style="position:absolute;margin-left:89.708603pt;margin-top:202.519272pt;width:423.7pt;height:39pt;mso-position-horizontal-relative:page;mso-position-vertical-relative:page;z-index:-184024" type="#_x0000_t202" filled="false" stroked="false">
            <v:textbox inset="0,0,0,0">
              <w:txbxContent>
                <w:p>
                  <w:pPr>
                    <w:pStyle w:val="BodyText"/>
                    <w:spacing w:line="280" w:lineRule="auto"/>
                  </w:pPr>
                  <w:r>
                    <w:rPr>
                      <w:color w:val="58595B"/>
                    </w:rPr>
                    <w:t>Accountability and transparency are broadly accepted as fundamental principles for modern regulators and also reflect community expectations of fairness in decision making processes (a key element of environmental justice).</w:t>
                  </w:r>
                </w:p>
              </w:txbxContent>
            </v:textbox>
            <w10:wrap type="none"/>
          </v:shape>
        </w:pict>
      </w:r>
      <w:r>
        <w:rPr/>
        <w:pict>
          <v:shape style="position:absolute;margin-left:118.058601pt;margin-top:251.519272pt;width:371.9pt;height:52.5pt;mso-position-horizontal-relative:page;mso-position-vertical-relative:page;z-index:-184000" type="#_x0000_t202" filled="false" stroked="false">
            <v:textbox inset="0,0,0,0">
              <w:txbxContent>
                <w:p>
                  <w:pPr>
                    <w:spacing w:line="280" w:lineRule="auto" w:before="0"/>
                    <w:ind w:left="20" w:right="0" w:firstLine="0"/>
                    <w:jc w:val="left"/>
                    <w:rPr>
                      <w:sz w:val="11"/>
                    </w:rPr>
                  </w:pPr>
                  <w:r>
                    <w:rPr>
                      <w:i/>
                      <w:color w:val="231F20"/>
                      <w:sz w:val="20"/>
                    </w:rPr>
                    <w:t>Some key participatory tools in Australia’s democracy reflect widely accepted rights and responsibilities, such as rights to information, participation and redress. Some tools are institutional, such as access to complaints handling and dispute resolution bodies and processes.</w:t>
                  </w:r>
                  <w:r>
                    <w:rPr>
                      <w:color w:val="231F20"/>
                      <w:position w:val="7"/>
                      <w:sz w:val="11"/>
                    </w:rPr>
                    <w:t>72</w:t>
                  </w:r>
                </w:p>
              </w:txbxContent>
            </v:textbox>
            <w10:wrap type="none"/>
          </v:shape>
        </w:pict>
      </w:r>
      <w:r>
        <w:rPr/>
        <w:pict>
          <v:shape style="position:absolute;margin-left:89.708603pt;margin-top:314.031067pt;width:429.4pt;height:52.5pt;mso-position-horizontal-relative:page;mso-position-vertical-relative:page;z-index:-183976" type="#_x0000_t202" filled="false" stroked="false">
            <v:textbox inset="0,0,0,0">
              <w:txbxContent>
                <w:p>
                  <w:pPr>
                    <w:pStyle w:val="BodyText"/>
                    <w:spacing w:line="280" w:lineRule="auto"/>
                    <w:rPr>
                      <w:sz w:val="11"/>
                    </w:rPr>
                  </w:pPr>
                  <w:r>
                    <w:rPr>
                      <w:color w:val="58595B"/>
                    </w:rPr>
                    <w:t>Access to information, engagement and participation in decision making, and access to justice are all key elements that provide for fairness in government decision making. Many stakeholders saw community engagement as crucial to the EPA’s work, to enhance the prospects of both the community and industry being treated fairly.</w:t>
                  </w:r>
                  <w:r>
                    <w:rPr>
                      <w:color w:val="58595B"/>
                      <w:position w:val="7"/>
                      <w:sz w:val="11"/>
                    </w:rPr>
                    <w:t>73</w:t>
                  </w:r>
                </w:p>
              </w:txbxContent>
            </v:textbox>
            <w10:wrap type="none"/>
          </v:shape>
        </w:pict>
      </w:r>
      <w:r>
        <w:rPr/>
        <w:pict>
          <v:shape style="position:absolute;margin-left:118.055099pt;margin-top:376.534973pt;width:359.45pt;height:52.5pt;mso-position-horizontal-relative:page;mso-position-vertical-relative:page;z-index:-183952" type="#_x0000_t202" filled="false" stroked="false">
            <v:textbox inset="0,0,0,0">
              <w:txbxContent>
                <w:p>
                  <w:pPr>
                    <w:spacing w:line="280" w:lineRule="auto" w:before="0"/>
                    <w:ind w:left="20" w:right="0" w:firstLine="0"/>
                    <w:jc w:val="left"/>
                    <w:rPr>
                      <w:sz w:val="20"/>
                    </w:rPr>
                  </w:pPr>
                  <w:r>
                    <w:rPr>
                      <w:i/>
                      <w:color w:val="231F20"/>
                      <w:sz w:val="20"/>
                    </w:rPr>
                    <w:t>The effective and meaningful involvement of the relevant community not only facilitates environmental justice but it also educates members of the public about their rights and responsibilities regarding the environment. </w:t>
                  </w:r>
                  <w:r>
                    <w:rPr>
                      <w:color w:val="231F20"/>
                      <w:sz w:val="20"/>
                    </w:rPr>
                    <w:t>(Dr Diane Sisely submission, p. 2)</w:t>
                  </w:r>
                </w:p>
              </w:txbxContent>
            </v:textbox>
            <w10:wrap type="none"/>
          </v:shape>
        </w:pict>
      </w:r>
      <w:r>
        <w:rPr/>
        <w:pict>
          <v:shape style="position:absolute;margin-left:118.055099pt;margin-top:439.034973pt;width:374.9pt;height:25.5pt;mso-position-horizontal-relative:page;mso-position-vertical-relative:page;z-index:-183928" type="#_x0000_t202" filled="false" stroked="false">
            <v:textbox inset="0,0,0,0">
              <w:txbxContent>
                <w:p>
                  <w:pPr>
                    <w:spacing w:line="280" w:lineRule="auto" w:before="0"/>
                    <w:ind w:left="20" w:right="0" w:firstLine="0"/>
                    <w:jc w:val="left"/>
                    <w:rPr>
                      <w:sz w:val="20"/>
                    </w:rPr>
                  </w:pPr>
                  <w:r>
                    <w:rPr>
                      <w:i/>
                      <w:color w:val="231F20"/>
                      <w:sz w:val="20"/>
                    </w:rPr>
                    <w:t>The principle of environmental justice is pivotal in the EPA being fair and impartial in dealing with the community and industry. </w:t>
                  </w:r>
                  <w:r>
                    <w:rPr>
                      <w:color w:val="231F20"/>
                      <w:sz w:val="20"/>
                    </w:rPr>
                    <w:t>(Nelson Coastcare submission, p. 6)</w:t>
                  </w:r>
                </w:p>
              </w:txbxContent>
            </v:textbox>
            <w10:wrap type="none"/>
          </v:shape>
        </w:pict>
      </w:r>
      <w:r>
        <w:rPr/>
        <w:pict>
          <v:shape style="position:absolute;margin-left:89.705101pt;margin-top:474.534973pt;width:435.7pt;height:39.050pt;mso-position-horizontal-relative:page;mso-position-vertical-relative:page;z-index:-183904" type="#_x0000_t202" filled="false" stroked="false">
            <v:textbox inset="0,0,0,0">
              <w:txbxContent>
                <w:p>
                  <w:pPr>
                    <w:pStyle w:val="BodyText"/>
                    <w:spacing w:line="280" w:lineRule="auto"/>
                    <w:ind w:right="36"/>
                  </w:pPr>
                  <w:r>
                    <w:rPr>
                      <w:color w:val="58595B"/>
                    </w:rPr>
                    <w:t>Timely and responsive regulation is also an important consideration in the community’s view of fair treatment: </w:t>
                  </w:r>
                  <w:r>
                    <w:rPr>
                      <w:color w:val="58595B"/>
                      <w:spacing w:val="-7"/>
                    </w:rPr>
                    <w:t>‘… </w:t>
                  </w:r>
                  <w:r>
                    <w:rPr>
                      <w:color w:val="58595B"/>
                    </w:rPr>
                    <w:t>the </w:t>
                  </w:r>
                  <w:r>
                    <w:rPr>
                      <w:color w:val="58595B"/>
                      <w:spacing w:val="-2"/>
                    </w:rPr>
                    <w:t>way </w:t>
                  </w:r>
                  <w:r>
                    <w:rPr>
                      <w:color w:val="58595B"/>
                    </w:rPr>
                    <w:t>in which </w:t>
                  </w:r>
                  <w:r>
                    <w:rPr>
                      <w:color w:val="58595B"/>
                      <w:spacing w:val="-4"/>
                    </w:rPr>
                    <w:t>EPA </w:t>
                  </w:r>
                  <w:r>
                    <w:rPr>
                      <w:color w:val="58595B"/>
                    </w:rPr>
                    <w:t>responds to incidents can, in fact, enhance environmental justice.’</w:t>
                  </w:r>
                  <w:r>
                    <w:rPr>
                      <w:color w:val="58595B"/>
                      <w:position w:val="7"/>
                      <w:sz w:val="11"/>
                    </w:rPr>
                    <w:t>74  </w:t>
                  </w:r>
                  <w:r>
                    <w:rPr>
                      <w:color w:val="58595B"/>
                    </w:rPr>
                    <w:t>Business stakeholders also want timely responses and decision</w:t>
                  </w:r>
                  <w:r>
                    <w:rPr>
                      <w:color w:val="58595B"/>
                      <w:spacing w:val="-17"/>
                    </w:rPr>
                    <w:t> </w:t>
                  </w:r>
                  <w:r>
                    <w:rPr>
                      <w:color w:val="58595B"/>
                    </w:rPr>
                    <w:t>making.</w:t>
                  </w:r>
                </w:p>
              </w:txbxContent>
            </v:textbox>
            <w10:wrap type="none"/>
          </v:shape>
        </w:pict>
      </w:r>
      <w:r>
        <w:rPr/>
        <w:pict>
          <v:shape style="position:absolute;margin-left:89.708298pt;margin-top:523.542847pt;width:428.65pt;height:93.05pt;mso-position-horizontal-relative:page;mso-position-vertical-relative:page;z-index:-183880" type="#_x0000_t202" filled="false" stroked="false">
            <v:textbox inset="0,0,0,0">
              <w:txbxContent>
                <w:p>
                  <w:pPr>
                    <w:pStyle w:val="BodyText"/>
                    <w:spacing w:line="280" w:lineRule="auto"/>
                    <w:rPr>
                      <w:sz w:val="11"/>
                    </w:rPr>
                  </w:pPr>
                  <w:r>
                    <w:rPr>
                      <w:color w:val="58595B"/>
                    </w:rPr>
                    <w:t>In </w:t>
                  </w:r>
                  <w:r>
                    <w:rPr>
                      <w:color w:val="58595B"/>
                      <w:spacing w:val="-3"/>
                    </w:rPr>
                    <w:t>many </w:t>
                  </w:r>
                  <w:r>
                    <w:rPr>
                      <w:color w:val="58595B"/>
                    </w:rPr>
                    <w:t>cases, </w:t>
                  </w:r>
                  <w:r>
                    <w:rPr>
                      <w:color w:val="58595B"/>
                      <w:spacing w:val="-5"/>
                    </w:rPr>
                    <w:t>EPA </w:t>
                  </w:r>
                  <w:r>
                    <w:rPr>
                      <w:color w:val="58595B"/>
                    </w:rPr>
                    <w:t>operations are </w:t>
                  </w:r>
                  <w:r>
                    <w:rPr>
                      <w:color w:val="58595B"/>
                      <w:spacing w:val="-3"/>
                    </w:rPr>
                    <w:t>already </w:t>
                  </w:r>
                  <w:r>
                    <w:rPr>
                      <w:color w:val="58595B"/>
                    </w:rPr>
                    <w:t>consistent with these principles. Its </w:t>
                  </w:r>
                  <w:r>
                    <w:rPr>
                      <w:color w:val="58595B"/>
                      <w:spacing w:val="-3"/>
                    </w:rPr>
                    <w:t>Environmental Citizenship </w:t>
                  </w:r>
                  <w:r>
                    <w:rPr>
                      <w:color w:val="58595B"/>
                    </w:rPr>
                    <w:t>Strategy seeks to empower the </w:t>
                  </w:r>
                  <w:r>
                    <w:rPr>
                      <w:color w:val="58595B"/>
                      <w:spacing w:val="-3"/>
                    </w:rPr>
                    <w:t>community, </w:t>
                  </w:r>
                  <w:r>
                    <w:rPr>
                      <w:color w:val="58595B"/>
                    </w:rPr>
                    <w:t>business and organisations through accessibility</w:t>
                  </w:r>
                  <w:r>
                    <w:rPr>
                      <w:color w:val="58595B"/>
                      <w:spacing w:val="-11"/>
                    </w:rPr>
                    <w:t> </w:t>
                  </w:r>
                  <w:r>
                    <w:rPr>
                      <w:color w:val="58595B"/>
                    </w:rPr>
                    <w:t>and</w:t>
                  </w:r>
                  <w:r>
                    <w:rPr>
                      <w:color w:val="58595B"/>
                      <w:spacing w:val="-11"/>
                    </w:rPr>
                    <w:t> </w:t>
                  </w:r>
                  <w:r>
                    <w:rPr>
                      <w:color w:val="58595B"/>
                    </w:rPr>
                    <w:t>participation,</w:t>
                  </w:r>
                  <w:r>
                    <w:rPr>
                      <w:color w:val="58595B"/>
                      <w:spacing w:val="-11"/>
                    </w:rPr>
                    <w:t> </w:t>
                  </w:r>
                  <w:r>
                    <w:rPr>
                      <w:color w:val="58595B"/>
                    </w:rPr>
                    <w:t>and</w:t>
                  </w:r>
                  <w:r>
                    <w:rPr>
                      <w:color w:val="58595B"/>
                      <w:spacing w:val="-11"/>
                    </w:rPr>
                    <w:t> </w:t>
                  </w:r>
                  <w:r>
                    <w:rPr>
                      <w:color w:val="58595B"/>
                      <w:spacing w:val="-3"/>
                    </w:rPr>
                    <w:t>by</w:t>
                  </w:r>
                  <w:r>
                    <w:rPr>
                      <w:color w:val="58595B"/>
                      <w:spacing w:val="-11"/>
                    </w:rPr>
                    <w:t> </w:t>
                  </w:r>
                  <w:r>
                    <w:rPr>
                      <w:color w:val="58595B"/>
                    </w:rPr>
                    <w:t>promoting</w:t>
                  </w:r>
                  <w:r>
                    <w:rPr>
                      <w:color w:val="58595B"/>
                      <w:spacing w:val="-11"/>
                    </w:rPr>
                    <w:t> </w:t>
                  </w:r>
                  <w:r>
                    <w:rPr>
                      <w:color w:val="58595B"/>
                      <w:spacing w:val="-3"/>
                    </w:rPr>
                    <w:t>environmental</w:t>
                  </w:r>
                  <w:r>
                    <w:rPr>
                      <w:color w:val="58595B"/>
                      <w:spacing w:val="-11"/>
                    </w:rPr>
                    <w:t> </w:t>
                  </w:r>
                  <w:r>
                    <w:rPr>
                      <w:color w:val="58595B"/>
                    </w:rPr>
                    <w:t>leadership</w:t>
                  </w:r>
                  <w:r>
                    <w:rPr>
                      <w:color w:val="58595B"/>
                      <w:spacing w:val="-11"/>
                    </w:rPr>
                    <w:t> </w:t>
                  </w:r>
                  <w:r>
                    <w:rPr>
                      <w:color w:val="58595B"/>
                    </w:rPr>
                    <w:t>and</w:t>
                  </w:r>
                  <w:r>
                    <w:rPr>
                      <w:color w:val="58595B"/>
                      <w:spacing w:val="-11"/>
                    </w:rPr>
                    <w:t> </w:t>
                  </w:r>
                  <w:r>
                    <w:rPr>
                      <w:color w:val="58595B"/>
                    </w:rPr>
                    <w:t>restorative</w:t>
                  </w:r>
                  <w:r>
                    <w:rPr>
                      <w:color w:val="58595B"/>
                      <w:spacing w:val="-11"/>
                    </w:rPr>
                    <w:t> </w:t>
                  </w:r>
                  <w:r>
                    <w:rPr>
                      <w:color w:val="58595B"/>
                      <w:spacing w:val="-3"/>
                    </w:rPr>
                    <w:t>action.</w:t>
                  </w:r>
                  <w:r>
                    <w:rPr>
                      <w:color w:val="58595B"/>
                      <w:spacing w:val="-3"/>
                      <w:position w:val="7"/>
                      <w:sz w:val="11"/>
                    </w:rPr>
                    <w:t>75 </w:t>
                  </w:r>
                  <w:r>
                    <w:rPr>
                      <w:color w:val="58595B"/>
                    </w:rPr>
                    <w:t>Under the EP Act, the </w:t>
                  </w:r>
                  <w:r>
                    <w:rPr>
                      <w:color w:val="58595B"/>
                      <w:spacing w:val="-5"/>
                    </w:rPr>
                    <w:t>EPA </w:t>
                  </w:r>
                  <w:r>
                    <w:rPr>
                      <w:color w:val="58595B"/>
                    </w:rPr>
                    <w:t>conducts community engagement and consultation in </w:t>
                  </w:r>
                  <w:r>
                    <w:rPr>
                      <w:color w:val="58595B"/>
                      <w:spacing w:val="-5"/>
                    </w:rPr>
                    <w:t>key </w:t>
                  </w:r>
                  <w:r>
                    <w:rPr>
                      <w:color w:val="58595B"/>
                    </w:rPr>
                    <w:t>decision making, standard-setting and policy processes, as </w:t>
                  </w:r>
                  <w:r>
                    <w:rPr>
                      <w:color w:val="58595B"/>
                      <w:spacing w:val="-3"/>
                    </w:rPr>
                    <w:t>well </w:t>
                  </w:r>
                  <w:r>
                    <w:rPr>
                      <w:color w:val="58595B"/>
                    </w:rPr>
                    <w:t>as conducting informal </w:t>
                  </w:r>
                  <w:r>
                    <w:rPr>
                      <w:color w:val="58595B"/>
                      <w:spacing w:val="-3"/>
                    </w:rPr>
                    <w:t>stakeholder engagement.</w:t>
                  </w:r>
                  <w:r>
                    <w:rPr>
                      <w:color w:val="58595B"/>
                      <w:spacing w:val="-3"/>
                      <w:position w:val="7"/>
                      <w:sz w:val="11"/>
                    </w:rPr>
                    <w:t>76</w:t>
                  </w:r>
                  <w:r>
                    <w:rPr>
                      <w:color w:val="58595B"/>
                      <w:spacing w:val="14"/>
                      <w:position w:val="7"/>
                      <w:sz w:val="11"/>
                    </w:rPr>
                    <w:t> </w:t>
                  </w:r>
                  <w:r>
                    <w:rPr>
                      <w:color w:val="58595B"/>
                    </w:rPr>
                    <w:t>The</w:t>
                  </w:r>
                  <w:r>
                    <w:rPr>
                      <w:color w:val="58595B"/>
                      <w:spacing w:val="-11"/>
                    </w:rPr>
                    <w:t> </w:t>
                  </w:r>
                  <w:r>
                    <w:rPr>
                      <w:color w:val="58595B"/>
                    </w:rPr>
                    <w:t>EP</w:t>
                  </w:r>
                  <w:r>
                    <w:rPr>
                      <w:color w:val="58595B"/>
                      <w:spacing w:val="-11"/>
                    </w:rPr>
                    <w:t> </w:t>
                  </w:r>
                  <w:r>
                    <w:rPr>
                      <w:color w:val="58595B"/>
                    </w:rPr>
                    <w:t>Act</w:t>
                  </w:r>
                  <w:r>
                    <w:rPr>
                      <w:color w:val="58595B"/>
                      <w:spacing w:val="-11"/>
                    </w:rPr>
                    <w:t> </w:t>
                  </w:r>
                  <w:r>
                    <w:rPr>
                      <w:color w:val="58595B"/>
                    </w:rPr>
                    <w:t>also</w:t>
                  </w:r>
                  <w:r>
                    <w:rPr>
                      <w:color w:val="58595B"/>
                      <w:spacing w:val="-11"/>
                    </w:rPr>
                    <w:t> </w:t>
                  </w:r>
                  <w:r>
                    <w:rPr>
                      <w:color w:val="58595B"/>
                    </w:rPr>
                    <w:t>includes</w:t>
                  </w:r>
                  <w:r>
                    <w:rPr>
                      <w:color w:val="58595B"/>
                      <w:spacing w:val="-11"/>
                    </w:rPr>
                    <w:t> </w:t>
                  </w:r>
                  <w:r>
                    <w:rPr>
                      <w:color w:val="58595B"/>
                    </w:rPr>
                    <w:t>some</w:t>
                  </w:r>
                  <w:r>
                    <w:rPr>
                      <w:color w:val="58595B"/>
                      <w:spacing w:val="-11"/>
                    </w:rPr>
                    <w:t> </w:t>
                  </w:r>
                  <w:r>
                    <w:rPr>
                      <w:color w:val="58595B"/>
                    </w:rPr>
                    <w:t>elements</w:t>
                  </w:r>
                  <w:r>
                    <w:rPr>
                      <w:color w:val="58595B"/>
                      <w:spacing w:val="-11"/>
                    </w:rPr>
                    <w:t> </w:t>
                  </w:r>
                  <w:r>
                    <w:rPr>
                      <w:color w:val="58595B"/>
                    </w:rPr>
                    <w:t>of</w:t>
                  </w:r>
                  <w:r>
                    <w:rPr>
                      <w:color w:val="58595B"/>
                      <w:spacing w:val="-11"/>
                    </w:rPr>
                    <w:t> </w:t>
                  </w:r>
                  <w:r>
                    <w:rPr>
                      <w:color w:val="58595B"/>
                    </w:rPr>
                    <w:t>restorative</w:t>
                  </w:r>
                  <w:r>
                    <w:rPr>
                      <w:color w:val="58595B"/>
                      <w:spacing w:val="-11"/>
                    </w:rPr>
                    <w:t> </w:t>
                  </w:r>
                  <w:r>
                    <w:rPr>
                      <w:color w:val="58595B"/>
                    </w:rPr>
                    <w:t>justice</w:t>
                  </w:r>
                  <w:r>
                    <w:rPr>
                      <w:color w:val="58595B"/>
                      <w:spacing w:val="-11"/>
                    </w:rPr>
                    <w:t> </w:t>
                  </w:r>
                  <w:r>
                    <w:rPr>
                      <w:color w:val="58595B"/>
                    </w:rPr>
                    <w:t>through</w:t>
                  </w:r>
                  <w:r>
                    <w:rPr>
                      <w:color w:val="58595B"/>
                      <w:spacing w:val="-11"/>
                    </w:rPr>
                    <w:t> </w:t>
                  </w:r>
                  <w:r>
                    <w:rPr>
                      <w:color w:val="58595B"/>
                    </w:rPr>
                    <w:t>enforceable undertakings</w:t>
                  </w:r>
                  <w:r>
                    <w:rPr>
                      <w:color w:val="58595B"/>
                      <w:spacing w:val="-13"/>
                    </w:rPr>
                    <w:t> </w:t>
                  </w:r>
                  <w:r>
                    <w:rPr>
                      <w:color w:val="58595B"/>
                    </w:rPr>
                    <w:t>and</w:t>
                  </w:r>
                  <w:r>
                    <w:rPr>
                      <w:color w:val="58595B"/>
                      <w:spacing w:val="-13"/>
                    </w:rPr>
                    <w:t> </w:t>
                  </w:r>
                  <w:r>
                    <w:rPr>
                      <w:color w:val="58595B"/>
                    </w:rPr>
                    <w:t>alternative</w:t>
                  </w:r>
                  <w:r>
                    <w:rPr>
                      <w:color w:val="58595B"/>
                      <w:spacing w:val="-13"/>
                    </w:rPr>
                    <w:t> </w:t>
                  </w:r>
                  <w:r>
                    <w:rPr>
                      <w:color w:val="58595B"/>
                    </w:rPr>
                    <w:t>sentencing</w:t>
                  </w:r>
                  <w:r>
                    <w:rPr>
                      <w:color w:val="58595B"/>
                      <w:spacing w:val="-13"/>
                    </w:rPr>
                    <w:t> </w:t>
                  </w:r>
                  <w:r>
                    <w:rPr>
                      <w:color w:val="58595B"/>
                    </w:rPr>
                    <w:t>orders</w:t>
                  </w:r>
                  <w:r>
                    <w:rPr>
                      <w:color w:val="58595B"/>
                      <w:spacing w:val="-13"/>
                    </w:rPr>
                    <w:t> </w:t>
                  </w:r>
                  <w:r>
                    <w:rPr>
                      <w:color w:val="58595B"/>
                    </w:rPr>
                    <w:t>for</w:t>
                  </w:r>
                  <w:r>
                    <w:rPr>
                      <w:color w:val="58595B"/>
                      <w:spacing w:val="-13"/>
                    </w:rPr>
                    <w:t> </w:t>
                  </w:r>
                  <w:r>
                    <w:rPr>
                      <w:color w:val="58595B"/>
                      <w:spacing w:val="-3"/>
                    </w:rPr>
                    <w:t>environmental</w:t>
                  </w:r>
                  <w:r>
                    <w:rPr>
                      <w:color w:val="58595B"/>
                      <w:spacing w:val="-14"/>
                    </w:rPr>
                    <w:t> </w:t>
                  </w:r>
                  <w:r>
                    <w:rPr>
                      <w:color w:val="58595B"/>
                    </w:rPr>
                    <w:t>offences.</w:t>
                  </w:r>
                  <w:r>
                    <w:rPr>
                      <w:color w:val="58595B"/>
                      <w:position w:val="7"/>
                      <w:sz w:val="11"/>
                    </w:rPr>
                    <w:t>77</w:t>
                  </w:r>
                </w:p>
              </w:txbxContent>
            </v:textbox>
            <w10:wrap type="none"/>
          </v:shape>
        </w:pict>
      </w:r>
      <w:r>
        <w:rPr/>
        <w:pict>
          <v:shape style="position:absolute;margin-left:89.708603pt;margin-top:626.550781pt;width:430.15pt;height:66pt;mso-position-horizontal-relative:page;mso-position-vertical-relative:page;z-index:-183856" type="#_x0000_t202" filled="false" stroked="false">
            <v:textbox inset="0,0,0,0">
              <w:txbxContent>
                <w:p>
                  <w:pPr>
                    <w:pStyle w:val="BodyText"/>
                    <w:spacing w:line="280" w:lineRule="auto"/>
                    <w:ind w:right="-20"/>
                  </w:pPr>
                  <w:r>
                    <w:rPr>
                      <w:color w:val="58595B"/>
                      <w:spacing w:val="-3"/>
                    </w:rPr>
                    <w:t>However, </w:t>
                  </w:r>
                  <w:r>
                    <w:rPr>
                      <w:color w:val="58595B"/>
                    </w:rPr>
                    <w:t>we consider access to information and processes for complaint and redress can be strengthened. This will require action by government (table </w:t>
                  </w:r>
                  <w:r>
                    <w:rPr>
                      <w:color w:val="58595B"/>
                      <w:spacing w:val="-12"/>
                    </w:rPr>
                    <w:t>7.1). </w:t>
                  </w:r>
                  <w:r>
                    <w:rPr>
                      <w:color w:val="58595B"/>
                    </w:rPr>
                    <w:t>We also consider there is a case for improving the timeliness and responsiveness of its business processes. In particular, we recommend the Government expand third </w:t>
                  </w:r>
                  <w:r>
                    <w:rPr>
                      <w:color w:val="58595B"/>
                      <w:spacing w:val="2"/>
                    </w:rPr>
                    <w:t>party </w:t>
                  </w:r>
                  <w:r>
                    <w:rPr>
                      <w:color w:val="58595B"/>
                    </w:rPr>
                    <w:t>rights, strengthen notification and reporting requirements, and invest in improved digital information and communication platforms.</w:t>
                  </w:r>
                </w:p>
              </w:txbxContent>
            </v:textbox>
            <w10:wrap type="none"/>
          </v:shape>
        </w:pict>
      </w:r>
      <w:r>
        <w:rPr/>
        <w:pict>
          <v:shape style="position:absolute;margin-left:534.996094pt;margin-top:44.090015pt;width:60.3pt;height:5.25pt;mso-position-horizontal-relative:page;mso-position-vertical-relative:page;z-index:-18383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380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83784" from=".0pt,45.840015pt" to="60.2791pt,45.840015pt" stroked="true" strokeweight="7pt" strokecolor="#0095a7">
            <w10:wrap type="none"/>
          </v:line>
        </w:pict>
      </w:r>
      <w:r>
        <w:rPr/>
        <w:pict>
          <v:shape style="position:absolute;margin-left:70.866005pt;margin-top:145.504974pt;width:433.75pt;height:17.9pt;mso-position-horizontal-relative:page;mso-position-vertical-relative:page;z-index:-183760" coordorigin="1417,2910" coordsize="8675,358" path="m10091,2910l8277,2910,3458,2910,1417,2910,1417,3268,3458,3268,8277,3268,10091,3268,10091,2910e" filled="true" fillcolor="#89bfcb" stroked="false">
            <v:path arrowok="t"/>
            <v:fill type="solid"/>
            <w10:wrap type="none"/>
          </v:shape>
        </w:pict>
      </w:r>
      <w:r>
        <w:rPr/>
        <w:pict>
          <v:group style="position:absolute;margin-left:70.741096pt;margin-top:189.202011pt;width:434pt;height:.25pt;mso-position-horizontal-relative:page;mso-position-vertical-relative:page;z-index:-183736" coordorigin="1415,3784" coordsize="8680,5">
            <v:line style="position:absolute" from="1417,3787" to="3458,3787" stroked="true" strokeweight=".25pt" strokecolor="#939598"/>
            <v:line style="position:absolute" from="3458,3787" to="8277,3787" stroked="true" strokeweight=".25pt" strokecolor="#939598"/>
            <v:line style="position:absolute" from="8277,3787" to="10091,3787" stroked="true" strokeweight=".25pt" strokecolor="#939598"/>
            <w10:wrap type="none"/>
          </v:group>
        </w:pict>
      </w:r>
      <w:r>
        <w:rPr/>
        <w:pict>
          <v:group style="position:absolute;margin-left:70.741096pt;margin-top:350.431427pt;width:434pt;height:.25pt;mso-position-horizontal-relative:page;mso-position-vertical-relative:page;z-index:-183712" coordorigin="1415,7009" coordsize="8680,5">
            <v:line style="position:absolute" from="1417,7011" to="3458,7011" stroked="true" strokeweight=".25pt" strokecolor="#939598"/>
            <v:line style="position:absolute" from="3458,7011" to="8277,7011" stroked="true" strokeweight=".25pt" strokecolor="#939598"/>
            <v:line style="position:absolute" from="8277,7011" to="10091,7011" stroked="true" strokeweight=".25pt" strokecolor="#939598"/>
            <w10:wrap type="none"/>
          </v:group>
        </w:pict>
      </w:r>
      <w:r>
        <w:rPr/>
        <w:pict>
          <v:group style="position:absolute;margin-left:70.741096pt;margin-top:398.487518pt;width:434pt;height:.25pt;mso-position-horizontal-relative:page;mso-position-vertical-relative:page;z-index:-183688" coordorigin="1415,7970" coordsize="8680,5">
            <v:line style="position:absolute" from="1417,7972" to="3458,7972" stroked="true" strokeweight=".25pt" strokecolor="#939598"/>
            <v:line style="position:absolute" from="3458,7972" to="8277,7972" stroked="true" strokeweight=".25pt" strokecolor="#939598"/>
            <v:line style="position:absolute" from="8277,7972" to="10091,7972" stroked="true" strokeweight=".25pt" strokecolor="#939598"/>
            <w10:wrap type="none"/>
          </v:group>
        </w:pict>
      </w:r>
      <w:r>
        <w:rPr/>
        <w:pict>
          <v:group style="position:absolute;margin-left:70.741096pt;margin-top:457.543701pt;width:434pt;height:.25pt;mso-position-horizontal-relative:page;mso-position-vertical-relative:page;z-index:-183664" coordorigin="1415,9151" coordsize="8680,5">
            <v:line style="position:absolute" from="1417,9153" to="3458,9153" stroked="true" strokeweight=".25pt" strokecolor="#939598"/>
            <v:line style="position:absolute" from="3458,9153" to="8277,9153" stroked="true" strokeweight=".25pt" strokecolor="#939598"/>
            <v:line style="position:absolute" from="8277,9153" to="10091,9153" stroked="true" strokeweight=".25pt" strokecolor="#939598"/>
            <w10:wrap type="none"/>
          </v:group>
        </w:pict>
      </w:r>
      <w:r>
        <w:rPr/>
        <w:pict>
          <v:group style="position:absolute;margin-left:70.741096pt;margin-top:494.599915pt;width:434pt;height:.25pt;mso-position-horizontal-relative:page;mso-position-vertical-relative:page;z-index:-183640" coordorigin="1415,9892" coordsize="8680,5">
            <v:line style="position:absolute" from="1417,9894" to="3458,9894" stroked="true" strokeweight=".25pt" strokecolor="#939598"/>
            <v:line style="position:absolute" from="3458,9894" to="8277,9894" stroked="true" strokeweight=".25pt" strokecolor="#939598"/>
            <v:line style="position:absolute" from="8277,9894" to="10091,9894" stroked="true" strokeweight=".25pt" strokecolor="#939598"/>
            <w10:wrap type="none"/>
          </v:group>
        </w:pict>
      </w:r>
      <w:r>
        <w:rPr/>
        <w:pict>
          <v:group style="position:absolute;margin-left:70.741096pt;margin-top:573.160034pt;width:434pt;height:.25pt;mso-position-horizontal-relative:page;mso-position-vertical-relative:page;z-index:-183616" coordorigin="1415,11463" coordsize="8680,5">
            <v:line style="position:absolute" from="1417,11466" to="3458,11466" stroked="true" strokeweight=".25pt" strokecolor="#939598"/>
            <v:line style="position:absolute" from="3458,11466" to="8277,11466" stroked="true" strokeweight=".25pt" strokecolor="#939598"/>
            <v:line style="position:absolute" from="8277,11466" to="10091,11466" stroked="true" strokeweight=".25pt" strokecolor="#939598"/>
            <w10:wrap type="none"/>
          </v:group>
        </w:pict>
      </w:r>
      <w:r>
        <w:rPr/>
        <w:pict>
          <v:group style="position:absolute;margin-left:70.741096pt;margin-top:599.216187pt;width:434pt;height:.25pt;mso-position-horizontal-relative:page;mso-position-vertical-relative:page;z-index:-183592" coordorigin="1415,11984" coordsize="8680,5">
            <v:line style="position:absolute" from="1417,11987" to="3458,11987" stroked="true" strokeweight=".25pt" strokecolor="#939598"/>
            <v:line style="position:absolute" from="3458,11987" to="8277,11987" stroked="true" strokeweight=".25pt" strokecolor="#939598"/>
            <v:line style="position:absolute" from="8277,11987" to="10091,11987" stroked="true" strokeweight=".25pt" strokecolor="#939598"/>
            <w10:wrap type="none"/>
          </v:group>
        </w:pict>
      </w:r>
      <w:r>
        <w:rPr/>
        <w:pict>
          <v:group style="position:absolute;margin-left:70.741096pt;margin-top:636.272400pt;width:434pt;height:.25pt;mso-position-horizontal-relative:page;mso-position-vertical-relative:page;z-index:-183568" coordorigin="1415,12725" coordsize="8680,5">
            <v:line style="position:absolute" from="1417,12728" to="3458,12728" stroked="true" strokeweight=".25pt" strokecolor="#939598"/>
            <v:line style="position:absolute" from="3458,12728" to="8277,12728" stroked="true" strokeweight=".25pt" strokecolor="#939598"/>
            <v:line style="position:absolute" from="8277,12728" to="10091,12728" stroked="true" strokeweight=".25pt" strokecolor="#939598"/>
            <w10:wrap type="none"/>
          </v:group>
        </w:pict>
      </w:r>
      <w:r>
        <w:rPr/>
        <w:pict>
          <v:group style="position:absolute;margin-left:70.741096pt;margin-top:692.83252pt;width:434pt;height:.25pt;mso-position-horizontal-relative:page;mso-position-vertical-relative:page;z-index:-183544" coordorigin="1415,13857" coordsize="8680,5">
            <v:line style="position:absolute" from="1417,13859" to="3458,13859" stroked="true" strokeweight=".25pt" strokecolor="#939598"/>
            <v:line style="position:absolute" from="3458,13859" to="8277,13859" stroked="true" strokeweight=".25pt" strokecolor="#939598"/>
            <v:line style="position:absolute" from="8277,13859" to="10091,13859" stroked="true" strokeweight=".25pt" strokecolor="#939598"/>
            <w10:wrap type="none"/>
          </v:group>
        </w:pict>
      </w:r>
      <w:r>
        <w:rPr/>
        <w:pict>
          <v:group style="position:absolute;margin-left:70.741096pt;margin-top:740.888733pt;width:434pt;height:.25pt;mso-position-horizontal-relative:page;mso-position-vertical-relative:page;z-index:-183520" coordorigin="1415,14818" coordsize="8680,5">
            <v:line style="position:absolute" from="1417,14820" to="3458,14820" stroked="true" strokeweight=".25pt" strokecolor="#939598"/>
            <v:line style="position:absolute" from="3458,14820" to="8277,14820" stroked="true" strokeweight=".25pt" strokecolor="#939598"/>
            <v:line style="position:absolute" from="8277,14820" to="10091,14820" stroked="true" strokeweight=".25pt" strokecolor="#939598"/>
            <w10:wrap type="none"/>
          </v:group>
        </w:pict>
      </w:r>
      <w:r>
        <w:rPr/>
        <w:pict>
          <v:shape style="position:absolute;margin-left:69.866096pt;margin-top:40.902756pt;width:14.45pt;height:9.5pt;mso-position-horizontal-relative:page;mso-position-vertical-relative:page;z-index:-183496" type="#_x0000_t202" filled="false" stroked="false">
            <v:textbox inset="0,0,0,0">
              <w:txbxContent>
                <w:p>
                  <w:pPr>
                    <w:spacing w:before="1"/>
                    <w:ind w:left="20" w:right="-2" w:firstLine="0"/>
                    <w:jc w:val="left"/>
                    <w:rPr>
                      <w:sz w:val="15"/>
                    </w:rPr>
                  </w:pPr>
                  <w:r>
                    <w:rPr>
                      <w:color w:val="58595B"/>
                      <w:sz w:val="15"/>
                    </w:rPr>
                    <w:t>146</w:t>
                  </w:r>
                </w:p>
              </w:txbxContent>
            </v:textbox>
            <w10:wrap type="none"/>
          </v:shape>
        </w:pict>
      </w:r>
      <w:r>
        <w:rPr/>
        <w:pict>
          <v:shape style="position:absolute;margin-left:95.377899pt;margin-top:40.902756pt;width:147.75pt;height:9.5pt;mso-position-horizontal-relative:page;mso-position-vertical-relative:page;z-index:-18347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25.5pt;height:25.5pt;mso-position-horizontal-relative:page;mso-position-vertical-relative:page;z-index:-183448" type="#_x0000_t202" filled="false" stroked="false">
            <v:textbox inset="0,0,0,0">
              <w:txbxContent>
                <w:p>
                  <w:pPr>
                    <w:pStyle w:val="BodyText"/>
                    <w:spacing w:line="280" w:lineRule="auto"/>
                    <w:ind w:right="15"/>
                  </w:pPr>
                  <w:r>
                    <w:rPr>
                      <w:b/>
                      <w:color w:val="0095A7"/>
                      <w:spacing w:val="-4"/>
                    </w:rPr>
                    <w:t>TABLE </w:t>
                  </w:r>
                  <w:r>
                    <w:rPr>
                      <w:b/>
                      <w:color w:val="0095A7"/>
                      <w:spacing w:val="-13"/>
                    </w:rPr>
                    <w:t>7.1: </w:t>
                  </w:r>
                  <w:r>
                    <w:rPr>
                      <w:color w:val="0095A7"/>
                    </w:rPr>
                    <w:t>PROPOSALS STRENGTHENING </w:t>
                  </w:r>
                  <w:r>
                    <w:rPr>
                      <w:color w:val="0095A7"/>
                      <w:spacing w:val="-6"/>
                    </w:rPr>
                    <w:t>EPA’S </w:t>
                  </w:r>
                  <w:r>
                    <w:rPr>
                      <w:color w:val="0095A7"/>
                      <w:spacing w:val="-4"/>
                    </w:rPr>
                    <w:t>REGULATORY </w:t>
                  </w:r>
                  <w:r>
                    <w:rPr>
                      <w:color w:val="0095A7"/>
                    </w:rPr>
                    <w:t>PRACTICE CONSISTENT WITH </w:t>
                  </w:r>
                  <w:r>
                    <w:rPr>
                      <w:color w:val="0095A7"/>
                      <w:spacing w:val="-3"/>
                    </w:rPr>
                    <w:t>ENVIRONMENTAL </w:t>
                  </w:r>
                  <w:r>
                    <w:rPr>
                      <w:color w:val="0095A7"/>
                    </w:rPr>
                    <w:t>JUSTICE</w:t>
                  </w:r>
                </w:p>
              </w:txbxContent>
            </v:textbox>
            <w10:wrap type="none"/>
          </v:shape>
        </w:pict>
      </w:r>
      <w:r>
        <w:rPr/>
        <w:pict>
          <v:shape style="position:absolute;margin-left:72.709801pt;margin-top:165.777679pt;width:78.9pt;height:11pt;mso-position-horizontal-relative:page;mso-position-vertical-relative:page;z-index:-183424" type="#_x0000_t202" filled="false" stroked="false">
            <v:textbox inset="0,0,0,0">
              <w:txbxContent>
                <w:p>
                  <w:pPr>
                    <w:spacing w:line="204" w:lineRule="exact" w:before="0"/>
                    <w:ind w:left="20" w:right="0" w:firstLine="0"/>
                    <w:jc w:val="left"/>
                    <w:rPr>
                      <w:b/>
                      <w:sz w:val="18"/>
                    </w:rPr>
                  </w:pPr>
                  <w:r>
                    <w:rPr>
                      <w:b/>
                      <w:color w:val="58595B"/>
                      <w:sz w:val="18"/>
                    </w:rPr>
                    <w:t>Objective for EPA</w:t>
                  </w:r>
                </w:p>
              </w:txbxContent>
            </v:textbox>
            <w10:wrap type="none"/>
          </v:shape>
        </w:pict>
      </w:r>
      <w:r>
        <w:rPr/>
        <w:pict>
          <v:shape style="position:absolute;margin-left:174.760803pt;margin-top:165.777679pt;width:234.25pt;height:22pt;mso-position-horizontal-relative:page;mso-position-vertical-relative:page;z-index:-183400" type="#_x0000_t202" filled="false" stroked="false">
            <v:textbox inset="0,0,0,0">
              <w:txbxContent>
                <w:p>
                  <w:pPr>
                    <w:spacing w:line="254" w:lineRule="auto" w:before="0"/>
                    <w:ind w:left="20" w:right="0" w:firstLine="0"/>
                    <w:jc w:val="left"/>
                    <w:rPr>
                      <w:sz w:val="18"/>
                    </w:rPr>
                  </w:pPr>
                  <w:r>
                    <w:rPr>
                      <w:color w:val="58595B"/>
                      <w:sz w:val="18"/>
                    </w:rPr>
                    <w:t>Revise objective for the </w:t>
                  </w:r>
                  <w:r>
                    <w:rPr>
                      <w:color w:val="58595B"/>
                      <w:spacing w:val="-4"/>
                      <w:sz w:val="18"/>
                    </w:rPr>
                    <w:t>EPA </w:t>
                  </w:r>
                  <w:r>
                    <w:rPr>
                      <w:color w:val="58595B"/>
                      <w:sz w:val="18"/>
                    </w:rPr>
                    <w:t>in the establishment Act incorporating</w:t>
                  </w:r>
                  <w:r>
                    <w:rPr>
                      <w:color w:val="58595B"/>
                      <w:spacing w:val="-10"/>
                      <w:sz w:val="18"/>
                    </w:rPr>
                    <w:t> </w:t>
                  </w:r>
                  <w:r>
                    <w:rPr>
                      <w:color w:val="58595B"/>
                      <w:sz w:val="18"/>
                    </w:rPr>
                    <w:t>specific</w:t>
                  </w:r>
                  <w:r>
                    <w:rPr>
                      <w:color w:val="58595B"/>
                      <w:spacing w:val="-10"/>
                      <w:sz w:val="18"/>
                    </w:rPr>
                    <w:t> </w:t>
                  </w:r>
                  <w:r>
                    <w:rPr>
                      <w:color w:val="58595B"/>
                      <w:sz w:val="18"/>
                    </w:rPr>
                    <w:t>reference</w:t>
                  </w:r>
                  <w:r>
                    <w:rPr>
                      <w:color w:val="58595B"/>
                      <w:spacing w:val="-10"/>
                      <w:sz w:val="18"/>
                    </w:rPr>
                    <w:t> </w:t>
                  </w:r>
                  <w:r>
                    <w:rPr>
                      <w:color w:val="58595B"/>
                      <w:sz w:val="18"/>
                    </w:rPr>
                    <w:t>to</w:t>
                  </w:r>
                  <w:r>
                    <w:rPr>
                      <w:color w:val="58595B"/>
                      <w:spacing w:val="-10"/>
                      <w:sz w:val="18"/>
                    </w:rPr>
                    <w:t> </w:t>
                  </w:r>
                  <w:r>
                    <w:rPr>
                      <w:color w:val="58595B"/>
                      <w:sz w:val="18"/>
                    </w:rPr>
                    <w:t>protecting</w:t>
                  </w:r>
                  <w:r>
                    <w:rPr>
                      <w:color w:val="58595B"/>
                      <w:spacing w:val="-10"/>
                      <w:sz w:val="18"/>
                    </w:rPr>
                    <w:t> </w:t>
                  </w:r>
                  <w:r>
                    <w:rPr>
                      <w:color w:val="58595B"/>
                      <w:sz w:val="18"/>
                    </w:rPr>
                    <w:t>human</w:t>
                  </w:r>
                  <w:r>
                    <w:rPr>
                      <w:color w:val="58595B"/>
                      <w:spacing w:val="-10"/>
                      <w:sz w:val="18"/>
                    </w:rPr>
                    <w:t> </w:t>
                  </w:r>
                  <w:r>
                    <w:rPr>
                      <w:color w:val="58595B"/>
                      <w:sz w:val="18"/>
                    </w:rPr>
                    <w:t>health</w:t>
                  </w:r>
                </w:p>
              </w:txbxContent>
            </v:textbox>
            <w10:wrap type="none"/>
          </v:shape>
        </w:pict>
      </w:r>
      <w:r>
        <w:rPr/>
        <w:pict>
          <v:shape style="position:absolute;margin-left:424.213806pt;margin-top:165.777679pt;width:41.7pt;height:11pt;mso-position-horizontal-relative:page;mso-position-vertical-relative:page;z-index:-183376" type="#_x0000_t202" filled="false" stroked="false">
            <v:textbox inset="0,0,0,0">
              <w:txbxContent>
                <w:p>
                  <w:pPr>
                    <w:spacing w:line="204" w:lineRule="exact" w:before="0"/>
                    <w:ind w:left="20" w:right="0" w:firstLine="0"/>
                    <w:jc w:val="left"/>
                    <w:rPr>
                      <w:sz w:val="18"/>
                    </w:rPr>
                  </w:pPr>
                  <w:r>
                    <w:rPr>
                      <w:color w:val="58595B"/>
                      <w:sz w:val="18"/>
                    </w:rPr>
                    <w:t>Chapter 5</w:t>
                  </w:r>
                </w:p>
              </w:txbxContent>
            </v:textbox>
            <w10:wrap type="none"/>
          </v:shape>
        </w:pict>
      </w:r>
      <w:r>
        <w:rPr/>
        <w:pict>
          <v:shape style="position:absolute;margin-left:72.718803pt;margin-top:191.832687pt;width:81.05pt;height:22pt;mso-position-horizontal-relative:page;mso-position-vertical-relative:page;z-index:-183352" type="#_x0000_t202" filled="false" stroked="false">
            <v:textbox inset="0,0,0,0">
              <w:txbxContent>
                <w:p>
                  <w:pPr>
                    <w:spacing w:line="254" w:lineRule="auto" w:before="0"/>
                    <w:ind w:left="20" w:right="0" w:firstLine="0"/>
                    <w:jc w:val="left"/>
                    <w:rPr>
                      <w:b/>
                      <w:sz w:val="18"/>
                    </w:rPr>
                  </w:pPr>
                  <w:r>
                    <w:rPr>
                      <w:b/>
                      <w:color w:val="58595B"/>
                      <w:sz w:val="18"/>
                    </w:rPr>
                    <w:t>Decision making principles for EPA</w:t>
                  </w:r>
                </w:p>
              </w:txbxContent>
            </v:textbox>
            <w10:wrap type="none"/>
          </v:shape>
        </w:pict>
      </w:r>
      <w:r>
        <w:rPr/>
        <w:pict>
          <v:shape style="position:absolute;margin-left:174.769806pt;margin-top:191.832687pt;width:225.25pt;height:33pt;mso-position-horizontal-relative:page;mso-position-vertical-relative:page;z-index:-183328" type="#_x0000_t202" filled="false" stroked="false">
            <v:textbox inset="0,0,0,0">
              <w:txbxContent>
                <w:p>
                  <w:pPr>
                    <w:spacing w:line="254" w:lineRule="auto" w:before="0"/>
                    <w:ind w:left="20" w:right="0" w:firstLine="0"/>
                    <w:jc w:val="left"/>
                    <w:rPr>
                      <w:sz w:val="18"/>
                    </w:rPr>
                  </w:pPr>
                  <w:r>
                    <w:rPr>
                      <w:color w:val="58595B"/>
                      <w:sz w:val="18"/>
                    </w:rPr>
                    <w:t>Revise principles for EPA decision making in the establishment Act, including the following elements that support environmental justice outcomes:</w:t>
                  </w:r>
                </w:p>
              </w:txbxContent>
            </v:textbox>
            <w10:wrap type="none"/>
          </v:shape>
        </w:pict>
      </w:r>
      <w:r>
        <w:rPr/>
        <w:pict>
          <v:shape style="position:absolute;margin-left:424.231812pt;margin-top:191.814682pt;width:41.7pt;height:11pt;mso-position-horizontal-relative:page;mso-position-vertical-relative:page;z-index:-183304" type="#_x0000_t202" filled="false" stroked="false">
            <v:textbox inset="0,0,0,0">
              <w:txbxContent>
                <w:p>
                  <w:pPr>
                    <w:spacing w:line="204" w:lineRule="exact" w:before="0"/>
                    <w:ind w:left="20" w:right="0" w:firstLine="0"/>
                    <w:jc w:val="left"/>
                    <w:rPr>
                      <w:sz w:val="18"/>
                    </w:rPr>
                  </w:pPr>
                  <w:r>
                    <w:rPr>
                      <w:color w:val="58595B"/>
                      <w:sz w:val="18"/>
                    </w:rPr>
                    <w:t>Chapter 5</w:t>
                  </w:r>
                </w:p>
              </w:txbxContent>
            </v:textbox>
            <w10:wrap type="none"/>
          </v:shape>
        </w:pict>
      </w:r>
      <w:r>
        <w:rPr/>
        <w:pict>
          <v:shape style="position:absolute;margin-left:174.769806pt;margin-top:227.661682pt;width:5.15pt;height:11pt;mso-position-horizontal-relative:page;mso-position-vertical-relative:page;z-index:-183280" type="#_x0000_t202" filled="false" stroked="false">
            <v:textbox inset="0,0,0,0">
              <w:txbxContent>
                <w:p>
                  <w:pPr>
                    <w:spacing w:line="204" w:lineRule="exact" w:before="0"/>
                    <w:ind w:left="20" w:right="0" w:firstLine="0"/>
                    <w:jc w:val="left"/>
                    <w:rPr>
                      <w:sz w:val="18"/>
                    </w:rPr>
                  </w:pPr>
                  <w:r>
                    <w:rPr>
                      <w:color w:val="58595B"/>
                      <w:sz w:val="18"/>
                    </w:rPr>
                    <w:t>•</w:t>
                  </w:r>
                </w:p>
              </w:txbxContent>
            </v:textbox>
            <w10:wrap type="none"/>
          </v:shape>
        </w:pict>
      </w:r>
      <w:r>
        <w:rPr/>
        <w:pict>
          <v:shape style="position:absolute;margin-left:186.109802pt;margin-top:227.661682pt;width:225.9pt;height:121.35pt;mso-position-horizontal-relative:page;mso-position-vertical-relative:page;z-index:-183256" type="#_x0000_t202" filled="false" stroked="false">
            <v:textbox inset="0,0,0,0">
              <w:txbxContent>
                <w:p>
                  <w:pPr>
                    <w:spacing w:line="254" w:lineRule="auto" w:before="0"/>
                    <w:ind w:left="20" w:right="0" w:firstLine="0"/>
                    <w:jc w:val="left"/>
                    <w:rPr>
                      <w:sz w:val="18"/>
                    </w:rPr>
                  </w:pPr>
                  <w:r>
                    <w:rPr>
                      <w:color w:val="58595B"/>
                      <w:sz w:val="18"/>
                    </w:rPr>
                    <w:t>Intra- and intergenerational equity, including recognition as the overarching aim of environmental justice</w:t>
                  </w:r>
                </w:p>
                <w:p>
                  <w:pPr>
                    <w:spacing w:before="57"/>
                    <w:ind w:left="20" w:right="0" w:firstLine="0"/>
                    <w:jc w:val="left"/>
                    <w:rPr>
                      <w:sz w:val="18"/>
                    </w:rPr>
                  </w:pPr>
                  <w:r>
                    <w:rPr>
                      <w:color w:val="58595B"/>
                      <w:sz w:val="18"/>
                    </w:rPr>
                    <w:t>Primacy of prevention</w:t>
                  </w:r>
                </w:p>
                <w:p>
                  <w:pPr>
                    <w:spacing w:line="254" w:lineRule="auto" w:before="69"/>
                    <w:ind w:left="20" w:right="0" w:firstLine="0"/>
                    <w:jc w:val="left"/>
                    <w:rPr>
                      <w:sz w:val="18"/>
                    </w:rPr>
                  </w:pPr>
                  <w:r>
                    <w:rPr>
                      <w:color w:val="58595B"/>
                      <w:sz w:val="18"/>
                    </w:rPr>
                    <w:t>Shared responsibility, including recognising the importance of the polluter pays principle</w:t>
                  </w:r>
                </w:p>
                <w:p>
                  <w:pPr>
                    <w:spacing w:line="254" w:lineRule="auto" w:before="57"/>
                    <w:ind w:left="20" w:right="105" w:firstLine="0"/>
                    <w:jc w:val="left"/>
                    <w:rPr>
                      <w:sz w:val="18"/>
                    </w:rPr>
                  </w:pPr>
                  <w:r>
                    <w:rPr>
                      <w:color w:val="58595B"/>
                      <w:sz w:val="18"/>
                    </w:rPr>
                    <w:t>Precautionary principle, accounting for the importance of evidence-based decision making</w:t>
                  </w:r>
                </w:p>
                <w:p>
                  <w:pPr>
                    <w:spacing w:line="254" w:lineRule="auto" w:before="57"/>
                    <w:ind w:left="20" w:right="105" w:firstLine="0"/>
                    <w:jc w:val="left"/>
                    <w:rPr>
                      <w:sz w:val="18"/>
                    </w:rPr>
                  </w:pPr>
                  <w:r>
                    <w:rPr>
                      <w:color w:val="58595B"/>
                      <w:sz w:val="18"/>
                    </w:rPr>
                    <w:t>Accountability and access to decision making, noting the importance of procedural fairness, transparency and access to information</w:t>
                  </w:r>
                </w:p>
              </w:txbxContent>
            </v:textbox>
            <w10:wrap type="none"/>
          </v:shape>
        </w:pict>
      </w:r>
      <w:r>
        <w:rPr/>
        <w:pict>
          <v:shape style="position:absolute;margin-left:174.769806pt;margin-top:252.492676pt;width:5.15pt;height:24.85pt;mso-position-horizontal-relative:page;mso-position-vertical-relative:page;z-index:-183232" type="#_x0000_t202" filled="false" stroked="false">
            <v:textbox inset="0,0,0,0">
              <w:txbxContent>
                <w:p>
                  <w:pPr>
                    <w:spacing w:line="204" w:lineRule="exact" w:before="0"/>
                    <w:ind w:left="20" w:right="0" w:firstLine="0"/>
                    <w:jc w:val="left"/>
                    <w:rPr>
                      <w:sz w:val="18"/>
                    </w:rPr>
                  </w:pPr>
                  <w:r>
                    <w:rPr>
                      <w:color w:val="58595B"/>
                      <w:sz w:val="18"/>
                    </w:rPr>
                    <w:t>•</w:t>
                  </w:r>
                </w:p>
                <w:p>
                  <w:pPr>
                    <w:spacing w:before="69"/>
                    <w:ind w:left="20" w:right="0" w:firstLine="0"/>
                    <w:jc w:val="left"/>
                    <w:rPr>
                      <w:sz w:val="18"/>
                    </w:rPr>
                  </w:pPr>
                  <w:r>
                    <w:rPr>
                      <w:color w:val="58595B"/>
                      <w:sz w:val="18"/>
                    </w:rPr>
                    <w:t>•</w:t>
                  </w:r>
                </w:p>
              </w:txbxContent>
            </v:textbox>
            <w10:wrap type="none"/>
          </v:shape>
        </w:pict>
      </w:r>
      <w:r>
        <w:rPr/>
        <w:pict>
          <v:shape style="position:absolute;margin-left:174.769806pt;margin-top:291.156677pt;width:5.15pt;height:11pt;mso-position-horizontal-relative:page;mso-position-vertical-relative:page;z-index:-183208" type="#_x0000_t202" filled="false" stroked="false">
            <v:textbox inset="0,0,0,0">
              <w:txbxContent>
                <w:p>
                  <w:pPr>
                    <w:spacing w:line="204" w:lineRule="exact" w:before="0"/>
                    <w:ind w:left="20" w:right="0" w:firstLine="0"/>
                    <w:jc w:val="left"/>
                    <w:rPr>
                      <w:sz w:val="18"/>
                    </w:rPr>
                  </w:pPr>
                  <w:r>
                    <w:rPr>
                      <w:color w:val="58595B"/>
                      <w:sz w:val="18"/>
                    </w:rPr>
                    <w:t>•</w:t>
                  </w:r>
                </w:p>
              </w:txbxContent>
            </v:textbox>
            <w10:wrap type="none"/>
          </v:shape>
        </w:pict>
      </w:r>
      <w:r>
        <w:rPr/>
        <w:pict>
          <v:shape style="position:absolute;margin-left:174.778793pt;margin-top:315.987671pt;width:5.15pt;height:11pt;mso-position-horizontal-relative:page;mso-position-vertical-relative:page;z-index:-183184" type="#_x0000_t202" filled="false" stroked="false">
            <v:textbox inset="0,0,0,0">
              <w:txbxContent>
                <w:p>
                  <w:pPr>
                    <w:spacing w:line="204" w:lineRule="exact" w:before="0"/>
                    <w:ind w:left="20" w:right="0" w:firstLine="0"/>
                    <w:jc w:val="left"/>
                    <w:rPr>
                      <w:sz w:val="18"/>
                    </w:rPr>
                  </w:pPr>
                  <w:r>
                    <w:rPr>
                      <w:color w:val="58595B"/>
                      <w:sz w:val="18"/>
                    </w:rPr>
                    <w:t>•</w:t>
                  </w:r>
                </w:p>
              </w:txbxContent>
            </v:textbox>
            <w10:wrap type="none"/>
          </v:shape>
        </w:pict>
      </w:r>
      <w:r>
        <w:rPr/>
        <w:pict>
          <v:shape style="position:absolute;margin-left:72.736801pt;margin-top:353.04068pt;width:87.4pt;height:22pt;mso-position-horizontal-relative:page;mso-position-vertical-relative:page;z-index:-183160" type="#_x0000_t202" filled="false" stroked="false">
            <v:textbox inset="0,0,0,0">
              <w:txbxContent>
                <w:p>
                  <w:pPr>
                    <w:spacing w:line="254" w:lineRule="auto" w:before="0"/>
                    <w:ind w:left="20" w:right="0" w:firstLine="0"/>
                    <w:jc w:val="left"/>
                    <w:rPr>
                      <w:b/>
                      <w:sz w:val="18"/>
                    </w:rPr>
                  </w:pPr>
                  <w:r>
                    <w:rPr>
                      <w:b/>
                      <w:color w:val="58595B"/>
                      <w:sz w:val="18"/>
                    </w:rPr>
                    <w:t>Addressing risks to public health</w:t>
                  </w:r>
                </w:p>
              </w:txbxContent>
            </v:textbox>
            <w10:wrap type="none"/>
          </v:shape>
        </w:pict>
      </w:r>
      <w:r>
        <w:rPr/>
        <w:pict>
          <v:shape style="position:absolute;margin-left:174.787796pt;margin-top:353.04068pt;width:237.1pt;height:44pt;mso-position-horizontal-relative:page;mso-position-vertical-relative:page;z-index:-183136" type="#_x0000_t202" filled="false" stroked="false">
            <v:textbox inset="0,0,0,0">
              <w:txbxContent>
                <w:p>
                  <w:pPr>
                    <w:spacing w:line="254" w:lineRule="auto" w:before="0"/>
                    <w:ind w:left="20" w:right="0" w:firstLine="0"/>
                    <w:jc w:val="left"/>
                    <w:rPr>
                      <w:sz w:val="18"/>
                    </w:rPr>
                  </w:pPr>
                  <w:r>
                    <w:rPr>
                      <w:color w:val="58595B"/>
                      <w:sz w:val="18"/>
                    </w:rPr>
                    <w:t>Focus on preventing pollution and waste impacts on public health through a range of interventions dealing with risk relating to: asbestos, chemicals and other pollutants, site contamination, air quality and water quality</w:t>
                  </w:r>
                </w:p>
              </w:txbxContent>
            </v:textbox>
            <w10:wrap type="none"/>
          </v:shape>
        </w:pict>
      </w:r>
      <w:r>
        <w:rPr/>
        <w:pict>
          <v:shape style="position:absolute;margin-left:424.240814pt;margin-top:353.031677pt;width:45.95pt;height:11pt;mso-position-horizontal-relative:page;mso-position-vertical-relative:page;z-index:-183112" type="#_x0000_t202" filled="false" stroked="false">
            <v:textbox inset="0,0,0,0">
              <w:txbxContent>
                <w:p>
                  <w:pPr>
                    <w:spacing w:line="204" w:lineRule="exact" w:before="0"/>
                    <w:ind w:left="20" w:right="-12" w:firstLine="0"/>
                    <w:jc w:val="left"/>
                    <w:rPr>
                      <w:sz w:val="18"/>
                    </w:rPr>
                  </w:pPr>
                  <w:r>
                    <w:rPr>
                      <w:color w:val="58595B"/>
                      <w:sz w:val="18"/>
                    </w:rPr>
                    <w:t>Chapter 11</w:t>
                  </w:r>
                </w:p>
              </w:txbxContent>
            </v:textbox>
            <w10:wrap type="none"/>
          </v:shape>
        </w:pict>
      </w:r>
      <w:r>
        <w:rPr/>
        <w:pict>
          <v:shape style="position:absolute;margin-left:72.745796pt;margin-top:401.091675pt;width:95.75pt;height:22pt;mso-position-horizontal-relative:page;mso-position-vertical-relative:page;z-index:-183088" type="#_x0000_t202" filled="false" stroked="false">
            <v:textbox inset="0,0,0,0">
              <w:txbxContent>
                <w:p>
                  <w:pPr>
                    <w:spacing w:line="254" w:lineRule="auto" w:before="0"/>
                    <w:ind w:left="20" w:right="0" w:firstLine="0"/>
                    <w:jc w:val="left"/>
                    <w:rPr>
                      <w:b/>
                      <w:sz w:val="18"/>
                    </w:rPr>
                  </w:pPr>
                  <w:r>
                    <w:rPr>
                      <w:b/>
                      <w:color w:val="58595B"/>
                      <w:sz w:val="18"/>
                    </w:rPr>
                    <w:t>Enhancing local response capabilities</w:t>
                  </w:r>
                </w:p>
              </w:txbxContent>
            </v:textbox>
            <w10:wrap type="none"/>
          </v:shape>
        </w:pict>
      </w:r>
      <w:r>
        <w:rPr/>
        <w:pict>
          <v:shape style="position:absolute;margin-left:174.796799pt;margin-top:401.091675pt;width:227.05pt;height:55pt;mso-position-horizontal-relative:page;mso-position-vertical-relative:page;z-index:-183064" type="#_x0000_t202" filled="false" stroked="false">
            <v:textbox inset="0,0,0,0">
              <w:txbxContent>
                <w:p>
                  <w:pPr>
                    <w:spacing w:line="254" w:lineRule="auto" w:before="0"/>
                    <w:ind w:left="20" w:right="431" w:firstLine="0"/>
                    <w:jc w:val="left"/>
                    <w:rPr>
                      <w:sz w:val="18"/>
                    </w:rPr>
                  </w:pPr>
                  <w:r>
                    <w:rPr>
                      <w:color w:val="58595B"/>
                      <w:sz w:val="18"/>
                    </w:rPr>
                    <w:t>Enhance local response capabilities by funding and empowering local governments to deploy</w:t>
                  </w:r>
                  <w:r>
                    <w:rPr>
                      <w:color w:val="58595B"/>
                      <w:spacing w:val="29"/>
                      <w:sz w:val="18"/>
                    </w:rPr>
                    <w:t> </w:t>
                  </w:r>
                  <w:r>
                    <w:rPr>
                      <w:color w:val="58595B"/>
                      <w:sz w:val="18"/>
                    </w:rPr>
                    <w:t>local</w:t>
                  </w:r>
                </w:p>
                <w:p>
                  <w:pPr>
                    <w:spacing w:line="254" w:lineRule="auto" w:before="1"/>
                    <w:ind w:left="20" w:right="0" w:firstLine="0"/>
                    <w:jc w:val="left"/>
                    <w:rPr>
                      <w:sz w:val="18"/>
                    </w:rPr>
                  </w:pPr>
                  <w:r>
                    <w:rPr>
                      <w:color w:val="58595B"/>
                      <w:sz w:val="18"/>
                    </w:rPr>
                    <w:t>environmental protection officers with increased powers to address localised pollution and waste complaints</w:t>
                  </w:r>
                </w:p>
                <w:p>
                  <w:pPr>
                    <w:spacing w:before="1"/>
                    <w:ind w:left="20" w:right="431" w:firstLine="0"/>
                    <w:jc w:val="left"/>
                    <w:rPr>
                      <w:sz w:val="18"/>
                    </w:rPr>
                  </w:pPr>
                  <w:r>
                    <w:rPr>
                      <w:color w:val="58595B"/>
                      <w:sz w:val="18"/>
                    </w:rPr>
                    <w:t>and issues</w:t>
                  </w:r>
                </w:p>
              </w:txbxContent>
            </v:textbox>
            <w10:wrap type="none"/>
          </v:shape>
        </w:pict>
      </w:r>
      <w:r>
        <w:rPr/>
        <w:pict>
          <v:shape style="position:absolute;margin-left:424.249786pt;margin-top:401.082672pt;width:46.45pt;height:11pt;mso-position-horizontal-relative:page;mso-position-vertical-relative:page;z-index:-183040" type="#_x0000_t202" filled="false" stroked="false">
            <v:textbox inset="0,0,0,0">
              <w:txbxContent>
                <w:p>
                  <w:pPr>
                    <w:spacing w:line="204" w:lineRule="exact" w:before="0"/>
                    <w:ind w:left="20" w:right="-2" w:firstLine="0"/>
                    <w:jc w:val="left"/>
                    <w:rPr>
                      <w:sz w:val="18"/>
                    </w:rPr>
                  </w:pPr>
                  <w:r>
                    <w:rPr>
                      <w:color w:val="58595B"/>
                      <w:sz w:val="18"/>
                    </w:rPr>
                    <w:t>Chapter 18</w:t>
                  </w:r>
                </w:p>
              </w:txbxContent>
            </v:textbox>
            <w10:wrap type="none"/>
          </v:shape>
        </w:pict>
      </w:r>
      <w:r>
        <w:rPr/>
        <w:pict>
          <v:shape style="position:absolute;margin-left:72.754799pt;margin-top:460.140686pt;width:82.8pt;height:11pt;mso-position-horizontal-relative:page;mso-position-vertical-relative:page;z-index:-183016" type="#_x0000_t202" filled="false" stroked="false">
            <v:textbox inset="0,0,0,0">
              <w:txbxContent>
                <w:p>
                  <w:pPr>
                    <w:spacing w:line="204" w:lineRule="exact" w:before="0"/>
                    <w:ind w:left="20" w:right="0" w:firstLine="0"/>
                    <w:jc w:val="left"/>
                    <w:rPr>
                      <w:b/>
                      <w:sz w:val="18"/>
                    </w:rPr>
                  </w:pPr>
                  <w:r>
                    <w:rPr>
                      <w:b/>
                      <w:color w:val="58595B"/>
                      <w:sz w:val="18"/>
                    </w:rPr>
                    <w:t>Land use planning</w:t>
                  </w:r>
                </w:p>
              </w:txbxContent>
            </v:textbox>
            <w10:wrap type="none"/>
          </v:shape>
        </w:pict>
      </w:r>
      <w:r>
        <w:rPr/>
        <w:pict>
          <v:shape style="position:absolute;margin-left:174.805801pt;margin-top:460.140686pt;width:228.4pt;height:33pt;mso-position-horizontal-relative:page;mso-position-vertical-relative:page;z-index:-182992" type="#_x0000_t202" filled="false" stroked="false">
            <v:textbox inset="0,0,0,0">
              <w:txbxContent>
                <w:p>
                  <w:pPr>
                    <w:spacing w:line="254" w:lineRule="auto" w:before="0"/>
                    <w:ind w:left="20" w:right="0" w:firstLine="0"/>
                    <w:jc w:val="left"/>
                    <w:rPr>
                      <w:sz w:val="18"/>
                    </w:rPr>
                  </w:pPr>
                  <w:r>
                    <w:rPr>
                      <w:color w:val="58595B"/>
                      <w:sz w:val="18"/>
                    </w:rPr>
                    <w:t>Measures to strengthen consideration of potential environmental and amenity impacts in land use planning decision making</w:t>
                  </w:r>
                </w:p>
              </w:txbxContent>
            </v:textbox>
            <w10:wrap type="none"/>
          </v:shape>
        </w:pict>
      </w:r>
      <w:r>
        <w:rPr/>
        <w:pict>
          <v:shape style="position:absolute;margin-left:424.258789pt;margin-top:460.140686pt;width:46.5pt;height:11pt;mso-position-horizontal-relative:page;mso-position-vertical-relative:page;z-index:-182968" type="#_x0000_t202" filled="false" stroked="false">
            <v:textbox inset="0,0,0,0">
              <w:txbxContent>
                <w:p>
                  <w:pPr>
                    <w:spacing w:line="204" w:lineRule="exact" w:before="0"/>
                    <w:ind w:left="20" w:right="-1" w:firstLine="0"/>
                    <w:jc w:val="left"/>
                    <w:rPr>
                      <w:sz w:val="18"/>
                    </w:rPr>
                  </w:pPr>
                  <w:r>
                    <w:rPr>
                      <w:color w:val="58595B"/>
                      <w:sz w:val="18"/>
                    </w:rPr>
                    <w:t>Chapter 10</w:t>
                  </w:r>
                </w:p>
              </w:txbxContent>
            </v:textbox>
            <w10:wrap type="none"/>
          </v:shape>
        </w:pict>
      </w:r>
      <w:r>
        <w:rPr/>
        <w:pict>
          <v:shape style="position:absolute;margin-left:72.700798pt;margin-top:497.193695pt;width:98.35pt;height:44.05pt;mso-position-horizontal-relative:page;mso-position-vertical-relative:page;z-index:-182944" type="#_x0000_t202" filled="false" stroked="false">
            <v:textbox inset="0,0,0,0">
              <w:txbxContent>
                <w:p>
                  <w:pPr>
                    <w:spacing w:line="254" w:lineRule="auto" w:before="0"/>
                    <w:ind w:left="20" w:right="15" w:firstLine="1"/>
                    <w:jc w:val="left"/>
                    <w:rPr>
                      <w:b/>
                      <w:sz w:val="18"/>
                    </w:rPr>
                  </w:pPr>
                  <w:r>
                    <w:rPr>
                      <w:b/>
                      <w:color w:val="58595B"/>
                      <w:sz w:val="18"/>
                    </w:rPr>
                    <w:t>Expanded regulation of activities impacting human health and the environment</w:t>
                  </w:r>
                </w:p>
              </w:txbxContent>
            </v:textbox>
            <w10:wrap type="none"/>
          </v:shape>
        </w:pict>
      </w:r>
      <w:r>
        <w:rPr/>
        <w:pict>
          <v:shape style="position:absolute;margin-left:174.751801pt;margin-top:497.231384pt;width:233.25pt;height:33pt;mso-position-horizontal-relative:page;mso-position-vertical-relative:page;z-index:-182920" type="#_x0000_t202" filled="false" stroked="false">
            <v:textbox inset="0,0,0,0">
              <w:txbxContent>
                <w:p>
                  <w:pPr>
                    <w:spacing w:line="254" w:lineRule="auto" w:before="0"/>
                    <w:ind w:left="20" w:right="12" w:firstLine="0"/>
                    <w:jc w:val="left"/>
                    <w:rPr>
                      <w:sz w:val="18"/>
                    </w:rPr>
                  </w:pPr>
                  <w:r>
                    <w:rPr>
                      <w:color w:val="58595B"/>
                      <w:sz w:val="18"/>
                    </w:rPr>
                    <w:t>Expand the cohort of activities requiring a works approval or licence to include all activities with significant impacts on human health and the environment</w:t>
                  </w:r>
                </w:p>
              </w:txbxContent>
            </v:textbox>
            <w10:wrap type="none"/>
          </v:shape>
        </w:pict>
      </w:r>
      <w:r>
        <w:rPr/>
        <w:pict>
          <v:shape style="position:absolute;margin-left:424.204803pt;margin-top:497.222382pt;width:46.35pt;height:11pt;mso-position-horizontal-relative:page;mso-position-vertical-relative:page;z-index:-182896" type="#_x0000_t202" filled="false" stroked="false">
            <v:textbox inset="0,0,0,0">
              <w:txbxContent>
                <w:p>
                  <w:pPr>
                    <w:spacing w:line="204" w:lineRule="exact" w:before="0"/>
                    <w:ind w:left="20" w:right="-4" w:firstLine="0"/>
                    <w:jc w:val="left"/>
                    <w:rPr>
                      <w:sz w:val="18"/>
                    </w:rPr>
                  </w:pPr>
                  <w:r>
                    <w:rPr>
                      <w:color w:val="58595B"/>
                      <w:sz w:val="18"/>
                    </w:rPr>
                    <w:t>Chapter 12</w:t>
                  </w:r>
                </w:p>
              </w:txbxContent>
            </v:textbox>
            <w10:wrap type="none"/>
          </v:shape>
        </w:pict>
      </w:r>
      <w:r>
        <w:rPr/>
        <w:pict>
          <v:shape style="position:absolute;margin-left:174.751801pt;margin-top:538.730408pt;width:232.05pt;height:33pt;mso-position-horizontal-relative:page;mso-position-vertical-relative:page;z-index:-182872" type="#_x0000_t202" filled="false" stroked="false">
            <v:textbox inset="0,0,0,0">
              <w:txbxContent>
                <w:p>
                  <w:pPr>
                    <w:spacing w:line="254" w:lineRule="auto" w:before="0"/>
                    <w:ind w:left="20" w:right="0" w:firstLine="0"/>
                    <w:jc w:val="left"/>
                    <w:rPr>
                      <w:sz w:val="18"/>
                    </w:rPr>
                  </w:pPr>
                  <w:r>
                    <w:rPr>
                      <w:color w:val="58595B"/>
                      <w:sz w:val="18"/>
                    </w:rPr>
                    <w:t>The EPA be made the primary regulator of environmental issues related to the approval, operations and closure</w:t>
                  </w:r>
                </w:p>
                <w:p>
                  <w:pPr>
                    <w:spacing w:before="1"/>
                    <w:ind w:left="20" w:right="0" w:firstLine="0"/>
                    <w:jc w:val="left"/>
                    <w:rPr>
                      <w:sz w:val="18"/>
                    </w:rPr>
                  </w:pPr>
                  <w:r>
                    <w:rPr>
                      <w:color w:val="58595B"/>
                      <w:sz w:val="18"/>
                    </w:rPr>
                    <w:t>of mines</w:t>
                  </w:r>
                </w:p>
              </w:txbxContent>
            </v:textbox>
            <w10:wrap type="none"/>
          </v:shape>
        </w:pict>
      </w:r>
      <w:r>
        <w:rPr/>
        <w:pict>
          <v:shape style="position:absolute;margin-left:424.204803pt;margin-top:538.721375pt;width:46.25pt;height:11pt;mso-position-horizontal-relative:page;mso-position-vertical-relative:page;z-index:-182848" type="#_x0000_t202" filled="false" stroked="false">
            <v:textbox inset="0,0,0,0">
              <w:txbxContent>
                <w:p>
                  <w:pPr>
                    <w:spacing w:line="204" w:lineRule="exact" w:before="0"/>
                    <w:ind w:left="20" w:right="-6" w:firstLine="0"/>
                    <w:jc w:val="left"/>
                    <w:rPr>
                      <w:sz w:val="18"/>
                    </w:rPr>
                  </w:pPr>
                  <w:r>
                    <w:rPr>
                      <w:color w:val="58595B"/>
                      <w:sz w:val="18"/>
                    </w:rPr>
                    <w:t>Chapter 17</w:t>
                  </w:r>
                </w:p>
              </w:txbxContent>
            </v:textbox>
            <w10:wrap type="none"/>
          </v:shape>
        </w:pict>
      </w:r>
      <w:r>
        <w:rPr/>
        <w:pict>
          <v:shape style="position:absolute;margin-left:72.709801pt;margin-top:575.774353pt;width:58.35pt;height:11pt;mso-position-horizontal-relative:page;mso-position-vertical-relative:page;z-index:-182824" type="#_x0000_t202" filled="false" stroked="false">
            <v:textbox inset="0,0,0,0">
              <w:txbxContent>
                <w:p>
                  <w:pPr>
                    <w:spacing w:line="204" w:lineRule="exact" w:before="0"/>
                    <w:ind w:left="20" w:right="0" w:firstLine="0"/>
                    <w:jc w:val="left"/>
                    <w:rPr>
                      <w:b/>
                      <w:sz w:val="18"/>
                    </w:rPr>
                  </w:pPr>
                  <w:r>
                    <w:rPr>
                      <w:b/>
                      <w:color w:val="58595B"/>
                      <w:sz w:val="18"/>
                    </w:rPr>
                    <w:t>General duty</w:t>
                  </w:r>
                </w:p>
              </w:txbxContent>
            </v:textbox>
            <w10:wrap type="none"/>
          </v:shape>
        </w:pict>
      </w:r>
      <w:r>
        <w:rPr/>
        <w:pict>
          <v:shape style="position:absolute;margin-left:174.760803pt;margin-top:575.774353pt;width:210.45pt;height:22pt;mso-position-horizontal-relative:page;mso-position-vertical-relative:page;z-index:-182800" type="#_x0000_t202" filled="false" stroked="false">
            <v:textbox inset="0,0,0,0">
              <w:txbxContent>
                <w:p>
                  <w:pPr>
                    <w:spacing w:line="254" w:lineRule="auto" w:before="0"/>
                    <w:ind w:left="20" w:right="0" w:firstLine="0"/>
                    <w:jc w:val="left"/>
                    <w:rPr>
                      <w:sz w:val="18"/>
                    </w:rPr>
                  </w:pPr>
                  <w:r>
                    <w:rPr>
                      <w:color w:val="58595B"/>
                      <w:sz w:val="18"/>
                    </w:rPr>
                    <w:t>Introduce a general duty, breach of which is both an offence and can give rise to civil remedies</w:t>
                  </w:r>
                </w:p>
              </w:txbxContent>
            </v:textbox>
            <w10:wrap type="none"/>
          </v:shape>
        </w:pict>
      </w:r>
      <w:r>
        <w:rPr/>
        <w:pict>
          <v:shape style="position:absolute;margin-left:424.213806pt;margin-top:575.774353pt;width:46.35pt;height:11pt;mso-position-horizontal-relative:page;mso-position-vertical-relative:page;z-index:-182776" type="#_x0000_t202" filled="false" stroked="false">
            <v:textbox inset="0,0,0,0">
              <w:txbxContent>
                <w:p>
                  <w:pPr>
                    <w:spacing w:line="204" w:lineRule="exact" w:before="0"/>
                    <w:ind w:left="20" w:right="-4" w:firstLine="0"/>
                    <w:jc w:val="left"/>
                    <w:rPr>
                      <w:sz w:val="18"/>
                    </w:rPr>
                  </w:pPr>
                  <w:r>
                    <w:rPr>
                      <w:color w:val="58595B"/>
                      <w:sz w:val="18"/>
                    </w:rPr>
                    <w:t>Chapter 12</w:t>
                  </w:r>
                </w:p>
              </w:txbxContent>
            </v:textbox>
            <w10:wrap type="none"/>
          </v:shape>
        </w:pict>
      </w:r>
      <w:r>
        <w:rPr/>
        <w:pict>
          <v:shape style="position:absolute;margin-left:72.718803pt;margin-top:601.829407pt;width:83.75pt;height:22pt;mso-position-horizontal-relative:page;mso-position-vertical-relative:page;z-index:-182752" type="#_x0000_t202" filled="false" stroked="false">
            <v:textbox inset="0,0,0,0">
              <w:txbxContent>
                <w:p>
                  <w:pPr>
                    <w:spacing w:line="254" w:lineRule="auto" w:before="0"/>
                    <w:ind w:left="20" w:right="0" w:firstLine="0"/>
                    <w:jc w:val="left"/>
                    <w:rPr>
                      <w:b/>
                      <w:sz w:val="18"/>
                    </w:rPr>
                  </w:pPr>
                  <w:r>
                    <w:rPr>
                      <w:b/>
                      <w:color w:val="58595B"/>
                      <w:sz w:val="18"/>
                    </w:rPr>
                    <w:t>Restorative justice outcomes</w:t>
                  </w:r>
                </w:p>
              </w:txbxContent>
            </v:textbox>
            <w10:wrap type="none"/>
          </v:shape>
        </w:pict>
      </w:r>
      <w:r>
        <w:rPr/>
        <w:pict>
          <v:shape style="position:absolute;margin-left:174.769806pt;margin-top:601.829407pt;width:226.8pt;height:33pt;mso-position-horizontal-relative:page;mso-position-vertical-relative:page;z-index:-182728" type="#_x0000_t202" filled="false" stroked="false">
            <v:textbox inset="0,0,0,0">
              <w:txbxContent>
                <w:p>
                  <w:pPr>
                    <w:spacing w:line="254" w:lineRule="auto" w:before="0"/>
                    <w:ind w:left="20" w:right="0" w:firstLine="0"/>
                    <w:jc w:val="left"/>
                    <w:rPr>
                      <w:sz w:val="18"/>
                    </w:rPr>
                  </w:pPr>
                  <w:r>
                    <w:rPr>
                      <w:color w:val="58595B"/>
                      <w:sz w:val="18"/>
                    </w:rPr>
                    <w:t>The EPA review the Enforceable undertaking guidelines to provide greater flexibility for restorative justice outcomes</w:t>
                  </w:r>
                </w:p>
              </w:txbxContent>
            </v:textbox>
            <w10:wrap type="none"/>
          </v:shape>
        </w:pict>
      </w:r>
      <w:r>
        <w:rPr/>
        <w:pict>
          <v:shape style="position:absolute;margin-left:424.222809pt;margin-top:601.829407pt;width:46.35pt;height:11pt;mso-position-horizontal-relative:page;mso-position-vertical-relative:page;z-index:-182704" type="#_x0000_t202" filled="false" stroked="false">
            <v:textbox inset="0,0,0,0">
              <w:txbxContent>
                <w:p>
                  <w:pPr>
                    <w:spacing w:line="204" w:lineRule="exact" w:before="0"/>
                    <w:ind w:left="20" w:right="-4" w:firstLine="0"/>
                    <w:jc w:val="left"/>
                    <w:rPr>
                      <w:sz w:val="18"/>
                    </w:rPr>
                  </w:pPr>
                  <w:r>
                    <w:rPr>
                      <w:color w:val="58595B"/>
                      <w:sz w:val="18"/>
                    </w:rPr>
                    <w:t>Chapter 13</w:t>
                  </w:r>
                </w:p>
              </w:txbxContent>
            </v:textbox>
            <w10:wrap type="none"/>
          </v:shape>
        </w:pict>
      </w:r>
      <w:r>
        <w:rPr/>
        <w:pict>
          <v:shape style="position:absolute;margin-left:72.727798pt;margin-top:638.882385pt;width:66.7pt;height:33pt;mso-position-horizontal-relative:page;mso-position-vertical-relative:page;z-index:-182680" type="#_x0000_t202" filled="false" stroked="false">
            <v:textbox inset="0,0,0,0">
              <w:txbxContent>
                <w:p>
                  <w:pPr>
                    <w:spacing w:line="254" w:lineRule="auto" w:before="0"/>
                    <w:ind w:left="20" w:right="17" w:firstLine="0"/>
                    <w:jc w:val="left"/>
                    <w:rPr>
                      <w:b/>
                      <w:sz w:val="18"/>
                    </w:rPr>
                  </w:pPr>
                  <w:r>
                    <w:rPr>
                      <w:b/>
                      <w:color w:val="58595B"/>
                      <w:sz w:val="18"/>
                    </w:rPr>
                    <w:t>Information and disclosure to the public</w:t>
                  </w:r>
                </w:p>
              </w:txbxContent>
            </v:textbox>
            <w10:wrap type="none"/>
          </v:shape>
        </w:pict>
      </w:r>
      <w:r>
        <w:rPr/>
        <w:pict>
          <v:shape style="position:absolute;margin-left:174.778793pt;margin-top:638.882385pt;width:195.45pt;height:22pt;mso-position-horizontal-relative:page;mso-position-vertical-relative:page;z-index:-182656" type="#_x0000_t202" filled="false" stroked="false">
            <v:textbox inset="0,0,0,0">
              <w:txbxContent>
                <w:p>
                  <w:pPr>
                    <w:spacing w:line="254" w:lineRule="auto" w:before="0"/>
                    <w:ind w:left="20" w:right="0" w:firstLine="0"/>
                    <w:jc w:val="left"/>
                    <w:rPr>
                      <w:sz w:val="18"/>
                    </w:rPr>
                  </w:pPr>
                  <w:r>
                    <w:rPr>
                      <w:color w:val="58595B"/>
                      <w:sz w:val="18"/>
                    </w:rPr>
                    <w:t>Require licensed businesses to make emissions monitoring information available to the public</w:t>
                  </w:r>
                </w:p>
              </w:txbxContent>
            </v:textbox>
            <w10:wrap type="none"/>
          </v:shape>
        </w:pict>
      </w:r>
      <w:r>
        <w:rPr/>
        <w:pict>
          <v:shape style="position:absolute;margin-left:424.231812pt;margin-top:638.873352pt;width:46.5pt;height:11pt;mso-position-horizontal-relative:page;mso-position-vertical-relative:page;z-index:-182632" type="#_x0000_t202" filled="false" stroked="false">
            <v:textbox inset="0,0,0,0">
              <w:txbxContent>
                <w:p>
                  <w:pPr>
                    <w:spacing w:line="204" w:lineRule="exact" w:before="0"/>
                    <w:ind w:left="20" w:right="-1" w:firstLine="0"/>
                    <w:jc w:val="left"/>
                    <w:rPr>
                      <w:sz w:val="18"/>
                    </w:rPr>
                  </w:pPr>
                  <w:r>
                    <w:rPr>
                      <w:color w:val="58595B"/>
                      <w:sz w:val="18"/>
                    </w:rPr>
                    <w:t>Chapter 16</w:t>
                  </w:r>
                </w:p>
              </w:txbxContent>
            </v:textbox>
            <w10:wrap type="none"/>
          </v:shape>
        </w:pict>
      </w:r>
      <w:r>
        <w:rPr/>
        <w:pict>
          <v:shape style="position:absolute;margin-left:174.778793pt;margin-top:669.383362pt;width:221.85pt;height:22pt;mso-position-horizontal-relative:page;mso-position-vertical-relative:page;z-index:-182608" type="#_x0000_t202" filled="false" stroked="false">
            <v:textbox inset="0,0,0,0">
              <w:txbxContent>
                <w:p>
                  <w:pPr>
                    <w:spacing w:line="254" w:lineRule="auto" w:before="0"/>
                    <w:ind w:left="20" w:right="0" w:firstLine="0"/>
                    <w:jc w:val="left"/>
                    <w:rPr>
                      <w:sz w:val="18"/>
                    </w:rPr>
                  </w:pPr>
                  <w:r>
                    <w:rPr>
                      <w:color w:val="58595B"/>
                      <w:sz w:val="18"/>
                    </w:rPr>
                    <w:t>Develop a statewide database of sites that pose a high risk to the community because of their past use</w:t>
                  </w:r>
                </w:p>
              </w:txbxContent>
            </v:textbox>
            <w10:wrap type="none"/>
          </v:shape>
        </w:pict>
      </w:r>
      <w:r>
        <w:rPr/>
        <w:pict>
          <v:shape style="position:absolute;margin-left:424.231812pt;margin-top:669.374390pt;width:46.4pt;height:11pt;mso-position-horizontal-relative:page;mso-position-vertical-relative:page;z-index:-182584" type="#_x0000_t202" filled="false" stroked="false">
            <v:textbox inset="0,0,0,0">
              <w:txbxContent>
                <w:p>
                  <w:pPr>
                    <w:spacing w:line="204" w:lineRule="exact" w:before="0"/>
                    <w:ind w:left="20" w:right="-3" w:firstLine="0"/>
                    <w:jc w:val="left"/>
                    <w:rPr>
                      <w:sz w:val="18"/>
                    </w:rPr>
                  </w:pPr>
                  <w:r>
                    <w:rPr>
                      <w:color w:val="58595B"/>
                      <w:sz w:val="18"/>
                    </w:rPr>
                    <w:t>Chapter 14</w:t>
                  </w:r>
                </w:p>
              </w:txbxContent>
            </v:textbox>
            <w10:wrap type="none"/>
          </v:shape>
        </w:pict>
      </w:r>
      <w:r>
        <w:rPr/>
        <w:pict>
          <v:shape style="position:absolute;margin-left:72.736801pt;margin-top:695.429382pt;width:78.55pt;height:11pt;mso-position-horizontal-relative:page;mso-position-vertical-relative:page;z-index:-182560" type="#_x0000_t202" filled="false" stroked="false">
            <v:textbox inset="0,0,0,0">
              <w:txbxContent>
                <w:p>
                  <w:pPr>
                    <w:spacing w:line="204" w:lineRule="exact" w:before="0"/>
                    <w:ind w:left="20" w:right="0" w:firstLine="0"/>
                    <w:jc w:val="left"/>
                    <w:rPr>
                      <w:b/>
                      <w:sz w:val="18"/>
                    </w:rPr>
                  </w:pPr>
                  <w:r>
                    <w:rPr>
                      <w:b/>
                      <w:color w:val="58595B"/>
                      <w:sz w:val="18"/>
                    </w:rPr>
                    <w:t>Third party rights</w:t>
                  </w:r>
                </w:p>
              </w:txbxContent>
            </v:textbox>
            <w10:wrap type="none"/>
          </v:shape>
        </w:pict>
      </w:r>
      <w:r>
        <w:rPr/>
        <w:pict>
          <v:shape style="position:absolute;margin-left:174.787796pt;margin-top:695.429382pt;width:224.45pt;height:44pt;mso-position-horizontal-relative:page;mso-position-vertical-relative:page;z-index:-182536" type="#_x0000_t202" filled="false" stroked="false">
            <v:textbox inset="0,0,0,0">
              <w:txbxContent>
                <w:p>
                  <w:pPr>
                    <w:spacing w:line="254" w:lineRule="auto" w:before="0"/>
                    <w:ind w:left="20" w:right="0" w:firstLine="0"/>
                    <w:jc w:val="left"/>
                    <w:rPr>
                      <w:sz w:val="18"/>
                    </w:rPr>
                  </w:pPr>
                  <w:r>
                    <w:rPr>
                      <w:color w:val="58595B"/>
                      <w:sz w:val="18"/>
                    </w:rPr>
                    <w:t>Clarify the test for third party standing for review of regulatory decisions under the EP Act and add a power for third parties to seek orders to restrain or remedy breaches of the EP Act (civil remedies)</w:t>
                  </w:r>
                </w:p>
              </w:txbxContent>
            </v:textbox>
            <w10:wrap type="none"/>
          </v:shape>
        </w:pict>
      </w:r>
      <w:r>
        <w:rPr/>
        <w:pict>
          <v:shape style="position:absolute;margin-left:424.240814pt;margin-top:695.42041pt;width:41.7pt;height:11pt;mso-position-horizontal-relative:page;mso-position-vertical-relative:page;z-index:-182512" type="#_x0000_t202" filled="false" stroked="false">
            <v:textbox inset="0,0,0,0">
              <w:txbxContent>
                <w:p>
                  <w:pPr>
                    <w:spacing w:line="204" w:lineRule="exact" w:before="0"/>
                    <w:ind w:left="20" w:right="0" w:firstLine="0"/>
                    <w:jc w:val="left"/>
                    <w:rPr>
                      <w:sz w:val="18"/>
                    </w:rPr>
                  </w:pPr>
                  <w:r>
                    <w:rPr>
                      <w:color w:val="58595B"/>
                      <w:sz w:val="18"/>
                    </w:rPr>
                    <w:t>Chapter 7</w:t>
                  </w:r>
                </w:p>
              </w:txbxContent>
            </v:textbox>
            <w10:wrap type="none"/>
          </v:shape>
        </w:pict>
      </w:r>
      <w:r>
        <w:rPr/>
        <w:pict>
          <v:shape style="position:absolute;margin-left:70.865997pt;margin-top:145.50502pt;width:433.7pt;height:17.9pt;mso-position-horizontal-relative:page;mso-position-vertical-relative:page;z-index:-182488" type="#_x0000_t202" filled="false" stroked="false">
            <v:textbox inset="0,0,0,0">
              <w:txbxContent>
                <w:p>
                  <w:pPr>
                    <w:tabs>
                      <w:tab w:pos="2097" w:val="left" w:leader="none"/>
                      <w:tab w:pos="7086" w:val="left" w:leader="none"/>
                    </w:tabs>
                    <w:spacing w:before="75"/>
                    <w:ind w:left="56" w:right="631" w:firstLine="0"/>
                    <w:jc w:val="left"/>
                    <w:rPr>
                      <w:sz w:val="18"/>
                    </w:rPr>
                  </w:pPr>
                  <w:r>
                    <w:rPr>
                      <w:color w:val="FFFFFF"/>
                      <w:sz w:val="18"/>
                    </w:rPr>
                    <w:t>Proposal</w:t>
                    <w:tab/>
                    <w:t>Detail</w:t>
                    <w:tab/>
                    <w:t>Chapter</w:t>
                  </w:r>
                </w:p>
              </w:txbxContent>
            </v:textbox>
            <w10:wrap type="none"/>
          </v:shape>
        </w:pict>
      </w:r>
      <w:r>
        <w:rPr/>
        <w:pict>
          <v:shape style="position:absolute;margin-left:.0pt;margin-top:44.090015pt;width:60.3pt;height:5.25pt;mso-position-horizontal-relative:page;mso-position-vertical-relative:page;z-index:-182464"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82440" type="#_x0000_t202" filled="false" stroked="false">
            <v:textbox inset="0,0,0,0">
              <w:txbxContent/>
            </v:textbox>
            <w10:wrap type="none"/>
          </v:shape>
        </w:pict>
      </w:r>
      <w:r>
        <w:rPr/>
        <w:pict>
          <v:shape style="position:absolute;margin-left:70.866096pt;margin-top:178.327011pt;width:433.75pt;height:12pt;mso-position-horizontal-relative:page;mso-position-vertical-relative:page;z-index:-182416"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339.556427pt;width:433.75pt;height:12pt;mso-position-horizontal-relative:page;mso-position-vertical-relative:page;z-index:-182392"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387.612518pt;width:433.75pt;height:12pt;mso-position-horizontal-relative:page;mso-position-vertical-relative:page;z-index:-182368"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446.668701pt;width:433.75pt;height:12pt;mso-position-horizontal-relative:page;mso-position-vertical-relative:page;z-index:-182344"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483.724915pt;width:433.75pt;height:12pt;mso-position-horizontal-relative:page;mso-position-vertical-relative:page;z-index:-182320"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562.285034pt;width:433.75pt;height:12pt;mso-position-horizontal-relative:page;mso-position-vertical-relative:page;z-index:-182296"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588.341187pt;width:433.75pt;height:12pt;mso-position-horizontal-relative:page;mso-position-vertical-relative:page;z-index:-182272"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625.397400pt;width:433.75pt;height:12pt;mso-position-horizontal-relative:page;mso-position-vertical-relative:page;z-index:-182248"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681.95752pt;width:433.75pt;height:12pt;mso-position-horizontal-relative:page;mso-position-vertical-relative:page;z-index:-182224"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730.013733pt;width:433.75pt;height:12pt;mso-position-horizontal-relative:page;mso-position-vertical-relative:page;z-index:-182200" type="#_x0000_t202" filled="false" stroked="false">
            <v:textbox inset="0,0,0,0">
              <w:txbxContent>
                <w:p>
                  <w:pPr>
                    <w:pStyle w:val="BodyText"/>
                    <w:spacing w:before="4"/>
                    <w:ind w:left="40"/>
                    <w:rPr>
                      <w:rFonts w:ascii="Times New Roman"/>
                      <w:sz w:val="17"/>
                    </w:rPr>
                  </w:pPr>
                </w:p>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82176" from="534.996094pt,45.840015pt" to="595.276001pt,45.840015pt" stroked="true" strokeweight="7pt" strokecolor="#0095a7">
            <w10:wrap type="none"/>
          </v:line>
        </w:pict>
      </w:r>
      <w:r>
        <w:rPr/>
        <w:pict>
          <v:rect style="position:absolute;margin-left:90.709pt;margin-top:133.461014pt;width:432.701pt;height:283.481pt;mso-position-horizontal-relative:page;mso-position-vertical-relative:page;z-index:-182152" filled="true" fillcolor="#eff6f0" stroked="false">
            <v:fill type="solid"/>
            <w10:wrap type="none"/>
          </v:rect>
        </w:pict>
      </w:r>
      <w:r>
        <w:rPr/>
        <w:pict>
          <v:rect style="position:absolute;margin-left:90.709pt;margin-top:428.281006pt;width:432.701pt;height:149.969pt;mso-position-horizontal-relative:page;mso-position-vertical-relative:page;z-index:-182128" filled="true" fillcolor="#eff6f0" stroked="false">
            <v:fill type="solid"/>
            <w10:wrap type="none"/>
          </v:rect>
        </w:pict>
      </w:r>
      <w:r>
        <w:rPr/>
        <w:pict>
          <v:rect style="position:absolute;margin-left:90.709pt;margin-top:589.588989pt;width:432.701pt;height:70.457pt;mso-position-horizontal-relative:page;mso-position-vertical-relative:page;z-index:-182104" filled="true" fillcolor="#eff6f0" stroked="false">
            <v:fill type="solid"/>
            <w10:wrap type="none"/>
          </v:rect>
        </w:pict>
      </w:r>
      <w:r>
        <w:rPr/>
        <w:pict>
          <v:shape style="position:absolute;margin-left:163.583801pt;margin-top:40.902756pt;width:336.3pt;height:9.5pt;mso-position-horizontal-relative:page;mso-position-vertical-relative:page;z-index:-182080" type="#_x0000_t202" filled="false" stroked="false">
            <v:textbox inset="0,0,0,0">
              <w:txbxContent>
                <w:p>
                  <w:pPr>
                    <w:spacing w:before="1"/>
                    <w:ind w:left="20" w:right="0" w:firstLine="0"/>
                    <w:jc w:val="left"/>
                    <w:rPr>
                      <w:sz w:val="15"/>
                    </w:rPr>
                  </w:pPr>
                  <w:r>
                    <w:rPr>
                      <w:color w:val="58595B"/>
                      <w:sz w:val="15"/>
                    </w:rPr>
                    <w:t>CHAPTER 7    THE EPA’S ROLE WITHIN VICTORIA’S ENVIRONMENT PROTECTION REGIME</w:t>
                  </w:r>
                </w:p>
              </w:txbxContent>
            </v:textbox>
            <w10:wrap type="none"/>
          </v:shape>
        </w:pict>
      </w:r>
      <w:r>
        <w:rPr/>
        <w:pict>
          <v:shape style="position:absolute;margin-left:511.283813pt;margin-top:40.902756pt;width:14.1pt;height:9.5pt;mso-position-horizontal-relative:page;mso-position-vertical-relative:page;z-index:-182056" type="#_x0000_t202" filled="false" stroked="false">
            <v:textbox inset="0,0,0,0">
              <w:txbxContent>
                <w:p>
                  <w:pPr>
                    <w:spacing w:before="1"/>
                    <w:ind w:left="20" w:right="-9" w:firstLine="0"/>
                    <w:jc w:val="left"/>
                    <w:rPr>
                      <w:sz w:val="15"/>
                    </w:rPr>
                  </w:pPr>
                  <w:r>
                    <w:rPr>
                      <w:color w:val="58595B"/>
                      <w:sz w:val="15"/>
                    </w:rPr>
                    <w:t>147</w:t>
                  </w:r>
                </w:p>
              </w:txbxContent>
            </v:textbox>
            <w10:wrap type="none"/>
          </v:shape>
        </w:pict>
      </w:r>
      <w:r>
        <w:rPr/>
        <w:pict>
          <v:shape style="position:absolute;margin-left:89.708702pt;margin-top:105.72934pt;width:102.85pt;height:14pt;mso-position-horizontal-relative:page;mso-position-vertical-relative:page;z-index:-182032" type="#_x0000_t202" filled="false" stroked="false">
            <v:textbox inset="0,0,0,0">
              <w:txbxContent>
                <w:p>
                  <w:pPr>
                    <w:spacing w:line="265" w:lineRule="exact" w:before="0"/>
                    <w:ind w:left="20" w:right="0" w:firstLine="0"/>
                    <w:jc w:val="left"/>
                    <w:rPr>
                      <w:sz w:val="24"/>
                    </w:rPr>
                  </w:pPr>
                  <w:r>
                    <w:rPr>
                      <w:color w:val="0095A7"/>
                      <w:sz w:val="24"/>
                    </w:rPr>
                    <w:t>Recommendations</w:t>
                  </w:r>
                </w:p>
              </w:txbxContent>
            </v:textbox>
            <w10:wrap type="none"/>
          </v:shape>
        </w:pict>
      </w:r>
      <w:r>
        <w:rPr/>
        <w:pict>
          <v:shape style="position:absolute;margin-left:90.709pt;margin-top:589.588989pt;width:432.75pt;height:70.5pt;mso-position-horizontal-relative:page;mso-position-vertical-relative:page;z-index:-182008" type="#_x0000_t202" filled="false" stroked="false">
            <v:textbox inset="0,0,0,0">
              <w:txbxContent>
                <w:p>
                  <w:pPr>
                    <w:spacing w:before="128"/>
                    <w:ind w:left="170" w:right="482" w:firstLine="0"/>
                    <w:jc w:val="left"/>
                    <w:rPr>
                      <w:b/>
                      <w:sz w:val="20"/>
                    </w:rPr>
                  </w:pPr>
                  <w:r>
                    <w:rPr>
                      <w:b/>
                      <w:color w:val="808285"/>
                      <w:sz w:val="20"/>
                    </w:rPr>
                    <w:t>RECOMMENDATION 7.3</w:t>
                  </w:r>
                </w:p>
                <w:p>
                  <w:pPr>
                    <w:pStyle w:val="BodyText"/>
                    <w:spacing w:line="280" w:lineRule="auto" w:before="153"/>
                    <w:ind w:left="170" w:right="161"/>
                  </w:pPr>
                  <w:r>
                    <w:rPr>
                      <w:color w:val="58595B"/>
                    </w:rPr>
                    <w:t>Develop, through the Department of Environment, Land, Water and Planning, a whole-of- government approach to environmental justice, setting out high level objectives and principles to support consistent decision making across the Victorian public sector.</w:t>
                  </w:r>
                </w:p>
              </w:txbxContent>
            </v:textbox>
            <w10:wrap type="none"/>
          </v:shape>
        </w:pict>
      </w:r>
      <w:r>
        <w:rPr/>
        <w:pict>
          <v:shape style="position:absolute;margin-left:90.709pt;margin-top:428.281006pt;width:432.75pt;height:150pt;mso-position-horizontal-relative:page;mso-position-vertical-relative:page;z-index:-181984" type="#_x0000_t202" filled="false" stroked="false">
            <v:textbox inset="0,0,0,0">
              <w:txbxContent>
                <w:p>
                  <w:pPr>
                    <w:spacing w:before="128"/>
                    <w:ind w:left="170" w:right="482" w:firstLine="0"/>
                    <w:jc w:val="left"/>
                    <w:rPr>
                      <w:b/>
                      <w:sz w:val="20"/>
                    </w:rPr>
                  </w:pPr>
                  <w:r>
                    <w:rPr>
                      <w:b/>
                      <w:color w:val="808285"/>
                      <w:sz w:val="20"/>
                    </w:rPr>
                    <w:t>RECOMMENDATION 7.2</w:t>
                  </w:r>
                </w:p>
                <w:p>
                  <w:pPr>
                    <w:pStyle w:val="BodyText"/>
                    <w:spacing w:line="280" w:lineRule="auto" w:before="153"/>
                    <w:ind w:left="170" w:right="482"/>
                  </w:pPr>
                  <w:r>
                    <w:rPr>
                      <w:color w:val="58595B"/>
                    </w:rPr>
                    <w:t>Implement, through the Department of Environment, Land, Water and Planning, measures to coordinate environmental management in Victoria, in partnership with the EPA</w:t>
                  </w:r>
                </w:p>
                <w:p>
                  <w:pPr>
                    <w:pStyle w:val="BodyText"/>
                    <w:spacing w:line="280" w:lineRule="auto" w:before="2"/>
                    <w:ind w:left="170" w:right="482"/>
                  </w:pPr>
                  <w:r>
                    <w:rPr>
                      <w:color w:val="58595B"/>
                    </w:rPr>
                    <w:t>and other agencies responsible for environmental, public health and other liveability outcomes, including:</w:t>
                  </w:r>
                </w:p>
                <w:p>
                  <w:pPr>
                    <w:pStyle w:val="ListParagraph"/>
                    <w:numPr>
                      <w:ilvl w:val="0"/>
                      <w:numId w:val="60"/>
                    </w:numPr>
                    <w:tabs>
                      <w:tab w:pos="511" w:val="left" w:leader="none"/>
                    </w:tabs>
                    <w:spacing w:line="240" w:lineRule="auto" w:before="172" w:after="0"/>
                    <w:ind w:left="510" w:right="0" w:hanging="340"/>
                    <w:jc w:val="left"/>
                    <w:rPr>
                      <w:sz w:val="20"/>
                    </w:rPr>
                  </w:pPr>
                  <w:r>
                    <w:rPr>
                      <w:color w:val="58595B"/>
                      <w:sz w:val="20"/>
                    </w:rPr>
                    <w:t>statewide environmental</w:t>
                  </w:r>
                  <w:r>
                    <w:rPr>
                      <w:color w:val="58595B"/>
                      <w:spacing w:val="-1"/>
                      <w:sz w:val="20"/>
                    </w:rPr>
                    <w:t> </w:t>
                  </w:r>
                  <w:r>
                    <w:rPr>
                      <w:color w:val="58595B"/>
                      <w:sz w:val="20"/>
                    </w:rPr>
                    <w:t>monitoring</w:t>
                  </w:r>
                </w:p>
                <w:p>
                  <w:pPr>
                    <w:pStyle w:val="BodyText"/>
                    <w:spacing w:before="3"/>
                    <w:ind w:left="0"/>
                    <w:rPr>
                      <w:rFonts w:ascii="Times New Roman"/>
                      <w:sz w:val="18"/>
                    </w:rPr>
                  </w:pPr>
                </w:p>
                <w:p>
                  <w:pPr>
                    <w:pStyle w:val="ListParagraph"/>
                    <w:numPr>
                      <w:ilvl w:val="0"/>
                      <w:numId w:val="60"/>
                    </w:numPr>
                    <w:tabs>
                      <w:tab w:pos="511" w:val="left" w:leader="none"/>
                    </w:tabs>
                    <w:spacing w:line="240" w:lineRule="auto" w:before="0" w:after="0"/>
                    <w:ind w:left="510" w:right="0" w:hanging="340"/>
                    <w:jc w:val="left"/>
                    <w:rPr>
                      <w:sz w:val="20"/>
                    </w:rPr>
                  </w:pPr>
                  <w:r>
                    <w:rPr>
                      <w:color w:val="58595B"/>
                      <w:sz w:val="20"/>
                    </w:rPr>
                    <w:t>a statewide spatial data</w:t>
                  </w:r>
                  <w:r>
                    <w:rPr>
                      <w:color w:val="58595B"/>
                      <w:spacing w:val="-7"/>
                      <w:sz w:val="20"/>
                    </w:rPr>
                    <w:t> </w:t>
                  </w:r>
                  <w:r>
                    <w:rPr>
                      <w:color w:val="58595B"/>
                      <w:sz w:val="20"/>
                    </w:rPr>
                    <w:t>system</w:t>
                  </w:r>
                </w:p>
                <w:p>
                  <w:pPr>
                    <w:pStyle w:val="BodyText"/>
                    <w:spacing w:before="3"/>
                    <w:ind w:left="0"/>
                    <w:rPr>
                      <w:rFonts w:ascii="Times New Roman"/>
                      <w:sz w:val="18"/>
                    </w:rPr>
                  </w:pPr>
                </w:p>
                <w:p>
                  <w:pPr>
                    <w:pStyle w:val="ListParagraph"/>
                    <w:numPr>
                      <w:ilvl w:val="0"/>
                      <w:numId w:val="60"/>
                    </w:numPr>
                    <w:tabs>
                      <w:tab w:pos="511" w:val="left" w:leader="none"/>
                    </w:tabs>
                    <w:spacing w:line="240" w:lineRule="auto" w:before="0" w:after="0"/>
                    <w:ind w:left="510" w:right="0" w:hanging="340"/>
                    <w:jc w:val="left"/>
                    <w:rPr>
                      <w:sz w:val="20"/>
                    </w:rPr>
                  </w:pPr>
                  <w:r>
                    <w:rPr>
                      <w:color w:val="58595B"/>
                      <w:sz w:val="20"/>
                    </w:rPr>
                    <w:t>statewide reporting of health, environmental and liveability</w:t>
                  </w:r>
                  <w:r>
                    <w:rPr>
                      <w:color w:val="58595B"/>
                      <w:spacing w:val="3"/>
                      <w:sz w:val="20"/>
                    </w:rPr>
                    <w:t> </w:t>
                  </w:r>
                  <w:r>
                    <w:rPr>
                      <w:color w:val="58595B"/>
                      <w:sz w:val="20"/>
                    </w:rPr>
                    <w:t>outcomes.</w:t>
                  </w:r>
                </w:p>
              </w:txbxContent>
            </v:textbox>
            <w10:wrap type="none"/>
          </v:shape>
        </w:pict>
      </w:r>
      <w:r>
        <w:rPr/>
        <w:pict>
          <v:shape style="position:absolute;margin-left:90.709pt;margin-top:133.461014pt;width:432.75pt;height:283.5pt;mso-position-horizontal-relative:page;mso-position-vertical-relative:page;z-index:-181960" type="#_x0000_t202" filled="false" stroked="false">
            <v:textbox inset="0,0,0,0">
              <w:txbxContent>
                <w:p>
                  <w:pPr>
                    <w:spacing w:before="128"/>
                    <w:ind w:left="170" w:right="482" w:firstLine="0"/>
                    <w:jc w:val="left"/>
                    <w:rPr>
                      <w:b/>
                      <w:sz w:val="20"/>
                    </w:rPr>
                  </w:pPr>
                  <w:r>
                    <w:rPr>
                      <w:b/>
                      <w:color w:val="808285"/>
                      <w:sz w:val="20"/>
                    </w:rPr>
                    <w:t>RECOMMENDATION 7.1</w:t>
                  </w:r>
                </w:p>
                <w:p>
                  <w:pPr>
                    <w:pStyle w:val="BodyText"/>
                    <w:spacing w:line="280" w:lineRule="auto" w:before="153"/>
                    <w:ind w:left="170" w:right="161"/>
                  </w:pPr>
                  <w:r>
                    <w:rPr>
                      <w:color w:val="58595B"/>
                    </w:rPr>
                    <w:t>Establish a high level Environment Protection (Integration and Coordination) Act to improve coordination and collaboration across government on environment protection, and associated public health issues, including by:</w:t>
                  </w:r>
                </w:p>
                <w:p>
                  <w:pPr>
                    <w:pStyle w:val="ListParagraph"/>
                    <w:numPr>
                      <w:ilvl w:val="0"/>
                      <w:numId w:val="61"/>
                    </w:numPr>
                    <w:tabs>
                      <w:tab w:pos="511" w:val="left" w:leader="none"/>
                    </w:tabs>
                    <w:spacing w:line="280" w:lineRule="auto" w:before="172" w:after="0"/>
                    <w:ind w:left="510" w:right="789" w:hanging="340"/>
                    <w:jc w:val="left"/>
                    <w:rPr>
                      <w:sz w:val="20"/>
                    </w:rPr>
                  </w:pPr>
                  <w:r>
                    <w:rPr>
                      <w:color w:val="58595B"/>
                      <w:sz w:val="20"/>
                    </w:rPr>
                    <w:t>Setting shared objectives and principles for whole-of-government decision making, including environmental justice</w:t>
                  </w:r>
                  <w:r>
                    <w:rPr>
                      <w:color w:val="58595B"/>
                      <w:spacing w:val="5"/>
                      <w:sz w:val="20"/>
                    </w:rPr>
                    <w:t> </w:t>
                  </w:r>
                  <w:r>
                    <w:rPr>
                      <w:color w:val="58595B"/>
                      <w:sz w:val="20"/>
                    </w:rPr>
                    <w:t>principles</w:t>
                  </w:r>
                </w:p>
                <w:p>
                  <w:pPr>
                    <w:pStyle w:val="ListParagraph"/>
                    <w:numPr>
                      <w:ilvl w:val="0"/>
                      <w:numId w:val="61"/>
                    </w:numPr>
                    <w:tabs>
                      <w:tab w:pos="511" w:val="left" w:leader="none"/>
                    </w:tabs>
                    <w:spacing w:line="280" w:lineRule="auto" w:before="172" w:after="0"/>
                    <w:ind w:left="510" w:right="388" w:hanging="340"/>
                    <w:jc w:val="left"/>
                    <w:rPr>
                      <w:sz w:val="20"/>
                    </w:rPr>
                  </w:pPr>
                  <w:r>
                    <w:rPr>
                      <w:color w:val="58595B"/>
                      <w:sz w:val="20"/>
                    </w:rPr>
                    <w:t>Clarifying the respective roles and responsibilities of </w:t>
                  </w:r>
                  <w:r>
                    <w:rPr>
                      <w:color w:val="58595B"/>
                      <w:spacing w:val="-3"/>
                      <w:sz w:val="20"/>
                    </w:rPr>
                    <w:t>key </w:t>
                  </w:r>
                  <w:r>
                    <w:rPr>
                      <w:color w:val="58595B"/>
                      <w:sz w:val="20"/>
                    </w:rPr>
                    <w:t>government agencies charged with environment protection, including the</w:t>
                  </w:r>
                  <w:r>
                    <w:rPr>
                      <w:color w:val="58595B"/>
                      <w:spacing w:val="-1"/>
                      <w:sz w:val="20"/>
                    </w:rPr>
                    <w:t> </w:t>
                  </w:r>
                  <w:r>
                    <w:rPr>
                      <w:color w:val="58595B"/>
                      <w:spacing w:val="-4"/>
                      <w:sz w:val="20"/>
                    </w:rPr>
                    <w:t>EPA</w:t>
                  </w:r>
                </w:p>
                <w:p>
                  <w:pPr>
                    <w:pStyle w:val="ListParagraph"/>
                    <w:numPr>
                      <w:ilvl w:val="0"/>
                      <w:numId w:val="61"/>
                    </w:numPr>
                    <w:tabs>
                      <w:tab w:pos="511" w:val="left" w:leader="none"/>
                    </w:tabs>
                    <w:spacing w:line="280" w:lineRule="auto" w:before="172" w:after="0"/>
                    <w:ind w:left="510" w:right="429" w:hanging="340"/>
                    <w:jc w:val="left"/>
                    <w:rPr>
                      <w:sz w:val="20"/>
                    </w:rPr>
                  </w:pPr>
                  <w:r>
                    <w:rPr>
                      <w:color w:val="58595B"/>
                      <w:sz w:val="20"/>
                    </w:rPr>
                    <w:t>Establishing a formal mechanism, led by the Department of Environment, Land, Water and Planning, to support whole-of-government consideration of environment protection and environmental issues impacting on human health and wellbeing,</w:t>
                  </w:r>
                  <w:r>
                    <w:rPr>
                      <w:color w:val="58595B"/>
                      <w:spacing w:val="-10"/>
                      <w:sz w:val="20"/>
                    </w:rPr>
                    <w:t> </w:t>
                  </w:r>
                  <w:r>
                    <w:rPr>
                      <w:color w:val="58595B"/>
                      <w:sz w:val="20"/>
                    </w:rPr>
                    <w:t>including:</w:t>
                  </w:r>
                </w:p>
                <w:p>
                  <w:pPr>
                    <w:pStyle w:val="ListParagraph"/>
                    <w:numPr>
                      <w:ilvl w:val="1"/>
                      <w:numId w:val="61"/>
                    </w:numPr>
                    <w:tabs>
                      <w:tab w:pos="851" w:val="left" w:leader="none"/>
                    </w:tabs>
                    <w:spacing w:line="240" w:lineRule="auto" w:before="172" w:after="0"/>
                    <w:ind w:left="850" w:right="0" w:hanging="340"/>
                    <w:jc w:val="left"/>
                    <w:rPr>
                      <w:sz w:val="20"/>
                    </w:rPr>
                  </w:pPr>
                  <w:r>
                    <w:rPr>
                      <w:color w:val="58595B"/>
                      <w:sz w:val="20"/>
                    </w:rPr>
                    <w:t>identifying strategic</w:t>
                  </w:r>
                  <w:r>
                    <w:rPr>
                      <w:color w:val="58595B"/>
                      <w:spacing w:val="18"/>
                      <w:sz w:val="20"/>
                    </w:rPr>
                    <w:t> </w:t>
                  </w:r>
                  <w:r>
                    <w:rPr>
                      <w:color w:val="58595B"/>
                      <w:sz w:val="20"/>
                    </w:rPr>
                    <w:t>priorities</w:t>
                  </w:r>
                </w:p>
                <w:p>
                  <w:pPr>
                    <w:pStyle w:val="BodyText"/>
                    <w:spacing w:before="3"/>
                    <w:ind w:left="0"/>
                    <w:rPr>
                      <w:rFonts w:ascii="Times New Roman"/>
                      <w:sz w:val="18"/>
                    </w:rPr>
                  </w:pPr>
                </w:p>
                <w:p>
                  <w:pPr>
                    <w:pStyle w:val="ListParagraph"/>
                    <w:numPr>
                      <w:ilvl w:val="1"/>
                      <w:numId w:val="61"/>
                    </w:numPr>
                    <w:tabs>
                      <w:tab w:pos="851" w:val="left" w:leader="none"/>
                    </w:tabs>
                    <w:spacing w:line="280" w:lineRule="auto" w:before="0" w:after="0"/>
                    <w:ind w:left="850" w:right="455" w:hanging="340"/>
                    <w:jc w:val="left"/>
                    <w:rPr>
                      <w:sz w:val="20"/>
                    </w:rPr>
                  </w:pPr>
                  <w:r>
                    <w:rPr>
                      <w:color w:val="58595B"/>
                      <w:sz w:val="20"/>
                    </w:rPr>
                    <w:t>collaborating on risk assessment and analysis of options, informed by the </w:t>
                  </w:r>
                  <w:r>
                    <w:rPr>
                      <w:color w:val="58595B"/>
                      <w:spacing w:val="-4"/>
                      <w:sz w:val="20"/>
                    </w:rPr>
                    <w:t>EPA </w:t>
                  </w:r>
                  <w:r>
                    <w:rPr>
                      <w:color w:val="58595B"/>
                      <w:sz w:val="20"/>
                    </w:rPr>
                    <w:t>and other relevant sources of expert</w:t>
                  </w:r>
                  <w:r>
                    <w:rPr>
                      <w:color w:val="58595B"/>
                      <w:spacing w:val="2"/>
                      <w:sz w:val="20"/>
                    </w:rPr>
                    <w:t> </w:t>
                  </w:r>
                  <w:r>
                    <w:rPr>
                      <w:color w:val="58595B"/>
                      <w:sz w:val="20"/>
                    </w:rPr>
                    <w:t>advice</w:t>
                  </w:r>
                </w:p>
                <w:p>
                  <w:pPr>
                    <w:pStyle w:val="ListParagraph"/>
                    <w:numPr>
                      <w:ilvl w:val="1"/>
                      <w:numId w:val="61"/>
                    </w:numPr>
                    <w:tabs>
                      <w:tab w:pos="851" w:val="left" w:leader="none"/>
                    </w:tabs>
                    <w:spacing w:line="280" w:lineRule="auto" w:before="172" w:after="0"/>
                    <w:ind w:left="850" w:right="687" w:hanging="340"/>
                    <w:jc w:val="left"/>
                    <w:rPr>
                      <w:sz w:val="20"/>
                    </w:rPr>
                  </w:pPr>
                  <w:r>
                    <w:rPr>
                      <w:color w:val="58595B"/>
                      <w:sz w:val="20"/>
                    </w:rPr>
                    <w:t>coordinating deployment of tools available across government, as appropriate to different</w:t>
                  </w:r>
                  <w:r>
                    <w:rPr>
                      <w:color w:val="58595B"/>
                      <w:spacing w:val="1"/>
                      <w:sz w:val="20"/>
                    </w:rPr>
                    <w:t> </w:t>
                  </w:r>
                  <w:r>
                    <w:rPr>
                      <w:color w:val="58595B"/>
                      <w:sz w:val="20"/>
                    </w:rPr>
                    <w:t>issues.</w:t>
                  </w:r>
                </w:p>
              </w:txbxContent>
            </v:textbox>
            <w10:wrap type="none"/>
          </v:shape>
        </w:pict>
      </w:r>
      <w:r>
        <w:rPr/>
        <w:pict>
          <v:shape style="position:absolute;margin-left:534.996094pt;margin-top:44.090015pt;width:60.3pt;height:5.25pt;mso-position-horizontal-relative:page;mso-position-vertical-relative:page;z-index:-18193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1912"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81888" from=".0pt,45.840015pt" to="60.2791pt,45.840015pt" stroked="true" strokeweight="7pt" strokecolor="#0095a7">
            <w10:wrap type="none"/>
          </v:line>
        </w:pict>
      </w:r>
      <w:r>
        <w:rPr/>
        <w:pict>
          <v:rect style="position:absolute;margin-left:70.865997pt;margin-top:107.717018pt;width:432.701pt;height:70.457pt;mso-position-horizontal-relative:page;mso-position-vertical-relative:page;z-index:-181864" filled="true" fillcolor="#eff6f0" stroked="false">
            <v:fill type="solid"/>
            <w10:wrap type="none"/>
          </v:rect>
        </w:pict>
      </w:r>
      <w:r>
        <w:rPr/>
        <w:pict>
          <v:rect style="position:absolute;margin-left:70.865997pt;margin-top:189.513016pt;width:432.701pt;height:70.457pt;mso-position-horizontal-relative:page;mso-position-vertical-relative:page;z-index:-181840" filled="true" fillcolor="#eff6f0" stroked="false">
            <v:fill type="solid"/>
            <w10:wrap type="none"/>
          </v:rect>
        </w:pict>
      </w:r>
      <w:r>
        <w:rPr/>
        <w:pict>
          <v:shape style="position:absolute;margin-left:69.866096pt;margin-top:40.902756pt;width:14.45pt;height:9.5pt;mso-position-horizontal-relative:page;mso-position-vertical-relative:page;z-index:-181816" type="#_x0000_t202" filled="false" stroked="false">
            <v:textbox inset="0,0,0,0">
              <w:txbxContent>
                <w:p>
                  <w:pPr>
                    <w:spacing w:before="1"/>
                    <w:ind w:left="20" w:right="-2" w:firstLine="0"/>
                    <w:jc w:val="left"/>
                    <w:rPr>
                      <w:sz w:val="15"/>
                    </w:rPr>
                  </w:pPr>
                  <w:r>
                    <w:rPr>
                      <w:color w:val="58595B"/>
                      <w:sz w:val="15"/>
                    </w:rPr>
                    <w:t>148</w:t>
                  </w:r>
                </w:p>
              </w:txbxContent>
            </v:textbox>
            <w10:wrap type="none"/>
          </v:shape>
        </w:pict>
      </w:r>
      <w:r>
        <w:rPr/>
        <w:pict>
          <v:shape style="position:absolute;margin-left:95.377899pt;margin-top:40.902756pt;width:147.75pt;height:9.5pt;mso-position-horizontal-relative:page;mso-position-vertical-relative:page;z-index:-18179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70.865997pt;margin-top:189.513016pt;width:432.7pt;height:70.5pt;mso-position-horizontal-relative:page;mso-position-vertical-relative:page;z-index:-181768" type="#_x0000_t202" filled="false" stroked="false">
            <v:textbox inset="0,0,0,0">
              <w:txbxContent>
                <w:p>
                  <w:pPr>
                    <w:spacing w:before="128"/>
                    <w:ind w:left="170" w:right="277" w:firstLine="0"/>
                    <w:jc w:val="left"/>
                    <w:rPr>
                      <w:b/>
                      <w:sz w:val="20"/>
                    </w:rPr>
                  </w:pPr>
                  <w:r>
                    <w:rPr>
                      <w:b/>
                      <w:color w:val="808285"/>
                      <w:sz w:val="20"/>
                    </w:rPr>
                    <w:t>RECOMMENDATION 7.5</w:t>
                  </w:r>
                </w:p>
                <w:p>
                  <w:pPr>
                    <w:pStyle w:val="BodyText"/>
                    <w:spacing w:line="280" w:lineRule="auto" w:before="153"/>
                    <w:ind w:left="170" w:right="277"/>
                  </w:pPr>
                  <w:r>
                    <w:rPr>
                      <w:color w:val="58595B"/>
                    </w:rPr>
                    <w:t>Strengthen third party rights to allow persons whose interests are affected or any other person with the permission of the court to seek a court order to restrain or remedy breaches of environment protection laws (civil remedies).</w:t>
                  </w:r>
                </w:p>
              </w:txbxContent>
            </v:textbox>
            <w10:wrap type="none"/>
          </v:shape>
        </w:pict>
      </w:r>
      <w:r>
        <w:rPr/>
        <w:pict>
          <v:shape style="position:absolute;margin-left:70.865997pt;margin-top:107.717018pt;width:432.7pt;height:70.5pt;mso-position-horizontal-relative:page;mso-position-vertical-relative:page;z-index:-181744" type="#_x0000_t202" filled="false" stroked="false">
            <v:textbox inset="0,0,0,0">
              <w:txbxContent>
                <w:p>
                  <w:pPr>
                    <w:spacing w:before="128"/>
                    <w:ind w:left="170" w:right="277" w:firstLine="0"/>
                    <w:jc w:val="left"/>
                    <w:rPr>
                      <w:b/>
                      <w:sz w:val="20"/>
                    </w:rPr>
                  </w:pPr>
                  <w:r>
                    <w:rPr>
                      <w:b/>
                      <w:color w:val="808285"/>
                      <w:sz w:val="20"/>
                    </w:rPr>
                    <w:t>RECOMMENDATION 7.4</w:t>
                  </w:r>
                </w:p>
                <w:p>
                  <w:pPr>
                    <w:spacing w:line="280" w:lineRule="auto" w:before="153"/>
                    <w:ind w:left="170" w:right="277" w:firstLine="0"/>
                    <w:jc w:val="left"/>
                    <w:rPr>
                      <w:sz w:val="20"/>
                    </w:rPr>
                  </w:pPr>
                  <w:r>
                    <w:rPr>
                      <w:color w:val="58595B"/>
                      <w:sz w:val="20"/>
                    </w:rPr>
                    <w:t>Clarify that the test for third party standing for review of decisions under the </w:t>
                  </w:r>
                  <w:r>
                    <w:rPr>
                      <w:i/>
                      <w:color w:val="58595B"/>
                      <w:sz w:val="20"/>
                    </w:rPr>
                    <w:t>Environment Protection Act 1970 </w:t>
                  </w:r>
                  <w:r>
                    <w:rPr>
                      <w:color w:val="58595B"/>
                      <w:sz w:val="20"/>
                    </w:rPr>
                    <w:t>(reviewable by the Victorian Civil and Administrative Tribunal) matches section 5 of the </w:t>
                  </w:r>
                  <w:r>
                    <w:rPr>
                      <w:i/>
                      <w:color w:val="58595B"/>
                      <w:sz w:val="20"/>
                    </w:rPr>
                    <w:t>Victorian Civil and Administrative Tribunal Act 1998</w:t>
                  </w:r>
                  <w:r>
                    <w:rPr>
                      <w:color w:val="58595B"/>
                      <w:sz w:val="20"/>
                    </w:rPr>
                    <w:t>.</w:t>
                  </w:r>
                </w:p>
              </w:txbxContent>
            </v:textbox>
            <w10:wrap type="none"/>
          </v:shape>
        </w:pict>
      </w:r>
      <w:r>
        <w:rPr/>
        <w:pict>
          <v:shape style="position:absolute;margin-left:.0pt;margin-top:44.090015pt;width:60.3pt;height:5.25pt;mso-position-horizontal-relative:page;mso-position-vertical-relative:page;z-index:-18172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8169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81672" from="534.996094pt,45.840015pt" to="595.276001pt,45.840015pt" stroked="true" strokeweight="7pt" strokecolor="#0095a7">
            <w10:wrap type="none"/>
          </v:line>
        </w:pict>
      </w:r>
      <w:r>
        <w:rPr/>
        <w:pict>
          <v:line style="position:absolute;mso-position-horizontal-relative:page;mso-position-vertical-relative:page;z-index:-181648" from="90.708603pt,103.331017pt" to="522.661603pt,103.331017pt" stroked="true" strokeweight=".5pt" strokecolor="#58595b">
            <w10:wrap type="none"/>
          </v:line>
        </w:pict>
      </w:r>
      <w:r>
        <w:rPr/>
        <w:pict>
          <v:shape style="position:absolute;margin-left:163.582306pt;margin-top:40.902756pt;width:336.3pt;height:9.5pt;mso-position-horizontal-relative:page;mso-position-vertical-relative:page;z-index:-181624" type="#_x0000_t202" filled="false" stroked="false">
            <v:textbox inset="0,0,0,0">
              <w:txbxContent>
                <w:p>
                  <w:pPr>
                    <w:spacing w:before="1"/>
                    <w:ind w:left="20" w:right="0" w:firstLine="0"/>
                    <w:jc w:val="left"/>
                    <w:rPr>
                      <w:sz w:val="15"/>
                    </w:rPr>
                  </w:pPr>
                  <w:r>
                    <w:rPr>
                      <w:color w:val="58595B"/>
                      <w:sz w:val="15"/>
                    </w:rPr>
                    <w:t>CHAPTER 7    THE EPA’S ROLE WITHIN VICTORIA’S ENVIRONMENT PROTECTION REGIME</w:t>
                  </w:r>
                </w:p>
              </w:txbxContent>
            </v:textbox>
            <w10:wrap type="none"/>
          </v:shape>
        </w:pict>
      </w:r>
      <w:r>
        <w:rPr/>
        <w:pict>
          <v:shape style="position:absolute;margin-left:510.974792pt;margin-top:40.902756pt;width:14.4pt;height:9.5pt;mso-position-horizontal-relative:page;mso-position-vertical-relative:page;z-index:-181600" type="#_x0000_t202" filled="false" stroked="false">
            <v:textbox inset="0,0,0,0">
              <w:txbxContent>
                <w:p>
                  <w:pPr>
                    <w:spacing w:before="1"/>
                    <w:ind w:left="20" w:right="-3" w:firstLine="0"/>
                    <w:jc w:val="left"/>
                    <w:rPr>
                      <w:sz w:val="15"/>
                    </w:rPr>
                  </w:pPr>
                  <w:r>
                    <w:rPr>
                      <w:color w:val="58595B"/>
                      <w:sz w:val="15"/>
                    </w:rPr>
                    <w:t>149</w:t>
                  </w:r>
                </w:p>
              </w:txbxContent>
            </v:textbox>
            <w10:wrap type="none"/>
          </v:shape>
        </w:pict>
      </w:r>
      <w:r>
        <w:rPr/>
        <w:pict>
          <v:shape style="position:absolute;margin-left:89.708603pt;margin-top:106.22303pt;width:5.3pt;height:8pt;mso-position-horizontal-relative:page;mso-position-vertical-relative:page;z-index:-181576" type="#_x0000_t202" filled="false" stroked="false">
            <v:textbox inset="0,0,0,0">
              <w:txbxContent>
                <w:p>
                  <w:pPr>
                    <w:spacing w:before="4"/>
                    <w:ind w:left="20" w:right="0" w:firstLine="0"/>
                    <w:jc w:val="left"/>
                    <w:rPr>
                      <w:sz w:val="12"/>
                    </w:rPr>
                  </w:pPr>
                  <w:r>
                    <w:rPr>
                      <w:color w:val="58595B"/>
                      <w:sz w:val="12"/>
                    </w:rPr>
                    <w:t>1</w:t>
                  </w:r>
                </w:p>
              </w:txbxContent>
            </v:textbox>
            <w10:wrap type="none"/>
          </v:shape>
        </w:pict>
      </w:r>
      <w:r>
        <w:rPr/>
        <w:pict>
          <v:shape style="position:absolute;margin-left:103.862602pt;margin-top:106.22303pt;width:197pt;height:704.5pt;mso-position-horizontal-relative:page;mso-position-vertical-relative:page;z-index:-181552" type="#_x0000_t202" filled="false" stroked="false">
            <v:textbox inset="0,0,0,0">
              <w:txbxContent>
                <w:p>
                  <w:pPr>
                    <w:spacing w:line="242" w:lineRule="auto" w:before="4"/>
                    <w:ind w:left="20" w:right="331" w:firstLine="0"/>
                    <w:jc w:val="left"/>
                    <w:rPr>
                      <w:sz w:val="12"/>
                    </w:rPr>
                  </w:pPr>
                  <w:r>
                    <w:rPr>
                      <w:color w:val="58595B"/>
                      <w:sz w:val="12"/>
                    </w:rPr>
                    <w:t>Victorian Competition and Efficiency Commission 2007, </w:t>
                  </w:r>
                  <w:r>
                    <w:rPr>
                      <w:i/>
                      <w:color w:val="58595B"/>
                      <w:sz w:val="12"/>
                    </w:rPr>
                    <w:t>Inquiry into environmental regulation in Victoria</w:t>
                  </w:r>
                  <w:r>
                    <w:rPr>
                      <w:color w:val="58595B"/>
                      <w:sz w:val="12"/>
                    </w:rPr>
                    <w:t>, Melbourne.</w:t>
                  </w:r>
                </w:p>
                <w:p>
                  <w:pPr>
                    <w:spacing w:line="242" w:lineRule="auto" w:before="29"/>
                    <w:ind w:left="20" w:right="161" w:firstLine="0"/>
                    <w:jc w:val="left"/>
                    <w:rPr>
                      <w:sz w:val="12"/>
                    </w:rPr>
                  </w:pPr>
                  <w:r>
                    <w:rPr>
                      <w:color w:val="58595B"/>
                      <w:sz w:val="12"/>
                    </w:rPr>
                    <w:t>Australian Panel of Experts on Environmental Law </w:t>
                  </w:r>
                  <w:r>
                    <w:rPr>
                      <w:color w:val="58595B"/>
                      <w:spacing w:val="-3"/>
                      <w:sz w:val="12"/>
                    </w:rPr>
                    <w:t>2015, </w:t>
                  </w:r>
                  <w:r>
                    <w:rPr>
                      <w:i/>
                      <w:color w:val="58595B"/>
                      <w:sz w:val="12"/>
                    </w:rPr>
                    <w:t>The next generation of Australia’s environmental laws</w:t>
                  </w:r>
                  <w:r>
                    <w:rPr>
                      <w:color w:val="58595B"/>
                      <w:sz w:val="12"/>
                    </w:rPr>
                    <w:t>, Introductory </w:t>
                  </w:r>
                  <w:r>
                    <w:rPr>
                      <w:color w:val="58595B"/>
                      <w:spacing w:val="-3"/>
                      <w:sz w:val="12"/>
                    </w:rPr>
                    <w:t>Paper, </w:t>
                  </w:r>
                  <w:r>
                    <w:rPr>
                      <w:color w:val="58595B"/>
                      <w:sz w:val="12"/>
                    </w:rPr>
                    <w:t>p. </w:t>
                  </w:r>
                  <w:r>
                    <w:rPr>
                      <w:color w:val="58595B"/>
                      <w:spacing w:val="-3"/>
                      <w:sz w:val="12"/>
                    </w:rPr>
                    <w:t>12.</w:t>
                  </w:r>
                </w:p>
                <w:p>
                  <w:pPr>
                    <w:spacing w:line="242" w:lineRule="auto" w:before="29"/>
                    <w:ind w:left="20" w:right="184" w:firstLine="0"/>
                    <w:jc w:val="left"/>
                    <w:rPr>
                      <w:sz w:val="12"/>
                    </w:rPr>
                  </w:pPr>
                  <w:r>
                    <w:rPr>
                      <w:color w:val="58595B"/>
                      <w:sz w:val="12"/>
                    </w:rPr>
                    <w:t>For</w:t>
                  </w:r>
                  <w:r>
                    <w:rPr>
                      <w:color w:val="58595B"/>
                      <w:spacing w:val="-11"/>
                      <w:sz w:val="12"/>
                    </w:rPr>
                    <w:t> </w:t>
                  </w:r>
                  <w:r>
                    <w:rPr>
                      <w:color w:val="58595B"/>
                      <w:sz w:val="12"/>
                    </w:rPr>
                    <w:t>example,</w:t>
                  </w:r>
                  <w:r>
                    <w:rPr>
                      <w:color w:val="58595B"/>
                      <w:spacing w:val="-11"/>
                      <w:sz w:val="12"/>
                    </w:rPr>
                    <w:t> </w:t>
                  </w:r>
                  <w:r>
                    <w:rPr>
                      <w:color w:val="58595B"/>
                      <w:sz w:val="12"/>
                    </w:rPr>
                    <w:t>on</w:t>
                  </w:r>
                  <w:r>
                    <w:rPr>
                      <w:color w:val="58595B"/>
                      <w:spacing w:val="-11"/>
                      <w:sz w:val="12"/>
                    </w:rPr>
                    <w:t> </w:t>
                  </w:r>
                  <w:r>
                    <w:rPr>
                      <w:color w:val="58595B"/>
                      <w:sz w:val="12"/>
                    </w:rPr>
                    <w:t>climate</w:t>
                  </w:r>
                  <w:r>
                    <w:rPr>
                      <w:color w:val="58595B"/>
                      <w:spacing w:val="-11"/>
                      <w:sz w:val="12"/>
                    </w:rPr>
                    <w:t> </w:t>
                  </w:r>
                  <w:r>
                    <w:rPr>
                      <w:color w:val="58595B"/>
                      <w:sz w:val="12"/>
                    </w:rPr>
                    <w:t>change</w:t>
                  </w:r>
                  <w:r>
                    <w:rPr>
                      <w:color w:val="58595B"/>
                      <w:spacing w:val="-11"/>
                      <w:sz w:val="12"/>
                    </w:rPr>
                    <w:t> </w:t>
                  </w:r>
                  <w:r>
                    <w:rPr>
                      <w:color w:val="58595B"/>
                      <w:sz w:val="12"/>
                    </w:rPr>
                    <w:t>policy</w:t>
                  </w:r>
                  <w:r>
                    <w:rPr>
                      <w:color w:val="58595B"/>
                      <w:spacing w:val="-11"/>
                      <w:sz w:val="12"/>
                    </w:rPr>
                    <w:t> </w:t>
                  </w:r>
                  <w:r>
                    <w:rPr>
                      <w:color w:val="58595B"/>
                      <w:sz w:val="12"/>
                    </w:rPr>
                    <w:t>relating</w:t>
                  </w:r>
                  <w:r>
                    <w:rPr>
                      <w:color w:val="58595B"/>
                      <w:spacing w:val="-11"/>
                      <w:sz w:val="12"/>
                    </w:rPr>
                    <w:t> </w:t>
                  </w:r>
                  <w:r>
                    <w:rPr>
                      <w:color w:val="58595B"/>
                      <w:sz w:val="12"/>
                    </w:rPr>
                    <w:t>to</w:t>
                  </w:r>
                  <w:r>
                    <w:rPr>
                      <w:color w:val="58595B"/>
                      <w:spacing w:val="-11"/>
                      <w:sz w:val="12"/>
                    </w:rPr>
                    <w:t> </w:t>
                  </w:r>
                  <w:r>
                    <w:rPr>
                      <w:color w:val="58595B"/>
                      <w:sz w:val="12"/>
                    </w:rPr>
                    <w:t>the</w:t>
                  </w:r>
                  <w:r>
                    <w:rPr>
                      <w:color w:val="58595B"/>
                      <w:spacing w:val="-11"/>
                      <w:sz w:val="12"/>
                    </w:rPr>
                    <w:t> </w:t>
                  </w:r>
                  <w:r>
                    <w:rPr>
                      <w:i/>
                      <w:color w:val="58595B"/>
                      <w:sz w:val="12"/>
                    </w:rPr>
                    <w:t>Climate</w:t>
                  </w:r>
                  <w:r>
                    <w:rPr>
                      <w:i/>
                      <w:color w:val="58595B"/>
                      <w:spacing w:val="-11"/>
                      <w:sz w:val="12"/>
                    </w:rPr>
                    <w:t> </w:t>
                  </w:r>
                  <w:r>
                    <w:rPr>
                      <w:i/>
                      <w:color w:val="58595B"/>
                      <w:sz w:val="12"/>
                    </w:rPr>
                    <w:t>Change Act</w:t>
                  </w:r>
                  <w:r>
                    <w:rPr>
                      <w:i/>
                      <w:color w:val="58595B"/>
                      <w:spacing w:val="-17"/>
                      <w:sz w:val="12"/>
                    </w:rPr>
                    <w:t> </w:t>
                  </w:r>
                  <w:r>
                    <w:rPr>
                      <w:i/>
                      <w:color w:val="58595B"/>
                      <w:sz w:val="12"/>
                    </w:rPr>
                    <w:t>2010</w:t>
                  </w:r>
                  <w:r>
                    <w:rPr>
                      <w:color w:val="58595B"/>
                      <w:sz w:val="12"/>
                    </w:rPr>
                    <w:t>.</w:t>
                  </w:r>
                </w:p>
                <w:p>
                  <w:pPr>
                    <w:spacing w:before="29"/>
                    <w:ind w:left="20" w:right="331" w:firstLine="0"/>
                    <w:jc w:val="left"/>
                    <w:rPr>
                      <w:sz w:val="12"/>
                    </w:rPr>
                  </w:pPr>
                  <w:r>
                    <w:rPr>
                      <w:i/>
                      <w:color w:val="58595B"/>
                      <w:sz w:val="12"/>
                    </w:rPr>
                    <w:t>Flora and Fauna Guarantee Act 1988 </w:t>
                  </w:r>
                  <w:r>
                    <w:rPr>
                      <w:color w:val="58595B"/>
                      <w:sz w:val="12"/>
                    </w:rPr>
                    <w:t>and </w:t>
                  </w:r>
                  <w:r>
                    <w:rPr>
                      <w:i/>
                      <w:color w:val="58595B"/>
                      <w:sz w:val="12"/>
                    </w:rPr>
                    <w:t>Wildlife Act 1975</w:t>
                  </w:r>
                  <w:r>
                    <w:rPr>
                      <w:color w:val="58595B"/>
                      <w:sz w:val="12"/>
                    </w:rPr>
                    <w:t>.</w:t>
                  </w:r>
                </w:p>
                <w:p>
                  <w:pPr>
                    <w:spacing w:line="242" w:lineRule="auto" w:before="30"/>
                    <w:ind w:left="20" w:right="184" w:firstLine="0"/>
                    <w:jc w:val="left"/>
                    <w:rPr>
                      <w:sz w:val="12"/>
                    </w:rPr>
                  </w:pPr>
                  <w:r>
                    <w:rPr>
                      <w:color w:val="58595B"/>
                      <w:sz w:val="12"/>
                    </w:rPr>
                    <w:t>Victorian Competition and Efficiency Commission 2006, </w:t>
                  </w:r>
                  <w:r>
                    <w:rPr>
                      <w:i/>
                      <w:color w:val="58595B"/>
                      <w:sz w:val="12"/>
                    </w:rPr>
                    <w:t>Making the right choices: Options for managing transport congestion</w:t>
                  </w:r>
                  <w:r>
                    <w:rPr>
                      <w:color w:val="58595B"/>
                      <w:sz w:val="12"/>
                    </w:rPr>
                    <w:t>, Final report, Melbourne, September, p. 99.</w:t>
                  </w:r>
                </w:p>
                <w:p>
                  <w:pPr>
                    <w:spacing w:line="242" w:lineRule="auto" w:before="29"/>
                    <w:ind w:left="20" w:right="-9" w:firstLine="0"/>
                    <w:jc w:val="left"/>
                    <w:rPr>
                      <w:sz w:val="12"/>
                    </w:rPr>
                  </w:pPr>
                  <w:r>
                    <w:rPr>
                      <w:color w:val="58595B"/>
                      <w:sz w:val="12"/>
                    </w:rPr>
                    <w:t>Bushfires Royal Commission Implementation Monitor 2014, </w:t>
                  </w:r>
                  <w:r>
                    <w:rPr>
                      <w:i/>
                      <w:color w:val="58595B"/>
                      <w:sz w:val="12"/>
                    </w:rPr>
                    <w:t>Annual report 2014</w:t>
                  </w:r>
                  <w:r>
                    <w:rPr>
                      <w:color w:val="58595B"/>
                      <w:sz w:val="12"/>
                    </w:rPr>
                    <w:t>, July, p. 7.</w:t>
                  </w:r>
                </w:p>
                <w:p>
                  <w:pPr>
                    <w:spacing w:line="242" w:lineRule="auto" w:before="29"/>
                    <w:ind w:left="20" w:right="11" w:firstLine="0"/>
                    <w:jc w:val="left"/>
                    <w:rPr>
                      <w:sz w:val="12"/>
                    </w:rPr>
                  </w:pPr>
                  <w:r>
                    <w:rPr>
                      <w:color w:val="58595B"/>
                      <w:sz w:val="12"/>
                    </w:rPr>
                    <w:t>Department of Environment, Land, Water and Planning, ‘Climate change and Victoria’, </w:t>
                  </w:r>
                  <w:hyperlink r:id="rId33">
                    <w:r>
                      <w:rPr>
                        <w:color w:val="58595B"/>
                        <w:sz w:val="12"/>
                      </w:rPr>
                      <w:t>http://www.climatechange.vic.gov.au/action/leadership-and-</w:t>
                    </w:r>
                  </w:hyperlink>
                  <w:r>
                    <w:rPr>
                      <w:color w:val="58595B"/>
                      <w:sz w:val="12"/>
                    </w:rPr>
                    <w:t> governance (accessed 29 January 2016).</w:t>
                  </w:r>
                </w:p>
                <w:p>
                  <w:pPr>
                    <w:spacing w:line="242" w:lineRule="auto" w:before="29"/>
                    <w:ind w:left="20" w:right="59" w:firstLine="0"/>
                    <w:jc w:val="left"/>
                    <w:rPr>
                      <w:sz w:val="12"/>
                    </w:rPr>
                  </w:pPr>
                  <w:hyperlink r:id="rId34">
                    <w:r>
                      <w:rPr>
                        <w:color w:val="58595B"/>
                        <w:sz w:val="12"/>
                      </w:rPr>
                      <w:t>http://www.gov.scot/Topics/Government/public-bodies/</w:t>
                    </w:r>
                  </w:hyperlink>
                  <w:r>
                    <w:rPr>
                      <w:color w:val="58595B"/>
                      <w:sz w:val="12"/>
                    </w:rPr>
                    <w:t> OucomesBasedApproach (accessed 22 March </w:t>
                  </w:r>
                  <w:r>
                    <w:rPr>
                      <w:color w:val="58595B"/>
                      <w:spacing w:val="-3"/>
                      <w:sz w:val="12"/>
                    </w:rPr>
                    <w:t>2016); </w:t>
                  </w:r>
                  <w:r>
                    <w:rPr>
                      <w:color w:val="58595B"/>
                      <w:sz w:val="12"/>
                    </w:rPr>
                    <w:t>‘Managing for Outcomes’</w:t>
                  </w:r>
                  <w:r>
                    <w:rPr>
                      <w:color w:val="58595B"/>
                      <w:spacing w:val="-12"/>
                      <w:sz w:val="12"/>
                    </w:rPr>
                    <w:t> </w:t>
                  </w:r>
                  <w:r>
                    <w:rPr>
                      <w:color w:val="58595B"/>
                      <w:sz w:val="12"/>
                    </w:rPr>
                    <w:t>in</w:t>
                  </w:r>
                  <w:r>
                    <w:rPr>
                      <w:color w:val="58595B"/>
                      <w:spacing w:val="-12"/>
                      <w:sz w:val="12"/>
                    </w:rPr>
                    <w:t> </w:t>
                  </w:r>
                  <w:r>
                    <w:rPr>
                      <w:color w:val="58595B"/>
                      <w:sz w:val="12"/>
                    </w:rPr>
                    <w:t>the</w:t>
                  </w:r>
                  <w:r>
                    <w:rPr>
                      <w:color w:val="58595B"/>
                      <w:spacing w:val="-12"/>
                      <w:sz w:val="12"/>
                    </w:rPr>
                    <w:t> </w:t>
                  </w:r>
                  <w:r>
                    <w:rPr>
                      <w:color w:val="58595B"/>
                      <w:sz w:val="12"/>
                    </w:rPr>
                    <w:t>New</w:t>
                  </w:r>
                  <w:r>
                    <w:rPr>
                      <w:color w:val="58595B"/>
                      <w:spacing w:val="-12"/>
                      <w:sz w:val="12"/>
                    </w:rPr>
                    <w:t> </w:t>
                  </w:r>
                  <w:r>
                    <w:rPr>
                      <w:color w:val="58595B"/>
                      <w:sz w:val="12"/>
                    </w:rPr>
                    <w:t>Zealand</w:t>
                  </w:r>
                  <w:r>
                    <w:rPr>
                      <w:color w:val="58595B"/>
                      <w:spacing w:val="-12"/>
                      <w:sz w:val="12"/>
                    </w:rPr>
                    <w:t> </w:t>
                  </w:r>
                  <w:r>
                    <w:rPr>
                      <w:color w:val="58595B"/>
                      <w:sz w:val="12"/>
                    </w:rPr>
                    <w:t>Public</w:t>
                  </w:r>
                  <w:r>
                    <w:rPr>
                      <w:color w:val="58595B"/>
                      <w:spacing w:val="-12"/>
                      <w:sz w:val="12"/>
                    </w:rPr>
                    <w:t> </w:t>
                  </w:r>
                  <w:r>
                    <w:rPr>
                      <w:color w:val="58595B"/>
                      <w:sz w:val="12"/>
                    </w:rPr>
                    <w:t>Management</w:t>
                  </w:r>
                  <w:r>
                    <w:rPr>
                      <w:color w:val="58595B"/>
                      <w:spacing w:val="-12"/>
                      <w:sz w:val="12"/>
                    </w:rPr>
                    <w:t> </w:t>
                  </w:r>
                  <w:r>
                    <w:rPr>
                      <w:color w:val="58595B"/>
                      <w:sz w:val="12"/>
                    </w:rPr>
                    <w:t>System,</w:t>
                  </w:r>
                  <w:r>
                    <w:rPr>
                      <w:color w:val="58595B"/>
                      <w:spacing w:val="-12"/>
                      <w:sz w:val="12"/>
                    </w:rPr>
                    <w:t> </w:t>
                  </w:r>
                  <w:r>
                    <w:rPr>
                      <w:color w:val="58595B"/>
                      <w:sz w:val="12"/>
                    </w:rPr>
                    <w:t>New</w:t>
                  </w:r>
                  <w:r>
                    <w:rPr>
                      <w:color w:val="58595B"/>
                      <w:spacing w:val="-12"/>
                      <w:sz w:val="12"/>
                    </w:rPr>
                    <w:t> </w:t>
                  </w:r>
                  <w:r>
                    <w:rPr>
                      <w:color w:val="58595B"/>
                      <w:sz w:val="12"/>
                    </w:rPr>
                    <w:t>Zealand Treasury Working Paper 04/15, </w:t>
                  </w:r>
                  <w:hyperlink r:id="rId35">
                    <w:r>
                      <w:rPr>
                        <w:color w:val="58595B"/>
                        <w:sz w:val="12"/>
                      </w:rPr>
                      <w:t>http://www.treasury.govt.nz/publications/</w:t>
                    </w:r>
                  </w:hyperlink>
                  <w:r>
                    <w:rPr>
                      <w:color w:val="58595B"/>
                      <w:sz w:val="12"/>
                    </w:rPr>
                    <w:t> research-policy/wp/2004/04-15</w:t>
                  </w:r>
                  <w:r>
                    <w:rPr>
                      <w:color w:val="58595B"/>
                      <w:spacing w:val="-13"/>
                      <w:sz w:val="12"/>
                    </w:rPr>
                    <w:t> </w:t>
                  </w:r>
                  <w:r>
                    <w:rPr>
                      <w:color w:val="58595B"/>
                      <w:sz w:val="12"/>
                    </w:rPr>
                    <w:t>(accessed</w:t>
                  </w:r>
                  <w:r>
                    <w:rPr>
                      <w:color w:val="58595B"/>
                      <w:spacing w:val="-13"/>
                      <w:sz w:val="12"/>
                    </w:rPr>
                    <w:t> </w:t>
                  </w:r>
                  <w:r>
                    <w:rPr>
                      <w:color w:val="58595B"/>
                      <w:sz w:val="12"/>
                    </w:rPr>
                    <w:t>22</w:t>
                  </w:r>
                  <w:r>
                    <w:rPr>
                      <w:color w:val="58595B"/>
                      <w:spacing w:val="-13"/>
                      <w:sz w:val="12"/>
                    </w:rPr>
                    <w:t> </w:t>
                  </w:r>
                  <w:r>
                    <w:rPr>
                      <w:color w:val="58595B"/>
                      <w:sz w:val="12"/>
                    </w:rPr>
                    <w:t>March</w:t>
                  </w:r>
                  <w:r>
                    <w:rPr>
                      <w:color w:val="58595B"/>
                      <w:spacing w:val="-13"/>
                      <w:sz w:val="12"/>
                    </w:rPr>
                    <w:t> </w:t>
                  </w:r>
                  <w:r>
                    <w:rPr>
                      <w:color w:val="58595B"/>
                      <w:spacing w:val="-3"/>
                      <w:sz w:val="12"/>
                    </w:rPr>
                    <w:t>2016).</w:t>
                  </w:r>
                </w:p>
                <w:p>
                  <w:pPr>
                    <w:spacing w:line="242" w:lineRule="auto" w:before="29"/>
                    <w:ind w:left="20" w:right="431" w:firstLine="0"/>
                    <w:jc w:val="left"/>
                    <w:rPr>
                      <w:sz w:val="12"/>
                    </w:rPr>
                  </w:pPr>
                  <w:r>
                    <w:rPr>
                      <w:color w:val="58595B"/>
                      <w:sz w:val="12"/>
                    </w:rPr>
                    <w:t>Plan Melbourne 2015, </w:t>
                  </w:r>
                  <w:r>
                    <w:rPr>
                      <w:i/>
                      <w:color w:val="58595B"/>
                      <w:sz w:val="12"/>
                    </w:rPr>
                    <w:t>Plan Melbourne Refresh discussion paper</w:t>
                  </w:r>
                  <w:r>
                    <w:rPr>
                      <w:color w:val="58595B"/>
                      <w:sz w:val="12"/>
                    </w:rPr>
                    <w:t>, Melbourne, October, p. 1.</w:t>
                  </w:r>
                </w:p>
                <w:p>
                  <w:pPr>
                    <w:spacing w:line="242" w:lineRule="auto" w:before="29"/>
                    <w:ind w:left="20" w:right="431" w:firstLine="0"/>
                    <w:jc w:val="left"/>
                    <w:rPr>
                      <w:sz w:val="12"/>
                    </w:rPr>
                  </w:pPr>
                  <w:r>
                    <w:rPr>
                      <w:color w:val="58595B"/>
                      <w:sz w:val="12"/>
                    </w:rPr>
                    <w:t>Plan Melbourne 2015, </w:t>
                  </w:r>
                  <w:r>
                    <w:rPr>
                      <w:i/>
                      <w:color w:val="58595B"/>
                      <w:sz w:val="12"/>
                    </w:rPr>
                    <w:t>Plan Melbourne Refresh discussion paper</w:t>
                  </w:r>
                  <w:r>
                    <w:rPr>
                      <w:color w:val="58595B"/>
                      <w:sz w:val="12"/>
                    </w:rPr>
                    <w:t>, Melbourne, October, p. 57.</w:t>
                  </w:r>
                </w:p>
                <w:p>
                  <w:pPr>
                    <w:spacing w:line="242" w:lineRule="auto" w:before="29"/>
                    <w:ind w:left="20" w:right="71" w:firstLine="0"/>
                    <w:jc w:val="left"/>
                    <w:rPr>
                      <w:sz w:val="12"/>
                    </w:rPr>
                  </w:pPr>
                  <w:hyperlink r:id="rId36">
                    <w:r>
                      <w:rPr>
                        <w:color w:val="58595B"/>
                        <w:sz w:val="12"/>
                      </w:rPr>
                      <w:t>http://environmentvictoria.org.au/media/state-environment-report-paints-</w:t>
                    </w:r>
                  </w:hyperlink>
                  <w:r>
                    <w:rPr>
                      <w:color w:val="58595B"/>
                      <w:sz w:val="12"/>
                    </w:rPr>
                    <w:t> bleak-picture-future (accessed 10 March 2016).</w:t>
                  </w:r>
                </w:p>
                <w:p>
                  <w:pPr>
                    <w:spacing w:line="242" w:lineRule="auto" w:before="29"/>
                    <w:ind w:left="20" w:right="184" w:firstLine="0"/>
                    <w:jc w:val="left"/>
                    <w:rPr>
                      <w:sz w:val="12"/>
                    </w:rPr>
                  </w:pPr>
                  <w:r>
                    <w:rPr>
                      <w:color w:val="58595B"/>
                      <w:sz w:val="12"/>
                    </w:rPr>
                    <w:t>Victorian Competition and Efficiency Commission 2006, </w:t>
                  </w:r>
                  <w:r>
                    <w:rPr>
                      <w:i/>
                      <w:color w:val="58595B"/>
                      <w:sz w:val="12"/>
                    </w:rPr>
                    <w:t>Making the right choices: Options for managing transport congestion</w:t>
                  </w:r>
                  <w:r>
                    <w:rPr>
                      <w:color w:val="58595B"/>
                      <w:sz w:val="12"/>
                    </w:rPr>
                    <w:t>, Final report, Melbourne, September.</w:t>
                  </w:r>
                </w:p>
                <w:p>
                  <w:pPr>
                    <w:spacing w:line="242" w:lineRule="auto" w:before="29"/>
                    <w:ind w:left="20" w:right="-9" w:firstLine="0"/>
                    <w:jc w:val="left"/>
                    <w:rPr>
                      <w:sz w:val="12"/>
                    </w:rPr>
                  </w:pPr>
                  <w:r>
                    <w:rPr>
                      <w:color w:val="58595B"/>
                      <w:sz w:val="12"/>
                    </w:rPr>
                    <w:t>OECD</w:t>
                  </w:r>
                  <w:r>
                    <w:rPr>
                      <w:color w:val="58595B"/>
                      <w:spacing w:val="-11"/>
                      <w:sz w:val="12"/>
                    </w:rPr>
                    <w:t> </w:t>
                  </w:r>
                  <w:r>
                    <w:rPr>
                      <w:color w:val="58595B"/>
                      <w:spacing w:val="-3"/>
                      <w:sz w:val="12"/>
                    </w:rPr>
                    <w:t>2014,</w:t>
                  </w:r>
                  <w:r>
                    <w:rPr>
                      <w:color w:val="58595B"/>
                      <w:spacing w:val="-11"/>
                      <w:sz w:val="12"/>
                    </w:rPr>
                    <w:t> </w:t>
                  </w:r>
                  <w:r>
                    <w:rPr>
                      <w:i/>
                      <w:color w:val="58595B"/>
                      <w:sz w:val="12"/>
                    </w:rPr>
                    <w:t>The</w:t>
                  </w:r>
                  <w:r>
                    <w:rPr>
                      <w:i/>
                      <w:color w:val="58595B"/>
                      <w:spacing w:val="-11"/>
                      <w:sz w:val="12"/>
                    </w:rPr>
                    <w:t> </w:t>
                  </w:r>
                  <w:r>
                    <w:rPr>
                      <w:i/>
                      <w:color w:val="58595B"/>
                      <w:sz w:val="12"/>
                    </w:rPr>
                    <w:t>governance</w:t>
                  </w:r>
                  <w:r>
                    <w:rPr>
                      <w:i/>
                      <w:color w:val="58595B"/>
                      <w:spacing w:val="-11"/>
                      <w:sz w:val="12"/>
                    </w:rPr>
                    <w:t> </w:t>
                  </w:r>
                  <w:r>
                    <w:rPr>
                      <w:i/>
                      <w:color w:val="58595B"/>
                      <w:sz w:val="12"/>
                    </w:rPr>
                    <w:t>of</w:t>
                  </w:r>
                  <w:r>
                    <w:rPr>
                      <w:i/>
                      <w:color w:val="58595B"/>
                      <w:spacing w:val="-11"/>
                      <w:sz w:val="12"/>
                    </w:rPr>
                    <w:t> </w:t>
                  </w:r>
                  <w:r>
                    <w:rPr>
                      <w:i/>
                      <w:color w:val="58595B"/>
                      <w:sz w:val="12"/>
                    </w:rPr>
                    <w:t>regulators</w:t>
                  </w:r>
                  <w:r>
                    <w:rPr>
                      <w:color w:val="58595B"/>
                      <w:sz w:val="12"/>
                    </w:rPr>
                    <w:t>,</w:t>
                  </w:r>
                  <w:r>
                    <w:rPr>
                      <w:color w:val="58595B"/>
                      <w:spacing w:val="-11"/>
                      <w:sz w:val="12"/>
                    </w:rPr>
                    <w:t> </w:t>
                  </w:r>
                  <w:r>
                    <w:rPr>
                      <w:color w:val="58595B"/>
                      <w:sz w:val="12"/>
                    </w:rPr>
                    <w:t>OECD</w:t>
                  </w:r>
                  <w:r>
                    <w:rPr>
                      <w:color w:val="58595B"/>
                      <w:spacing w:val="-11"/>
                      <w:sz w:val="12"/>
                    </w:rPr>
                    <w:t> </w:t>
                  </w:r>
                  <w:r>
                    <w:rPr>
                      <w:color w:val="58595B"/>
                      <w:sz w:val="12"/>
                    </w:rPr>
                    <w:t>Best</w:t>
                  </w:r>
                  <w:r>
                    <w:rPr>
                      <w:color w:val="58595B"/>
                      <w:spacing w:val="-11"/>
                      <w:sz w:val="12"/>
                    </w:rPr>
                    <w:t> </w:t>
                  </w:r>
                  <w:r>
                    <w:rPr>
                      <w:color w:val="58595B"/>
                      <w:sz w:val="12"/>
                    </w:rPr>
                    <w:t>Practice</w:t>
                  </w:r>
                  <w:r>
                    <w:rPr>
                      <w:color w:val="58595B"/>
                      <w:spacing w:val="-11"/>
                      <w:sz w:val="12"/>
                    </w:rPr>
                    <w:t> </w:t>
                  </w:r>
                  <w:r>
                    <w:rPr>
                      <w:color w:val="58595B"/>
                      <w:sz w:val="12"/>
                    </w:rPr>
                    <w:t>Principles for</w:t>
                  </w:r>
                  <w:r>
                    <w:rPr>
                      <w:color w:val="58595B"/>
                      <w:spacing w:val="-14"/>
                      <w:sz w:val="12"/>
                    </w:rPr>
                    <w:t> </w:t>
                  </w:r>
                  <w:r>
                    <w:rPr>
                      <w:color w:val="58595B"/>
                      <w:sz w:val="12"/>
                    </w:rPr>
                    <w:t>Regulatory</w:t>
                  </w:r>
                  <w:r>
                    <w:rPr>
                      <w:color w:val="58595B"/>
                      <w:spacing w:val="-14"/>
                      <w:sz w:val="12"/>
                    </w:rPr>
                    <w:t> </w:t>
                  </w:r>
                  <w:r>
                    <w:rPr>
                      <w:color w:val="58595B"/>
                      <w:sz w:val="12"/>
                    </w:rPr>
                    <w:t>Policy,</w:t>
                  </w:r>
                  <w:r>
                    <w:rPr>
                      <w:color w:val="58595B"/>
                      <w:spacing w:val="-14"/>
                      <w:sz w:val="12"/>
                    </w:rPr>
                    <w:t> </w:t>
                  </w:r>
                  <w:r>
                    <w:rPr>
                      <w:color w:val="58595B"/>
                      <w:sz w:val="12"/>
                    </w:rPr>
                    <w:t>OECD</w:t>
                  </w:r>
                  <w:r>
                    <w:rPr>
                      <w:color w:val="58595B"/>
                      <w:spacing w:val="-14"/>
                      <w:sz w:val="12"/>
                    </w:rPr>
                    <w:t> </w:t>
                  </w:r>
                  <w:r>
                    <w:rPr>
                      <w:color w:val="58595B"/>
                      <w:sz w:val="12"/>
                    </w:rPr>
                    <w:t>Publishing,</w:t>
                  </w:r>
                  <w:r>
                    <w:rPr>
                      <w:color w:val="58595B"/>
                      <w:spacing w:val="-14"/>
                      <w:sz w:val="12"/>
                    </w:rPr>
                    <w:t> </w:t>
                  </w:r>
                  <w:r>
                    <w:rPr>
                      <w:color w:val="58595B"/>
                      <w:sz w:val="12"/>
                    </w:rPr>
                    <w:t>p.</w:t>
                  </w:r>
                  <w:r>
                    <w:rPr>
                      <w:color w:val="58595B"/>
                      <w:spacing w:val="-14"/>
                      <w:sz w:val="12"/>
                    </w:rPr>
                    <w:t> </w:t>
                  </w:r>
                  <w:r>
                    <w:rPr>
                      <w:color w:val="58595B"/>
                      <w:sz w:val="12"/>
                    </w:rPr>
                    <w:t>30.</w:t>
                  </w:r>
                </w:p>
                <w:p>
                  <w:pPr>
                    <w:spacing w:line="242" w:lineRule="auto" w:before="29"/>
                    <w:ind w:left="20" w:right="-9" w:firstLine="0"/>
                    <w:jc w:val="left"/>
                    <w:rPr>
                      <w:sz w:val="12"/>
                    </w:rPr>
                  </w:pPr>
                  <w:r>
                    <w:rPr>
                      <w:color w:val="58595B"/>
                      <w:sz w:val="12"/>
                    </w:rPr>
                    <w:t>Department</w:t>
                  </w:r>
                  <w:r>
                    <w:rPr>
                      <w:color w:val="58595B"/>
                      <w:spacing w:val="-18"/>
                      <w:sz w:val="12"/>
                    </w:rPr>
                    <w:t> </w:t>
                  </w:r>
                  <w:r>
                    <w:rPr>
                      <w:color w:val="58595B"/>
                      <w:sz w:val="12"/>
                    </w:rPr>
                    <w:t>of</w:t>
                  </w:r>
                  <w:r>
                    <w:rPr>
                      <w:color w:val="58595B"/>
                      <w:spacing w:val="-18"/>
                      <w:sz w:val="12"/>
                    </w:rPr>
                    <w:t> </w:t>
                  </w:r>
                  <w:r>
                    <w:rPr>
                      <w:color w:val="58595B"/>
                      <w:sz w:val="12"/>
                    </w:rPr>
                    <w:t>Justice</w:t>
                  </w:r>
                  <w:r>
                    <w:rPr>
                      <w:color w:val="58595B"/>
                      <w:spacing w:val="-18"/>
                      <w:sz w:val="12"/>
                    </w:rPr>
                    <w:t> </w:t>
                  </w:r>
                  <w:r>
                    <w:rPr>
                      <w:color w:val="58595B"/>
                      <w:sz w:val="12"/>
                    </w:rPr>
                    <w:t>and</w:t>
                  </w:r>
                  <w:r>
                    <w:rPr>
                      <w:color w:val="58595B"/>
                      <w:spacing w:val="-18"/>
                      <w:sz w:val="12"/>
                    </w:rPr>
                    <w:t> </w:t>
                  </w:r>
                  <w:r>
                    <w:rPr>
                      <w:color w:val="58595B"/>
                      <w:sz w:val="12"/>
                    </w:rPr>
                    <w:t>Regulation,</w:t>
                  </w:r>
                  <w:r>
                    <w:rPr>
                      <w:color w:val="58595B"/>
                      <w:spacing w:val="-18"/>
                      <w:sz w:val="12"/>
                    </w:rPr>
                    <w:t> </w:t>
                  </w:r>
                  <w:hyperlink r:id="rId37">
                    <w:r>
                      <w:rPr>
                        <w:color w:val="58595B"/>
                        <w:sz w:val="12"/>
                      </w:rPr>
                      <w:t>http://www.justice.vic.gov.au/home/</w:t>
                    </w:r>
                  </w:hyperlink>
                  <w:r>
                    <w:rPr>
                      <w:color w:val="58595B"/>
                      <w:sz w:val="12"/>
                    </w:rPr>
                    <w:t> </w:t>
                  </w:r>
                  <w:r>
                    <w:rPr>
                      <w:color w:val="58595B"/>
                      <w:spacing w:val="-1"/>
                      <w:sz w:val="12"/>
                    </w:rPr>
                    <w:t>safer+communities/road+safety/</w:t>
                  </w:r>
                  <w:r>
                    <w:rPr>
                      <w:color w:val="58595B"/>
                      <w:spacing w:val="-17"/>
                      <w:sz w:val="12"/>
                    </w:rPr>
                    <w:t> </w:t>
                  </w:r>
                  <w:r>
                    <w:rPr>
                      <w:color w:val="58595B"/>
                      <w:sz w:val="12"/>
                    </w:rPr>
                    <w:t>(accessed</w:t>
                  </w:r>
                  <w:r>
                    <w:rPr>
                      <w:color w:val="58595B"/>
                      <w:spacing w:val="-17"/>
                      <w:sz w:val="12"/>
                    </w:rPr>
                    <w:t> </w:t>
                  </w:r>
                  <w:r>
                    <w:rPr>
                      <w:color w:val="58595B"/>
                      <w:sz w:val="12"/>
                    </w:rPr>
                    <w:t>26.03.206)</w:t>
                  </w:r>
                </w:p>
                <w:p>
                  <w:pPr>
                    <w:spacing w:line="242" w:lineRule="auto" w:before="29"/>
                    <w:ind w:left="20" w:right="-9" w:firstLine="0"/>
                    <w:jc w:val="left"/>
                    <w:rPr>
                      <w:sz w:val="12"/>
                    </w:rPr>
                  </w:pPr>
                  <w:r>
                    <w:rPr>
                      <w:color w:val="58595B"/>
                      <w:sz w:val="12"/>
                    </w:rPr>
                    <w:t>Section</w:t>
                  </w:r>
                  <w:r>
                    <w:rPr>
                      <w:color w:val="58595B"/>
                      <w:spacing w:val="-12"/>
                      <w:sz w:val="12"/>
                    </w:rPr>
                    <w:t> </w:t>
                  </w:r>
                  <w:r>
                    <w:rPr>
                      <w:color w:val="58595B"/>
                      <w:spacing w:val="-3"/>
                      <w:sz w:val="12"/>
                    </w:rPr>
                    <w:t>14,</w:t>
                  </w:r>
                  <w:r>
                    <w:rPr>
                      <w:color w:val="58595B"/>
                      <w:spacing w:val="-11"/>
                      <w:sz w:val="12"/>
                    </w:rPr>
                    <w:t> </w:t>
                  </w:r>
                  <w:r>
                    <w:rPr>
                      <w:i/>
                      <w:color w:val="58595B"/>
                      <w:sz w:val="12"/>
                    </w:rPr>
                    <w:t>Climate</w:t>
                  </w:r>
                  <w:r>
                    <w:rPr>
                      <w:i/>
                      <w:color w:val="58595B"/>
                      <w:spacing w:val="-11"/>
                      <w:sz w:val="12"/>
                    </w:rPr>
                    <w:t> </w:t>
                  </w:r>
                  <w:r>
                    <w:rPr>
                      <w:i/>
                      <w:color w:val="58595B"/>
                      <w:sz w:val="12"/>
                    </w:rPr>
                    <w:t>Change</w:t>
                  </w:r>
                  <w:r>
                    <w:rPr>
                      <w:i/>
                      <w:color w:val="58595B"/>
                      <w:spacing w:val="-11"/>
                      <w:sz w:val="12"/>
                    </w:rPr>
                    <w:t> </w:t>
                  </w:r>
                  <w:r>
                    <w:rPr>
                      <w:i/>
                      <w:color w:val="58595B"/>
                      <w:sz w:val="12"/>
                    </w:rPr>
                    <w:t>Act</w:t>
                  </w:r>
                  <w:r>
                    <w:rPr>
                      <w:i/>
                      <w:color w:val="58595B"/>
                      <w:spacing w:val="-11"/>
                      <w:sz w:val="12"/>
                    </w:rPr>
                    <w:t> </w:t>
                  </w:r>
                  <w:r>
                    <w:rPr>
                      <w:i/>
                      <w:color w:val="58595B"/>
                      <w:sz w:val="12"/>
                    </w:rPr>
                    <w:t>2010</w:t>
                  </w:r>
                  <w:r>
                    <w:rPr>
                      <w:color w:val="58595B"/>
                      <w:sz w:val="12"/>
                    </w:rPr>
                    <w:t>.</w:t>
                  </w:r>
                  <w:r>
                    <w:rPr>
                      <w:color w:val="58595B"/>
                      <w:spacing w:val="-11"/>
                      <w:sz w:val="12"/>
                    </w:rPr>
                    <w:t> </w:t>
                  </w:r>
                  <w:r>
                    <w:rPr>
                      <w:color w:val="58595B"/>
                      <w:sz w:val="12"/>
                    </w:rPr>
                    <w:t>These</w:t>
                  </w:r>
                  <w:r>
                    <w:rPr>
                      <w:color w:val="58595B"/>
                      <w:spacing w:val="-11"/>
                      <w:sz w:val="12"/>
                    </w:rPr>
                    <w:t> </w:t>
                  </w:r>
                  <w:r>
                    <w:rPr>
                      <w:color w:val="58595B"/>
                      <w:sz w:val="12"/>
                    </w:rPr>
                    <w:t>provisions</w:t>
                  </w:r>
                  <w:r>
                    <w:rPr>
                      <w:color w:val="58595B"/>
                      <w:spacing w:val="-11"/>
                      <w:sz w:val="12"/>
                    </w:rPr>
                    <w:t> </w:t>
                  </w:r>
                  <w:r>
                    <w:rPr>
                      <w:color w:val="58595B"/>
                      <w:sz w:val="12"/>
                    </w:rPr>
                    <w:t>currently</w:t>
                  </w:r>
                  <w:r>
                    <w:rPr>
                      <w:color w:val="58595B"/>
                      <w:spacing w:val="-11"/>
                      <w:sz w:val="12"/>
                    </w:rPr>
                    <w:t> </w:t>
                  </w:r>
                  <w:r>
                    <w:rPr>
                      <w:color w:val="58595B"/>
                      <w:sz w:val="12"/>
                    </w:rPr>
                    <w:t>apply</w:t>
                  </w:r>
                  <w:r>
                    <w:rPr>
                      <w:color w:val="58595B"/>
                      <w:spacing w:val="-11"/>
                      <w:sz w:val="12"/>
                    </w:rPr>
                    <w:t> </w:t>
                  </w:r>
                  <w:r>
                    <w:rPr>
                      <w:color w:val="58595B"/>
                      <w:spacing w:val="-2"/>
                      <w:sz w:val="12"/>
                    </w:rPr>
                    <w:t>to: </w:t>
                  </w:r>
                  <w:r>
                    <w:rPr>
                      <w:i/>
                      <w:color w:val="58595B"/>
                      <w:sz w:val="12"/>
                    </w:rPr>
                    <w:t>Catchment</w:t>
                  </w:r>
                  <w:r>
                    <w:rPr>
                      <w:i/>
                      <w:color w:val="58595B"/>
                      <w:spacing w:val="-12"/>
                      <w:sz w:val="12"/>
                    </w:rPr>
                    <w:t> </w:t>
                  </w:r>
                  <w:r>
                    <w:rPr>
                      <w:i/>
                      <w:color w:val="58595B"/>
                      <w:sz w:val="12"/>
                    </w:rPr>
                    <w:t>and</w:t>
                  </w:r>
                  <w:r>
                    <w:rPr>
                      <w:i/>
                      <w:color w:val="58595B"/>
                      <w:spacing w:val="-12"/>
                      <w:sz w:val="12"/>
                    </w:rPr>
                    <w:t> </w:t>
                  </w:r>
                  <w:r>
                    <w:rPr>
                      <w:i/>
                      <w:color w:val="58595B"/>
                      <w:sz w:val="12"/>
                    </w:rPr>
                    <w:t>Land</w:t>
                  </w:r>
                  <w:r>
                    <w:rPr>
                      <w:i/>
                      <w:color w:val="58595B"/>
                      <w:spacing w:val="-12"/>
                      <w:sz w:val="12"/>
                    </w:rPr>
                    <w:t> </w:t>
                  </w:r>
                  <w:r>
                    <w:rPr>
                      <w:i/>
                      <w:color w:val="58595B"/>
                      <w:sz w:val="12"/>
                    </w:rPr>
                    <w:t>Protection</w:t>
                  </w:r>
                  <w:r>
                    <w:rPr>
                      <w:i/>
                      <w:color w:val="58595B"/>
                      <w:spacing w:val="-12"/>
                      <w:sz w:val="12"/>
                    </w:rPr>
                    <w:t> </w:t>
                  </w:r>
                  <w:r>
                    <w:rPr>
                      <w:i/>
                      <w:color w:val="58595B"/>
                      <w:sz w:val="12"/>
                    </w:rPr>
                    <w:t>Act</w:t>
                  </w:r>
                  <w:r>
                    <w:rPr>
                      <w:i/>
                      <w:color w:val="58595B"/>
                      <w:spacing w:val="-12"/>
                      <w:sz w:val="12"/>
                    </w:rPr>
                    <w:t> </w:t>
                  </w:r>
                  <w:r>
                    <w:rPr>
                      <w:i/>
                      <w:color w:val="58595B"/>
                      <w:sz w:val="12"/>
                    </w:rPr>
                    <w:t>1994</w:t>
                  </w:r>
                  <w:r>
                    <w:rPr>
                      <w:color w:val="58595B"/>
                      <w:sz w:val="12"/>
                    </w:rPr>
                    <w:t>,</w:t>
                  </w:r>
                  <w:r>
                    <w:rPr>
                      <w:color w:val="58595B"/>
                      <w:spacing w:val="-12"/>
                      <w:sz w:val="12"/>
                    </w:rPr>
                    <w:t> </w:t>
                  </w:r>
                  <w:r>
                    <w:rPr>
                      <w:i/>
                      <w:color w:val="58595B"/>
                      <w:sz w:val="12"/>
                    </w:rPr>
                    <w:t>Coastal</w:t>
                  </w:r>
                  <w:r>
                    <w:rPr>
                      <w:i/>
                      <w:color w:val="58595B"/>
                      <w:spacing w:val="-12"/>
                      <w:sz w:val="12"/>
                    </w:rPr>
                    <w:t> </w:t>
                  </w:r>
                  <w:r>
                    <w:rPr>
                      <w:i/>
                      <w:color w:val="58595B"/>
                      <w:sz w:val="12"/>
                    </w:rPr>
                    <w:t>Management</w:t>
                  </w:r>
                  <w:r>
                    <w:rPr>
                      <w:i/>
                      <w:color w:val="58595B"/>
                      <w:spacing w:val="-12"/>
                      <w:sz w:val="12"/>
                    </w:rPr>
                    <w:t> </w:t>
                  </w:r>
                  <w:r>
                    <w:rPr>
                      <w:i/>
                      <w:color w:val="58595B"/>
                      <w:sz w:val="12"/>
                    </w:rPr>
                    <w:t>Act</w:t>
                  </w:r>
                  <w:r>
                    <w:rPr>
                      <w:i/>
                      <w:color w:val="58595B"/>
                      <w:spacing w:val="-12"/>
                      <w:sz w:val="12"/>
                    </w:rPr>
                    <w:t> </w:t>
                  </w:r>
                  <w:r>
                    <w:rPr>
                      <w:i/>
                      <w:color w:val="58595B"/>
                      <w:sz w:val="12"/>
                    </w:rPr>
                    <w:t>1995</w:t>
                  </w:r>
                  <w:r>
                    <w:rPr>
                      <w:color w:val="58595B"/>
                      <w:sz w:val="12"/>
                    </w:rPr>
                    <w:t>, </w:t>
                  </w:r>
                  <w:r>
                    <w:rPr>
                      <w:i/>
                      <w:color w:val="58595B"/>
                      <w:sz w:val="12"/>
                    </w:rPr>
                    <w:t>Environment Protection Act </w:t>
                  </w:r>
                  <w:r>
                    <w:rPr>
                      <w:i/>
                      <w:color w:val="58595B"/>
                      <w:spacing w:val="-3"/>
                      <w:sz w:val="12"/>
                    </w:rPr>
                    <w:t>1970</w:t>
                  </w:r>
                  <w:r>
                    <w:rPr>
                      <w:color w:val="58595B"/>
                      <w:spacing w:val="-3"/>
                      <w:sz w:val="12"/>
                    </w:rPr>
                    <w:t>, </w:t>
                  </w:r>
                  <w:r>
                    <w:rPr>
                      <w:i/>
                      <w:color w:val="58595B"/>
                      <w:sz w:val="12"/>
                    </w:rPr>
                    <w:t>Flora and Fauna Guarantee Act 1988</w:t>
                  </w:r>
                  <w:r>
                    <w:rPr>
                      <w:color w:val="58595B"/>
                      <w:sz w:val="12"/>
                    </w:rPr>
                    <w:t>, </w:t>
                  </w:r>
                  <w:r>
                    <w:rPr>
                      <w:i/>
                      <w:color w:val="58595B"/>
                      <w:sz w:val="12"/>
                    </w:rPr>
                    <w:t>Public</w:t>
                  </w:r>
                  <w:r>
                    <w:rPr>
                      <w:i/>
                      <w:color w:val="58595B"/>
                      <w:spacing w:val="-11"/>
                      <w:sz w:val="12"/>
                    </w:rPr>
                    <w:t> </w:t>
                  </w:r>
                  <w:r>
                    <w:rPr>
                      <w:i/>
                      <w:color w:val="58595B"/>
                      <w:sz w:val="12"/>
                    </w:rPr>
                    <w:t>Health</w:t>
                  </w:r>
                  <w:r>
                    <w:rPr>
                      <w:i/>
                      <w:color w:val="58595B"/>
                      <w:spacing w:val="-11"/>
                      <w:sz w:val="12"/>
                    </w:rPr>
                    <w:t> </w:t>
                  </w:r>
                  <w:r>
                    <w:rPr>
                      <w:i/>
                      <w:color w:val="58595B"/>
                      <w:sz w:val="12"/>
                    </w:rPr>
                    <w:t>and</w:t>
                  </w:r>
                  <w:r>
                    <w:rPr>
                      <w:i/>
                      <w:color w:val="58595B"/>
                      <w:spacing w:val="-11"/>
                      <w:sz w:val="12"/>
                    </w:rPr>
                    <w:t> </w:t>
                  </w:r>
                  <w:r>
                    <w:rPr>
                      <w:i/>
                      <w:color w:val="58595B"/>
                      <w:sz w:val="12"/>
                    </w:rPr>
                    <w:t>Wellbeing</w:t>
                  </w:r>
                  <w:r>
                    <w:rPr>
                      <w:i/>
                      <w:color w:val="58595B"/>
                      <w:spacing w:val="-11"/>
                      <w:sz w:val="12"/>
                    </w:rPr>
                    <w:t> </w:t>
                  </w:r>
                  <w:r>
                    <w:rPr>
                      <w:i/>
                      <w:color w:val="58595B"/>
                      <w:sz w:val="12"/>
                    </w:rPr>
                    <w:t>Act</w:t>
                  </w:r>
                  <w:r>
                    <w:rPr>
                      <w:i/>
                      <w:color w:val="58595B"/>
                      <w:spacing w:val="-11"/>
                      <w:sz w:val="12"/>
                    </w:rPr>
                    <w:t> </w:t>
                  </w:r>
                  <w:r>
                    <w:rPr>
                      <w:i/>
                      <w:color w:val="58595B"/>
                      <w:sz w:val="12"/>
                    </w:rPr>
                    <w:t>2008</w:t>
                  </w:r>
                  <w:r>
                    <w:rPr>
                      <w:i/>
                      <w:color w:val="58595B"/>
                      <w:spacing w:val="-11"/>
                      <w:sz w:val="12"/>
                    </w:rPr>
                    <w:t> </w:t>
                  </w:r>
                  <w:r>
                    <w:rPr>
                      <w:color w:val="58595B"/>
                      <w:sz w:val="12"/>
                    </w:rPr>
                    <w:t>and</w:t>
                  </w:r>
                  <w:r>
                    <w:rPr>
                      <w:color w:val="58595B"/>
                      <w:spacing w:val="-11"/>
                      <w:sz w:val="12"/>
                    </w:rPr>
                    <w:t> </w:t>
                  </w:r>
                  <w:r>
                    <w:rPr>
                      <w:i/>
                      <w:color w:val="58595B"/>
                      <w:sz w:val="12"/>
                    </w:rPr>
                    <w:t>Water</w:t>
                  </w:r>
                  <w:r>
                    <w:rPr>
                      <w:i/>
                      <w:color w:val="58595B"/>
                      <w:spacing w:val="-11"/>
                      <w:sz w:val="12"/>
                    </w:rPr>
                    <w:t> </w:t>
                  </w:r>
                  <w:r>
                    <w:rPr>
                      <w:i/>
                      <w:color w:val="58595B"/>
                      <w:sz w:val="12"/>
                    </w:rPr>
                    <w:t>Act</w:t>
                  </w:r>
                  <w:r>
                    <w:rPr>
                      <w:i/>
                      <w:color w:val="58595B"/>
                      <w:spacing w:val="-11"/>
                      <w:sz w:val="12"/>
                    </w:rPr>
                    <w:t> </w:t>
                  </w:r>
                  <w:r>
                    <w:rPr>
                      <w:i/>
                      <w:color w:val="58595B"/>
                      <w:sz w:val="12"/>
                    </w:rPr>
                    <w:t>1989</w:t>
                  </w:r>
                  <w:r>
                    <w:rPr>
                      <w:color w:val="58595B"/>
                      <w:sz w:val="12"/>
                    </w:rPr>
                    <w:t>.</w:t>
                  </w:r>
                </w:p>
                <w:p>
                  <w:pPr>
                    <w:spacing w:before="29"/>
                    <w:ind w:left="20" w:right="331" w:firstLine="0"/>
                    <w:jc w:val="left"/>
                    <w:rPr>
                      <w:sz w:val="12"/>
                    </w:rPr>
                  </w:pPr>
                  <w:r>
                    <w:rPr>
                      <w:color w:val="58595B"/>
                      <w:sz w:val="12"/>
                    </w:rPr>
                    <w:t>For example, section 4(d), </w:t>
                  </w:r>
                  <w:r>
                    <w:rPr>
                      <w:i/>
                      <w:color w:val="58595B"/>
                      <w:sz w:val="12"/>
                    </w:rPr>
                    <w:t>Planning and Environment Act 1987</w:t>
                  </w:r>
                  <w:r>
                    <w:rPr>
                      <w:color w:val="58595B"/>
                      <w:sz w:val="12"/>
                    </w:rPr>
                    <w:t>.</w:t>
                  </w:r>
                </w:p>
                <w:p>
                  <w:pPr>
                    <w:spacing w:line="242" w:lineRule="auto" w:before="30"/>
                    <w:ind w:left="20" w:right="-9" w:firstLine="0"/>
                    <w:jc w:val="left"/>
                    <w:rPr>
                      <w:sz w:val="12"/>
                    </w:rPr>
                  </w:pPr>
                  <w:r>
                    <w:rPr>
                      <w:color w:val="58595B"/>
                      <w:sz w:val="12"/>
                    </w:rPr>
                    <w:t>Lewis</w:t>
                  </w:r>
                  <w:r>
                    <w:rPr>
                      <w:color w:val="58595B"/>
                      <w:spacing w:val="-11"/>
                      <w:sz w:val="12"/>
                    </w:rPr>
                    <w:t> </w:t>
                  </w:r>
                  <w:r>
                    <w:rPr>
                      <w:color w:val="58595B"/>
                      <w:spacing w:val="-5"/>
                      <w:sz w:val="12"/>
                    </w:rPr>
                    <w:t>T,</w:t>
                  </w:r>
                  <w:r>
                    <w:rPr>
                      <w:color w:val="58595B"/>
                      <w:spacing w:val="-11"/>
                      <w:sz w:val="12"/>
                    </w:rPr>
                    <w:t> </w:t>
                  </w:r>
                  <w:r>
                    <w:rPr>
                      <w:color w:val="58595B"/>
                      <w:sz w:val="12"/>
                    </w:rPr>
                    <w:t>Albert</w:t>
                  </w:r>
                  <w:r>
                    <w:rPr>
                      <w:color w:val="58595B"/>
                      <w:spacing w:val="-11"/>
                      <w:sz w:val="12"/>
                    </w:rPr>
                    <w:t> </w:t>
                  </w:r>
                  <w:r>
                    <w:rPr>
                      <w:color w:val="58595B"/>
                      <w:sz w:val="12"/>
                    </w:rPr>
                    <w:t>V</w:t>
                  </w:r>
                  <w:r>
                    <w:rPr>
                      <w:color w:val="58595B"/>
                      <w:spacing w:val="-11"/>
                      <w:sz w:val="12"/>
                    </w:rPr>
                    <w:t> </w:t>
                  </w:r>
                  <w:r>
                    <w:rPr>
                      <w:color w:val="58595B"/>
                      <w:sz w:val="12"/>
                    </w:rPr>
                    <w:t>and</w:t>
                  </w:r>
                  <w:r>
                    <w:rPr>
                      <w:color w:val="58595B"/>
                      <w:spacing w:val="-11"/>
                      <w:sz w:val="12"/>
                    </w:rPr>
                    <w:t> </w:t>
                  </w:r>
                  <w:r>
                    <w:rPr>
                      <w:color w:val="58595B"/>
                      <w:sz w:val="12"/>
                    </w:rPr>
                    <w:t>Hunter</w:t>
                  </w:r>
                  <w:r>
                    <w:rPr>
                      <w:color w:val="58595B"/>
                      <w:spacing w:val="-11"/>
                      <w:sz w:val="12"/>
                    </w:rPr>
                    <w:t> </w:t>
                  </w:r>
                  <w:r>
                    <w:rPr>
                      <w:color w:val="58595B"/>
                      <w:sz w:val="12"/>
                    </w:rPr>
                    <w:t>S</w:t>
                  </w:r>
                  <w:r>
                    <w:rPr>
                      <w:color w:val="58595B"/>
                      <w:spacing w:val="-11"/>
                      <w:sz w:val="12"/>
                    </w:rPr>
                    <w:t> </w:t>
                  </w:r>
                  <w:r>
                    <w:rPr>
                      <w:color w:val="58595B"/>
                      <w:sz w:val="12"/>
                    </w:rPr>
                    <w:t>2016,</w:t>
                  </w:r>
                  <w:r>
                    <w:rPr>
                      <w:color w:val="58595B"/>
                      <w:spacing w:val="-11"/>
                      <w:sz w:val="12"/>
                    </w:rPr>
                    <w:t> </w:t>
                  </w:r>
                  <w:r>
                    <w:rPr>
                      <w:i/>
                      <w:color w:val="58595B"/>
                      <w:sz w:val="12"/>
                    </w:rPr>
                    <w:t>Environmental</w:t>
                  </w:r>
                  <w:r>
                    <w:rPr>
                      <w:i/>
                      <w:color w:val="58595B"/>
                      <w:spacing w:val="-11"/>
                      <w:sz w:val="12"/>
                    </w:rPr>
                    <w:t> </w:t>
                  </w:r>
                  <w:r>
                    <w:rPr>
                      <w:i/>
                      <w:color w:val="58595B"/>
                      <w:sz w:val="12"/>
                    </w:rPr>
                    <w:t>equity:</w:t>
                  </w:r>
                  <w:r>
                    <w:rPr>
                      <w:i/>
                      <w:color w:val="58595B"/>
                      <w:spacing w:val="-11"/>
                      <w:sz w:val="12"/>
                    </w:rPr>
                    <w:t> </w:t>
                  </w:r>
                  <w:r>
                    <w:rPr>
                      <w:i/>
                      <w:color w:val="58595B"/>
                      <w:sz w:val="12"/>
                    </w:rPr>
                    <w:t>Building</w:t>
                  </w:r>
                  <w:r>
                    <w:rPr>
                      <w:i/>
                      <w:color w:val="58595B"/>
                      <w:spacing w:val="-11"/>
                      <w:sz w:val="12"/>
                    </w:rPr>
                    <w:t> </w:t>
                  </w:r>
                  <w:r>
                    <w:rPr>
                      <w:i/>
                      <w:color w:val="58595B"/>
                      <w:sz w:val="12"/>
                    </w:rPr>
                    <w:t>policy and</w:t>
                  </w:r>
                  <w:r>
                    <w:rPr>
                      <w:i/>
                      <w:color w:val="58595B"/>
                      <w:spacing w:val="-10"/>
                      <w:sz w:val="12"/>
                    </w:rPr>
                    <w:t> </w:t>
                  </w:r>
                  <w:r>
                    <w:rPr>
                      <w:i/>
                      <w:color w:val="58595B"/>
                      <w:sz w:val="12"/>
                    </w:rPr>
                    <w:t>practice</w:t>
                  </w:r>
                  <w:r>
                    <w:rPr>
                      <w:i/>
                      <w:color w:val="58595B"/>
                      <w:spacing w:val="-10"/>
                      <w:sz w:val="12"/>
                    </w:rPr>
                    <w:t> </w:t>
                  </w:r>
                  <w:r>
                    <w:rPr>
                      <w:i/>
                      <w:color w:val="58595B"/>
                      <w:sz w:val="12"/>
                    </w:rPr>
                    <w:t>for</w:t>
                  </w:r>
                  <w:r>
                    <w:rPr>
                      <w:i/>
                      <w:color w:val="58595B"/>
                      <w:spacing w:val="-10"/>
                      <w:sz w:val="12"/>
                    </w:rPr>
                    <w:t> </w:t>
                  </w:r>
                  <w:r>
                    <w:rPr>
                      <w:i/>
                      <w:color w:val="58595B"/>
                      <w:sz w:val="12"/>
                    </w:rPr>
                    <w:t>the</w:t>
                  </w:r>
                  <w:r>
                    <w:rPr>
                      <w:i/>
                      <w:color w:val="58595B"/>
                      <w:spacing w:val="-10"/>
                      <w:sz w:val="12"/>
                    </w:rPr>
                    <w:t> </w:t>
                  </w:r>
                  <w:r>
                    <w:rPr>
                      <w:i/>
                      <w:color w:val="58595B"/>
                      <w:sz w:val="12"/>
                    </w:rPr>
                    <w:t>EPA</w:t>
                  </w:r>
                  <w:r>
                    <w:rPr>
                      <w:color w:val="58595B"/>
                      <w:sz w:val="12"/>
                    </w:rPr>
                    <w:t>,</w:t>
                  </w:r>
                  <w:r>
                    <w:rPr>
                      <w:color w:val="58595B"/>
                      <w:spacing w:val="-10"/>
                      <w:sz w:val="12"/>
                    </w:rPr>
                    <w:t> </w:t>
                  </w:r>
                  <w:r>
                    <w:rPr>
                      <w:color w:val="58595B"/>
                      <w:sz w:val="12"/>
                    </w:rPr>
                    <w:t>Victoria,</w:t>
                  </w:r>
                  <w:r>
                    <w:rPr>
                      <w:color w:val="58595B"/>
                      <w:spacing w:val="-10"/>
                      <w:sz w:val="12"/>
                    </w:rPr>
                    <w:t> </w:t>
                  </w:r>
                  <w:r>
                    <w:rPr>
                      <w:color w:val="58595B"/>
                      <w:sz w:val="12"/>
                    </w:rPr>
                    <w:t>Final</w:t>
                  </w:r>
                  <w:r>
                    <w:rPr>
                      <w:color w:val="58595B"/>
                      <w:spacing w:val="-10"/>
                      <w:sz w:val="12"/>
                    </w:rPr>
                    <w:t> </w:t>
                  </w:r>
                  <w:r>
                    <w:rPr>
                      <w:color w:val="58595B"/>
                      <w:sz w:val="12"/>
                    </w:rPr>
                    <w:t>report,</w:t>
                  </w:r>
                  <w:r>
                    <w:rPr>
                      <w:color w:val="58595B"/>
                      <w:spacing w:val="-10"/>
                      <w:sz w:val="12"/>
                    </w:rPr>
                    <w:t> </w:t>
                  </w:r>
                  <w:r>
                    <w:rPr>
                      <w:color w:val="58595B"/>
                      <w:sz w:val="12"/>
                    </w:rPr>
                    <w:t>Melbourne,</w:t>
                  </w:r>
                  <w:r>
                    <w:rPr>
                      <w:color w:val="58595B"/>
                      <w:spacing w:val="-10"/>
                      <w:sz w:val="12"/>
                    </w:rPr>
                    <w:t> </w:t>
                  </w:r>
                  <w:r>
                    <w:rPr>
                      <w:color w:val="58595B"/>
                      <w:sz w:val="12"/>
                    </w:rPr>
                    <w:t>p.</w:t>
                  </w:r>
                  <w:r>
                    <w:rPr>
                      <w:color w:val="58595B"/>
                      <w:spacing w:val="-10"/>
                      <w:sz w:val="12"/>
                    </w:rPr>
                    <w:t> </w:t>
                  </w:r>
                  <w:r>
                    <w:rPr>
                      <w:color w:val="58595B"/>
                      <w:spacing w:val="-6"/>
                      <w:sz w:val="12"/>
                    </w:rPr>
                    <w:t>11.</w:t>
                  </w:r>
                </w:p>
                <w:p>
                  <w:pPr>
                    <w:spacing w:line="242" w:lineRule="auto" w:before="29"/>
                    <w:ind w:left="20" w:right="-9" w:firstLine="0"/>
                    <w:jc w:val="left"/>
                    <w:rPr>
                      <w:sz w:val="12"/>
                    </w:rPr>
                  </w:pPr>
                  <w:r>
                    <w:rPr>
                      <w:color w:val="58595B"/>
                      <w:sz w:val="12"/>
                    </w:rPr>
                    <w:t>Gunningham</w:t>
                  </w:r>
                  <w:r>
                    <w:rPr>
                      <w:color w:val="58595B"/>
                      <w:spacing w:val="-10"/>
                      <w:sz w:val="12"/>
                    </w:rPr>
                    <w:t> </w:t>
                  </w:r>
                  <w:r>
                    <w:rPr>
                      <w:color w:val="58595B"/>
                      <w:sz w:val="12"/>
                    </w:rPr>
                    <w:t>N</w:t>
                  </w:r>
                  <w:r>
                    <w:rPr>
                      <w:color w:val="58595B"/>
                      <w:spacing w:val="-10"/>
                      <w:sz w:val="12"/>
                    </w:rPr>
                    <w:t> </w:t>
                  </w:r>
                  <w:r>
                    <w:rPr>
                      <w:color w:val="58595B"/>
                      <w:spacing w:val="-3"/>
                      <w:sz w:val="12"/>
                    </w:rPr>
                    <w:t>2015</w:t>
                  </w:r>
                  <w:r>
                    <w:rPr>
                      <w:color w:val="58595B"/>
                      <w:spacing w:val="-10"/>
                      <w:sz w:val="12"/>
                    </w:rPr>
                    <w:t> </w:t>
                  </w:r>
                  <w:r>
                    <w:rPr>
                      <w:color w:val="58595B"/>
                      <w:sz w:val="12"/>
                    </w:rPr>
                    <w:t>c,</w:t>
                  </w:r>
                  <w:r>
                    <w:rPr>
                      <w:color w:val="58595B"/>
                      <w:spacing w:val="-10"/>
                      <w:sz w:val="12"/>
                    </w:rPr>
                    <w:t> </w:t>
                  </w:r>
                  <w:r>
                    <w:rPr>
                      <w:i/>
                      <w:color w:val="58595B"/>
                      <w:sz w:val="12"/>
                    </w:rPr>
                    <w:t>Regulating</w:t>
                  </w:r>
                  <w:r>
                    <w:rPr>
                      <w:i/>
                      <w:color w:val="58595B"/>
                      <w:spacing w:val="-10"/>
                      <w:sz w:val="12"/>
                    </w:rPr>
                    <w:t> </w:t>
                  </w:r>
                  <w:r>
                    <w:rPr>
                      <w:i/>
                      <w:color w:val="58595B"/>
                      <w:sz w:val="12"/>
                    </w:rPr>
                    <w:t>diffuse</w:t>
                  </w:r>
                  <w:r>
                    <w:rPr>
                      <w:i/>
                      <w:color w:val="58595B"/>
                      <w:spacing w:val="-10"/>
                      <w:sz w:val="12"/>
                    </w:rPr>
                    <w:t> </w:t>
                  </w:r>
                  <w:r>
                    <w:rPr>
                      <w:i/>
                      <w:color w:val="58595B"/>
                      <w:sz w:val="12"/>
                    </w:rPr>
                    <w:t>and</w:t>
                  </w:r>
                  <w:r>
                    <w:rPr>
                      <w:i/>
                      <w:color w:val="58595B"/>
                      <w:spacing w:val="-10"/>
                      <w:sz w:val="12"/>
                    </w:rPr>
                    <w:t> </w:t>
                  </w:r>
                  <w:r>
                    <w:rPr>
                      <w:i/>
                      <w:color w:val="58595B"/>
                      <w:sz w:val="12"/>
                    </w:rPr>
                    <w:t>small</w:t>
                  </w:r>
                  <w:r>
                    <w:rPr>
                      <w:i/>
                      <w:color w:val="58595B"/>
                      <w:spacing w:val="-10"/>
                      <w:sz w:val="12"/>
                    </w:rPr>
                    <w:t> </w:t>
                  </w:r>
                  <w:r>
                    <w:rPr>
                      <w:i/>
                      <w:color w:val="58595B"/>
                      <w:sz w:val="12"/>
                    </w:rPr>
                    <w:t>point</w:t>
                  </w:r>
                  <w:r>
                    <w:rPr>
                      <w:i/>
                      <w:color w:val="58595B"/>
                      <w:spacing w:val="-10"/>
                      <w:sz w:val="12"/>
                    </w:rPr>
                    <w:t> </w:t>
                  </w:r>
                  <w:r>
                    <w:rPr>
                      <w:i/>
                      <w:color w:val="58595B"/>
                      <w:sz w:val="12"/>
                    </w:rPr>
                    <w:t>source</w:t>
                  </w:r>
                  <w:r>
                    <w:rPr>
                      <w:i/>
                      <w:color w:val="58595B"/>
                      <w:spacing w:val="-10"/>
                      <w:sz w:val="12"/>
                    </w:rPr>
                    <w:t> </w:t>
                  </w:r>
                  <w:r>
                    <w:rPr>
                      <w:i/>
                      <w:color w:val="58595B"/>
                      <w:sz w:val="12"/>
                    </w:rPr>
                    <w:t>pollution</w:t>
                  </w:r>
                  <w:r>
                    <w:rPr>
                      <w:color w:val="58595B"/>
                      <w:sz w:val="12"/>
                    </w:rPr>
                    <w:t>. Paper</w:t>
                  </w:r>
                  <w:r>
                    <w:rPr>
                      <w:color w:val="58595B"/>
                      <w:spacing w:val="-10"/>
                      <w:sz w:val="12"/>
                    </w:rPr>
                    <w:t> </w:t>
                  </w:r>
                  <w:r>
                    <w:rPr>
                      <w:color w:val="58595B"/>
                      <w:sz w:val="12"/>
                    </w:rPr>
                    <w:t>3,</w:t>
                  </w:r>
                  <w:r>
                    <w:rPr>
                      <w:color w:val="58595B"/>
                      <w:spacing w:val="-10"/>
                      <w:sz w:val="12"/>
                    </w:rPr>
                    <w:t> </w:t>
                  </w:r>
                  <w:r>
                    <w:rPr>
                      <w:color w:val="58595B"/>
                      <w:sz w:val="12"/>
                    </w:rPr>
                    <w:t>p.</w:t>
                  </w:r>
                  <w:r>
                    <w:rPr>
                      <w:color w:val="58595B"/>
                      <w:spacing w:val="-10"/>
                      <w:sz w:val="12"/>
                    </w:rPr>
                    <w:t> </w:t>
                  </w:r>
                  <w:r>
                    <w:rPr>
                      <w:color w:val="58595B"/>
                      <w:sz w:val="12"/>
                    </w:rPr>
                    <w:t>4.</w:t>
                  </w:r>
                </w:p>
                <w:p>
                  <w:pPr>
                    <w:spacing w:line="242" w:lineRule="auto" w:before="29"/>
                    <w:ind w:left="20" w:right="-9" w:firstLine="0"/>
                    <w:jc w:val="left"/>
                    <w:rPr>
                      <w:sz w:val="12"/>
                    </w:rPr>
                  </w:pPr>
                  <w:r>
                    <w:rPr>
                      <w:color w:val="58595B"/>
                      <w:sz w:val="12"/>
                    </w:rPr>
                    <w:t>Gunningham</w:t>
                  </w:r>
                  <w:r>
                    <w:rPr>
                      <w:color w:val="58595B"/>
                      <w:spacing w:val="-10"/>
                      <w:sz w:val="12"/>
                    </w:rPr>
                    <w:t> </w:t>
                  </w:r>
                  <w:r>
                    <w:rPr>
                      <w:color w:val="58595B"/>
                      <w:sz w:val="12"/>
                    </w:rPr>
                    <w:t>N</w:t>
                  </w:r>
                  <w:r>
                    <w:rPr>
                      <w:color w:val="58595B"/>
                      <w:spacing w:val="-10"/>
                      <w:sz w:val="12"/>
                    </w:rPr>
                    <w:t> </w:t>
                  </w:r>
                  <w:r>
                    <w:rPr>
                      <w:color w:val="58595B"/>
                      <w:spacing w:val="-3"/>
                      <w:sz w:val="12"/>
                    </w:rPr>
                    <w:t>2015</w:t>
                  </w:r>
                  <w:r>
                    <w:rPr>
                      <w:color w:val="58595B"/>
                      <w:spacing w:val="-10"/>
                      <w:sz w:val="12"/>
                    </w:rPr>
                    <w:t> </w:t>
                  </w:r>
                  <w:r>
                    <w:rPr>
                      <w:color w:val="58595B"/>
                      <w:sz w:val="12"/>
                    </w:rPr>
                    <w:t>c,</w:t>
                  </w:r>
                  <w:r>
                    <w:rPr>
                      <w:color w:val="58595B"/>
                      <w:spacing w:val="-10"/>
                      <w:sz w:val="12"/>
                    </w:rPr>
                    <w:t> </w:t>
                  </w:r>
                  <w:r>
                    <w:rPr>
                      <w:i/>
                      <w:color w:val="58595B"/>
                      <w:sz w:val="12"/>
                    </w:rPr>
                    <w:t>Regulating</w:t>
                  </w:r>
                  <w:r>
                    <w:rPr>
                      <w:i/>
                      <w:color w:val="58595B"/>
                      <w:spacing w:val="-10"/>
                      <w:sz w:val="12"/>
                    </w:rPr>
                    <w:t> </w:t>
                  </w:r>
                  <w:r>
                    <w:rPr>
                      <w:i/>
                      <w:color w:val="58595B"/>
                      <w:sz w:val="12"/>
                    </w:rPr>
                    <w:t>diffuse</w:t>
                  </w:r>
                  <w:r>
                    <w:rPr>
                      <w:i/>
                      <w:color w:val="58595B"/>
                      <w:spacing w:val="-10"/>
                      <w:sz w:val="12"/>
                    </w:rPr>
                    <w:t> </w:t>
                  </w:r>
                  <w:r>
                    <w:rPr>
                      <w:i/>
                      <w:color w:val="58595B"/>
                      <w:sz w:val="12"/>
                    </w:rPr>
                    <w:t>and</w:t>
                  </w:r>
                  <w:r>
                    <w:rPr>
                      <w:i/>
                      <w:color w:val="58595B"/>
                      <w:spacing w:val="-10"/>
                      <w:sz w:val="12"/>
                    </w:rPr>
                    <w:t> </w:t>
                  </w:r>
                  <w:r>
                    <w:rPr>
                      <w:i/>
                      <w:color w:val="58595B"/>
                      <w:sz w:val="12"/>
                    </w:rPr>
                    <w:t>small</w:t>
                  </w:r>
                  <w:r>
                    <w:rPr>
                      <w:i/>
                      <w:color w:val="58595B"/>
                      <w:spacing w:val="-10"/>
                      <w:sz w:val="12"/>
                    </w:rPr>
                    <w:t> </w:t>
                  </w:r>
                  <w:r>
                    <w:rPr>
                      <w:i/>
                      <w:color w:val="58595B"/>
                      <w:sz w:val="12"/>
                    </w:rPr>
                    <w:t>point</w:t>
                  </w:r>
                  <w:r>
                    <w:rPr>
                      <w:i/>
                      <w:color w:val="58595B"/>
                      <w:spacing w:val="-10"/>
                      <w:sz w:val="12"/>
                    </w:rPr>
                    <w:t> </w:t>
                  </w:r>
                  <w:r>
                    <w:rPr>
                      <w:i/>
                      <w:color w:val="58595B"/>
                      <w:sz w:val="12"/>
                    </w:rPr>
                    <w:t>source</w:t>
                  </w:r>
                  <w:r>
                    <w:rPr>
                      <w:i/>
                      <w:color w:val="58595B"/>
                      <w:spacing w:val="-10"/>
                      <w:sz w:val="12"/>
                    </w:rPr>
                    <w:t> </w:t>
                  </w:r>
                  <w:r>
                    <w:rPr>
                      <w:i/>
                      <w:color w:val="58595B"/>
                      <w:sz w:val="12"/>
                    </w:rPr>
                    <w:t>pollution</w:t>
                  </w:r>
                  <w:r>
                    <w:rPr>
                      <w:color w:val="58595B"/>
                      <w:sz w:val="12"/>
                    </w:rPr>
                    <w:t>. Paper</w:t>
                  </w:r>
                  <w:r>
                    <w:rPr>
                      <w:color w:val="58595B"/>
                      <w:spacing w:val="-10"/>
                      <w:sz w:val="12"/>
                    </w:rPr>
                    <w:t> </w:t>
                  </w:r>
                  <w:r>
                    <w:rPr>
                      <w:color w:val="58595B"/>
                      <w:sz w:val="12"/>
                    </w:rPr>
                    <w:t>3,</w:t>
                  </w:r>
                  <w:r>
                    <w:rPr>
                      <w:color w:val="58595B"/>
                      <w:spacing w:val="-10"/>
                      <w:sz w:val="12"/>
                    </w:rPr>
                    <w:t> </w:t>
                  </w:r>
                  <w:r>
                    <w:rPr>
                      <w:color w:val="58595B"/>
                      <w:sz w:val="12"/>
                    </w:rPr>
                    <w:t>p.</w:t>
                  </w:r>
                  <w:r>
                    <w:rPr>
                      <w:color w:val="58595B"/>
                      <w:spacing w:val="-10"/>
                      <w:sz w:val="12"/>
                    </w:rPr>
                    <w:t> </w:t>
                  </w:r>
                  <w:r>
                    <w:rPr>
                      <w:color w:val="58595B"/>
                      <w:sz w:val="12"/>
                    </w:rPr>
                    <w:t>3.</w:t>
                  </w:r>
                </w:p>
                <w:p>
                  <w:pPr>
                    <w:spacing w:line="242" w:lineRule="auto" w:before="29"/>
                    <w:ind w:left="20" w:right="-9" w:firstLine="0"/>
                    <w:jc w:val="left"/>
                    <w:rPr>
                      <w:sz w:val="12"/>
                    </w:rPr>
                  </w:pPr>
                  <w:r>
                    <w:rPr>
                      <w:color w:val="58595B"/>
                      <w:sz w:val="12"/>
                    </w:rPr>
                    <w:t>Gunningham</w:t>
                  </w:r>
                  <w:r>
                    <w:rPr>
                      <w:color w:val="58595B"/>
                      <w:spacing w:val="-10"/>
                      <w:sz w:val="12"/>
                    </w:rPr>
                    <w:t> </w:t>
                  </w:r>
                  <w:r>
                    <w:rPr>
                      <w:color w:val="58595B"/>
                      <w:sz w:val="12"/>
                    </w:rPr>
                    <w:t>N</w:t>
                  </w:r>
                  <w:r>
                    <w:rPr>
                      <w:color w:val="58595B"/>
                      <w:spacing w:val="-10"/>
                      <w:sz w:val="12"/>
                    </w:rPr>
                    <w:t> </w:t>
                  </w:r>
                  <w:r>
                    <w:rPr>
                      <w:color w:val="58595B"/>
                      <w:spacing w:val="-3"/>
                      <w:sz w:val="12"/>
                    </w:rPr>
                    <w:t>2015</w:t>
                  </w:r>
                  <w:r>
                    <w:rPr>
                      <w:color w:val="58595B"/>
                      <w:spacing w:val="-10"/>
                      <w:sz w:val="12"/>
                    </w:rPr>
                    <w:t> </w:t>
                  </w:r>
                  <w:r>
                    <w:rPr>
                      <w:color w:val="58595B"/>
                      <w:sz w:val="12"/>
                    </w:rPr>
                    <w:t>c,</w:t>
                  </w:r>
                  <w:r>
                    <w:rPr>
                      <w:color w:val="58595B"/>
                      <w:spacing w:val="-10"/>
                      <w:sz w:val="12"/>
                    </w:rPr>
                    <w:t> </w:t>
                  </w:r>
                  <w:r>
                    <w:rPr>
                      <w:i/>
                      <w:color w:val="58595B"/>
                      <w:sz w:val="12"/>
                    </w:rPr>
                    <w:t>Regulating</w:t>
                  </w:r>
                  <w:r>
                    <w:rPr>
                      <w:i/>
                      <w:color w:val="58595B"/>
                      <w:spacing w:val="-10"/>
                      <w:sz w:val="12"/>
                    </w:rPr>
                    <w:t> </w:t>
                  </w:r>
                  <w:r>
                    <w:rPr>
                      <w:i/>
                      <w:color w:val="58595B"/>
                      <w:sz w:val="12"/>
                    </w:rPr>
                    <w:t>diffuse</w:t>
                  </w:r>
                  <w:r>
                    <w:rPr>
                      <w:i/>
                      <w:color w:val="58595B"/>
                      <w:spacing w:val="-10"/>
                      <w:sz w:val="12"/>
                    </w:rPr>
                    <w:t> </w:t>
                  </w:r>
                  <w:r>
                    <w:rPr>
                      <w:i/>
                      <w:color w:val="58595B"/>
                      <w:sz w:val="12"/>
                    </w:rPr>
                    <w:t>and</w:t>
                  </w:r>
                  <w:r>
                    <w:rPr>
                      <w:i/>
                      <w:color w:val="58595B"/>
                      <w:spacing w:val="-10"/>
                      <w:sz w:val="12"/>
                    </w:rPr>
                    <w:t> </w:t>
                  </w:r>
                  <w:r>
                    <w:rPr>
                      <w:i/>
                      <w:color w:val="58595B"/>
                      <w:sz w:val="12"/>
                    </w:rPr>
                    <w:t>small</w:t>
                  </w:r>
                  <w:r>
                    <w:rPr>
                      <w:i/>
                      <w:color w:val="58595B"/>
                      <w:spacing w:val="-10"/>
                      <w:sz w:val="12"/>
                    </w:rPr>
                    <w:t> </w:t>
                  </w:r>
                  <w:r>
                    <w:rPr>
                      <w:i/>
                      <w:color w:val="58595B"/>
                      <w:sz w:val="12"/>
                    </w:rPr>
                    <w:t>point</w:t>
                  </w:r>
                  <w:r>
                    <w:rPr>
                      <w:i/>
                      <w:color w:val="58595B"/>
                      <w:spacing w:val="-10"/>
                      <w:sz w:val="12"/>
                    </w:rPr>
                    <w:t> </w:t>
                  </w:r>
                  <w:r>
                    <w:rPr>
                      <w:i/>
                      <w:color w:val="58595B"/>
                      <w:sz w:val="12"/>
                    </w:rPr>
                    <w:t>source</w:t>
                  </w:r>
                  <w:r>
                    <w:rPr>
                      <w:i/>
                      <w:color w:val="58595B"/>
                      <w:spacing w:val="-10"/>
                      <w:sz w:val="12"/>
                    </w:rPr>
                    <w:t> </w:t>
                  </w:r>
                  <w:r>
                    <w:rPr>
                      <w:i/>
                      <w:color w:val="58595B"/>
                      <w:sz w:val="12"/>
                    </w:rPr>
                    <w:t>pollution</w:t>
                  </w:r>
                  <w:r>
                    <w:rPr>
                      <w:color w:val="58595B"/>
                      <w:sz w:val="12"/>
                    </w:rPr>
                    <w:t>. Paper</w:t>
                  </w:r>
                  <w:r>
                    <w:rPr>
                      <w:color w:val="58595B"/>
                      <w:spacing w:val="-10"/>
                      <w:sz w:val="12"/>
                    </w:rPr>
                    <w:t> </w:t>
                  </w:r>
                  <w:r>
                    <w:rPr>
                      <w:color w:val="58595B"/>
                      <w:sz w:val="12"/>
                    </w:rPr>
                    <w:t>3,</w:t>
                  </w:r>
                  <w:r>
                    <w:rPr>
                      <w:color w:val="58595B"/>
                      <w:spacing w:val="-10"/>
                      <w:sz w:val="12"/>
                    </w:rPr>
                    <w:t> </w:t>
                  </w:r>
                  <w:r>
                    <w:rPr>
                      <w:color w:val="58595B"/>
                      <w:sz w:val="12"/>
                    </w:rPr>
                    <w:t>p.</w:t>
                  </w:r>
                  <w:r>
                    <w:rPr>
                      <w:color w:val="58595B"/>
                      <w:spacing w:val="-10"/>
                      <w:sz w:val="12"/>
                    </w:rPr>
                    <w:t> </w:t>
                  </w:r>
                  <w:r>
                    <w:rPr>
                      <w:color w:val="58595B"/>
                      <w:sz w:val="12"/>
                    </w:rPr>
                    <w:t>2.</w:t>
                  </w:r>
                </w:p>
                <w:p>
                  <w:pPr>
                    <w:spacing w:line="242" w:lineRule="auto" w:before="29"/>
                    <w:ind w:left="20" w:right="364" w:firstLine="0"/>
                    <w:jc w:val="left"/>
                    <w:rPr>
                      <w:sz w:val="12"/>
                    </w:rPr>
                  </w:pPr>
                  <w:r>
                    <w:rPr>
                      <w:color w:val="58595B"/>
                      <w:sz w:val="12"/>
                    </w:rPr>
                    <w:t>Centre for eResearch and Digital Innovation, Federation University submission, p. 1.</w:t>
                  </w:r>
                </w:p>
                <w:p>
                  <w:pPr>
                    <w:spacing w:line="242" w:lineRule="auto" w:before="29"/>
                    <w:ind w:left="20" w:right="130" w:firstLine="0"/>
                    <w:jc w:val="left"/>
                    <w:rPr>
                      <w:sz w:val="12"/>
                    </w:rPr>
                  </w:pPr>
                  <w:r>
                    <w:rPr>
                      <w:color w:val="58595B"/>
                      <w:sz w:val="12"/>
                    </w:rPr>
                    <w:t>https://</w:t>
                  </w:r>
                  <w:hyperlink r:id="rId38">
                    <w:r>
                      <w:rPr>
                        <w:color w:val="58595B"/>
                        <w:sz w:val="12"/>
                      </w:rPr>
                      <w:t>www.ces.vic.gov.au/articles/framework-2018-state-environment-</w:t>
                    </w:r>
                  </w:hyperlink>
                  <w:r>
                    <w:rPr>
                      <w:color w:val="58595B"/>
                      <w:sz w:val="12"/>
                    </w:rPr>
                    <w:t> report-state-benefit (accessed 29 January 2016).</w:t>
                  </w:r>
                </w:p>
                <w:p>
                  <w:pPr>
                    <w:spacing w:line="242" w:lineRule="auto" w:before="29"/>
                    <w:ind w:left="20" w:right="331" w:firstLine="0"/>
                    <w:jc w:val="left"/>
                    <w:rPr>
                      <w:sz w:val="12"/>
                    </w:rPr>
                  </w:pPr>
                  <w:r>
                    <w:rPr>
                      <w:color w:val="58595B"/>
                      <w:sz w:val="12"/>
                    </w:rPr>
                    <w:t>Letter</w:t>
                  </w:r>
                  <w:r>
                    <w:rPr>
                      <w:color w:val="58595B"/>
                      <w:spacing w:val="-11"/>
                      <w:sz w:val="12"/>
                    </w:rPr>
                    <w:t> </w:t>
                  </w:r>
                  <w:r>
                    <w:rPr>
                      <w:color w:val="58595B"/>
                      <w:sz w:val="12"/>
                    </w:rPr>
                    <w:t>from</w:t>
                  </w:r>
                  <w:r>
                    <w:rPr>
                      <w:color w:val="58595B"/>
                      <w:spacing w:val="-11"/>
                      <w:sz w:val="12"/>
                    </w:rPr>
                    <w:t> </w:t>
                  </w:r>
                  <w:r>
                    <w:rPr>
                      <w:color w:val="58595B"/>
                      <w:sz w:val="12"/>
                    </w:rPr>
                    <w:t>Minister</w:t>
                  </w:r>
                  <w:r>
                    <w:rPr>
                      <w:color w:val="58595B"/>
                      <w:spacing w:val="-11"/>
                      <w:sz w:val="12"/>
                    </w:rPr>
                    <w:t> </w:t>
                  </w:r>
                  <w:r>
                    <w:rPr>
                      <w:color w:val="58595B"/>
                      <w:sz w:val="12"/>
                    </w:rPr>
                    <w:t>Neville</w:t>
                  </w:r>
                  <w:r>
                    <w:rPr>
                      <w:color w:val="58595B"/>
                      <w:spacing w:val="-11"/>
                      <w:sz w:val="12"/>
                    </w:rPr>
                    <w:t> </w:t>
                  </w:r>
                  <w:r>
                    <w:rPr>
                      <w:color w:val="58595B"/>
                      <w:sz w:val="12"/>
                    </w:rPr>
                    <w:t>to</w:t>
                  </w:r>
                  <w:r>
                    <w:rPr>
                      <w:color w:val="58595B"/>
                      <w:spacing w:val="-11"/>
                      <w:sz w:val="12"/>
                    </w:rPr>
                    <w:t> </w:t>
                  </w:r>
                  <w:r>
                    <w:rPr>
                      <w:color w:val="58595B"/>
                      <w:sz w:val="12"/>
                    </w:rPr>
                    <w:t>the</w:t>
                  </w:r>
                  <w:r>
                    <w:rPr>
                      <w:color w:val="58595B"/>
                      <w:spacing w:val="-11"/>
                      <w:sz w:val="12"/>
                    </w:rPr>
                    <w:t> </w:t>
                  </w:r>
                  <w:r>
                    <w:rPr>
                      <w:color w:val="58595B"/>
                      <w:sz w:val="12"/>
                    </w:rPr>
                    <w:t>Chair</w:t>
                  </w:r>
                  <w:r>
                    <w:rPr>
                      <w:color w:val="58595B"/>
                      <w:spacing w:val="-11"/>
                      <w:sz w:val="12"/>
                    </w:rPr>
                    <w:t> </w:t>
                  </w:r>
                  <w:r>
                    <w:rPr>
                      <w:color w:val="58595B"/>
                      <w:sz w:val="12"/>
                    </w:rPr>
                    <w:t>of</w:t>
                  </w:r>
                  <w:r>
                    <w:rPr>
                      <w:color w:val="58595B"/>
                      <w:spacing w:val="-11"/>
                      <w:sz w:val="12"/>
                    </w:rPr>
                    <w:t> </w:t>
                  </w:r>
                  <w:r>
                    <w:rPr>
                      <w:color w:val="58595B"/>
                      <w:sz w:val="12"/>
                    </w:rPr>
                    <w:t>the</w:t>
                  </w:r>
                  <w:r>
                    <w:rPr>
                      <w:color w:val="58595B"/>
                      <w:spacing w:val="-11"/>
                      <w:sz w:val="12"/>
                    </w:rPr>
                    <w:t> </w:t>
                  </w:r>
                  <w:r>
                    <w:rPr>
                      <w:color w:val="58595B"/>
                      <w:sz w:val="12"/>
                    </w:rPr>
                    <w:t>Ministerial</w:t>
                  </w:r>
                  <w:r>
                    <w:rPr>
                      <w:color w:val="58595B"/>
                      <w:spacing w:val="-11"/>
                      <w:sz w:val="12"/>
                    </w:rPr>
                    <w:t> </w:t>
                  </w:r>
                  <w:r>
                    <w:rPr>
                      <w:color w:val="58595B"/>
                      <w:sz w:val="12"/>
                    </w:rPr>
                    <w:t>Advisory Committee,</w:t>
                  </w:r>
                  <w:r>
                    <w:rPr>
                      <w:color w:val="58595B"/>
                      <w:spacing w:val="-13"/>
                      <w:sz w:val="12"/>
                    </w:rPr>
                    <w:t> </w:t>
                  </w:r>
                  <w:r>
                    <w:rPr>
                      <w:color w:val="58595B"/>
                      <w:sz w:val="12"/>
                    </w:rPr>
                    <w:t>4</w:t>
                  </w:r>
                  <w:r>
                    <w:rPr>
                      <w:color w:val="58595B"/>
                      <w:spacing w:val="-13"/>
                      <w:sz w:val="12"/>
                    </w:rPr>
                    <w:t> </w:t>
                  </w:r>
                  <w:r>
                    <w:rPr>
                      <w:color w:val="58595B"/>
                      <w:sz w:val="12"/>
                    </w:rPr>
                    <w:t>February</w:t>
                  </w:r>
                  <w:r>
                    <w:rPr>
                      <w:color w:val="58595B"/>
                      <w:spacing w:val="-13"/>
                      <w:sz w:val="12"/>
                    </w:rPr>
                    <w:t> </w:t>
                  </w:r>
                  <w:r>
                    <w:rPr>
                      <w:color w:val="58595B"/>
                      <w:sz w:val="12"/>
                    </w:rPr>
                    <w:t>2016.</w:t>
                  </w:r>
                </w:p>
                <w:p>
                  <w:pPr>
                    <w:spacing w:line="242" w:lineRule="auto" w:before="29"/>
                    <w:ind w:left="20" w:right="-14" w:firstLine="0"/>
                    <w:jc w:val="left"/>
                    <w:rPr>
                      <w:sz w:val="12"/>
                    </w:rPr>
                  </w:pPr>
                  <w:r>
                    <w:rPr>
                      <w:color w:val="58595B"/>
                      <w:sz w:val="12"/>
                    </w:rPr>
                    <w:t>Roberts G 1998, ‘Environmental Justice and community empowerment: Learning from the civil rights movement’ </w:t>
                  </w:r>
                  <w:r>
                    <w:rPr>
                      <w:i/>
                      <w:color w:val="58595B"/>
                      <w:sz w:val="12"/>
                    </w:rPr>
                    <w:t>American University Law </w:t>
                  </w:r>
                  <w:r>
                    <w:rPr>
                      <w:i/>
                      <w:color w:val="58595B"/>
                      <w:spacing w:val="-3"/>
                      <w:sz w:val="12"/>
                    </w:rPr>
                    <w:t>Review</w:t>
                  </w:r>
                  <w:r>
                    <w:rPr>
                      <w:color w:val="58595B"/>
                      <w:spacing w:val="-3"/>
                      <w:sz w:val="12"/>
                    </w:rPr>
                    <w:t>, </w:t>
                  </w:r>
                  <w:r>
                    <w:rPr>
                      <w:color w:val="58595B"/>
                      <w:sz w:val="12"/>
                    </w:rPr>
                    <w:t>48, no. </w:t>
                  </w:r>
                  <w:r>
                    <w:rPr>
                      <w:color w:val="58595B"/>
                      <w:spacing w:val="-3"/>
                      <w:sz w:val="12"/>
                    </w:rPr>
                    <w:t>1, </w:t>
                  </w:r>
                  <w:r>
                    <w:rPr>
                      <w:color w:val="58595B"/>
                      <w:sz w:val="12"/>
                    </w:rPr>
                    <w:t>p. 229.</w:t>
                  </w:r>
                </w:p>
                <w:p>
                  <w:pPr>
                    <w:spacing w:line="242" w:lineRule="auto" w:before="29"/>
                    <w:ind w:left="20" w:right="52" w:firstLine="0"/>
                    <w:jc w:val="left"/>
                    <w:rPr>
                      <w:sz w:val="12"/>
                    </w:rPr>
                  </w:pPr>
                  <w:r>
                    <w:rPr>
                      <w:color w:val="58595B"/>
                      <w:sz w:val="12"/>
                    </w:rPr>
                    <w:t>Cole</w:t>
                  </w:r>
                  <w:r>
                    <w:rPr>
                      <w:color w:val="58595B"/>
                      <w:spacing w:val="-10"/>
                      <w:sz w:val="12"/>
                    </w:rPr>
                    <w:t> </w:t>
                  </w:r>
                  <w:r>
                    <w:rPr>
                      <w:color w:val="58595B"/>
                      <w:sz w:val="12"/>
                    </w:rPr>
                    <w:t>L</w:t>
                  </w:r>
                  <w:r>
                    <w:rPr>
                      <w:color w:val="58595B"/>
                      <w:spacing w:val="-10"/>
                      <w:sz w:val="12"/>
                    </w:rPr>
                    <w:t> </w:t>
                  </w:r>
                  <w:r>
                    <w:rPr>
                      <w:color w:val="58595B"/>
                      <w:sz w:val="12"/>
                    </w:rPr>
                    <w:t>W</w:t>
                  </w:r>
                  <w:r>
                    <w:rPr>
                      <w:color w:val="58595B"/>
                      <w:spacing w:val="-10"/>
                      <w:sz w:val="12"/>
                    </w:rPr>
                    <w:t> </w:t>
                  </w:r>
                  <w:r>
                    <w:rPr>
                      <w:color w:val="58595B"/>
                      <w:sz w:val="12"/>
                    </w:rPr>
                    <w:t>and</w:t>
                  </w:r>
                  <w:r>
                    <w:rPr>
                      <w:color w:val="58595B"/>
                      <w:spacing w:val="-10"/>
                      <w:sz w:val="12"/>
                    </w:rPr>
                    <w:t> </w:t>
                  </w:r>
                  <w:r>
                    <w:rPr>
                      <w:color w:val="58595B"/>
                      <w:sz w:val="12"/>
                    </w:rPr>
                    <w:t>Foster</w:t>
                  </w:r>
                  <w:r>
                    <w:rPr>
                      <w:color w:val="58595B"/>
                      <w:spacing w:val="-10"/>
                      <w:sz w:val="12"/>
                    </w:rPr>
                    <w:t> </w:t>
                  </w:r>
                  <w:r>
                    <w:rPr>
                      <w:color w:val="58595B"/>
                      <w:sz w:val="12"/>
                    </w:rPr>
                    <w:t>S</w:t>
                  </w:r>
                  <w:r>
                    <w:rPr>
                      <w:color w:val="58595B"/>
                      <w:spacing w:val="-10"/>
                      <w:sz w:val="12"/>
                    </w:rPr>
                    <w:t> </w:t>
                  </w:r>
                  <w:r>
                    <w:rPr>
                      <w:color w:val="58595B"/>
                      <w:sz w:val="12"/>
                    </w:rPr>
                    <w:t>R</w:t>
                  </w:r>
                  <w:r>
                    <w:rPr>
                      <w:color w:val="58595B"/>
                      <w:spacing w:val="-10"/>
                      <w:sz w:val="12"/>
                    </w:rPr>
                    <w:t> </w:t>
                  </w:r>
                  <w:r>
                    <w:rPr>
                      <w:color w:val="58595B"/>
                      <w:sz w:val="12"/>
                    </w:rPr>
                    <w:t>2001,</w:t>
                  </w:r>
                  <w:r>
                    <w:rPr>
                      <w:color w:val="58595B"/>
                      <w:spacing w:val="-10"/>
                      <w:sz w:val="12"/>
                    </w:rPr>
                    <w:t> </w:t>
                  </w:r>
                  <w:r>
                    <w:rPr>
                      <w:i/>
                      <w:color w:val="58595B"/>
                      <w:sz w:val="12"/>
                    </w:rPr>
                    <w:t>From</w:t>
                  </w:r>
                  <w:r>
                    <w:rPr>
                      <w:i/>
                      <w:color w:val="58595B"/>
                      <w:spacing w:val="-10"/>
                      <w:sz w:val="12"/>
                    </w:rPr>
                    <w:t> </w:t>
                  </w:r>
                  <w:r>
                    <w:rPr>
                      <w:i/>
                      <w:color w:val="58595B"/>
                      <w:sz w:val="12"/>
                    </w:rPr>
                    <w:t>the</w:t>
                  </w:r>
                  <w:r>
                    <w:rPr>
                      <w:i/>
                      <w:color w:val="58595B"/>
                      <w:spacing w:val="-10"/>
                      <w:sz w:val="12"/>
                    </w:rPr>
                    <w:t> </w:t>
                  </w:r>
                  <w:r>
                    <w:rPr>
                      <w:i/>
                      <w:color w:val="58595B"/>
                      <w:sz w:val="12"/>
                    </w:rPr>
                    <w:t>ground</w:t>
                  </w:r>
                  <w:r>
                    <w:rPr>
                      <w:i/>
                      <w:color w:val="58595B"/>
                      <w:spacing w:val="-10"/>
                      <w:sz w:val="12"/>
                    </w:rPr>
                    <w:t> </w:t>
                  </w:r>
                  <w:r>
                    <w:rPr>
                      <w:i/>
                      <w:color w:val="58595B"/>
                      <w:sz w:val="12"/>
                    </w:rPr>
                    <w:t>up:</w:t>
                  </w:r>
                  <w:r>
                    <w:rPr>
                      <w:i/>
                      <w:color w:val="58595B"/>
                      <w:spacing w:val="-10"/>
                      <w:sz w:val="12"/>
                    </w:rPr>
                    <w:t> </w:t>
                  </w:r>
                  <w:r>
                    <w:rPr>
                      <w:i/>
                      <w:color w:val="58595B"/>
                      <w:sz w:val="12"/>
                    </w:rPr>
                    <w:t>environmental</w:t>
                  </w:r>
                  <w:r>
                    <w:rPr>
                      <w:i/>
                      <w:color w:val="58595B"/>
                      <w:spacing w:val="-10"/>
                      <w:sz w:val="12"/>
                    </w:rPr>
                    <w:t> </w:t>
                  </w:r>
                  <w:r>
                    <w:rPr>
                      <w:i/>
                      <w:color w:val="58595B"/>
                      <w:sz w:val="12"/>
                    </w:rPr>
                    <w:t>racism and the rise of the environmental justice movement</w:t>
                  </w:r>
                  <w:r>
                    <w:rPr>
                      <w:color w:val="58595B"/>
                      <w:sz w:val="12"/>
                    </w:rPr>
                    <w:t>, New </w:t>
                  </w:r>
                  <w:r>
                    <w:rPr>
                      <w:color w:val="58595B"/>
                      <w:spacing w:val="-3"/>
                      <w:sz w:val="12"/>
                    </w:rPr>
                    <w:t>York </w:t>
                  </w:r>
                  <w:r>
                    <w:rPr>
                      <w:color w:val="58595B"/>
                      <w:sz w:val="12"/>
                    </w:rPr>
                    <w:t>University Press; Mohai </w:t>
                  </w:r>
                  <w:r>
                    <w:rPr>
                      <w:color w:val="58595B"/>
                      <w:spacing w:val="-7"/>
                      <w:sz w:val="12"/>
                    </w:rPr>
                    <w:t>P, </w:t>
                  </w:r>
                  <w:r>
                    <w:rPr>
                      <w:color w:val="58595B"/>
                      <w:sz w:val="12"/>
                    </w:rPr>
                    <w:t>Pellow D and Roberts J T 2009, ‘Environmental Justice’, in </w:t>
                  </w:r>
                  <w:r>
                    <w:rPr>
                      <w:i/>
                      <w:color w:val="58595B"/>
                      <w:sz w:val="12"/>
                    </w:rPr>
                    <w:t>Annual Review of Environment and Resources</w:t>
                  </w:r>
                  <w:r>
                    <w:rPr>
                      <w:color w:val="58595B"/>
                      <w:sz w:val="12"/>
                    </w:rPr>
                    <w:t>, 34, 405, cited in Environment Defenders Office </w:t>
                  </w:r>
                  <w:r>
                    <w:rPr>
                      <w:color w:val="58595B"/>
                      <w:spacing w:val="-3"/>
                      <w:sz w:val="12"/>
                    </w:rPr>
                    <w:t>2012, </w:t>
                  </w:r>
                  <w:r>
                    <w:rPr>
                      <w:i/>
                      <w:color w:val="58595B"/>
                      <w:sz w:val="12"/>
                    </w:rPr>
                    <w:t>Environmental Justice Project Final Report</w:t>
                  </w:r>
                  <w:r>
                    <w:rPr>
                      <w:color w:val="58595B"/>
                      <w:sz w:val="12"/>
                    </w:rPr>
                    <w:t>,</w:t>
                  </w:r>
                  <w:r>
                    <w:rPr>
                      <w:color w:val="58595B"/>
                      <w:spacing w:val="-9"/>
                      <w:sz w:val="12"/>
                    </w:rPr>
                    <w:t> </w:t>
                  </w:r>
                  <w:r>
                    <w:rPr>
                      <w:color w:val="58595B"/>
                      <w:sz w:val="12"/>
                    </w:rPr>
                    <w:t>Melbourne,</w:t>
                  </w:r>
                  <w:r>
                    <w:rPr>
                      <w:color w:val="58595B"/>
                      <w:spacing w:val="-9"/>
                      <w:sz w:val="12"/>
                    </w:rPr>
                    <w:t> </w:t>
                  </w:r>
                  <w:r>
                    <w:rPr>
                      <w:color w:val="58595B"/>
                      <w:sz w:val="12"/>
                    </w:rPr>
                    <w:t>pp.</w:t>
                  </w:r>
                  <w:r>
                    <w:rPr>
                      <w:color w:val="58595B"/>
                      <w:spacing w:val="-9"/>
                      <w:sz w:val="12"/>
                    </w:rPr>
                    <w:t> </w:t>
                  </w:r>
                  <w:r>
                    <w:rPr>
                      <w:color w:val="58595B"/>
                      <w:sz w:val="12"/>
                    </w:rPr>
                    <w:t>8–9.</w:t>
                  </w:r>
                </w:p>
                <w:p>
                  <w:pPr>
                    <w:spacing w:line="242" w:lineRule="auto" w:before="29"/>
                    <w:ind w:left="20" w:right="237" w:firstLine="0"/>
                    <w:jc w:val="left"/>
                    <w:rPr>
                      <w:sz w:val="12"/>
                    </w:rPr>
                  </w:pPr>
                  <w:r>
                    <w:rPr>
                      <w:color w:val="58595B"/>
                      <w:sz w:val="12"/>
                    </w:rPr>
                    <w:t>United States Environmental Protection Agency 1992, </w:t>
                  </w:r>
                  <w:r>
                    <w:rPr>
                      <w:i/>
                      <w:color w:val="58595B"/>
                      <w:sz w:val="12"/>
                    </w:rPr>
                    <w:t>Environmental equity: reducing risk for all communities</w:t>
                  </w:r>
                  <w:r>
                    <w:rPr>
                      <w:color w:val="58595B"/>
                      <w:sz w:val="12"/>
                    </w:rPr>
                    <w:t>, June, cited in Environment Defenders Office 2012, </w:t>
                  </w:r>
                  <w:r>
                    <w:rPr>
                      <w:i/>
                      <w:color w:val="58595B"/>
                      <w:sz w:val="12"/>
                    </w:rPr>
                    <w:t>Environmental Justice Project Final Report</w:t>
                  </w:r>
                  <w:r>
                    <w:rPr>
                      <w:color w:val="58595B"/>
                      <w:sz w:val="12"/>
                    </w:rPr>
                    <w:t>, Melbourne, p. 9.</w:t>
                  </w:r>
                </w:p>
                <w:p>
                  <w:pPr>
                    <w:spacing w:line="242" w:lineRule="auto" w:before="29"/>
                    <w:ind w:left="20" w:right="44" w:firstLine="0"/>
                    <w:jc w:val="left"/>
                    <w:rPr>
                      <w:sz w:val="12"/>
                    </w:rPr>
                  </w:pPr>
                  <w:r>
                    <w:rPr>
                      <w:color w:val="58595B"/>
                      <w:sz w:val="12"/>
                    </w:rPr>
                    <w:t>Presidential Documents, Federal actions to address environmental justice in minority populations and low income populations, Executive Order 12898, https://</w:t>
                  </w:r>
                  <w:hyperlink r:id="rId39">
                    <w:r>
                      <w:rPr>
                        <w:color w:val="58595B"/>
                        <w:sz w:val="12"/>
                      </w:rPr>
                      <w:t>www.archives.gov/federal-register/executive-orders/</w:t>
                    </w:r>
                  </w:hyperlink>
                </w:p>
                <w:p>
                  <w:pPr>
                    <w:spacing w:before="0"/>
                    <w:ind w:left="20" w:right="331" w:firstLine="0"/>
                    <w:jc w:val="left"/>
                    <w:rPr>
                      <w:sz w:val="12"/>
                    </w:rPr>
                  </w:pPr>
                  <w:r>
                    <w:rPr>
                      <w:color w:val="58595B"/>
                      <w:sz w:val="12"/>
                    </w:rPr>
                    <w:t>pdf/12898.pdf (accessed 3 March 2016).</w:t>
                  </w:r>
                </w:p>
                <w:p>
                  <w:pPr>
                    <w:spacing w:line="242" w:lineRule="auto" w:before="30"/>
                    <w:ind w:left="20" w:right="81" w:firstLine="0"/>
                    <w:jc w:val="left"/>
                    <w:rPr>
                      <w:sz w:val="12"/>
                    </w:rPr>
                  </w:pPr>
                  <w:r>
                    <w:rPr>
                      <w:color w:val="58595B"/>
                      <w:sz w:val="12"/>
                    </w:rPr>
                    <w:t>United</w:t>
                  </w:r>
                  <w:r>
                    <w:rPr>
                      <w:color w:val="58595B"/>
                      <w:spacing w:val="-13"/>
                      <w:sz w:val="12"/>
                    </w:rPr>
                    <w:t> </w:t>
                  </w:r>
                  <w:r>
                    <w:rPr>
                      <w:color w:val="58595B"/>
                      <w:sz w:val="12"/>
                    </w:rPr>
                    <w:t>Nations</w:t>
                  </w:r>
                  <w:r>
                    <w:rPr>
                      <w:color w:val="58595B"/>
                      <w:spacing w:val="-13"/>
                      <w:sz w:val="12"/>
                    </w:rPr>
                    <w:t> </w:t>
                  </w:r>
                  <w:r>
                    <w:rPr>
                      <w:color w:val="58595B"/>
                      <w:sz w:val="12"/>
                    </w:rPr>
                    <w:t>Convention</w:t>
                  </w:r>
                  <w:r>
                    <w:rPr>
                      <w:color w:val="58595B"/>
                      <w:spacing w:val="-13"/>
                      <w:sz w:val="12"/>
                    </w:rPr>
                    <w:t> </w:t>
                  </w:r>
                  <w:r>
                    <w:rPr>
                      <w:color w:val="58595B"/>
                      <w:sz w:val="12"/>
                    </w:rPr>
                    <w:t>on</w:t>
                  </w:r>
                  <w:r>
                    <w:rPr>
                      <w:color w:val="58595B"/>
                      <w:spacing w:val="-13"/>
                      <w:sz w:val="12"/>
                    </w:rPr>
                    <w:t> </w:t>
                  </w:r>
                  <w:r>
                    <w:rPr>
                      <w:color w:val="58595B"/>
                      <w:sz w:val="12"/>
                    </w:rPr>
                    <w:t>Access</w:t>
                  </w:r>
                  <w:r>
                    <w:rPr>
                      <w:color w:val="58595B"/>
                      <w:spacing w:val="-13"/>
                      <w:sz w:val="12"/>
                    </w:rPr>
                    <w:t> </w:t>
                  </w:r>
                  <w:r>
                    <w:rPr>
                      <w:color w:val="58595B"/>
                      <w:sz w:val="12"/>
                    </w:rPr>
                    <w:t>to</w:t>
                  </w:r>
                  <w:r>
                    <w:rPr>
                      <w:color w:val="58595B"/>
                      <w:spacing w:val="-13"/>
                      <w:sz w:val="12"/>
                    </w:rPr>
                    <w:t> </w:t>
                  </w:r>
                  <w:r>
                    <w:rPr>
                      <w:color w:val="58595B"/>
                      <w:sz w:val="12"/>
                    </w:rPr>
                    <w:t>Information,</w:t>
                  </w:r>
                  <w:r>
                    <w:rPr>
                      <w:color w:val="58595B"/>
                      <w:spacing w:val="-13"/>
                      <w:sz w:val="12"/>
                    </w:rPr>
                    <w:t> </w:t>
                  </w:r>
                  <w:r>
                    <w:rPr>
                      <w:color w:val="58595B"/>
                      <w:sz w:val="12"/>
                    </w:rPr>
                    <w:t>Public</w:t>
                  </w:r>
                  <w:r>
                    <w:rPr>
                      <w:color w:val="58595B"/>
                      <w:spacing w:val="-13"/>
                      <w:sz w:val="12"/>
                    </w:rPr>
                    <w:t> </w:t>
                  </w:r>
                  <w:r>
                    <w:rPr>
                      <w:color w:val="58595B"/>
                      <w:sz w:val="12"/>
                    </w:rPr>
                    <w:t>Participation in Decision Making and Access to Justice in Environmental Matters, opened</w:t>
                  </w:r>
                  <w:r>
                    <w:rPr>
                      <w:color w:val="58595B"/>
                      <w:spacing w:val="-11"/>
                      <w:sz w:val="12"/>
                    </w:rPr>
                    <w:t> </w:t>
                  </w:r>
                  <w:r>
                    <w:rPr>
                      <w:color w:val="58595B"/>
                      <w:sz w:val="12"/>
                    </w:rPr>
                    <w:t>for</w:t>
                  </w:r>
                  <w:r>
                    <w:rPr>
                      <w:color w:val="58595B"/>
                      <w:spacing w:val="-11"/>
                      <w:sz w:val="12"/>
                    </w:rPr>
                    <w:t> </w:t>
                  </w:r>
                  <w:r>
                    <w:rPr>
                      <w:color w:val="58595B"/>
                      <w:sz w:val="12"/>
                    </w:rPr>
                    <w:t>signature</w:t>
                  </w:r>
                  <w:r>
                    <w:rPr>
                      <w:color w:val="58595B"/>
                      <w:spacing w:val="-11"/>
                      <w:sz w:val="12"/>
                    </w:rPr>
                    <w:t> </w:t>
                  </w:r>
                  <w:r>
                    <w:rPr>
                      <w:color w:val="58595B"/>
                      <w:sz w:val="12"/>
                    </w:rPr>
                    <w:t>25</w:t>
                  </w:r>
                  <w:r>
                    <w:rPr>
                      <w:color w:val="58595B"/>
                      <w:spacing w:val="-11"/>
                      <w:sz w:val="12"/>
                    </w:rPr>
                    <w:t> </w:t>
                  </w:r>
                  <w:r>
                    <w:rPr>
                      <w:color w:val="58595B"/>
                      <w:sz w:val="12"/>
                    </w:rPr>
                    <w:t>June</w:t>
                  </w:r>
                  <w:r>
                    <w:rPr>
                      <w:color w:val="58595B"/>
                      <w:spacing w:val="-11"/>
                      <w:sz w:val="12"/>
                    </w:rPr>
                    <w:t> </w:t>
                  </w:r>
                  <w:r>
                    <w:rPr>
                      <w:color w:val="58595B"/>
                      <w:sz w:val="12"/>
                    </w:rPr>
                    <w:t>1998,</w:t>
                  </w:r>
                  <w:r>
                    <w:rPr>
                      <w:color w:val="58595B"/>
                      <w:spacing w:val="-11"/>
                      <w:sz w:val="12"/>
                    </w:rPr>
                    <w:t> </w:t>
                  </w:r>
                  <w:r>
                    <w:rPr>
                      <w:color w:val="58595B"/>
                      <w:spacing w:val="-3"/>
                      <w:sz w:val="12"/>
                    </w:rPr>
                    <w:t>2161</w:t>
                  </w:r>
                  <w:r>
                    <w:rPr>
                      <w:color w:val="58595B"/>
                      <w:spacing w:val="-11"/>
                      <w:sz w:val="12"/>
                    </w:rPr>
                    <w:t> </w:t>
                  </w:r>
                  <w:r>
                    <w:rPr>
                      <w:color w:val="58595B"/>
                      <w:sz w:val="12"/>
                    </w:rPr>
                    <w:t>UNTS</w:t>
                  </w:r>
                  <w:r>
                    <w:rPr>
                      <w:color w:val="58595B"/>
                      <w:spacing w:val="-11"/>
                      <w:sz w:val="12"/>
                    </w:rPr>
                    <w:t> </w:t>
                  </w:r>
                  <w:r>
                    <w:rPr>
                      <w:color w:val="58595B"/>
                      <w:sz w:val="12"/>
                    </w:rPr>
                    <w:t>447</w:t>
                  </w:r>
                  <w:r>
                    <w:rPr>
                      <w:color w:val="58595B"/>
                      <w:spacing w:val="-11"/>
                      <w:sz w:val="12"/>
                    </w:rPr>
                    <w:t> </w:t>
                  </w:r>
                  <w:r>
                    <w:rPr>
                      <w:color w:val="58595B"/>
                      <w:sz w:val="12"/>
                    </w:rPr>
                    <w:t>(entered</w:t>
                  </w:r>
                  <w:r>
                    <w:rPr>
                      <w:color w:val="58595B"/>
                      <w:spacing w:val="-11"/>
                      <w:sz w:val="12"/>
                    </w:rPr>
                    <w:t> </w:t>
                  </w:r>
                  <w:r>
                    <w:rPr>
                      <w:color w:val="58595B"/>
                      <w:sz w:val="12"/>
                    </w:rPr>
                    <w:t>into</w:t>
                  </w:r>
                  <w:r>
                    <w:rPr>
                      <w:color w:val="58595B"/>
                      <w:spacing w:val="-11"/>
                      <w:sz w:val="12"/>
                    </w:rPr>
                    <w:t> </w:t>
                  </w:r>
                  <w:r>
                    <w:rPr>
                      <w:color w:val="58595B"/>
                      <w:sz w:val="12"/>
                    </w:rPr>
                    <w:t>force</w:t>
                  </w:r>
                </w:p>
                <w:p>
                  <w:pPr>
                    <w:spacing w:before="0"/>
                    <w:ind w:left="20" w:right="331" w:firstLine="0"/>
                    <w:jc w:val="left"/>
                    <w:rPr>
                      <w:sz w:val="12"/>
                    </w:rPr>
                  </w:pPr>
                  <w:r>
                    <w:rPr>
                      <w:color w:val="58595B"/>
                      <w:sz w:val="12"/>
                    </w:rPr>
                    <w:t>30 October 2001).</w:t>
                  </w:r>
                </w:p>
                <w:p>
                  <w:pPr>
                    <w:spacing w:line="242" w:lineRule="auto" w:before="30"/>
                    <w:ind w:left="20" w:right="-9" w:firstLine="0"/>
                    <w:jc w:val="left"/>
                    <w:rPr>
                      <w:sz w:val="12"/>
                    </w:rPr>
                  </w:pPr>
                  <w:r>
                    <w:rPr>
                      <w:color w:val="58595B"/>
                      <w:sz w:val="12"/>
                    </w:rPr>
                    <w:t>Article </w:t>
                  </w:r>
                  <w:r>
                    <w:rPr>
                      <w:color w:val="58595B"/>
                      <w:spacing w:val="-3"/>
                      <w:sz w:val="12"/>
                    </w:rPr>
                    <w:t>1, </w:t>
                  </w:r>
                  <w:r>
                    <w:rPr>
                      <w:color w:val="58595B"/>
                      <w:sz w:val="12"/>
                    </w:rPr>
                    <w:t>United Nations Convention on Access to Information, Public Participation in Decision Making and Access to Justice in Environmental Matters,</w:t>
                  </w:r>
                  <w:r>
                    <w:rPr>
                      <w:color w:val="58595B"/>
                      <w:spacing w:val="-11"/>
                      <w:sz w:val="12"/>
                    </w:rPr>
                    <w:t> </w:t>
                  </w:r>
                  <w:r>
                    <w:rPr>
                      <w:color w:val="58595B"/>
                      <w:sz w:val="12"/>
                    </w:rPr>
                    <w:t>opened</w:t>
                  </w:r>
                  <w:r>
                    <w:rPr>
                      <w:color w:val="58595B"/>
                      <w:spacing w:val="-11"/>
                      <w:sz w:val="12"/>
                    </w:rPr>
                    <w:t> </w:t>
                  </w:r>
                  <w:r>
                    <w:rPr>
                      <w:color w:val="58595B"/>
                      <w:sz w:val="12"/>
                    </w:rPr>
                    <w:t>for</w:t>
                  </w:r>
                  <w:r>
                    <w:rPr>
                      <w:color w:val="58595B"/>
                      <w:spacing w:val="-11"/>
                      <w:sz w:val="12"/>
                    </w:rPr>
                    <w:t> </w:t>
                  </w:r>
                  <w:r>
                    <w:rPr>
                      <w:color w:val="58595B"/>
                      <w:sz w:val="12"/>
                    </w:rPr>
                    <w:t>signature</w:t>
                  </w:r>
                  <w:r>
                    <w:rPr>
                      <w:color w:val="58595B"/>
                      <w:spacing w:val="-11"/>
                      <w:sz w:val="12"/>
                    </w:rPr>
                    <w:t> </w:t>
                  </w:r>
                  <w:r>
                    <w:rPr>
                      <w:color w:val="58595B"/>
                      <w:sz w:val="12"/>
                    </w:rPr>
                    <w:t>25</w:t>
                  </w:r>
                  <w:r>
                    <w:rPr>
                      <w:color w:val="58595B"/>
                      <w:spacing w:val="-11"/>
                      <w:sz w:val="12"/>
                    </w:rPr>
                    <w:t> </w:t>
                  </w:r>
                  <w:r>
                    <w:rPr>
                      <w:color w:val="58595B"/>
                      <w:sz w:val="12"/>
                    </w:rPr>
                    <w:t>June</w:t>
                  </w:r>
                  <w:r>
                    <w:rPr>
                      <w:color w:val="58595B"/>
                      <w:spacing w:val="-11"/>
                      <w:sz w:val="12"/>
                    </w:rPr>
                    <w:t> </w:t>
                  </w:r>
                  <w:r>
                    <w:rPr>
                      <w:color w:val="58595B"/>
                      <w:sz w:val="12"/>
                    </w:rPr>
                    <w:t>1998,</w:t>
                  </w:r>
                  <w:r>
                    <w:rPr>
                      <w:color w:val="58595B"/>
                      <w:spacing w:val="-11"/>
                      <w:sz w:val="12"/>
                    </w:rPr>
                    <w:t> </w:t>
                  </w:r>
                  <w:r>
                    <w:rPr>
                      <w:color w:val="58595B"/>
                      <w:spacing w:val="-3"/>
                      <w:sz w:val="12"/>
                    </w:rPr>
                    <w:t>2161</w:t>
                  </w:r>
                  <w:r>
                    <w:rPr>
                      <w:color w:val="58595B"/>
                      <w:spacing w:val="-11"/>
                      <w:sz w:val="12"/>
                    </w:rPr>
                    <w:t> </w:t>
                  </w:r>
                  <w:r>
                    <w:rPr>
                      <w:color w:val="58595B"/>
                      <w:sz w:val="12"/>
                    </w:rPr>
                    <w:t>UNTS</w:t>
                  </w:r>
                  <w:r>
                    <w:rPr>
                      <w:color w:val="58595B"/>
                      <w:spacing w:val="-11"/>
                      <w:sz w:val="12"/>
                    </w:rPr>
                    <w:t> </w:t>
                  </w:r>
                  <w:r>
                    <w:rPr>
                      <w:color w:val="58595B"/>
                      <w:sz w:val="12"/>
                    </w:rPr>
                    <w:t>447</w:t>
                  </w:r>
                  <w:r>
                    <w:rPr>
                      <w:color w:val="58595B"/>
                      <w:spacing w:val="-11"/>
                      <w:sz w:val="12"/>
                    </w:rPr>
                    <w:t> </w:t>
                  </w:r>
                  <w:r>
                    <w:rPr>
                      <w:color w:val="58595B"/>
                      <w:sz w:val="12"/>
                    </w:rPr>
                    <w:t>(entered</w:t>
                  </w:r>
                  <w:r>
                    <w:rPr>
                      <w:color w:val="58595B"/>
                      <w:spacing w:val="-11"/>
                      <w:sz w:val="12"/>
                    </w:rPr>
                    <w:t> </w:t>
                  </w:r>
                  <w:r>
                    <w:rPr>
                      <w:color w:val="58595B"/>
                      <w:sz w:val="12"/>
                    </w:rPr>
                    <w:t>into</w:t>
                  </w:r>
                </w:p>
                <w:p>
                  <w:pPr>
                    <w:spacing w:before="0"/>
                    <w:ind w:left="20" w:right="331" w:firstLine="0"/>
                    <w:jc w:val="left"/>
                    <w:rPr>
                      <w:sz w:val="12"/>
                    </w:rPr>
                  </w:pPr>
                  <w:r>
                    <w:rPr>
                      <w:color w:val="58595B"/>
                      <w:sz w:val="12"/>
                    </w:rPr>
                    <w:t>force 30 October 2001).</w:t>
                  </w:r>
                </w:p>
                <w:p>
                  <w:pPr>
                    <w:spacing w:line="242" w:lineRule="auto" w:before="30"/>
                    <w:ind w:left="20" w:right="-9" w:firstLine="0"/>
                    <w:jc w:val="left"/>
                    <w:rPr>
                      <w:sz w:val="12"/>
                    </w:rPr>
                  </w:pPr>
                  <w:r>
                    <w:rPr>
                      <w:color w:val="58595B"/>
                      <w:sz w:val="12"/>
                    </w:rPr>
                    <w:t>Environmental Health Standing Committee (enHealth) 1999, </w:t>
                  </w:r>
                  <w:r>
                    <w:rPr>
                      <w:i/>
                      <w:color w:val="58595B"/>
                      <w:sz w:val="12"/>
                    </w:rPr>
                    <w:t>The National Environmental Health Strategy</w:t>
                  </w:r>
                  <w:r>
                    <w:rPr>
                      <w:color w:val="58595B"/>
                      <w:sz w:val="12"/>
                    </w:rPr>
                    <w:t>, Commonwealth of Australia, Canberra,</w:t>
                  </w:r>
                </w:p>
                <w:p>
                  <w:pPr>
                    <w:spacing w:before="0"/>
                    <w:ind w:left="20" w:right="331" w:firstLine="0"/>
                    <w:jc w:val="left"/>
                    <w:rPr>
                      <w:sz w:val="12"/>
                    </w:rPr>
                  </w:pPr>
                  <w:r>
                    <w:rPr>
                      <w:color w:val="58595B"/>
                      <w:sz w:val="12"/>
                    </w:rPr>
                    <w:t>p. 10.</w:t>
                  </w:r>
                </w:p>
                <w:p>
                  <w:pPr>
                    <w:spacing w:line="242" w:lineRule="auto" w:before="30"/>
                    <w:ind w:left="20" w:right="303" w:firstLine="0"/>
                    <w:jc w:val="both"/>
                    <w:rPr>
                      <w:sz w:val="12"/>
                    </w:rPr>
                  </w:pPr>
                  <w:r>
                    <w:rPr>
                      <w:color w:val="58595B"/>
                      <w:sz w:val="12"/>
                    </w:rPr>
                    <w:t>Environmental</w:t>
                  </w:r>
                  <w:r>
                    <w:rPr>
                      <w:color w:val="58595B"/>
                      <w:spacing w:val="-13"/>
                      <w:sz w:val="12"/>
                    </w:rPr>
                    <w:t> </w:t>
                  </w:r>
                  <w:r>
                    <w:rPr>
                      <w:color w:val="58595B"/>
                      <w:sz w:val="12"/>
                    </w:rPr>
                    <w:t>Health</w:t>
                  </w:r>
                  <w:r>
                    <w:rPr>
                      <w:color w:val="58595B"/>
                      <w:spacing w:val="-13"/>
                      <w:sz w:val="12"/>
                    </w:rPr>
                    <w:t> </w:t>
                  </w:r>
                  <w:r>
                    <w:rPr>
                      <w:color w:val="58595B"/>
                      <w:sz w:val="12"/>
                    </w:rPr>
                    <w:t>Standing</w:t>
                  </w:r>
                  <w:r>
                    <w:rPr>
                      <w:color w:val="58595B"/>
                      <w:spacing w:val="-13"/>
                      <w:sz w:val="12"/>
                    </w:rPr>
                    <w:t> </w:t>
                  </w:r>
                  <w:r>
                    <w:rPr>
                      <w:color w:val="58595B"/>
                      <w:sz w:val="12"/>
                    </w:rPr>
                    <w:t>Committee</w:t>
                  </w:r>
                  <w:r>
                    <w:rPr>
                      <w:color w:val="58595B"/>
                      <w:spacing w:val="-13"/>
                      <w:sz w:val="12"/>
                    </w:rPr>
                    <w:t> </w:t>
                  </w:r>
                  <w:r>
                    <w:rPr>
                      <w:color w:val="58595B"/>
                      <w:sz w:val="12"/>
                    </w:rPr>
                    <w:t>(enHealth)</w:t>
                  </w:r>
                  <w:r>
                    <w:rPr>
                      <w:color w:val="58595B"/>
                      <w:spacing w:val="-13"/>
                      <w:sz w:val="12"/>
                    </w:rPr>
                    <w:t> </w:t>
                  </w:r>
                  <w:r>
                    <w:rPr>
                      <w:color w:val="58595B"/>
                      <w:spacing w:val="-3"/>
                      <w:sz w:val="12"/>
                    </w:rPr>
                    <w:t>2012,</w:t>
                  </w:r>
                  <w:r>
                    <w:rPr>
                      <w:color w:val="58595B"/>
                      <w:spacing w:val="-13"/>
                      <w:sz w:val="12"/>
                    </w:rPr>
                    <w:t> </w:t>
                  </w:r>
                  <w:r>
                    <w:rPr>
                      <w:i/>
                      <w:color w:val="58595B"/>
                      <w:sz w:val="12"/>
                    </w:rPr>
                    <w:t>National Environmental</w:t>
                  </w:r>
                  <w:r>
                    <w:rPr>
                      <w:i/>
                      <w:color w:val="58595B"/>
                      <w:spacing w:val="-13"/>
                      <w:sz w:val="12"/>
                    </w:rPr>
                    <w:t> </w:t>
                  </w:r>
                  <w:r>
                    <w:rPr>
                      <w:i/>
                      <w:color w:val="58595B"/>
                      <w:sz w:val="12"/>
                    </w:rPr>
                    <w:t>Health</w:t>
                  </w:r>
                  <w:r>
                    <w:rPr>
                      <w:i/>
                      <w:color w:val="58595B"/>
                      <w:spacing w:val="-13"/>
                      <w:sz w:val="12"/>
                    </w:rPr>
                    <w:t> </w:t>
                  </w:r>
                  <w:r>
                    <w:rPr>
                      <w:i/>
                      <w:color w:val="58595B"/>
                      <w:sz w:val="12"/>
                    </w:rPr>
                    <w:t>Strategy</w:t>
                  </w:r>
                  <w:r>
                    <w:rPr>
                      <w:i/>
                      <w:color w:val="58595B"/>
                      <w:spacing w:val="-13"/>
                      <w:sz w:val="12"/>
                    </w:rPr>
                    <w:t> </w:t>
                  </w:r>
                  <w:r>
                    <w:rPr>
                      <w:i/>
                      <w:color w:val="58595B"/>
                      <w:spacing w:val="-3"/>
                      <w:sz w:val="12"/>
                    </w:rPr>
                    <w:t>2012–15</w:t>
                  </w:r>
                  <w:r>
                    <w:rPr>
                      <w:color w:val="58595B"/>
                      <w:spacing w:val="-3"/>
                      <w:sz w:val="12"/>
                    </w:rPr>
                    <w:t>,</w:t>
                  </w:r>
                  <w:r>
                    <w:rPr>
                      <w:color w:val="58595B"/>
                      <w:spacing w:val="-13"/>
                      <w:sz w:val="12"/>
                    </w:rPr>
                    <w:t> </w:t>
                  </w:r>
                  <w:r>
                    <w:rPr>
                      <w:color w:val="58595B"/>
                      <w:sz w:val="12"/>
                    </w:rPr>
                    <w:t>Commonwealth</w:t>
                  </w:r>
                  <w:r>
                    <w:rPr>
                      <w:color w:val="58595B"/>
                      <w:spacing w:val="-13"/>
                      <w:sz w:val="12"/>
                    </w:rPr>
                    <w:t> </w:t>
                  </w:r>
                  <w:r>
                    <w:rPr>
                      <w:color w:val="58595B"/>
                      <w:sz w:val="12"/>
                    </w:rPr>
                    <w:t>of</w:t>
                  </w:r>
                  <w:r>
                    <w:rPr>
                      <w:color w:val="58595B"/>
                      <w:spacing w:val="-13"/>
                      <w:sz w:val="12"/>
                    </w:rPr>
                    <w:t> </w:t>
                  </w:r>
                  <w:r>
                    <w:rPr>
                      <w:color w:val="58595B"/>
                      <w:sz w:val="12"/>
                    </w:rPr>
                    <w:t>Australia, Canberra, p.</w:t>
                  </w:r>
                  <w:r>
                    <w:rPr>
                      <w:color w:val="58595B"/>
                      <w:spacing w:val="-21"/>
                      <w:sz w:val="12"/>
                    </w:rPr>
                    <w:t> </w:t>
                  </w:r>
                  <w:r>
                    <w:rPr>
                      <w:color w:val="58595B"/>
                      <w:spacing w:val="-3"/>
                      <w:sz w:val="12"/>
                    </w:rPr>
                    <w:t>1.</w:t>
                  </w:r>
                </w:p>
                <w:p>
                  <w:pPr>
                    <w:spacing w:line="242" w:lineRule="auto" w:before="29"/>
                    <w:ind w:left="20" w:right="9" w:firstLine="0"/>
                    <w:jc w:val="left"/>
                    <w:rPr>
                      <w:sz w:val="12"/>
                    </w:rPr>
                  </w:pPr>
                  <w:r>
                    <w:rPr>
                      <w:color w:val="58595B"/>
                      <w:sz w:val="12"/>
                    </w:rPr>
                    <w:t>Victorian Government </w:t>
                  </w:r>
                  <w:r>
                    <w:rPr>
                      <w:color w:val="58595B"/>
                      <w:spacing w:val="-3"/>
                      <w:sz w:val="12"/>
                    </w:rPr>
                    <w:t>2015, </w:t>
                  </w:r>
                  <w:r>
                    <w:rPr>
                      <w:i/>
                      <w:color w:val="58595B"/>
                      <w:sz w:val="12"/>
                    </w:rPr>
                    <w:t>Victorian public health and wellbeing plan 2015–19</w:t>
                  </w:r>
                  <w:r>
                    <w:rPr>
                      <w:color w:val="58595B"/>
                      <w:sz w:val="12"/>
                    </w:rPr>
                    <w:t>, Melbourne, p. 43; Victorian Government </w:t>
                  </w:r>
                  <w:r>
                    <w:rPr>
                      <w:color w:val="58595B"/>
                      <w:spacing w:val="-3"/>
                      <w:sz w:val="12"/>
                    </w:rPr>
                    <w:t>2014, </w:t>
                  </w:r>
                  <w:r>
                    <w:rPr>
                      <w:i/>
                      <w:color w:val="58595B"/>
                      <w:sz w:val="12"/>
                    </w:rPr>
                    <w:t>Economic Assessment</w:t>
                  </w:r>
                  <w:r>
                    <w:rPr>
                      <w:i/>
                      <w:color w:val="58595B"/>
                      <w:spacing w:val="-13"/>
                      <w:sz w:val="12"/>
                    </w:rPr>
                    <w:t> </w:t>
                  </w:r>
                  <w:r>
                    <w:rPr>
                      <w:i/>
                      <w:color w:val="58595B"/>
                      <w:spacing w:val="-3"/>
                      <w:sz w:val="12"/>
                    </w:rPr>
                    <w:t>2014:</w:t>
                  </w:r>
                  <w:r>
                    <w:rPr>
                      <w:i/>
                      <w:color w:val="58595B"/>
                      <w:spacing w:val="-13"/>
                      <w:sz w:val="12"/>
                    </w:rPr>
                    <w:t> </w:t>
                  </w:r>
                  <w:r>
                    <w:rPr>
                      <w:i/>
                      <w:color w:val="58595B"/>
                      <w:sz w:val="12"/>
                    </w:rPr>
                    <w:t>Statewide</w:t>
                  </w:r>
                  <w:r>
                    <w:rPr>
                      <w:i/>
                      <w:color w:val="58595B"/>
                      <w:spacing w:val="-13"/>
                      <w:sz w:val="12"/>
                    </w:rPr>
                    <w:t> </w:t>
                  </w:r>
                  <w:r>
                    <w:rPr>
                      <w:i/>
                      <w:color w:val="58595B"/>
                      <w:sz w:val="12"/>
                    </w:rPr>
                    <w:t>Waste</w:t>
                  </w:r>
                  <w:r>
                    <w:rPr>
                      <w:i/>
                      <w:color w:val="58595B"/>
                      <w:spacing w:val="-13"/>
                      <w:sz w:val="12"/>
                    </w:rPr>
                    <w:t> </w:t>
                  </w:r>
                  <w:r>
                    <w:rPr>
                      <w:i/>
                      <w:color w:val="58595B"/>
                      <w:sz w:val="12"/>
                    </w:rPr>
                    <w:t>and</w:t>
                  </w:r>
                  <w:r>
                    <w:rPr>
                      <w:i/>
                      <w:color w:val="58595B"/>
                      <w:spacing w:val="-13"/>
                      <w:sz w:val="12"/>
                    </w:rPr>
                    <w:t> </w:t>
                  </w:r>
                  <w:r>
                    <w:rPr>
                      <w:i/>
                      <w:color w:val="58595B"/>
                      <w:sz w:val="12"/>
                    </w:rPr>
                    <w:t>Resource</w:t>
                  </w:r>
                  <w:r>
                    <w:rPr>
                      <w:i/>
                      <w:color w:val="58595B"/>
                      <w:spacing w:val="-13"/>
                      <w:sz w:val="12"/>
                    </w:rPr>
                    <w:t> </w:t>
                  </w:r>
                  <w:r>
                    <w:rPr>
                      <w:i/>
                      <w:color w:val="58595B"/>
                      <w:sz w:val="12"/>
                    </w:rPr>
                    <w:t>Recovery</w:t>
                  </w:r>
                  <w:r>
                    <w:rPr>
                      <w:i/>
                      <w:color w:val="58595B"/>
                      <w:spacing w:val="-13"/>
                      <w:sz w:val="12"/>
                    </w:rPr>
                    <w:t> </w:t>
                  </w:r>
                  <w:r>
                    <w:rPr>
                      <w:i/>
                      <w:color w:val="58595B"/>
                      <w:sz w:val="12"/>
                    </w:rPr>
                    <w:t>Infrastructure Plan Victoria 2015–44</w:t>
                  </w:r>
                  <w:r>
                    <w:rPr>
                      <w:color w:val="58595B"/>
                      <w:sz w:val="12"/>
                    </w:rPr>
                    <w:t>, Melbourne, p. 2; Victorian Government </w:t>
                  </w:r>
                  <w:r>
                    <w:rPr>
                      <w:color w:val="58595B"/>
                      <w:spacing w:val="-3"/>
                      <w:sz w:val="12"/>
                    </w:rPr>
                    <w:t>2014, </w:t>
                  </w:r>
                  <w:r>
                    <w:rPr>
                      <w:i/>
                      <w:color w:val="58595B"/>
                      <w:sz w:val="12"/>
                    </w:rPr>
                    <w:t>Snapshot Statewide Waste and Resource Recovery Infrastructure Plan Victoria 2015–44</w:t>
                  </w:r>
                  <w:r>
                    <w:rPr>
                      <w:color w:val="58595B"/>
                      <w:sz w:val="12"/>
                    </w:rPr>
                    <w:t>, Melbourne; Melbourne City Council </w:t>
                  </w:r>
                  <w:r>
                    <w:rPr>
                      <w:color w:val="58595B"/>
                      <w:spacing w:val="-3"/>
                      <w:sz w:val="12"/>
                    </w:rPr>
                    <w:t>2014, </w:t>
                  </w:r>
                  <w:r>
                    <w:rPr>
                      <w:i/>
                      <w:color w:val="58595B"/>
                      <w:sz w:val="12"/>
                    </w:rPr>
                    <w:t>Urban Forest Strategy: Making a great city greener 2012–32</w:t>
                  </w:r>
                  <w:r>
                    <w:rPr>
                      <w:color w:val="58595B"/>
                      <w:sz w:val="12"/>
                    </w:rPr>
                    <w:t>, p. 59; Krpan S </w:t>
                  </w:r>
                  <w:r>
                    <w:rPr>
                      <w:color w:val="58595B"/>
                      <w:spacing w:val="-5"/>
                      <w:sz w:val="12"/>
                    </w:rPr>
                    <w:t>2011, </w:t>
                  </w:r>
                  <w:r>
                    <w:rPr>
                      <w:i/>
                      <w:color w:val="58595B"/>
                      <w:sz w:val="12"/>
                    </w:rPr>
                    <w:t>Compliance</w:t>
                  </w:r>
                  <w:r>
                    <w:rPr>
                      <w:i/>
                      <w:color w:val="58595B"/>
                      <w:spacing w:val="-13"/>
                      <w:sz w:val="12"/>
                    </w:rPr>
                    <w:t> </w:t>
                  </w:r>
                  <w:r>
                    <w:rPr>
                      <w:i/>
                      <w:color w:val="58595B"/>
                      <w:sz w:val="12"/>
                    </w:rPr>
                    <w:t>and</w:t>
                  </w:r>
                  <w:r>
                    <w:rPr>
                      <w:i/>
                      <w:color w:val="58595B"/>
                      <w:spacing w:val="-13"/>
                      <w:sz w:val="12"/>
                    </w:rPr>
                    <w:t> </w:t>
                  </w:r>
                  <w:r>
                    <w:rPr>
                      <w:i/>
                      <w:color w:val="58595B"/>
                      <w:sz w:val="12"/>
                    </w:rPr>
                    <w:t>Enforcement</w:t>
                  </w:r>
                  <w:r>
                    <w:rPr>
                      <w:i/>
                      <w:color w:val="58595B"/>
                      <w:spacing w:val="-13"/>
                      <w:sz w:val="12"/>
                    </w:rPr>
                    <w:t> </w:t>
                  </w:r>
                  <w:r>
                    <w:rPr>
                      <w:i/>
                      <w:color w:val="58595B"/>
                      <w:sz w:val="12"/>
                    </w:rPr>
                    <w:t>review:</w:t>
                  </w:r>
                  <w:r>
                    <w:rPr>
                      <w:i/>
                      <w:color w:val="58595B"/>
                      <w:spacing w:val="-13"/>
                      <w:sz w:val="12"/>
                    </w:rPr>
                    <w:t> </w:t>
                  </w:r>
                  <w:r>
                    <w:rPr>
                      <w:i/>
                      <w:color w:val="58595B"/>
                      <w:sz w:val="12"/>
                    </w:rPr>
                    <w:t>A</w:t>
                  </w:r>
                  <w:r>
                    <w:rPr>
                      <w:i/>
                      <w:color w:val="58595B"/>
                      <w:spacing w:val="-13"/>
                      <w:sz w:val="12"/>
                    </w:rPr>
                    <w:t> </w:t>
                  </w:r>
                  <w:r>
                    <w:rPr>
                      <w:i/>
                      <w:color w:val="58595B"/>
                      <w:sz w:val="12"/>
                    </w:rPr>
                    <w:t>review</w:t>
                  </w:r>
                  <w:r>
                    <w:rPr>
                      <w:i/>
                      <w:color w:val="58595B"/>
                      <w:spacing w:val="-13"/>
                      <w:sz w:val="12"/>
                    </w:rPr>
                    <w:t> </w:t>
                  </w:r>
                  <w:r>
                    <w:rPr>
                      <w:i/>
                      <w:color w:val="58595B"/>
                      <w:sz w:val="12"/>
                    </w:rPr>
                    <w:t>of</w:t>
                  </w:r>
                  <w:r>
                    <w:rPr>
                      <w:i/>
                      <w:color w:val="58595B"/>
                      <w:spacing w:val="-13"/>
                      <w:sz w:val="12"/>
                    </w:rPr>
                    <w:t> </w:t>
                  </w:r>
                  <w:r>
                    <w:rPr>
                      <w:i/>
                      <w:color w:val="58595B"/>
                      <w:sz w:val="12"/>
                    </w:rPr>
                    <w:t>EPA</w:t>
                  </w:r>
                  <w:r>
                    <w:rPr>
                      <w:i/>
                      <w:color w:val="58595B"/>
                      <w:spacing w:val="-13"/>
                      <w:sz w:val="12"/>
                    </w:rPr>
                    <w:t> </w:t>
                  </w:r>
                  <w:r>
                    <w:rPr>
                      <w:i/>
                      <w:color w:val="58595B"/>
                      <w:sz w:val="12"/>
                    </w:rPr>
                    <w:t>Victoria’s</w:t>
                  </w:r>
                  <w:r>
                    <w:rPr>
                      <w:i/>
                      <w:color w:val="58595B"/>
                      <w:spacing w:val="-13"/>
                      <w:sz w:val="12"/>
                    </w:rPr>
                    <w:t> </w:t>
                  </w:r>
                  <w:r>
                    <w:rPr>
                      <w:i/>
                      <w:color w:val="58595B"/>
                      <w:sz w:val="12"/>
                    </w:rPr>
                    <w:t>approach</w:t>
                  </w:r>
                  <w:r>
                    <w:rPr>
                      <w:color w:val="58595B"/>
                      <w:sz w:val="12"/>
                    </w:rPr>
                    <w:t>, Melbourne, p.</w:t>
                  </w:r>
                  <w:r>
                    <w:rPr>
                      <w:color w:val="58595B"/>
                      <w:spacing w:val="-26"/>
                      <w:sz w:val="12"/>
                    </w:rPr>
                    <w:t> </w:t>
                  </w:r>
                  <w:r>
                    <w:rPr>
                      <w:color w:val="58595B"/>
                      <w:sz w:val="12"/>
                    </w:rPr>
                    <w:t>xii.</w:t>
                  </w:r>
                </w:p>
                <w:p>
                  <w:pPr>
                    <w:spacing w:line="242" w:lineRule="auto" w:before="29"/>
                    <w:ind w:left="20" w:right="275" w:firstLine="0"/>
                    <w:jc w:val="left"/>
                    <w:rPr>
                      <w:sz w:val="12"/>
                    </w:rPr>
                  </w:pPr>
                  <w:r>
                    <w:rPr>
                      <w:color w:val="58595B"/>
                      <w:sz w:val="12"/>
                    </w:rPr>
                    <w:t>The Strategy Shop </w:t>
                  </w:r>
                  <w:r>
                    <w:rPr>
                      <w:color w:val="58595B"/>
                      <w:spacing w:val="-3"/>
                      <w:sz w:val="12"/>
                    </w:rPr>
                    <w:t>2015, </w:t>
                  </w:r>
                  <w:r>
                    <w:rPr>
                      <w:i/>
                      <w:color w:val="58595B"/>
                      <w:sz w:val="12"/>
                    </w:rPr>
                    <w:t>Report on Submissions to the EPA Inquiry</w:t>
                  </w:r>
                  <w:r>
                    <w:rPr>
                      <w:color w:val="58595B"/>
                      <w:sz w:val="12"/>
                    </w:rPr>
                    <w:t>, Melbourne, December, p. 65.</w:t>
                  </w:r>
                </w:p>
              </w:txbxContent>
            </v:textbox>
            <w10:wrap type="none"/>
          </v:shape>
        </w:pict>
      </w:r>
      <w:r>
        <w:rPr/>
        <w:pict>
          <v:shape style="position:absolute;margin-left:312.554596pt;margin-top:106.367027pt;width:8.75pt;height:8pt;mso-position-horizontal-relative:page;mso-position-vertical-relative:page;z-index:-181528" type="#_x0000_t202" filled="false" stroked="false">
            <v:textbox inset="0,0,0,0">
              <w:txbxContent>
                <w:p>
                  <w:pPr>
                    <w:spacing w:before="4"/>
                    <w:ind w:left="20" w:right="0" w:firstLine="0"/>
                    <w:jc w:val="left"/>
                    <w:rPr>
                      <w:sz w:val="12"/>
                    </w:rPr>
                  </w:pPr>
                  <w:r>
                    <w:rPr>
                      <w:color w:val="58595B"/>
                      <w:sz w:val="12"/>
                    </w:rPr>
                    <w:t>34</w:t>
                  </w:r>
                </w:p>
              </w:txbxContent>
            </v:textbox>
            <w10:wrap type="none"/>
          </v:shape>
        </w:pict>
      </w:r>
      <w:r>
        <w:rPr/>
        <w:pict>
          <v:shape style="position:absolute;margin-left:326.678589pt;margin-top:106.367027pt;width:198.7pt;height:698.8pt;mso-position-horizontal-relative:page;mso-position-vertical-relative:page;z-index:-181504" type="#_x0000_t202" filled="false" stroked="false">
            <v:textbox inset="0,0,0,0">
              <w:txbxContent>
                <w:p>
                  <w:pPr>
                    <w:spacing w:line="242" w:lineRule="auto" w:before="4"/>
                    <w:ind w:left="20" w:right="78" w:firstLine="0"/>
                    <w:jc w:val="left"/>
                    <w:rPr>
                      <w:sz w:val="12"/>
                    </w:rPr>
                  </w:pPr>
                  <w:r>
                    <w:rPr>
                      <w:color w:val="58595B"/>
                      <w:sz w:val="12"/>
                    </w:rPr>
                    <w:t>Lewis</w:t>
                  </w:r>
                  <w:r>
                    <w:rPr>
                      <w:color w:val="58595B"/>
                      <w:spacing w:val="-11"/>
                      <w:sz w:val="12"/>
                    </w:rPr>
                    <w:t> </w:t>
                  </w:r>
                  <w:r>
                    <w:rPr>
                      <w:color w:val="58595B"/>
                      <w:spacing w:val="-5"/>
                      <w:sz w:val="12"/>
                    </w:rPr>
                    <w:t>T,</w:t>
                  </w:r>
                  <w:r>
                    <w:rPr>
                      <w:color w:val="58595B"/>
                      <w:spacing w:val="-11"/>
                      <w:sz w:val="12"/>
                    </w:rPr>
                    <w:t> </w:t>
                  </w:r>
                  <w:r>
                    <w:rPr>
                      <w:color w:val="58595B"/>
                      <w:sz w:val="12"/>
                    </w:rPr>
                    <w:t>Albert</w:t>
                  </w:r>
                  <w:r>
                    <w:rPr>
                      <w:color w:val="58595B"/>
                      <w:spacing w:val="-11"/>
                      <w:sz w:val="12"/>
                    </w:rPr>
                    <w:t> </w:t>
                  </w:r>
                  <w:r>
                    <w:rPr>
                      <w:color w:val="58595B"/>
                      <w:sz w:val="12"/>
                    </w:rPr>
                    <w:t>V</w:t>
                  </w:r>
                  <w:r>
                    <w:rPr>
                      <w:color w:val="58595B"/>
                      <w:spacing w:val="-11"/>
                      <w:sz w:val="12"/>
                    </w:rPr>
                    <w:t> </w:t>
                  </w:r>
                  <w:r>
                    <w:rPr>
                      <w:color w:val="58595B"/>
                      <w:sz w:val="12"/>
                    </w:rPr>
                    <w:t>and</w:t>
                  </w:r>
                  <w:r>
                    <w:rPr>
                      <w:color w:val="58595B"/>
                      <w:spacing w:val="-11"/>
                      <w:sz w:val="12"/>
                    </w:rPr>
                    <w:t> </w:t>
                  </w:r>
                  <w:r>
                    <w:rPr>
                      <w:color w:val="58595B"/>
                      <w:sz w:val="12"/>
                    </w:rPr>
                    <w:t>Hunter</w:t>
                  </w:r>
                  <w:r>
                    <w:rPr>
                      <w:color w:val="58595B"/>
                      <w:spacing w:val="-11"/>
                      <w:sz w:val="12"/>
                    </w:rPr>
                    <w:t> </w:t>
                  </w:r>
                  <w:r>
                    <w:rPr>
                      <w:color w:val="58595B"/>
                      <w:sz w:val="12"/>
                    </w:rPr>
                    <w:t>S</w:t>
                  </w:r>
                  <w:r>
                    <w:rPr>
                      <w:color w:val="58595B"/>
                      <w:spacing w:val="-11"/>
                      <w:sz w:val="12"/>
                    </w:rPr>
                    <w:t> </w:t>
                  </w:r>
                  <w:r>
                    <w:rPr>
                      <w:color w:val="58595B"/>
                      <w:sz w:val="12"/>
                    </w:rPr>
                    <w:t>2016,</w:t>
                  </w:r>
                  <w:r>
                    <w:rPr>
                      <w:color w:val="58595B"/>
                      <w:spacing w:val="-11"/>
                      <w:sz w:val="12"/>
                    </w:rPr>
                    <w:t> </w:t>
                  </w:r>
                  <w:r>
                    <w:rPr>
                      <w:i/>
                      <w:color w:val="58595B"/>
                      <w:sz w:val="12"/>
                    </w:rPr>
                    <w:t>Environmental</w:t>
                  </w:r>
                  <w:r>
                    <w:rPr>
                      <w:i/>
                      <w:color w:val="58595B"/>
                      <w:spacing w:val="-11"/>
                      <w:sz w:val="12"/>
                    </w:rPr>
                    <w:t> </w:t>
                  </w:r>
                  <w:r>
                    <w:rPr>
                      <w:i/>
                      <w:color w:val="58595B"/>
                      <w:sz w:val="12"/>
                    </w:rPr>
                    <w:t>equity:</w:t>
                  </w:r>
                  <w:r>
                    <w:rPr>
                      <w:i/>
                      <w:color w:val="58595B"/>
                      <w:spacing w:val="-11"/>
                      <w:sz w:val="12"/>
                    </w:rPr>
                    <w:t> </w:t>
                  </w:r>
                  <w:r>
                    <w:rPr>
                      <w:i/>
                      <w:color w:val="58595B"/>
                      <w:sz w:val="12"/>
                    </w:rPr>
                    <w:t>Building</w:t>
                  </w:r>
                  <w:r>
                    <w:rPr>
                      <w:i/>
                      <w:color w:val="58595B"/>
                      <w:spacing w:val="-11"/>
                      <w:sz w:val="12"/>
                    </w:rPr>
                    <w:t> </w:t>
                  </w:r>
                  <w:r>
                    <w:rPr>
                      <w:i/>
                      <w:color w:val="58595B"/>
                      <w:sz w:val="12"/>
                    </w:rPr>
                    <w:t>policy and</w:t>
                  </w:r>
                  <w:r>
                    <w:rPr>
                      <w:i/>
                      <w:color w:val="58595B"/>
                      <w:spacing w:val="-11"/>
                      <w:sz w:val="12"/>
                    </w:rPr>
                    <w:t> </w:t>
                  </w:r>
                  <w:r>
                    <w:rPr>
                      <w:i/>
                      <w:color w:val="58595B"/>
                      <w:sz w:val="12"/>
                    </w:rPr>
                    <w:t>practice</w:t>
                  </w:r>
                  <w:r>
                    <w:rPr>
                      <w:i/>
                      <w:color w:val="58595B"/>
                      <w:spacing w:val="-11"/>
                      <w:sz w:val="12"/>
                    </w:rPr>
                    <w:t> </w:t>
                  </w:r>
                  <w:r>
                    <w:rPr>
                      <w:i/>
                      <w:color w:val="58595B"/>
                      <w:sz w:val="12"/>
                    </w:rPr>
                    <w:t>for</w:t>
                  </w:r>
                  <w:r>
                    <w:rPr>
                      <w:i/>
                      <w:color w:val="58595B"/>
                      <w:spacing w:val="-11"/>
                      <w:sz w:val="12"/>
                    </w:rPr>
                    <w:t> </w:t>
                  </w:r>
                  <w:r>
                    <w:rPr>
                      <w:i/>
                      <w:color w:val="58595B"/>
                      <w:sz w:val="12"/>
                    </w:rPr>
                    <w:t>the</w:t>
                  </w:r>
                  <w:r>
                    <w:rPr>
                      <w:i/>
                      <w:color w:val="58595B"/>
                      <w:spacing w:val="-11"/>
                      <w:sz w:val="12"/>
                    </w:rPr>
                    <w:t> </w:t>
                  </w:r>
                  <w:r>
                    <w:rPr>
                      <w:i/>
                      <w:color w:val="58595B"/>
                      <w:sz w:val="12"/>
                    </w:rPr>
                    <w:t>EPA,</w:t>
                  </w:r>
                  <w:r>
                    <w:rPr>
                      <w:i/>
                      <w:color w:val="58595B"/>
                      <w:spacing w:val="-11"/>
                      <w:sz w:val="12"/>
                    </w:rPr>
                    <w:t> </w:t>
                  </w:r>
                  <w:r>
                    <w:rPr>
                      <w:i/>
                      <w:color w:val="58595B"/>
                      <w:sz w:val="12"/>
                    </w:rPr>
                    <w:t>Victoria</w:t>
                  </w:r>
                  <w:r>
                    <w:rPr>
                      <w:color w:val="58595B"/>
                      <w:sz w:val="12"/>
                    </w:rPr>
                    <w:t>,</w:t>
                  </w:r>
                  <w:r>
                    <w:rPr>
                      <w:color w:val="58595B"/>
                      <w:spacing w:val="-11"/>
                      <w:sz w:val="12"/>
                    </w:rPr>
                    <w:t> </w:t>
                  </w:r>
                  <w:r>
                    <w:rPr>
                      <w:color w:val="58595B"/>
                      <w:sz w:val="12"/>
                    </w:rPr>
                    <w:t>Final</w:t>
                  </w:r>
                  <w:r>
                    <w:rPr>
                      <w:color w:val="58595B"/>
                      <w:spacing w:val="-11"/>
                      <w:sz w:val="12"/>
                    </w:rPr>
                    <w:t> </w:t>
                  </w:r>
                  <w:r>
                    <w:rPr>
                      <w:color w:val="58595B"/>
                      <w:sz w:val="12"/>
                    </w:rPr>
                    <w:t>report,</w:t>
                  </w:r>
                  <w:r>
                    <w:rPr>
                      <w:color w:val="58595B"/>
                      <w:spacing w:val="-11"/>
                      <w:sz w:val="12"/>
                    </w:rPr>
                    <w:t> </w:t>
                  </w:r>
                  <w:r>
                    <w:rPr>
                      <w:color w:val="58595B"/>
                      <w:sz w:val="12"/>
                    </w:rPr>
                    <w:t>Melbourne,</w:t>
                  </w:r>
                  <w:r>
                    <w:rPr>
                      <w:color w:val="58595B"/>
                      <w:spacing w:val="-11"/>
                      <w:sz w:val="12"/>
                    </w:rPr>
                    <w:t> </w:t>
                  </w:r>
                  <w:r>
                    <w:rPr>
                      <w:color w:val="58595B"/>
                      <w:sz w:val="12"/>
                    </w:rPr>
                    <w:t>p.</w:t>
                  </w:r>
                  <w:r>
                    <w:rPr>
                      <w:color w:val="58595B"/>
                      <w:spacing w:val="-11"/>
                      <w:sz w:val="12"/>
                    </w:rPr>
                    <w:t> </w:t>
                  </w:r>
                  <w:r>
                    <w:rPr>
                      <w:color w:val="58595B"/>
                      <w:sz w:val="12"/>
                    </w:rPr>
                    <w:t>29.</w:t>
                  </w:r>
                </w:p>
                <w:p>
                  <w:pPr>
                    <w:spacing w:line="242" w:lineRule="auto" w:before="29"/>
                    <w:ind w:left="20" w:right="78" w:firstLine="0"/>
                    <w:jc w:val="left"/>
                    <w:rPr>
                      <w:sz w:val="12"/>
                    </w:rPr>
                  </w:pPr>
                  <w:r>
                    <w:rPr>
                      <w:color w:val="58595B"/>
                      <w:sz w:val="12"/>
                    </w:rPr>
                    <w:t>Hazelwood</w:t>
                  </w:r>
                  <w:r>
                    <w:rPr>
                      <w:color w:val="58595B"/>
                      <w:spacing w:val="-14"/>
                      <w:sz w:val="12"/>
                    </w:rPr>
                    <w:t> </w:t>
                  </w:r>
                  <w:r>
                    <w:rPr>
                      <w:color w:val="58595B"/>
                      <w:sz w:val="12"/>
                    </w:rPr>
                    <w:t>Mine</w:t>
                  </w:r>
                  <w:r>
                    <w:rPr>
                      <w:color w:val="58595B"/>
                      <w:spacing w:val="-14"/>
                      <w:sz w:val="12"/>
                    </w:rPr>
                    <w:t> </w:t>
                  </w:r>
                  <w:r>
                    <w:rPr>
                      <w:color w:val="58595B"/>
                      <w:sz w:val="12"/>
                    </w:rPr>
                    <w:t>Fire</w:t>
                  </w:r>
                  <w:r>
                    <w:rPr>
                      <w:color w:val="58595B"/>
                      <w:spacing w:val="-14"/>
                      <w:sz w:val="12"/>
                    </w:rPr>
                    <w:t> </w:t>
                  </w:r>
                  <w:r>
                    <w:rPr>
                      <w:color w:val="58595B"/>
                      <w:sz w:val="12"/>
                    </w:rPr>
                    <w:t>Inquiry</w:t>
                  </w:r>
                  <w:r>
                    <w:rPr>
                      <w:color w:val="58595B"/>
                      <w:spacing w:val="-14"/>
                      <w:sz w:val="12"/>
                    </w:rPr>
                    <w:t> </w:t>
                  </w:r>
                  <w:r>
                    <w:rPr>
                      <w:color w:val="58595B"/>
                      <w:sz w:val="12"/>
                    </w:rPr>
                    <w:t>2015-2016,</w:t>
                  </w:r>
                  <w:r>
                    <w:rPr>
                      <w:color w:val="58595B"/>
                      <w:spacing w:val="-14"/>
                      <w:sz w:val="12"/>
                    </w:rPr>
                    <w:t> </w:t>
                  </w:r>
                  <w:r>
                    <w:rPr>
                      <w:i/>
                      <w:color w:val="58595B"/>
                      <w:sz w:val="12"/>
                    </w:rPr>
                    <w:t>Health</w:t>
                  </w:r>
                  <w:r>
                    <w:rPr>
                      <w:i/>
                      <w:color w:val="58595B"/>
                      <w:spacing w:val="-14"/>
                      <w:sz w:val="12"/>
                    </w:rPr>
                    <w:t> </w:t>
                  </w:r>
                  <w:r>
                    <w:rPr>
                      <w:i/>
                      <w:color w:val="58595B"/>
                      <w:sz w:val="12"/>
                    </w:rPr>
                    <w:t>Improvement</w:t>
                  </w:r>
                  <w:r>
                    <w:rPr>
                      <w:color w:val="58595B"/>
                      <w:sz w:val="12"/>
                    </w:rPr>
                    <w:t>,</w:t>
                  </w:r>
                  <w:r>
                    <w:rPr>
                      <w:color w:val="58595B"/>
                      <w:spacing w:val="-14"/>
                      <w:sz w:val="12"/>
                    </w:rPr>
                    <w:t> </w:t>
                  </w:r>
                  <w:r>
                    <w:rPr>
                      <w:color w:val="58595B"/>
                      <w:sz w:val="12"/>
                    </w:rPr>
                    <w:t>Volume</w:t>
                  </w:r>
                  <w:r>
                    <w:rPr>
                      <w:color w:val="58595B"/>
                      <w:spacing w:val="-14"/>
                      <w:sz w:val="12"/>
                    </w:rPr>
                    <w:t> </w:t>
                  </w:r>
                  <w:r>
                    <w:rPr>
                      <w:color w:val="58595B"/>
                      <w:sz w:val="12"/>
                    </w:rPr>
                    <w:t>III, p.</w:t>
                  </w:r>
                  <w:r>
                    <w:rPr>
                      <w:color w:val="58595B"/>
                      <w:spacing w:val="-11"/>
                      <w:sz w:val="12"/>
                    </w:rPr>
                    <w:t> </w:t>
                  </w:r>
                  <w:r>
                    <w:rPr>
                      <w:color w:val="58595B"/>
                      <w:sz w:val="12"/>
                    </w:rPr>
                    <w:t>25.</w:t>
                  </w:r>
                </w:p>
                <w:p>
                  <w:pPr>
                    <w:spacing w:line="242" w:lineRule="auto" w:before="29"/>
                    <w:ind w:left="20" w:right="53" w:firstLine="0"/>
                    <w:jc w:val="left"/>
                    <w:rPr>
                      <w:sz w:val="12"/>
                    </w:rPr>
                  </w:pPr>
                  <w:r>
                    <w:rPr>
                      <w:color w:val="58595B"/>
                      <w:spacing w:val="-3"/>
                      <w:sz w:val="12"/>
                    </w:rPr>
                    <w:t>EPA </w:t>
                  </w:r>
                  <w:r>
                    <w:rPr>
                      <w:color w:val="58595B"/>
                      <w:sz w:val="12"/>
                    </w:rPr>
                    <w:t>Victoria </w:t>
                  </w:r>
                  <w:r>
                    <w:rPr>
                      <w:color w:val="58595B"/>
                      <w:spacing w:val="-3"/>
                      <w:sz w:val="12"/>
                    </w:rPr>
                    <w:t>2015, </w:t>
                  </w:r>
                  <w:r>
                    <w:rPr>
                      <w:i/>
                      <w:color w:val="58595B"/>
                      <w:sz w:val="12"/>
                    </w:rPr>
                    <w:t>Annual Report 2014-15</w:t>
                  </w:r>
                  <w:r>
                    <w:rPr>
                      <w:color w:val="58595B"/>
                      <w:sz w:val="12"/>
                    </w:rPr>
                    <w:t>, Melbourne, p. 8; </w:t>
                  </w:r>
                  <w:r>
                    <w:rPr>
                      <w:color w:val="58595B"/>
                      <w:spacing w:val="-3"/>
                      <w:sz w:val="12"/>
                    </w:rPr>
                    <w:t>EPA </w:t>
                  </w:r>
                  <w:r>
                    <w:rPr>
                      <w:color w:val="58595B"/>
                      <w:sz w:val="12"/>
                    </w:rPr>
                    <w:t>Victoria </w:t>
                  </w:r>
                  <w:r>
                    <w:rPr>
                      <w:color w:val="58595B"/>
                      <w:spacing w:val="-3"/>
                      <w:sz w:val="12"/>
                    </w:rPr>
                    <w:t>2013, </w:t>
                  </w:r>
                  <w:r>
                    <w:rPr>
                      <w:i/>
                      <w:color w:val="58595B"/>
                      <w:sz w:val="12"/>
                    </w:rPr>
                    <w:t>Environmental citizenship strategy</w:t>
                  </w:r>
                  <w:r>
                    <w:rPr>
                      <w:color w:val="58595B"/>
                      <w:sz w:val="12"/>
                    </w:rPr>
                    <w:t>, Melbourne, p. 5.</w:t>
                  </w:r>
                </w:p>
                <w:p>
                  <w:pPr>
                    <w:spacing w:line="242" w:lineRule="auto" w:before="29"/>
                    <w:ind w:left="20" w:right="78" w:firstLine="0"/>
                    <w:jc w:val="left"/>
                    <w:rPr>
                      <w:sz w:val="12"/>
                    </w:rPr>
                  </w:pPr>
                  <w:r>
                    <w:rPr>
                      <w:color w:val="58595B"/>
                      <w:spacing w:val="-3"/>
                      <w:sz w:val="12"/>
                    </w:rPr>
                    <w:t>EPA </w:t>
                  </w:r>
                  <w:r>
                    <w:rPr>
                      <w:color w:val="58595B"/>
                      <w:sz w:val="12"/>
                    </w:rPr>
                    <w:t>Victoria’s </w:t>
                  </w:r>
                  <w:r>
                    <w:rPr>
                      <w:i/>
                      <w:color w:val="58595B"/>
                      <w:sz w:val="12"/>
                    </w:rPr>
                    <w:t>Environmental Citizenship Strategy </w:t>
                  </w:r>
                  <w:r>
                    <w:rPr>
                      <w:color w:val="58595B"/>
                      <w:sz w:val="12"/>
                    </w:rPr>
                    <w:t>focuses strongly on shared responsibility, by ‘empowering the community, business and organisations to share problems and co-create solutions, extending responsibility beyond </w:t>
                  </w:r>
                  <w:r>
                    <w:rPr>
                      <w:color w:val="58595B"/>
                      <w:spacing w:val="-5"/>
                      <w:sz w:val="12"/>
                    </w:rPr>
                    <w:t>EPA’, </w:t>
                  </w:r>
                  <w:r>
                    <w:rPr>
                      <w:color w:val="58595B"/>
                      <w:spacing w:val="-3"/>
                      <w:sz w:val="12"/>
                    </w:rPr>
                    <w:t>EPA </w:t>
                  </w:r>
                  <w:r>
                    <w:rPr>
                      <w:color w:val="58595B"/>
                      <w:sz w:val="12"/>
                    </w:rPr>
                    <w:t>Victoria </w:t>
                  </w:r>
                  <w:r>
                    <w:rPr>
                      <w:color w:val="58595B"/>
                      <w:spacing w:val="-3"/>
                      <w:sz w:val="12"/>
                    </w:rPr>
                    <w:t>2013, </w:t>
                  </w:r>
                  <w:r>
                    <w:rPr>
                      <w:i/>
                      <w:color w:val="58595B"/>
                      <w:sz w:val="12"/>
                    </w:rPr>
                    <w:t>Environmental Citizenship Strategy</w:t>
                  </w:r>
                  <w:r>
                    <w:rPr>
                      <w:color w:val="58595B"/>
                      <w:sz w:val="12"/>
                    </w:rPr>
                    <w:t>, Melbourne, p. 3.</w:t>
                  </w:r>
                </w:p>
                <w:p>
                  <w:pPr>
                    <w:spacing w:before="29"/>
                    <w:ind w:left="20" w:right="78" w:firstLine="0"/>
                    <w:jc w:val="left"/>
                    <w:rPr>
                      <w:sz w:val="12"/>
                    </w:rPr>
                  </w:pPr>
                  <w:r>
                    <w:rPr>
                      <w:color w:val="58595B"/>
                      <w:sz w:val="12"/>
                    </w:rPr>
                    <w:t>Maribyrnong City Council submission, p. 8.</w:t>
                  </w:r>
                </w:p>
                <w:p>
                  <w:pPr>
                    <w:spacing w:line="242" w:lineRule="auto" w:before="30"/>
                    <w:ind w:left="20" w:right="78" w:firstLine="0"/>
                    <w:jc w:val="left"/>
                    <w:rPr>
                      <w:sz w:val="12"/>
                    </w:rPr>
                  </w:pPr>
                  <w:r>
                    <w:rPr>
                      <w:color w:val="58595B"/>
                      <w:sz w:val="12"/>
                    </w:rPr>
                    <w:t>Schedule</w:t>
                  </w:r>
                  <w:r>
                    <w:rPr>
                      <w:color w:val="58595B"/>
                      <w:spacing w:val="-13"/>
                      <w:sz w:val="12"/>
                    </w:rPr>
                    <w:t> </w:t>
                  </w:r>
                  <w:r>
                    <w:rPr>
                      <w:color w:val="58595B"/>
                      <w:spacing w:val="-3"/>
                      <w:sz w:val="12"/>
                    </w:rPr>
                    <w:t>1,</w:t>
                  </w:r>
                  <w:r>
                    <w:rPr>
                      <w:color w:val="58595B"/>
                      <w:spacing w:val="-13"/>
                      <w:sz w:val="12"/>
                    </w:rPr>
                    <w:t> </w:t>
                  </w:r>
                  <w:r>
                    <w:rPr>
                      <w:i/>
                      <w:color w:val="58595B"/>
                      <w:sz w:val="12"/>
                    </w:rPr>
                    <w:t>Climate</w:t>
                  </w:r>
                  <w:r>
                    <w:rPr>
                      <w:i/>
                      <w:color w:val="58595B"/>
                      <w:spacing w:val="-13"/>
                      <w:sz w:val="12"/>
                    </w:rPr>
                    <w:t> </w:t>
                  </w:r>
                  <w:r>
                    <w:rPr>
                      <w:i/>
                      <w:color w:val="58595B"/>
                      <w:sz w:val="12"/>
                    </w:rPr>
                    <w:t>Change</w:t>
                  </w:r>
                  <w:r>
                    <w:rPr>
                      <w:i/>
                      <w:color w:val="58595B"/>
                      <w:spacing w:val="-13"/>
                      <w:sz w:val="12"/>
                    </w:rPr>
                    <w:t> </w:t>
                  </w:r>
                  <w:r>
                    <w:rPr>
                      <w:i/>
                      <w:color w:val="58595B"/>
                      <w:sz w:val="12"/>
                    </w:rPr>
                    <w:t>Act</w:t>
                  </w:r>
                  <w:r>
                    <w:rPr>
                      <w:i/>
                      <w:color w:val="58595B"/>
                      <w:spacing w:val="-13"/>
                      <w:sz w:val="12"/>
                    </w:rPr>
                    <w:t> </w:t>
                  </w:r>
                  <w:r>
                    <w:rPr>
                      <w:i/>
                      <w:color w:val="58595B"/>
                      <w:sz w:val="12"/>
                    </w:rPr>
                    <w:t>2010</w:t>
                  </w:r>
                  <w:r>
                    <w:rPr>
                      <w:color w:val="58595B"/>
                      <w:sz w:val="12"/>
                    </w:rPr>
                    <w:t>,</w:t>
                  </w:r>
                  <w:r>
                    <w:rPr>
                      <w:color w:val="58595B"/>
                      <w:spacing w:val="-13"/>
                      <w:sz w:val="12"/>
                    </w:rPr>
                    <w:t> </w:t>
                  </w:r>
                  <w:r>
                    <w:rPr>
                      <w:color w:val="58595B"/>
                      <w:sz w:val="12"/>
                    </w:rPr>
                    <w:t>lists</w:t>
                  </w:r>
                  <w:r>
                    <w:rPr>
                      <w:color w:val="58595B"/>
                      <w:spacing w:val="-13"/>
                      <w:sz w:val="12"/>
                    </w:rPr>
                    <w:t> </w:t>
                  </w:r>
                  <w:r>
                    <w:rPr>
                      <w:color w:val="58595B"/>
                      <w:sz w:val="12"/>
                    </w:rPr>
                    <w:t>relevant</w:t>
                  </w:r>
                  <w:r>
                    <w:rPr>
                      <w:color w:val="58595B"/>
                      <w:spacing w:val="-13"/>
                      <w:sz w:val="12"/>
                    </w:rPr>
                    <w:t> </w:t>
                  </w:r>
                  <w:r>
                    <w:rPr>
                      <w:color w:val="58595B"/>
                      <w:sz w:val="12"/>
                    </w:rPr>
                    <w:t>legislative</w:t>
                  </w:r>
                  <w:r>
                    <w:rPr>
                      <w:color w:val="58595B"/>
                      <w:spacing w:val="-13"/>
                      <w:sz w:val="12"/>
                    </w:rPr>
                    <w:t> </w:t>
                  </w:r>
                  <w:r>
                    <w:rPr>
                      <w:color w:val="58595B"/>
                      <w:sz w:val="12"/>
                    </w:rPr>
                    <w:t>decision making</w:t>
                  </w:r>
                  <w:r>
                    <w:rPr>
                      <w:color w:val="58595B"/>
                      <w:spacing w:val="-12"/>
                      <w:sz w:val="12"/>
                    </w:rPr>
                    <w:t> </w:t>
                  </w:r>
                  <w:r>
                    <w:rPr>
                      <w:color w:val="58595B"/>
                      <w:sz w:val="12"/>
                    </w:rPr>
                    <w:t>provisions</w:t>
                  </w:r>
                  <w:r>
                    <w:rPr>
                      <w:color w:val="58595B"/>
                      <w:spacing w:val="-12"/>
                      <w:sz w:val="12"/>
                    </w:rPr>
                    <w:t> </w:t>
                  </w:r>
                  <w:r>
                    <w:rPr>
                      <w:color w:val="58595B"/>
                      <w:sz w:val="12"/>
                    </w:rPr>
                    <w:t>to</w:t>
                  </w:r>
                  <w:r>
                    <w:rPr>
                      <w:color w:val="58595B"/>
                      <w:spacing w:val="-12"/>
                      <w:sz w:val="12"/>
                    </w:rPr>
                    <w:t> </w:t>
                  </w:r>
                  <w:r>
                    <w:rPr>
                      <w:color w:val="58595B"/>
                      <w:sz w:val="12"/>
                    </w:rPr>
                    <w:t>which</w:t>
                  </w:r>
                  <w:r>
                    <w:rPr>
                      <w:color w:val="58595B"/>
                      <w:spacing w:val="-12"/>
                      <w:sz w:val="12"/>
                    </w:rPr>
                    <w:t> </w:t>
                  </w:r>
                  <w:r>
                    <w:rPr>
                      <w:color w:val="58595B"/>
                      <w:sz w:val="12"/>
                    </w:rPr>
                    <w:t>section</w:t>
                  </w:r>
                  <w:r>
                    <w:rPr>
                      <w:color w:val="58595B"/>
                      <w:spacing w:val="-12"/>
                      <w:sz w:val="12"/>
                    </w:rPr>
                    <w:t> </w:t>
                  </w:r>
                  <w:r>
                    <w:rPr>
                      <w:color w:val="58595B"/>
                      <w:spacing w:val="-3"/>
                      <w:sz w:val="12"/>
                    </w:rPr>
                    <w:t>14</w:t>
                  </w:r>
                  <w:r>
                    <w:rPr>
                      <w:color w:val="58595B"/>
                      <w:spacing w:val="-12"/>
                      <w:sz w:val="12"/>
                    </w:rPr>
                    <w:t> </w:t>
                  </w:r>
                  <w:r>
                    <w:rPr>
                      <w:color w:val="58595B"/>
                      <w:sz w:val="12"/>
                    </w:rPr>
                    <w:t>applies.</w:t>
                  </w:r>
                </w:p>
                <w:p>
                  <w:pPr>
                    <w:spacing w:before="29"/>
                    <w:ind w:left="20" w:right="78" w:firstLine="0"/>
                    <w:jc w:val="left"/>
                    <w:rPr>
                      <w:sz w:val="12"/>
                    </w:rPr>
                  </w:pPr>
                  <w:r>
                    <w:rPr>
                      <w:color w:val="58595B"/>
                      <w:sz w:val="12"/>
                    </w:rPr>
                    <w:t>Section 14, </w:t>
                  </w:r>
                  <w:r>
                    <w:rPr>
                      <w:i/>
                      <w:color w:val="58595B"/>
                      <w:sz w:val="12"/>
                    </w:rPr>
                    <w:t>Climate Change Act 2010</w:t>
                  </w:r>
                  <w:r>
                    <w:rPr>
                      <w:color w:val="58595B"/>
                      <w:sz w:val="12"/>
                    </w:rPr>
                    <w:t>.</w:t>
                  </w:r>
                </w:p>
                <w:p>
                  <w:pPr>
                    <w:spacing w:line="242" w:lineRule="auto" w:before="30"/>
                    <w:ind w:left="20" w:right="131" w:firstLine="0"/>
                    <w:jc w:val="left"/>
                    <w:rPr>
                      <w:sz w:val="12"/>
                    </w:rPr>
                  </w:pPr>
                  <w:r>
                    <w:rPr>
                      <w:color w:val="58595B"/>
                      <w:sz w:val="12"/>
                    </w:rPr>
                    <w:t>Brett Young M 2015, </w:t>
                  </w:r>
                  <w:r>
                    <w:rPr>
                      <w:i/>
                      <w:color w:val="58595B"/>
                      <w:sz w:val="12"/>
                    </w:rPr>
                    <w:t>From commitment to culture: The 2015 review of the Charter of Human Rights and Responsibilities Act 2006</w:t>
                  </w:r>
                  <w:r>
                    <w:rPr>
                      <w:color w:val="58595B"/>
                      <w:sz w:val="12"/>
                    </w:rPr>
                    <w:t>, Melbourne, September, p. 22.</w:t>
                  </w:r>
                </w:p>
                <w:p>
                  <w:pPr>
                    <w:spacing w:line="292" w:lineRule="auto" w:before="29"/>
                    <w:ind w:left="20" w:right="185" w:firstLine="0"/>
                    <w:jc w:val="left"/>
                    <w:rPr>
                      <w:sz w:val="12"/>
                    </w:rPr>
                  </w:pPr>
                  <w:r>
                    <w:rPr>
                      <w:color w:val="58595B"/>
                      <w:sz w:val="12"/>
                    </w:rPr>
                    <w:t>Section 38(1), </w:t>
                  </w:r>
                  <w:r>
                    <w:rPr>
                      <w:i/>
                      <w:color w:val="58595B"/>
                      <w:sz w:val="12"/>
                    </w:rPr>
                    <w:t>Charter of Human Rights and Responsibilities Act 2006</w:t>
                  </w:r>
                  <w:r>
                    <w:rPr>
                      <w:color w:val="58595B"/>
                      <w:sz w:val="12"/>
                    </w:rPr>
                    <w:t>. Section 4, </w:t>
                  </w:r>
                  <w:r>
                    <w:rPr>
                      <w:i/>
                      <w:color w:val="58595B"/>
                      <w:sz w:val="12"/>
                    </w:rPr>
                    <w:t>Charter of Human Rights and Responsibilities Act 2006</w:t>
                  </w:r>
                  <w:r>
                    <w:rPr>
                      <w:color w:val="58595B"/>
                      <w:sz w:val="12"/>
                    </w:rPr>
                    <w:t>.</w:t>
                  </w:r>
                </w:p>
                <w:p>
                  <w:pPr>
                    <w:spacing w:line="242" w:lineRule="auto" w:before="1"/>
                    <w:ind w:left="20" w:right="131" w:firstLine="0"/>
                    <w:jc w:val="left"/>
                    <w:rPr>
                      <w:sz w:val="12"/>
                    </w:rPr>
                  </w:pPr>
                  <w:r>
                    <w:rPr>
                      <w:color w:val="58595B"/>
                      <w:sz w:val="12"/>
                    </w:rPr>
                    <w:t>United</w:t>
                  </w:r>
                  <w:r>
                    <w:rPr>
                      <w:color w:val="58595B"/>
                      <w:spacing w:val="-13"/>
                      <w:sz w:val="12"/>
                    </w:rPr>
                    <w:t> </w:t>
                  </w:r>
                  <w:r>
                    <w:rPr>
                      <w:color w:val="58595B"/>
                      <w:sz w:val="12"/>
                    </w:rPr>
                    <w:t>Nations</w:t>
                  </w:r>
                  <w:r>
                    <w:rPr>
                      <w:color w:val="58595B"/>
                      <w:spacing w:val="-13"/>
                      <w:sz w:val="12"/>
                    </w:rPr>
                    <w:t> </w:t>
                  </w:r>
                  <w:r>
                    <w:rPr>
                      <w:color w:val="58595B"/>
                      <w:sz w:val="12"/>
                    </w:rPr>
                    <w:t>Convention</w:t>
                  </w:r>
                  <w:r>
                    <w:rPr>
                      <w:color w:val="58595B"/>
                      <w:spacing w:val="-13"/>
                      <w:sz w:val="12"/>
                    </w:rPr>
                    <w:t> </w:t>
                  </w:r>
                  <w:r>
                    <w:rPr>
                      <w:color w:val="58595B"/>
                      <w:sz w:val="12"/>
                    </w:rPr>
                    <w:t>on</w:t>
                  </w:r>
                  <w:r>
                    <w:rPr>
                      <w:color w:val="58595B"/>
                      <w:spacing w:val="-13"/>
                      <w:sz w:val="12"/>
                    </w:rPr>
                    <w:t> </w:t>
                  </w:r>
                  <w:r>
                    <w:rPr>
                      <w:color w:val="58595B"/>
                      <w:sz w:val="12"/>
                    </w:rPr>
                    <w:t>Access</w:t>
                  </w:r>
                  <w:r>
                    <w:rPr>
                      <w:color w:val="58595B"/>
                      <w:spacing w:val="-13"/>
                      <w:sz w:val="12"/>
                    </w:rPr>
                    <w:t> </w:t>
                  </w:r>
                  <w:r>
                    <w:rPr>
                      <w:color w:val="58595B"/>
                      <w:sz w:val="12"/>
                    </w:rPr>
                    <w:t>to</w:t>
                  </w:r>
                  <w:r>
                    <w:rPr>
                      <w:color w:val="58595B"/>
                      <w:spacing w:val="-13"/>
                      <w:sz w:val="12"/>
                    </w:rPr>
                    <w:t> </w:t>
                  </w:r>
                  <w:r>
                    <w:rPr>
                      <w:color w:val="58595B"/>
                      <w:sz w:val="12"/>
                    </w:rPr>
                    <w:t>Information,</w:t>
                  </w:r>
                  <w:r>
                    <w:rPr>
                      <w:color w:val="58595B"/>
                      <w:spacing w:val="-13"/>
                      <w:sz w:val="12"/>
                    </w:rPr>
                    <w:t> </w:t>
                  </w:r>
                  <w:r>
                    <w:rPr>
                      <w:color w:val="58595B"/>
                      <w:sz w:val="12"/>
                    </w:rPr>
                    <w:t>Public</w:t>
                  </w:r>
                  <w:r>
                    <w:rPr>
                      <w:color w:val="58595B"/>
                      <w:spacing w:val="-13"/>
                      <w:sz w:val="12"/>
                    </w:rPr>
                    <w:t> </w:t>
                  </w:r>
                  <w:r>
                    <w:rPr>
                      <w:color w:val="58595B"/>
                      <w:sz w:val="12"/>
                    </w:rPr>
                    <w:t>Participation in Decision Making and Access to Justice in Environmental Matters, opened</w:t>
                  </w:r>
                  <w:r>
                    <w:rPr>
                      <w:color w:val="58595B"/>
                      <w:spacing w:val="-11"/>
                      <w:sz w:val="12"/>
                    </w:rPr>
                    <w:t> </w:t>
                  </w:r>
                  <w:r>
                    <w:rPr>
                      <w:color w:val="58595B"/>
                      <w:sz w:val="12"/>
                    </w:rPr>
                    <w:t>for</w:t>
                  </w:r>
                  <w:r>
                    <w:rPr>
                      <w:color w:val="58595B"/>
                      <w:spacing w:val="-11"/>
                      <w:sz w:val="12"/>
                    </w:rPr>
                    <w:t> </w:t>
                  </w:r>
                  <w:r>
                    <w:rPr>
                      <w:color w:val="58595B"/>
                      <w:sz w:val="12"/>
                    </w:rPr>
                    <w:t>signature</w:t>
                  </w:r>
                  <w:r>
                    <w:rPr>
                      <w:color w:val="58595B"/>
                      <w:spacing w:val="-11"/>
                      <w:sz w:val="12"/>
                    </w:rPr>
                    <w:t> </w:t>
                  </w:r>
                  <w:r>
                    <w:rPr>
                      <w:color w:val="58595B"/>
                      <w:sz w:val="12"/>
                    </w:rPr>
                    <w:t>25</w:t>
                  </w:r>
                  <w:r>
                    <w:rPr>
                      <w:color w:val="58595B"/>
                      <w:spacing w:val="-11"/>
                      <w:sz w:val="12"/>
                    </w:rPr>
                    <w:t> </w:t>
                  </w:r>
                  <w:r>
                    <w:rPr>
                      <w:color w:val="58595B"/>
                      <w:sz w:val="12"/>
                    </w:rPr>
                    <w:t>June</w:t>
                  </w:r>
                  <w:r>
                    <w:rPr>
                      <w:color w:val="58595B"/>
                      <w:spacing w:val="-11"/>
                      <w:sz w:val="12"/>
                    </w:rPr>
                    <w:t> </w:t>
                  </w:r>
                  <w:r>
                    <w:rPr>
                      <w:color w:val="58595B"/>
                      <w:sz w:val="12"/>
                    </w:rPr>
                    <w:t>1998,</w:t>
                  </w:r>
                  <w:r>
                    <w:rPr>
                      <w:color w:val="58595B"/>
                      <w:spacing w:val="-11"/>
                      <w:sz w:val="12"/>
                    </w:rPr>
                    <w:t> </w:t>
                  </w:r>
                  <w:r>
                    <w:rPr>
                      <w:color w:val="58595B"/>
                      <w:spacing w:val="-3"/>
                      <w:sz w:val="12"/>
                    </w:rPr>
                    <w:t>2161</w:t>
                  </w:r>
                  <w:r>
                    <w:rPr>
                      <w:color w:val="58595B"/>
                      <w:spacing w:val="-11"/>
                      <w:sz w:val="12"/>
                    </w:rPr>
                    <w:t> </w:t>
                  </w:r>
                  <w:r>
                    <w:rPr>
                      <w:color w:val="58595B"/>
                      <w:sz w:val="12"/>
                    </w:rPr>
                    <w:t>UNTS</w:t>
                  </w:r>
                  <w:r>
                    <w:rPr>
                      <w:color w:val="58595B"/>
                      <w:spacing w:val="-11"/>
                      <w:sz w:val="12"/>
                    </w:rPr>
                    <w:t> </w:t>
                  </w:r>
                  <w:r>
                    <w:rPr>
                      <w:color w:val="58595B"/>
                      <w:sz w:val="12"/>
                    </w:rPr>
                    <w:t>447</w:t>
                  </w:r>
                  <w:r>
                    <w:rPr>
                      <w:color w:val="58595B"/>
                      <w:spacing w:val="-11"/>
                      <w:sz w:val="12"/>
                    </w:rPr>
                    <w:t> </w:t>
                  </w:r>
                  <w:r>
                    <w:rPr>
                      <w:color w:val="58595B"/>
                      <w:sz w:val="12"/>
                    </w:rPr>
                    <w:t>(entered</w:t>
                  </w:r>
                  <w:r>
                    <w:rPr>
                      <w:color w:val="58595B"/>
                      <w:spacing w:val="-11"/>
                      <w:sz w:val="12"/>
                    </w:rPr>
                    <w:t> </w:t>
                  </w:r>
                  <w:r>
                    <w:rPr>
                      <w:color w:val="58595B"/>
                      <w:sz w:val="12"/>
                    </w:rPr>
                    <w:t>into</w:t>
                  </w:r>
                  <w:r>
                    <w:rPr>
                      <w:color w:val="58595B"/>
                      <w:spacing w:val="-11"/>
                      <w:sz w:val="12"/>
                    </w:rPr>
                    <w:t> </w:t>
                  </w:r>
                  <w:r>
                    <w:rPr>
                      <w:color w:val="58595B"/>
                      <w:sz w:val="12"/>
                    </w:rPr>
                    <w:t>force</w:t>
                  </w:r>
                </w:p>
                <w:p>
                  <w:pPr>
                    <w:spacing w:before="0"/>
                    <w:ind w:left="20" w:right="78" w:firstLine="0"/>
                    <w:jc w:val="left"/>
                    <w:rPr>
                      <w:sz w:val="12"/>
                    </w:rPr>
                  </w:pPr>
                  <w:r>
                    <w:rPr>
                      <w:color w:val="58595B"/>
                      <w:sz w:val="12"/>
                    </w:rPr>
                    <w:t>30 October 2001).</w:t>
                  </w:r>
                </w:p>
                <w:p>
                  <w:pPr>
                    <w:spacing w:line="242" w:lineRule="auto" w:before="30"/>
                    <w:ind w:left="20" w:right="71" w:firstLine="0"/>
                    <w:jc w:val="left"/>
                    <w:rPr>
                      <w:sz w:val="12"/>
                    </w:rPr>
                  </w:pPr>
                  <w:r>
                    <w:rPr>
                      <w:color w:val="58595B"/>
                      <w:sz w:val="12"/>
                    </w:rPr>
                    <w:t>For example, requiring equal distribution of burdens from </w:t>
                  </w:r>
                  <w:r>
                    <w:rPr>
                      <w:i/>
                      <w:color w:val="58595B"/>
                      <w:sz w:val="12"/>
                    </w:rPr>
                    <w:t>environmental pollution </w:t>
                  </w:r>
                  <w:r>
                    <w:rPr>
                      <w:color w:val="58595B"/>
                      <w:sz w:val="12"/>
                    </w:rPr>
                    <w:t>and equal access to the public health benefits of a clean environment, including consideration of impacts of policy and decisions on future generations, Environmental Justice 2010, </w:t>
                  </w:r>
                  <w:r>
                    <w:rPr>
                      <w:i/>
                      <w:color w:val="58595B"/>
                      <w:sz w:val="12"/>
                    </w:rPr>
                    <w:t>Friends of the Earth</w:t>
                  </w:r>
                  <w:r>
                    <w:rPr>
                      <w:color w:val="58595B"/>
                      <w:sz w:val="12"/>
                    </w:rPr>
                    <w:t>, London, </w:t>
                  </w:r>
                  <w:hyperlink r:id="rId40">
                    <w:r>
                      <w:rPr>
                        <w:color w:val="58595B"/>
                        <w:sz w:val="12"/>
                      </w:rPr>
                      <w:t>http://www.foei.org/wp-content/uploads/2014/01/environmental_</w:t>
                    </w:r>
                  </w:hyperlink>
                  <w:r>
                    <w:rPr>
                      <w:color w:val="58595B"/>
                      <w:sz w:val="12"/>
                    </w:rPr>
                    <w:t> justice.pdf (accessed 10 March 2016).</w:t>
                  </w:r>
                </w:p>
                <w:p>
                  <w:pPr>
                    <w:spacing w:line="242" w:lineRule="auto" w:before="29"/>
                    <w:ind w:left="20" w:right="225" w:firstLine="0"/>
                    <w:jc w:val="left"/>
                    <w:rPr>
                      <w:sz w:val="12"/>
                    </w:rPr>
                  </w:pPr>
                  <w:r>
                    <w:rPr>
                      <w:color w:val="58595B"/>
                      <w:sz w:val="12"/>
                    </w:rPr>
                    <w:t>For example, requiring access to fair treatment through environmental regulation, including processes for complaints, review and redress, see Restorative Justice Online, </w:t>
                  </w:r>
                  <w:hyperlink r:id="rId41">
                    <w:r>
                      <w:rPr>
                        <w:color w:val="58595B"/>
                        <w:sz w:val="12"/>
                      </w:rPr>
                      <w:t>www.restorativejustice.org/(accessed</w:t>
                    </w:r>
                  </w:hyperlink>
                  <w:r>
                    <w:rPr>
                      <w:color w:val="58595B"/>
                      <w:sz w:val="12"/>
                    </w:rPr>
                    <w:t> 24 February 2016).</w:t>
                  </w:r>
                </w:p>
                <w:p>
                  <w:pPr>
                    <w:spacing w:before="29"/>
                    <w:ind w:left="20" w:right="78" w:firstLine="0"/>
                    <w:jc w:val="left"/>
                    <w:rPr>
                      <w:i/>
                      <w:sz w:val="12"/>
                    </w:rPr>
                  </w:pPr>
                  <w:r>
                    <w:rPr>
                      <w:color w:val="58595B"/>
                      <w:sz w:val="12"/>
                    </w:rPr>
                    <w:t>Sections 9, 13, 17, 19, </w:t>
                  </w:r>
                  <w:r>
                    <w:rPr>
                      <w:i/>
                      <w:color w:val="58595B"/>
                      <w:sz w:val="12"/>
                    </w:rPr>
                    <w:t>Charter of Human Rights and Responsibilities</w:t>
                  </w:r>
                </w:p>
                <w:p>
                  <w:pPr>
                    <w:spacing w:before="2"/>
                    <w:ind w:left="20" w:right="78" w:firstLine="0"/>
                    <w:jc w:val="left"/>
                    <w:rPr>
                      <w:sz w:val="12"/>
                    </w:rPr>
                  </w:pPr>
                  <w:r>
                    <w:rPr>
                      <w:i/>
                      <w:color w:val="58595B"/>
                      <w:sz w:val="12"/>
                    </w:rPr>
                    <w:t>Act 2006</w:t>
                  </w:r>
                  <w:r>
                    <w:rPr>
                      <w:color w:val="58595B"/>
                      <w:sz w:val="12"/>
                    </w:rPr>
                    <w:t>.</w:t>
                  </w:r>
                </w:p>
                <w:p>
                  <w:pPr>
                    <w:spacing w:line="242" w:lineRule="auto" w:before="30"/>
                    <w:ind w:left="20" w:right="0" w:firstLine="0"/>
                    <w:jc w:val="left"/>
                    <w:rPr>
                      <w:sz w:val="12"/>
                    </w:rPr>
                  </w:pPr>
                  <w:r>
                    <w:rPr>
                      <w:color w:val="58595B"/>
                      <w:sz w:val="12"/>
                    </w:rPr>
                    <w:t>Brett </w:t>
                  </w:r>
                  <w:r>
                    <w:rPr>
                      <w:color w:val="58595B"/>
                      <w:spacing w:val="-3"/>
                      <w:sz w:val="12"/>
                    </w:rPr>
                    <w:t>Young </w:t>
                  </w:r>
                  <w:r>
                    <w:rPr>
                      <w:color w:val="58595B"/>
                      <w:sz w:val="12"/>
                    </w:rPr>
                    <w:t>M </w:t>
                  </w:r>
                  <w:r>
                    <w:rPr>
                      <w:color w:val="58595B"/>
                      <w:spacing w:val="-3"/>
                      <w:sz w:val="12"/>
                    </w:rPr>
                    <w:t>2015, </w:t>
                  </w:r>
                  <w:r>
                    <w:rPr>
                      <w:i/>
                      <w:color w:val="58595B"/>
                      <w:sz w:val="12"/>
                    </w:rPr>
                    <w:t>From commitment to culture: The 2015 review of the Charter</w:t>
                  </w:r>
                  <w:r>
                    <w:rPr>
                      <w:i/>
                      <w:color w:val="58595B"/>
                      <w:spacing w:val="-11"/>
                      <w:sz w:val="12"/>
                    </w:rPr>
                    <w:t> </w:t>
                  </w:r>
                  <w:r>
                    <w:rPr>
                      <w:i/>
                      <w:color w:val="58595B"/>
                      <w:sz w:val="12"/>
                    </w:rPr>
                    <w:t>of</w:t>
                  </w:r>
                  <w:r>
                    <w:rPr>
                      <w:i/>
                      <w:color w:val="58595B"/>
                      <w:spacing w:val="-11"/>
                      <w:sz w:val="12"/>
                    </w:rPr>
                    <w:t> </w:t>
                  </w:r>
                  <w:r>
                    <w:rPr>
                      <w:i/>
                      <w:color w:val="58595B"/>
                      <w:sz w:val="12"/>
                    </w:rPr>
                    <w:t>Human</w:t>
                  </w:r>
                  <w:r>
                    <w:rPr>
                      <w:i/>
                      <w:color w:val="58595B"/>
                      <w:spacing w:val="-11"/>
                      <w:sz w:val="12"/>
                    </w:rPr>
                    <w:t> </w:t>
                  </w:r>
                  <w:r>
                    <w:rPr>
                      <w:i/>
                      <w:color w:val="58595B"/>
                      <w:sz w:val="12"/>
                    </w:rPr>
                    <w:t>Rights</w:t>
                  </w:r>
                  <w:r>
                    <w:rPr>
                      <w:i/>
                      <w:color w:val="58595B"/>
                      <w:spacing w:val="-11"/>
                      <w:sz w:val="12"/>
                    </w:rPr>
                    <w:t> </w:t>
                  </w:r>
                  <w:r>
                    <w:rPr>
                      <w:i/>
                      <w:color w:val="58595B"/>
                      <w:sz w:val="12"/>
                    </w:rPr>
                    <w:t>and</w:t>
                  </w:r>
                  <w:r>
                    <w:rPr>
                      <w:i/>
                      <w:color w:val="58595B"/>
                      <w:spacing w:val="-11"/>
                      <w:sz w:val="12"/>
                    </w:rPr>
                    <w:t> </w:t>
                  </w:r>
                  <w:r>
                    <w:rPr>
                      <w:i/>
                      <w:color w:val="58595B"/>
                      <w:sz w:val="12"/>
                    </w:rPr>
                    <w:t>Responsibilities</w:t>
                  </w:r>
                  <w:r>
                    <w:rPr>
                      <w:i/>
                      <w:color w:val="58595B"/>
                      <w:spacing w:val="-11"/>
                      <w:sz w:val="12"/>
                    </w:rPr>
                    <w:t> </w:t>
                  </w:r>
                  <w:r>
                    <w:rPr>
                      <w:i/>
                      <w:color w:val="58595B"/>
                      <w:sz w:val="12"/>
                    </w:rPr>
                    <w:t>Act</w:t>
                  </w:r>
                  <w:r>
                    <w:rPr>
                      <w:i/>
                      <w:color w:val="58595B"/>
                      <w:spacing w:val="-11"/>
                      <w:sz w:val="12"/>
                    </w:rPr>
                    <w:t> </w:t>
                  </w:r>
                  <w:r>
                    <w:rPr>
                      <w:i/>
                      <w:color w:val="58595B"/>
                      <w:sz w:val="12"/>
                    </w:rPr>
                    <w:t>2006</w:t>
                  </w:r>
                  <w:r>
                    <w:rPr>
                      <w:color w:val="58595B"/>
                      <w:sz w:val="12"/>
                    </w:rPr>
                    <w:t>,</w:t>
                  </w:r>
                  <w:r>
                    <w:rPr>
                      <w:color w:val="58595B"/>
                      <w:spacing w:val="-11"/>
                      <w:sz w:val="12"/>
                    </w:rPr>
                    <w:t> </w:t>
                  </w:r>
                  <w:r>
                    <w:rPr>
                      <w:color w:val="58595B"/>
                      <w:sz w:val="12"/>
                    </w:rPr>
                    <w:t>Melbourne,</w:t>
                  </w:r>
                  <w:r>
                    <w:rPr>
                      <w:color w:val="58595B"/>
                      <w:spacing w:val="-11"/>
                      <w:sz w:val="12"/>
                    </w:rPr>
                    <w:t> </w:t>
                  </w:r>
                  <w:r>
                    <w:rPr>
                      <w:color w:val="58595B"/>
                      <w:sz w:val="12"/>
                    </w:rPr>
                    <w:t>p.</w:t>
                  </w:r>
                  <w:r>
                    <w:rPr>
                      <w:color w:val="58595B"/>
                      <w:spacing w:val="-11"/>
                      <w:sz w:val="12"/>
                    </w:rPr>
                    <w:t> </w:t>
                  </w:r>
                  <w:r>
                    <w:rPr>
                      <w:color w:val="58595B"/>
                      <w:sz w:val="12"/>
                    </w:rPr>
                    <w:t>243.</w:t>
                  </w:r>
                </w:p>
                <w:p>
                  <w:pPr>
                    <w:spacing w:line="242" w:lineRule="auto" w:before="29"/>
                    <w:ind w:left="20" w:right="131" w:firstLine="0"/>
                    <w:jc w:val="left"/>
                    <w:rPr>
                      <w:sz w:val="12"/>
                    </w:rPr>
                  </w:pPr>
                  <w:r>
                    <w:rPr>
                      <w:color w:val="58595B"/>
                      <w:sz w:val="12"/>
                    </w:rPr>
                    <w:t>Brett Young M 2015, </w:t>
                  </w:r>
                  <w:r>
                    <w:rPr>
                      <w:i/>
                      <w:color w:val="58595B"/>
                      <w:sz w:val="12"/>
                    </w:rPr>
                    <w:t>From commitment to culture: The 2015 review of the Charter of Human Rights and Responsibilities Act 2006</w:t>
                  </w:r>
                  <w:r>
                    <w:rPr>
                      <w:color w:val="58595B"/>
                      <w:sz w:val="12"/>
                    </w:rPr>
                    <w:t>, Melbourne, pp. 224–5.</w:t>
                  </w:r>
                </w:p>
                <w:p>
                  <w:pPr>
                    <w:spacing w:line="242" w:lineRule="auto" w:before="29"/>
                    <w:ind w:left="20" w:right="103" w:firstLine="0"/>
                    <w:jc w:val="left"/>
                    <w:rPr>
                      <w:sz w:val="12"/>
                    </w:rPr>
                  </w:pPr>
                  <w:r>
                    <w:rPr>
                      <w:color w:val="58595B"/>
                      <w:sz w:val="12"/>
                    </w:rPr>
                    <w:t>Parliament of Victoria Scrutiny of Acts and Regulations Committee </w:t>
                  </w:r>
                  <w:r>
                    <w:rPr>
                      <w:color w:val="58595B"/>
                      <w:spacing w:val="-5"/>
                      <w:sz w:val="12"/>
                    </w:rPr>
                    <w:t>2011, </w:t>
                  </w:r>
                  <w:r>
                    <w:rPr>
                      <w:i/>
                      <w:color w:val="58595B"/>
                      <w:sz w:val="12"/>
                    </w:rPr>
                    <w:t>Review of the Charter of Human Rights and Responsibilities Act 2006</w:t>
                  </w:r>
                  <w:r>
                    <w:rPr>
                      <w:color w:val="58595B"/>
                      <w:sz w:val="12"/>
                    </w:rPr>
                    <w:t>, Melbourne, p. ix.</w:t>
                  </w:r>
                </w:p>
                <w:p>
                  <w:pPr>
                    <w:spacing w:before="29"/>
                    <w:ind w:left="20" w:right="0" w:firstLine="0"/>
                    <w:jc w:val="left"/>
                    <w:rPr>
                      <w:sz w:val="12"/>
                    </w:rPr>
                  </w:pPr>
                  <w:r>
                    <w:rPr>
                      <w:color w:val="58595B"/>
                      <w:sz w:val="12"/>
                    </w:rPr>
                    <w:t>Principle</w:t>
                  </w:r>
                  <w:r>
                    <w:rPr>
                      <w:color w:val="58595B"/>
                      <w:spacing w:val="-14"/>
                      <w:sz w:val="12"/>
                    </w:rPr>
                    <w:t> </w:t>
                  </w:r>
                  <w:r>
                    <w:rPr>
                      <w:color w:val="58595B"/>
                      <w:spacing w:val="-2"/>
                      <w:sz w:val="12"/>
                    </w:rPr>
                    <w:t>10,</w:t>
                  </w:r>
                  <w:r>
                    <w:rPr>
                      <w:color w:val="58595B"/>
                      <w:spacing w:val="-14"/>
                      <w:sz w:val="12"/>
                    </w:rPr>
                    <w:t> </w:t>
                  </w:r>
                  <w:r>
                    <w:rPr>
                      <w:color w:val="58595B"/>
                      <w:sz w:val="12"/>
                    </w:rPr>
                    <w:t>Rio</w:t>
                  </w:r>
                  <w:r>
                    <w:rPr>
                      <w:color w:val="58595B"/>
                      <w:spacing w:val="-14"/>
                      <w:sz w:val="12"/>
                    </w:rPr>
                    <w:t> </w:t>
                  </w:r>
                  <w:r>
                    <w:rPr>
                      <w:color w:val="58595B"/>
                      <w:sz w:val="12"/>
                    </w:rPr>
                    <w:t>Declaration</w:t>
                  </w:r>
                  <w:r>
                    <w:rPr>
                      <w:color w:val="58595B"/>
                      <w:spacing w:val="-14"/>
                      <w:sz w:val="12"/>
                    </w:rPr>
                    <w:t> </w:t>
                  </w:r>
                  <w:r>
                    <w:rPr>
                      <w:color w:val="58595B"/>
                      <w:sz w:val="12"/>
                    </w:rPr>
                    <w:t>on</w:t>
                  </w:r>
                  <w:r>
                    <w:rPr>
                      <w:color w:val="58595B"/>
                      <w:spacing w:val="-14"/>
                      <w:sz w:val="12"/>
                    </w:rPr>
                    <w:t> </w:t>
                  </w:r>
                  <w:r>
                    <w:rPr>
                      <w:color w:val="58595B"/>
                      <w:sz w:val="12"/>
                    </w:rPr>
                    <w:t>Environment</w:t>
                  </w:r>
                  <w:r>
                    <w:rPr>
                      <w:color w:val="58595B"/>
                      <w:spacing w:val="-14"/>
                      <w:sz w:val="12"/>
                    </w:rPr>
                    <w:t> </w:t>
                  </w:r>
                  <w:r>
                    <w:rPr>
                      <w:color w:val="58595B"/>
                      <w:sz w:val="12"/>
                    </w:rPr>
                    <w:t>and</w:t>
                  </w:r>
                  <w:r>
                    <w:rPr>
                      <w:color w:val="58595B"/>
                      <w:spacing w:val="-14"/>
                      <w:sz w:val="12"/>
                    </w:rPr>
                    <w:t> </w:t>
                  </w:r>
                  <w:r>
                    <w:rPr>
                      <w:color w:val="58595B"/>
                      <w:sz w:val="12"/>
                    </w:rPr>
                    <w:t>Development,</w:t>
                  </w:r>
                  <w:r>
                    <w:rPr>
                      <w:color w:val="58595B"/>
                      <w:spacing w:val="-14"/>
                      <w:sz w:val="12"/>
                    </w:rPr>
                    <w:t> </w:t>
                  </w:r>
                  <w:r>
                    <w:rPr>
                      <w:color w:val="58595B"/>
                      <w:sz w:val="12"/>
                    </w:rPr>
                    <w:t>June</w:t>
                  </w:r>
                  <w:r>
                    <w:rPr>
                      <w:color w:val="58595B"/>
                      <w:spacing w:val="-14"/>
                      <w:sz w:val="12"/>
                    </w:rPr>
                    <w:t> </w:t>
                  </w:r>
                  <w:r>
                    <w:rPr>
                      <w:color w:val="58595B"/>
                      <w:sz w:val="12"/>
                    </w:rPr>
                    <w:t>1992.</w:t>
                  </w:r>
                </w:p>
                <w:p>
                  <w:pPr>
                    <w:spacing w:line="242" w:lineRule="auto" w:before="30"/>
                    <w:ind w:left="20" w:right="43" w:firstLine="0"/>
                    <w:jc w:val="left"/>
                    <w:rPr>
                      <w:sz w:val="12"/>
                    </w:rPr>
                  </w:pPr>
                  <w:r>
                    <w:rPr>
                      <w:color w:val="58595B"/>
                      <w:sz w:val="12"/>
                    </w:rPr>
                    <w:t>Australian Panel of Experts on Environmental Law </w:t>
                  </w:r>
                  <w:r>
                    <w:rPr>
                      <w:color w:val="58595B"/>
                      <w:spacing w:val="-3"/>
                      <w:sz w:val="12"/>
                    </w:rPr>
                    <w:t>2015, </w:t>
                  </w:r>
                  <w:r>
                    <w:rPr>
                      <w:i/>
                      <w:color w:val="58595B"/>
                      <w:sz w:val="12"/>
                    </w:rPr>
                    <w:t>Next Generation of Australia Environmental Law: Introductory </w:t>
                  </w:r>
                  <w:r>
                    <w:rPr>
                      <w:i/>
                      <w:color w:val="58595B"/>
                      <w:spacing w:val="-3"/>
                      <w:sz w:val="12"/>
                    </w:rPr>
                    <w:t>Paper</w:t>
                  </w:r>
                  <w:r>
                    <w:rPr>
                      <w:color w:val="58595B"/>
                      <w:spacing w:val="-3"/>
                      <w:sz w:val="12"/>
                    </w:rPr>
                    <w:t>, </w:t>
                  </w:r>
                  <w:r>
                    <w:rPr>
                      <w:color w:val="58595B"/>
                      <w:sz w:val="12"/>
                    </w:rPr>
                    <w:t>p. </w:t>
                  </w:r>
                  <w:r>
                    <w:rPr>
                      <w:color w:val="58595B"/>
                      <w:spacing w:val="-5"/>
                      <w:sz w:val="12"/>
                    </w:rPr>
                    <w:t>27.</w:t>
                  </w:r>
                </w:p>
                <w:p>
                  <w:pPr>
                    <w:spacing w:line="242" w:lineRule="auto" w:before="29"/>
                    <w:ind w:left="20" w:right="358" w:firstLine="0"/>
                    <w:jc w:val="left"/>
                    <w:rPr>
                      <w:sz w:val="12"/>
                    </w:rPr>
                  </w:pPr>
                  <w:r>
                    <w:rPr>
                      <w:color w:val="58595B"/>
                      <w:sz w:val="12"/>
                    </w:rPr>
                    <w:t>Victorian Parliament, Hansard, Legislative Assembly, 27 May 2004, p. 1553, [Hulls].</w:t>
                  </w:r>
                </w:p>
                <w:p>
                  <w:pPr>
                    <w:spacing w:line="292" w:lineRule="auto" w:before="29"/>
                    <w:ind w:left="20" w:right="765" w:firstLine="0"/>
                    <w:jc w:val="left"/>
                    <w:rPr>
                      <w:sz w:val="12"/>
                    </w:rPr>
                  </w:pPr>
                  <w:r>
                    <w:rPr>
                      <w:color w:val="58595B"/>
                      <w:sz w:val="12"/>
                    </w:rPr>
                    <w:t>Eamonn Moran QC, ‘Fourth Memorandum of Advice’, p. 13. Eamonn Moran QC, ‘Fourth Memorandum of Advice’, p. 14.</w:t>
                  </w:r>
                </w:p>
                <w:p>
                  <w:pPr>
                    <w:spacing w:before="1"/>
                    <w:ind w:left="20" w:right="78" w:firstLine="0"/>
                    <w:jc w:val="left"/>
                    <w:rPr>
                      <w:sz w:val="12"/>
                    </w:rPr>
                  </w:pPr>
                  <w:r>
                    <w:rPr>
                      <w:i/>
                      <w:color w:val="58595B"/>
                      <w:sz w:val="12"/>
                    </w:rPr>
                    <w:t>Dual Gas Pty Ltd v Environment Protection Authority 2012</w:t>
                  </w:r>
                  <w:r>
                    <w:rPr>
                      <w:color w:val="58595B"/>
                      <w:sz w:val="12"/>
                    </w:rPr>
                    <w:t>, VCAT 308.</w:t>
                  </w:r>
                </w:p>
                <w:p>
                  <w:pPr>
                    <w:spacing w:line="242" w:lineRule="auto" w:before="30"/>
                    <w:ind w:left="20" w:right="230" w:firstLine="0"/>
                    <w:jc w:val="left"/>
                    <w:rPr>
                      <w:sz w:val="12"/>
                    </w:rPr>
                  </w:pPr>
                  <w:r>
                    <w:rPr>
                      <w:i/>
                      <w:color w:val="58595B"/>
                      <w:sz w:val="12"/>
                    </w:rPr>
                    <w:t>Dual Gas Pty Ltd v Environment Protection Authority </w:t>
                  </w:r>
                  <w:r>
                    <w:rPr>
                      <w:i/>
                      <w:color w:val="58595B"/>
                      <w:spacing w:val="-3"/>
                      <w:sz w:val="12"/>
                    </w:rPr>
                    <w:t>2012</w:t>
                  </w:r>
                  <w:r>
                    <w:rPr>
                      <w:color w:val="58595B"/>
                      <w:spacing w:val="-3"/>
                      <w:sz w:val="12"/>
                    </w:rPr>
                    <w:t>, </w:t>
                  </w:r>
                  <w:r>
                    <w:rPr>
                      <w:color w:val="58595B"/>
                      <w:spacing w:val="-4"/>
                      <w:sz w:val="12"/>
                    </w:rPr>
                    <w:t>VCAT </w:t>
                  </w:r>
                  <w:r>
                    <w:rPr>
                      <w:color w:val="58595B"/>
                      <w:sz w:val="12"/>
                    </w:rPr>
                    <w:t>308, paras. </w:t>
                  </w:r>
                  <w:r>
                    <w:rPr>
                      <w:color w:val="58595B"/>
                      <w:spacing w:val="-6"/>
                      <w:sz w:val="12"/>
                    </w:rPr>
                    <w:t>111– </w:t>
                  </w:r>
                  <w:r>
                    <w:rPr>
                      <w:color w:val="58595B"/>
                      <w:sz w:val="12"/>
                    </w:rPr>
                    <w:t>2.</w:t>
                  </w:r>
                </w:p>
                <w:p>
                  <w:pPr>
                    <w:spacing w:line="242" w:lineRule="auto" w:before="29"/>
                    <w:ind w:left="20" w:right="230" w:firstLine="0"/>
                    <w:jc w:val="left"/>
                    <w:rPr>
                      <w:sz w:val="12"/>
                    </w:rPr>
                  </w:pPr>
                  <w:r>
                    <w:rPr>
                      <w:i/>
                      <w:color w:val="58595B"/>
                      <w:sz w:val="12"/>
                    </w:rPr>
                    <w:t>Dual Gas Pty Ltd v Environment Protection Authority </w:t>
                  </w:r>
                  <w:r>
                    <w:rPr>
                      <w:i/>
                      <w:color w:val="58595B"/>
                      <w:spacing w:val="-3"/>
                      <w:sz w:val="12"/>
                    </w:rPr>
                    <w:t>2012</w:t>
                  </w:r>
                  <w:r>
                    <w:rPr>
                      <w:color w:val="58595B"/>
                      <w:spacing w:val="-3"/>
                      <w:sz w:val="12"/>
                    </w:rPr>
                    <w:t>, </w:t>
                  </w:r>
                  <w:r>
                    <w:rPr>
                      <w:color w:val="58595B"/>
                      <w:spacing w:val="-4"/>
                      <w:sz w:val="12"/>
                    </w:rPr>
                    <w:t>VCAT </w:t>
                  </w:r>
                  <w:r>
                    <w:rPr>
                      <w:color w:val="58595B"/>
                      <w:sz w:val="12"/>
                    </w:rPr>
                    <w:t>308, para. </w:t>
                  </w:r>
                  <w:r>
                    <w:rPr>
                      <w:color w:val="58595B"/>
                      <w:spacing w:val="-4"/>
                      <w:sz w:val="12"/>
                    </w:rPr>
                    <w:t>118.</w:t>
                  </w:r>
                </w:p>
                <w:p>
                  <w:pPr>
                    <w:spacing w:line="242" w:lineRule="auto" w:before="29"/>
                    <w:ind w:left="20" w:right="230" w:firstLine="0"/>
                    <w:jc w:val="left"/>
                    <w:rPr>
                      <w:sz w:val="12"/>
                    </w:rPr>
                  </w:pPr>
                  <w:r>
                    <w:rPr>
                      <w:i/>
                      <w:color w:val="58595B"/>
                      <w:sz w:val="12"/>
                    </w:rPr>
                    <w:t>Dual Gas Pty Ltd v Environment Protection Authority </w:t>
                  </w:r>
                  <w:r>
                    <w:rPr>
                      <w:i/>
                      <w:color w:val="58595B"/>
                      <w:spacing w:val="-3"/>
                      <w:sz w:val="12"/>
                    </w:rPr>
                    <w:t>2012</w:t>
                  </w:r>
                  <w:r>
                    <w:rPr>
                      <w:color w:val="58595B"/>
                      <w:spacing w:val="-3"/>
                      <w:sz w:val="12"/>
                    </w:rPr>
                    <w:t>, </w:t>
                  </w:r>
                  <w:r>
                    <w:rPr>
                      <w:color w:val="58595B"/>
                      <w:spacing w:val="-4"/>
                      <w:sz w:val="12"/>
                    </w:rPr>
                    <w:t>VCAT </w:t>
                  </w:r>
                  <w:r>
                    <w:rPr>
                      <w:color w:val="58595B"/>
                      <w:sz w:val="12"/>
                    </w:rPr>
                    <w:t>308, para. 129.</w:t>
                  </w:r>
                </w:p>
                <w:p>
                  <w:pPr>
                    <w:spacing w:line="242" w:lineRule="auto" w:before="29"/>
                    <w:ind w:left="20" w:right="230" w:firstLine="0"/>
                    <w:jc w:val="left"/>
                    <w:rPr>
                      <w:sz w:val="12"/>
                    </w:rPr>
                  </w:pPr>
                  <w:r>
                    <w:rPr>
                      <w:i/>
                      <w:color w:val="58595B"/>
                      <w:sz w:val="12"/>
                    </w:rPr>
                    <w:t>Dual Gas Pty Ltd v Environment Protection Authority </w:t>
                  </w:r>
                  <w:r>
                    <w:rPr>
                      <w:i/>
                      <w:color w:val="58595B"/>
                      <w:spacing w:val="-3"/>
                      <w:sz w:val="12"/>
                    </w:rPr>
                    <w:t>2012</w:t>
                  </w:r>
                  <w:r>
                    <w:rPr>
                      <w:color w:val="58595B"/>
                      <w:spacing w:val="-3"/>
                      <w:sz w:val="12"/>
                    </w:rPr>
                    <w:t>, </w:t>
                  </w:r>
                  <w:r>
                    <w:rPr>
                      <w:color w:val="58595B"/>
                      <w:spacing w:val="-4"/>
                      <w:sz w:val="12"/>
                    </w:rPr>
                    <w:t>VCAT </w:t>
                  </w:r>
                  <w:r>
                    <w:rPr>
                      <w:color w:val="58595B"/>
                      <w:sz w:val="12"/>
                    </w:rPr>
                    <w:t>308, para. </w:t>
                  </w:r>
                  <w:r>
                    <w:rPr>
                      <w:color w:val="58595B"/>
                      <w:spacing w:val="-5"/>
                      <w:sz w:val="12"/>
                    </w:rPr>
                    <w:t>107.</w:t>
                  </w:r>
                </w:p>
                <w:p>
                  <w:pPr>
                    <w:spacing w:line="242" w:lineRule="auto" w:before="29"/>
                    <w:ind w:left="20" w:right="228" w:firstLine="0"/>
                    <w:jc w:val="left"/>
                    <w:rPr>
                      <w:sz w:val="12"/>
                    </w:rPr>
                  </w:pPr>
                  <w:r>
                    <w:rPr>
                      <w:color w:val="58595B"/>
                      <w:sz w:val="12"/>
                    </w:rPr>
                    <w:t>The Hon. Justice Brian J Preston </w:t>
                  </w:r>
                  <w:r>
                    <w:rPr>
                      <w:color w:val="58595B"/>
                      <w:spacing w:val="-5"/>
                      <w:sz w:val="12"/>
                    </w:rPr>
                    <w:t>2011, </w:t>
                  </w:r>
                  <w:r>
                    <w:rPr>
                      <w:i/>
                      <w:color w:val="58595B"/>
                      <w:sz w:val="12"/>
                    </w:rPr>
                    <w:t>Enforcement of Environmental and Planning Laws in New South Wales</w:t>
                  </w:r>
                  <w:r>
                    <w:rPr>
                      <w:color w:val="58595B"/>
                      <w:sz w:val="12"/>
                    </w:rPr>
                    <w:t>, The Law and Sustainability Symposium, March, p. 18.</w:t>
                  </w:r>
                </w:p>
                <w:p>
                  <w:pPr>
                    <w:spacing w:before="29"/>
                    <w:ind w:left="20" w:right="78" w:firstLine="0"/>
                    <w:jc w:val="left"/>
                    <w:rPr>
                      <w:sz w:val="12"/>
                    </w:rPr>
                  </w:pPr>
                  <w:r>
                    <w:rPr>
                      <w:color w:val="58595B"/>
                      <w:sz w:val="12"/>
                    </w:rPr>
                    <w:t>Section 104, </w:t>
                  </w:r>
                  <w:r>
                    <w:rPr>
                      <w:i/>
                      <w:color w:val="58595B"/>
                      <w:sz w:val="12"/>
                    </w:rPr>
                    <w:t>Environment Protection Act 1993 </w:t>
                  </w:r>
                  <w:r>
                    <w:rPr>
                      <w:color w:val="58595B"/>
                      <w:sz w:val="12"/>
                    </w:rPr>
                    <w:t>(SA).</w:t>
                  </w:r>
                </w:p>
                <w:p>
                  <w:pPr>
                    <w:spacing w:line="292" w:lineRule="auto" w:before="30"/>
                    <w:ind w:left="20" w:right="78" w:firstLine="0"/>
                    <w:jc w:val="left"/>
                    <w:rPr>
                      <w:sz w:val="12"/>
                    </w:rPr>
                  </w:pPr>
                  <w:r>
                    <w:rPr>
                      <w:color w:val="58595B"/>
                      <w:sz w:val="12"/>
                    </w:rPr>
                    <w:t>Section</w:t>
                  </w:r>
                  <w:r>
                    <w:rPr>
                      <w:color w:val="58595B"/>
                      <w:spacing w:val="-13"/>
                      <w:sz w:val="12"/>
                    </w:rPr>
                    <w:t> </w:t>
                  </w:r>
                  <w:r>
                    <w:rPr>
                      <w:color w:val="58595B"/>
                      <w:sz w:val="12"/>
                    </w:rPr>
                    <w:t>252,</w:t>
                  </w:r>
                  <w:r>
                    <w:rPr>
                      <w:color w:val="58595B"/>
                      <w:spacing w:val="-12"/>
                      <w:sz w:val="12"/>
                    </w:rPr>
                    <w:t> </w:t>
                  </w:r>
                  <w:r>
                    <w:rPr>
                      <w:i/>
                      <w:color w:val="58595B"/>
                      <w:sz w:val="12"/>
                    </w:rPr>
                    <w:t>Protection</w:t>
                  </w:r>
                  <w:r>
                    <w:rPr>
                      <w:i/>
                      <w:color w:val="58595B"/>
                      <w:spacing w:val="-12"/>
                      <w:sz w:val="12"/>
                    </w:rPr>
                    <w:t> </w:t>
                  </w:r>
                  <w:r>
                    <w:rPr>
                      <w:i/>
                      <w:color w:val="58595B"/>
                      <w:sz w:val="12"/>
                    </w:rPr>
                    <w:t>of</w:t>
                  </w:r>
                  <w:r>
                    <w:rPr>
                      <w:i/>
                      <w:color w:val="58595B"/>
                      <w:spacing w:val="-12"/>
                      <w:sz w:val="12"/>
                    </w:rPr>
                    <w:t> </w:t>
                  </w:r>
                  <w:r>
                    <w:rPr>
                      <w:i/>
                      <w:color w:val="58595B"/>
                      <w:sz w:val="12"/>
                    </w:rPr>
                    <w:t>the</w:t>
                  </w:r>
                  <w:r>
                    <w:rPr>
                      <w:i/>
                      <w:color w:val="58595B"/>
                      <w:spacing w:val="-12"/>
                      <w:sz w:val="12"/>
                    </w:rPr>
                    <w:t> </w:t>
                  </w:r>
                  <w:r>
                    <w:rPr>
                      <w:i/>
                      <w:color w:val="58595B"/>
                      <w:sz w:val="12"/>
                    </w:rPr>
                    <w:t>Environment</w:t>
                  </w:r>
                  <w:r>
                    <w:rPr>
                      <w:i/>
                      <w:color w:val="58595B"/>
                      <w:spacing w:val="-12"/>
                      <w:sz w:val="12"/>
                    </w:rPr>
                    <w:t> </w:t>
                  </w:r>
                  <w:r>
                    <w:rPr>
                      <w:i/>
                      <w:color w:val="58595B"/>
                      <w:sz w:val="12"/>
                    </w:rPr>
                    <w:t>Operations</w:t>
                  </w:r>
                  <w:r>
                    <w:rPr>
                      <w:i/>
                      <w:color w:val="58595B"/>
                      <w:spacing w:val="-12"/>
                      <w:sz w:val="12"/>
                    </w:rPr>
                    <w:t> </w:t>
                  </w:r>
                  <w:r>
                    <w:rPr>
                      <w:i/>
                      <w:color w:val="58595B"/>
                      <w:sz w:val="12"/>
                    </w:rPr>
                    <w:t>Act</w:t>
                  </w:r>
                  <w:r>
                    <w:rPr>
                      <w:i/>
                      <w:color w:val="58595B"/>
                      <w:spacing w:val="-12"/>
                      <w:sz w:val="12"/>
                    </w:rPr>
                    <w:t> </w:t>
                  </w:r>
                  <w:r>
                    <w:rPr>
                      <w:i/>
                      <w:color w:val="58595B"/>
                      <w:sz w:val="12"/>
                    </w:rPr>
                    <w:t>1997</w:t>
                  </w:r>
                  <w:r>
                    <w:rPr>
                      <w:i/>
                      <w:color w:val="58595B"/>
                      <w:spacing w:val="-12"/>
                      <w:sz w:val="12"/>
                    </w:rPr>
                    <w:t> </w:t>
                  </w:r>
                  <w:r>
                    <w:rPr>
                      <w:color w:val="58595B"/>
                      <w:sz w:val="12"/>
                    </w:rPr>
                    <w:t>(NSW). Section</w:t>
                  </w:r>
                  <w:r>
                    <w:rPr>
                      <w:color w:val="58595B"/>
                      <w:spacing w:val="-15"/>
                      <w:sz w:val="12"/>
                    </w:rPr>
                    <w:t> </w:t>
                  </w:r>
                  <w:r>
                    <w:rPr>
                      <w:color w:val="58595B"/>
                      <w:sz w:val="12"/>
                    </w:rPr>
                    <w:t>505,</w:t>
                  </w:r>
                  <w:r>
                    <w:rPr>
                      <w:color w:val="58595B"/>
                      <w:spacing w:val="-14"/>
                      <w:sz w:val="12"/>
                    </w:rPr>
                    <w:t> </w:t>
                  </w:r>
                  <w:r>
                    <w:rPr>
                      <w:i/>
                      <w:color w:val="58595B"/>
                      <w:sz w:val="12"/>
                    </w:rPr>
                    <w:t>Environmental</w:t>
                  </w:r>
                  <w:r>
                    <w:rPr>
                      <w:i/>
                      <w:color w:val="58595B"/>
                      <w:spacing w:val="-14"/>
                      <w:sz w:val="12"/>
                    </w:rPr>
                    <w:t> </w:t>
                  </w:r>
                  <w:r>
                    <w:rPr>
                      <w:i/>
                      <w:color w:val="58595B"/>
                      <w:sz w:val="12"/>
                    </w:rPr>
                    <w:t>Protection</w:t>
                  </w:r>
                  <w:r>
                    <w:rPr>
                      <w:i/>
                      <w:color w:val="58595B"/>
                      <w:spacing w:val="-14"/>
                      <w:sz w:val="12"/>
                    </w:rPr>
                    <w:t> </w:t>
                  </w:r>
                  <w:r>
                    <w:rPr>
                      <w:i/>
                      <w:color w:val="58595B"/>
                      <w:sz w:val="12"/>
                    </w:rPr>
                    <w:t>Act</w:t>
                  </w:r>
                  <w:r>
                    <w:rPr>
                      <w:i/>
                      <w:color w:val="58595B"/>
                      <w:spacing w:val="-14"/>
                      <w:sz w:val="12"/>
                    </w:rPr>
                    <w:t> </w:t>
                  </w:r>
                  <w:r>
                    <w:rPr>
                      <w:i/>
                      <w:color w:val="58595B"/>
                      <w:sz w:val="12"/>
                    </w:rPr>
                    <w:t>1994</w:t>
                  </w:r>
                  <w:r>
                    <w:rPr>
                      <w:i/>
                      <w:color w:val="58595B"/>
                      <w:spacing w:val="-14"/>
                      <w:sz w:val="12"/>
                    </w:rPr>
                    <w:t> </w:t>
                  </w:r>
                  <w:r>
                    <w:rPr>
                      <w:color w:val="58595B"/>
                      <w:sz w:val="12"/>
                    </w:rPr>
                    <w:t>(Qld).</w:t>
                  </w:r>
                </w:p>
                <w:p>
                  <w:pPr>
                    <w:spacing w:line="242" w:lineRule="auto" w:before="1"/>
                    <w:ind w:left="20" w:right="78" w:firstLine="0"/>
                    <w:jc w:val="left"/>
                    <w:rPr>
                      <w:sz w:val="12"/>
                    </w:rPr>
                  </w:pPr>
                  <w:r>
                    <w:rPr>
                      <w:i/>
                      <w:color w:val="58595B"/>
                      <w:sz w:val="12"/>
                    </w:rPr>
                    <w:t>Oshlack</w:t>
                  </w:r>
                  <w:r>
                    <w:rPr>
                      <w:i/>
                      <w:color w:val="58595B"/>
                      <w:spacing w:val="-10"/>
                      <w:sz w:val="12"/>
                    </w:rPr>
                    <w:t> </w:t>
                  </w:r>
                  <w:r>
                    <w:rPr>
                      <w:i/>
                      <w:color w:val="58595B"/>
                      <w:sz w:val="12"/>
                    </w:rPr>
                    <w:t>v</w:t>
                  </w:r>
                  <w:r>
                    <w:rPr>
                      <w:i/>
                      <w:color w:val="58595B"/>
                      <w:spacing w:val="-10"/>
                      <w:sz w:val="12"/>
                    </w:rPr>
                    <w:t> </w:t>
                  </w:r>
                  <w:r>
                    <w:rPr>
                      <w:i/>
                      <w:color w:val="58595B"/>
                      <w:sz w:val="12"/>
                    </w:rPr>
                    <w:t>Richmond</w:t>
                  </w:r>
                  <w:r>
                    <w:rPr>
                      <w:i/>
                      <w:color w:val="58595B"/>
                      <w:spacing w:val="-10"/>
                      <w:sz w:val="12"/>
                    </w:rPr>
                    <w:t> </w:t>
                  </w:r>
                  <w:r>
                    <w:rPr>
                      <w:i/>
                      <w:color w:val="58595B"/>
                      <w:sz w:val="12"/>
                    </w:rPr>
                    <w:t>River</w:t>
                  </w:r>
                  <w:r>
                    <w:rPr>
                      <w:i/>
                      <w:color w:val="58595B"/>
                      <w:spacing w:val="-10"/>
                      <w:sz w:val="12"/>
                    </w:rPr>
                    <w:t> </w:t>
                  </w:r>
                  <w:r>
                    <w:rPr>
                      <w:i/>
                      <w:color w:val="58595B"/>
                      <w:sz w:val="12"/>
                    </w:rPr>
                    <w:t>Council</w:t>
                  </w:r>
                  <w:r>
                    <w:rPr>
                      <w:i/>
                      <w:color w:val="58595B"/>
                      <w:spacing w:val="-10"/>
                      <w:sz w:val="12"/>
                    </w:rPr>
                    <w:t> </w:t>
                  </w:r>
                  <w:r>
                    <w:rPr>
                      <w:color w:val="58595B"/>
                      <w:spacing w:val="-3"/>
                      <w:sz w:val="12"/>
                    </w:rPr>
                    <w:t>(1998)</w:t>
                  </w:r>
                  <w:r>
                    <w:rPr>
                      <w:color w:val="58595B"/>
                      <w:spacing w:val="-10"/>
                      <w:sz w:val="12"/>
                    </w:rPr>
                    <w:t> </w:t>
                  </w:r>
                  <w:r>
                    <w:rPr>
                      <w:color w:val="58595B"/>
                      <w:sz w:val="12"/>
                    </w:rPr>
                    <w:t>193</w:t>
                  </w:r>
                  <w:r>
                    <w:rPr>
                      <w:color w:val="58595B"/>
                      <w:spacing w:val="-10"/>
                      <w:sz w:val="12"/>
                    </w:rPr>
                    <w:t> </w:t>
                  </w:r>
                  <w:r>
                    <w:rPr>
                      <w:color w:val="58595B"/>
                      <w:sz w:val="12"/>
                    </w:rPr>
                    <w:t>CLR</w:t>
                  </w:r>
                  <w:r>
                    <w:rPr>
                      <w:color w:val="58595B"/>
                      <w:spacing w:val="-10"/>
                      <w:sz w:val="12"/>
                    </w:rPr>
                    <w:t> </w:t>
                  </w:r>
                  <w:r>
                    <w:rPr>
                      <w:color w:val="58595B"/>
                      <w:sz w:val="12"/>
                    </w:rPr>
                    <w:t>72,</w:t>
                  </w:r>
                  <w:r>
                    <w:rPr>
                      <w:color w:val="58595B"/>
                      <w:spacing w:val="-10"/>
                      <w:sz w:val="12"/>
                    </w:rPr>
                    <w:t> </w:t>
                  </w:r>
                  <w:r>
                    <w:rPr>
                      <w:color w:val="58595B"/>
                      <w:sz w:val="12"/>
                    </w:rPr>
                    <w:t>106</w:t>
                  </w:r>
                  <w:r>
                    <w:rPr>
                      <w:color w:val="58595B"/>
                      <w:spacing w:val="-10"/>
                      <w:sz w:val="12"/>
                    </w:rPr>
                    <w:t> </w:t>
                  </w:r>
                  <w:r>
                    <w:rPr>
                      <w:color w:val="58595B"/>
                      <w:sz w:val="12"/>
                    </w:rPr>
                    <w:t>[89].</w:t>
                  </w:r>
                  <w:r>
                    <w:rPr>
                      <w:color w:val="58595B"/>
                      <w:spacing w:val="-10"/>
                      <w:sz w:val="12"/>
                    </w:rPr>
                    <w:t> </w:t>
                  </w:r>
                  <w:r>
                    <w:rPr>
                      <w:color w:val="58595B"/>
                      <w:sz w:val="12"/>
                    </w:rPr>
                    <w:t>Note</w:t>
                  </w:r>
                  <w:r>
                    <w:rPr>
                      <w:color w:val="58595B"/>
                      <w:spacing w:val="-10"/>
                      <w:sz w:val="12"/>
                    </w:rPr>
                    <w:t> </w:t>
                  </w:r>
                  <w:r>
                    <w:rPr>
                      <w:color w:val="58595B"/>
                      <w:sz w:val="12"/>
                    </w:rPr>
                    <w:t>that he</w:t>
                  </w:r>
                  <w:r>
                    <w:rPr>
                      <w:color w:val="58595B"/>
                      <w:spacing w:val="-10"/>
                      <w:sz w:val="12"/>
                    </w:rPr>
                    <w:t> </w:t>
                  </w:r>
                  <w:r>
                    <w:rPr>
                      <w:color w:val="58595B"/>
                      <w:sz w:val="12"/>
                    </w:rPr>
                    <w:t>was</w:t>
                  </w:r>
                  <w:r>
                    <w:rPr>
                      <w:color w:val="58595B"/>
                      <w:spacing w:val="-10"/>
                      <w:sz w:val="12"/>
                    </w:rPr>
                    <w:t> </w:t>
                  </w:r>
                  <w:r>
                    <w:rPr>
                      <w:color w:val="58595B"/>
                      <w:sz w:val="12"/>
                    </w:rPr>
                    <w:t>dealing</w:t>
                  </w:r>
                  <w:r>
                    <w:rPr>
                      <w:color w:val="58595B"/>
                      <w:spacing w:val="-10"/>
                      <w:sz w:val="12"/>
                    </w:rPr>
                    <w:t> </w:t>
                  </w:r>
                  <w:r>
                    <w:rPr>
                      <w:color w:val="58595B"/>
                      <w:sz w:val="12"/>
                    </w:rPr>
                    <w:t>with</w:t>
                  </w:r>
                  <w:r>
                    <w:rPr>
                      <w:color w:val="58595B"/>
                      <w:spacing w:val="-10"/>
                      <w:sz w:val="12"/>
                    </w:rPr>
                    <w:t> </w:t>
                  </w:r>
                  <w:r>
                    <w:rPr>
                      <w:color w:val="58595B"/>
                      <w:sz w:val="12"/>
                    </w:rPr>
                    <w:t>an</w:t>
                  </w:r>
                  <w:r>
                    <w:rPr>
                      <w:color w:val="58595B"/>
                      <w:spacing w:val="-10"/>
                      <w:sz w:val="12"/>
                    </w:rPr>
                    <w:t> </w:t>
                  </w:r>
                  <w:r>
                    <w:rPr>
                      <w:color w:val="58595B"/>
                      <w:sz w:val="12"/>
                    </w:rPr>
                    <w:t>Act</w:t>
                  </w:r>
                  <w:r>
                    <w:rPr>
                      <w:color w:val="58595B"/>
                      <w:spacing w:val="-10"/>
                      <w:sz w:val="12"/>
                    </w:rPr>
                    <w:t> </w:t>
                  </w:r>
                  <w:r>
                    <w:rPr>
                      <w:color w:val="58595B"/>
                      <w:sz w:val="12"/>
                    </w:rPr>
                    <w:t>of</w:t>
                  </w:r>
                  <w:r>
                    <w:rPr>
                      <w:color w:val="58595B"/>
                      <w:spacing w:val="-10"/>
                      <w:sz w:val="12"/>
                    </w:rPr>
                    <w:t> </w:t>
                  </w:r>
                  <w:r>
                    <w:rPr>
                      <w:color w:val="58595B"/>
                      <w:sz w:val="12"/>
                    </w:rPr>
                    <w:t>a</w:t>
                  </w:r>
                  <w:r>
                    <w:rPr>
                      <w:color w:val="58595B"/>
                      <w:spacing w:val="-10"/>
                      <w:sz w:val="12"/>
                    </w:rPr>
                    <w:t> </w:t>
                  </w:r>
                  <w:r>
                    <w:rPr>
                      <w:color w:val="58595B"/>
                      <w:sz w:val="12"/>
                    </w:rPr>
                    <w:t>different</w:t>
                  </w:r>
                  <w:r>
                    <w:rPr>
                      <w:color w:val="58595B"/>
                      <w:spacing w:val="-10"/>
                      <w:sz w:val="12"/>
                    </w:rPr>
                    <w:t> </w:t>
                  </w:r>
                  <w:r>
                    <w:rPr>
                      <w:color w:val="58595B"/>
                      <w:sz w:val="12"/>
                    </w:rPr>
                    <w:t>name.</w:t>
                  </w:r>
                </w:p>
                <w:p>
                  <w:pPr>
                    <w:spacing w:line="242" w:lineRule="auto" w:before="29"/>
                    <w:ind w:left="20" w:right="527" w:firstLine="0"/>
                    <w:jc w:val="left"/>
                    <w:rPr>
                      <w:sz w:val="12"/>
                    </w:rPr>
                  </w:pPr>
                  <w:r>
                    <w:rPr>
                      <w:color w:val="58595B"/>
                      <w:sz w:val="12"/>
                    </w:rPr>
                    <w:t>42 U.S. Code § 7604 – Citizen suits, </w:t>
                  </w:r>
                  <w:hyperlink r:id="rId42">
                    <w:r>
                      <w:rPr>
                        <w:color w:val="58595B"/>
                        <w:sz w:val="12"/>
                      </w:rPr>
                      <w:t>http://uscode.</w:t>
                    </w:r>
                  </w:hyperlink>
                  <w:r>
                    <w:rPr>
                      <w:color w:val="58595B"/>
                      <w:sz w:val="12"/>
                    </w:rPr>
                    <w:t> house.gov/view.xhtml?req=granuleid:USC-prelim-title42- section7604&amp;num=0&amp;edition=prelim (accessed 10 March 2016).</w:t>
                  </w:r>
                </w:p>
                <w:p>
                  <w:pPr>
                    <w:spacing w:line="242" w:lineRule="auto" w:before="29"/>
                    <w:ind w:left="20" w:right="528" w:firstLine="0"/>
                    <w:jc w:val="left"/>
                    <w:rPr>
                      <w:sz w:val="12"/>
                    </w:rPr>
                  </w:pPr>
                  <w:r>
                    <w:rPr>
                      <w:color w:val="58595B"/>
                      <w:sz w:val="12"/>
                    </w:rPr>
                    <w:t>33 U.S. Code § 1365 – Citizen suits, </w:t>
                  </w:r>
                  <w:hyperlink r:id="rId43">
                    <w:r>
                      <w:rPr>
                        <w:color w:val="58595B"/>
                        <w:sz w:val="12"/>
                      </w:rPr>
                      <w:t>http://uscode.house.</w:t>
                    </w:r>
                  </w:hyperlink>
                  <w:r>
                    <w:rPr>
                      <w:color w:val="58595B"/>
                      <w:sz w:val="12"/>
                    </w:rPr>
                    <w:t> gov/view.xhtml?req=granuleid:USC-prelim-title33- section1365&amp;num=0&amp;edition=prelim (accessed 10 March 2016).</w:t>
                  </w:r>
                </w:p>
                <w:p>
                  <w:pPr>
                    <w:spacing w:line="242" w:lineRule="auto" w:before="29"/>
                    <w:ind w:left="20" w:right="225" w:firstLine="0"/>
                    <w:jc w:val="left"/>
                    <w:rPr>
                      <w:sz w:val="12"/>
                    </w:rPr>
                  </w:pPr>
                  <w:r>
                    <w:rPr>
                      <w:color w:val="58595B"/>
                      <w:sz w:val="12"/>
                    </w:rPr>
                    <w:t>For</w:t>
                  </w:r>
                  <w:r>
                    <w:rPr>
                      <w:color w:val="58595B"/>
                      <w:spacing w:val="-9"/>
                      <w:sz w:val="12"/>
                    </w:rPr>
                    <w:t> </w:t>
                  </w:r>
                  <w:r>
                    <w:rPr>
                      <w:color w:val="58595B"/>
                      <w:sz w:val="12"/>
                    </w:rPr>
                    <w:t>the</w:t>
                  </w:r>
                  <w:r>
                    <w:rPr>
                      <w:color w:val="58595B"/>
                      <w:spacing w:val="-9"/>
                      <w:sz w:val="12"/>
                    </w:rPr>
                    <w:t> </w:t>
                  </w:r>
                  <w:r>
                    <w:rPr>
                      <w:color w:val="58595B"/>
                      <w:sz w:val="12"/>
                    </w:rPr>
                    <w:t>purposes</w:t>
                  </w:r>
                  <w:r>
                    <w:rPr>
                      <w:color w:val="58595B"/>
                      <w:spacing w:val="-9"/>
                      <w:sz w:val="12"/>
                    </w:rPr>
                    <w:t> </w:t>
                  </w:r>
                  <w:r>
                    <w:rPr>
                      <w:color w:val="58595B"/>
                      <w:sz w:val="12"/>
                    </w:rPr>
                    <w:t>of</w:t>
                  </w:r>
                  <w:r>
                    <w:rPr>
                      <w:color w:val="58595B"/>
                      <w:spacing w:val="-9"/>
                      <w:sz w:val="12"/>
                    </w:rPr>
                    <w:t> </w:t>
                  </w:r>
                  <w:r>
                    <w:rPr>
                      <w:color w:val="58595B"/>
                      <w:sz w:val="12"/>
                    </w:rPr>
                    <w:t>the</w:t>
                  </w:r>
                  <w:r>
                    <w:rPr>
                      <w:color w:val="58595B"/>
                      <w:spacing w:val="-9"/>
                      <w:sz w:val="12"/>
                    </w:rPr>
                    <w:t> </w:t>
                  </w:r>
                  <w:r>
                    <w:rPr>
                      <w:color w:val="58595B"/>
                      <w:sz w:val="12"/>
                    </w:rPr>
                    <w:t>EP</w:t>
                  </w:r>
                  <w:r>
                    <w:rPr>
                      <w:color w:val="58595B"/>
                      <w:spacing w:val="-9"/>
                      <w:sz w:val="12"/>
                    </w:rPr>
                    <w:t> </w:t>
                  </w:r>
                  <w:r>
                    <w:rPr>
                      <w:color w:val="58595B"/>
                      <w:sz w:val="12"/>
                    </w:rPr>
                    <w:t>Act,</w:t>
                  </w:r>
                  <w:r>
                    <w:rPr>
                      <w:color w:val="58595B"/>
                      <w:spacing w:val="-9"/>
                      <w:sz w:val="12"/>
                    </w:rPr>
                    <w:t> </w:t>
                  </w:r>
                  <w:r>
                    <w:rPr>
                      <w:color w:val="58595B"/>
                      <w:sz w:val="12"/>
                    </w:rPr>
                    <w:t>this</w:t>
                  </w:r>
                  <w:r>
                    <w:rPr>
                      <w:color w:val="58595B"/>
                      <w:spacing w:val="-9"/>
                      <w:sz w:val="12"/>
                    </w:rPr>
                    <w:t> </w:t>
                  </w:r>
                  <w:r>
                    <w:rPr>
                      <w:color w:val="58595B"/>
                      <w:sz w:val="12"/>
                    </w:rPr>
                    <w:t>should</w:t>
                  </w:r>
                  <w:r>
                    <w:rPr>
                      <w:color w:val="58595B"/>
                      <w:spacing w:val="-9"/>
                      <w:sz w:val="12"/>
                    </w:rPr>
                    <w:t> </w:t>
                  </w:r>
                  <w:r>
                    <w:rPr>
                      <w:color w:val="58595B"/>
                      <w:sz w:val="12"/>
                    </w:rPr>
                    <w:t>have</w:t>
                  </w:r>
                  <w:r>
                    <w:rPr>
                      <w:color w:val="58595B"/>
                      <w:spacing w:val="-9"/>
                      <w:sz w:val="12"/>
                    </w:rPr>
                    <w:t> </w:t>
                  </w:r>
                  <w:r>
                    <w:rPr>
                      <w:color w:val="58595B"/>
                      <w:sz w:val="12"/>
                    </w:rPr>
                    <w:t>the</w:t>
                  </w:r>
                  <w:r>
                    <w:rPr>
                      <w:color w:val="58595B"/>
                      <w:spacing w:val="-9"/>
                      <w:sz w:val="12"/>
                    </w:rPr>
                    <w:t> </w:t>
                  </w:r>
                  <w:r>
                    <w:rPr>
                      <w:color w:val="58595B"/>
                      <w:sz w:val="12"/>
                    </w:rPr>
                    <w:t>same</w:t>
                  </w:r>
                  <w:r>
                    <w:rPr>
                      <w:color w:val="58595B"/>
                      <w:spacing w:val="-9"/>
                      <w:sz w:val="12"/>
                    </w:rPr>
                    <w:t> </w:t>
                  </w:r>
                  <w:r>
                    <w:rPr>
                      <w:color w:val="58595B"/>
                      <w:sz w:val="12"/>
                    </w:rPr>
                    <w:t>meaning</w:t>
                  </w:r>
                  <w:r>
                    <w:rPr>
                      <w:color w:val="58595B"/>
                      <w:spacing w:val="-9"/>
                      <w:sz w:val="12"/>
                    </w:rPr>
                    <w:t> </w:t>
                  </w:r>
                  <w:r>
                    <w:rPr>
                      <w:color w:val="58595B"/>
                      <w:sz w:val="12"/>
                    </w:rPr>
                    <w:t>as for</w:t>
                  </w:r>
                  <w:r>
                    <w:rPr>
                      <w:color w:val="58595B"/>
                      <w:spacing w:val="-10"/>
                      <w:sz w:val="12"/>
                    </w:rPr>
                    <w:t> </w:t>
                  </w:r>
                  <w:r>
                    <w:rPr>
                      <w:color w:val="58595B"/>
                      <w:sz w:val="12"/>
                    </w:rPr>
                    <w:t>third</w:t>
                  </w:r>
                  <w:r>
                    <w:rPr>
                      <w:color w:val="58595B"/>
                      <w:spacing w:val="-10"/>
                      <w:sz w:val="12"/>
                    </w:rPr>
                    <w:t> </w:t>
                  </w:r>
                  <w:r>
                    <w:rPr>
                      <w:color w:val="58595B"/>
                      <w:sz w:val="12"/>
                    </w:rPr>
                    <w:t>party</w:t>
                  </w:r>
                  <w:r>
                    <w:rPr>
                      <w:color w:val="58595B"/>
                      <w:spacing w:val="-10"/>
                      <w:sz w:val="12"/>
                    </w:rPr>
                    <w:t> </w:t>
                  </w:r>
                  <w:r>
                    <w:rPr>
                      <w:color w:val="58595B"/>
                      <w:sz w:val="12"/>
                    </w:rPr>
                    <w:t>rights</w:t>
                  </w:r>
                  <w:r>
                    <w:rPr>
                      <w:color w:val="58595B"/>
                      <w:spacing w:val="-10"/>
                      <w:sz w:val="12"/>
                    </w:rPr>
                    <w:t> </w:t>
                  </w:r>
                  <w:r>
                    <w:rPr>
                      <w:color w:val="58595B"/>
                      <w:sz w:val="12"/>
                    </w:rPr>
                    <w:t>for</w:t>
                  </w:r>
                  <w:r>
                    <w:rPr>
                      <w:color w:val="58595B"/>
                      <w:spacing w:val="-10"/>
                      <w:sz w:val="12"/>
                    </w:rPr>
                    <w:t> </w:t>
                  </w:r>
                  <w:r>
                    <w:rPr>
                      <w:color w:val="58595B"/>
                      <w:sz w:val="12"/>
                    </w:rPr>
                    <w:t>review</w:t>
                  </w:r>
                  <w:r>
                    <w:rPr>
                      <w:color w:val="58595B"/>
                      <w:spacing w:val="-10"/>
                      <w:sz w:val="12"/>
                    </w:rPr>
                    <w:t> </w:t>
                  </w:r>
                  <w:r>
                    <w:rPr>
                      <w:color w:val="58595B"/>
                      <w:sz w:val="12"/>
                    </w:rPr>
                    <w:t>of</w:t>
                  </w:r>
                  <w:r>
                    <w:rPr>
                      <w:color w:val="58595B"/>
                      <w:spacing w:val="-10"/>
                      <w:sz w:val="12"/>
                    </w:rPr>
                    <w:t> </w:t>
                  </w:r>
                  <w:r>
                    <w:rPr>
                      <w:color w:val="58595B"/>
                      <w:sz w:val="12"/>
                    </w:rPr>
                    <w:t>regulatory</w:t>
                  </w:r>
                  <w:r>
                    <w:rPr>
                      <w:color w:val="58595B"/>
                      <w:spacing w:val="-10"/>
                      <w:sz w:val="12"/>
                    </w:rPr>
                    <w:t> </w:t>
                  </w:r>
                  <w:r>
                    <w:rPr>
                      <w:color w:val="58595B"/>
                      <w:sz w:val="12"/>
                    </w:rPr>
                    <w:t>decisions</w:t>
                  </w:r>
                  <w:r>
                    <w:rPr>
                      <w:color w:val="58595B"/>
                      <w:spacing w:val="-10"/>
                      <w:sz w:val="12"/>
                    </w:rPr>
                    <w:t> </w:t>
                  </w:r>
                  <w:r>
                    <w:rPr>
                      <w:color w:val="58595B"/>
                      <w:sz w:val="12"/>
                    </w:rPr>
                    <w:t>under</w:t>
                  </w:r>
                  <w:r>
                    <w:rPr>
                      <w:color w:val="58595B"/>
                      <w:spacing w:val="-10"/>
                      <w:sz w:val="12"/>
                    </w:rPr>
                    <w:t> </w:t>
                  </w:r>
                  <w:r>
                    <w:rPr>
                      <w:color w:val="58595B"/>
                      <w:sz w:val="12"/>
                    </w:rPr>
                    <w:t>the</w:t>
                  </w:r>
                  <w:r>
                    <w:rPr>
                      <w:color w:val="58595B"/>
                      <w:spacing w:val="-10"/>
                      <w:sz w:val="12"/>
                    </w:rPr>
                    <w:t> </w:t>
                  </w:r>
                  <w:r>
                    <w:rPr>
                      <w:color w:val="58595B"/>
                      <w:sz w:val="12"/>
                    </w:rPr>
                    <w:t>EP</w:t>
                  </w:r>
                  <w:r>
                    <w:rPr>
                      <w:color w:val="58595B"/>
                      <w:spacing w:val="-10"/>
                      <w:sz w:val="12"/>
                    </w:rPr>
                    <w:t> </w:t>
                  </w:r>
                  <w:r>
                    <w:rPr>
                      <w:color w:val="58595B"/>
                      <w:sz w:val="12"/>
                    </w:rPr>
                    <w:t>Act.</w:t>
                  </w:r>
                </w:p>
                <w:p>
                  <w:pPr>
                    <w:spacing w:line="292" w:lineRule="auto" w:before="29"/>
                    <w:ind w:left="20" w:right="1025" w:firstLine="0"/>
                    <w:jc w:val="left"/>
                    <w:rPr>
                      <w:sz w:val="12"/>
                    </w:rPr>
                  </w:pPr>
                  <w:r>
                    <w:rPr>
                      <w:color w:val="58595B"/>
                      <w:sz w:val="12"/>
                    </w:rPr>
                    <w:t>Section 104(7), </w:t>
                  </w:r>
                  <w:r>
                    <w:rPr>
                      <w:i/>
                      <w:color w:val="58595B"/>
                      <w:sz w:val="12"/>
                    </w:rPr>
                    <w:t>Environment Protection Act 1993 </w:t>
                  </w:r>
                  <w:r>
                    <w:rPr>
                      <w:color w:val="58595B"/>
                      <w:sz w:val="12"/>
                    </w:rPr>
                    <w:t>(SA). Section 104(8), </w:t>
                  </w:r>
                  <w:r>
                    <w:rPr>
                      <w:i/>
                      <w:color w:val="58595B"/>
                      <w:sz w:val="12"/>
                    </w:rPr>
                    <w:t>Environment Protection Act 1993 </w:t>
                  </w:r>
                  <w:r>
                    <w:rPr>
                      <w:color w:val="58595B"/>
                      <w:sz w:val="12"/>
                    </w:rPr>
                    <w:t>(SA).</w:t>
                  </w:r>
                </w:p>
                <w:p>
                  <w:pPr>
                    <w:spacing w:line="242" w:lineRule="auto" w:before="1"/>
                    <w:ind w:left="20" w:right="0" w:firstLine="0"/>
                    <w:jc w:val="left"/>
                    <w:rPr>
                      <w:sz w:val="12"/>
                    </w:rPr>
                  </w:pPr>
                  <w:r>
                    <w:rPr>
                      <w:color w:val="58595B"/>
                      <w:sz w:val="12"/>
                    </w:rPr>
                    <w:t>Justice Kevin Bell, President </w:t>
                  </w:r>
                  <w:r>
                    <w:rPr>
                      <w:color w:val="58595B"/>
                      <w:spacing w:val="-4"/>
                      <w:sz w:val="12"/>
                    </w:rPr>
                    <w:t>VCAT </w:t>
                  </w:r>
                  <w:r>
                    <w:rPr>
                      <w:color w:val="58595B"/>
                      <w:sz w:val="12"/>
                    </w:rPr>
                    <w:t>2008, </w:t>
                  </w:r>
                  <w:r>
                    <w:rPr>
                      <w:i/>
                      <w:color w:val="58595B"/>
                      <w:sz w:val="12"/>
                    </w:rPr>
                    <w:t>The role of </w:t>
                  </w:r>
                  <w:r>
                    <w:rPr>
                      <w:i/>
                      <w:color w:val="58595B"/>
                      <w:spacing w:val="-4"/>
                      <w:sz w:val="12"/>
                    </w:rPr>
                    <w:t>VCAT </w:t>
                  </w:r>
                  <w:r>
                    <w:rPr>
                      <w:i/>
                      <w:color w:val="58595B"/>
                      <w:sz w:val="12"/>
                    </w:rPr>
                    <w:t>in a changing world:</w:t>
                  </w:r>
                  <w:r>
                    <w:rPr>
                      <w:i/>
                      <w:color w:val="58595B"/>
                      <w:spacing w:val="-11"/>
                      <w:sz w:val="12"/>
                    </w:rPr>
                    <w:t> </w:t>
                  </w:r>
                  <w:r>
                    <w:rPr>
                      <w:i/>
                      <w:color w:val="58595B"/>
                      <w:sz w:val="12"/>
                    </w:rPr>
                    <w:t>the</w:t>
                  </w:r>
                  <w:r>
                    <w:rPr>
                      <w:i/>
                      <w:color w:val="58595B"/>
                      <w:spacing w:val="-11"/>
                      <w:sz w:val="12"/>
                    </w:rPr>
                    <w:t> </w:t>
                  </w:r>
                  <w:r>
                    <w:rPr>
                      <w:i/>
                      <w:color w:val="58595B"/>
                      <w:sz w:val="12"/>
                    </w:rPr>
                    <w:t>President’s</w:t>
                  </w:r>
                  <w:r>
                    <w:rPr>
                      <w:i/>
                      <w:color w:val="58595B"/>
                      <w:spacing w:val="-11"/>
                      <w:sz w:val="12"/>
                    </w:rPr>
                    <w:t> </w:t>
                  </w:r>
                  <w:r>
                    <w:rPr>
                      <w:i/>
                      <w:color w:val="58595B"/>
                      <w:sz w:val="12"/>
                    </w:rPr>
                    <w:t>review</w:t>
                  </w:r>
                  <w:r>
                    <w:rPr>
                      <w:i/>
                      <w:color w:val="58595B"/>
                      <w:spacing w:val="-11"/>
                      <w:sz w:val="12"/>
                    </w:rPr>
                    <w:t> </w:t>
                  </w:r>
                  <w:r>
                    <w:rPr>
                      <w:i/>
                      <w:color w:val="58595B"/>
                      <w:sz w:val="12"/>
                    </w:rPr>
                    <w:t>of</w:t>
                  </w:r>
                  <w:r>
                    <w:rPr>
                      <w:i/>
                      <w:color w:val="58595B"/>
                      <w:spacing w:val="-11"/>
                      <w:sz w:val="12"/>
                    </w:rPr>
                    <w:t> </w:t>
                  </w:r>
                  <w:r>
                    <w:rPr>
                      <w:i/>
                      <w:color w:val="58595B"/>
                      <w:spacing w:val="-6"/>
                      <w:sz w:val="12"/>
                    </w:rPr>
                    <w:t>VCAT</w:t>
                  </w:r>
                  <w:r>
                    <w:rPr>
                      <w:color w:val="58595B"/>
                      <w:spacing w:val="-6"/>
                      <w:sz w:val="12"/>
                    </w:rPr>
                    <w:t>,</w:t>
                  </w:r>
                  <w:r>
                    <w:rPr>
                      <w:color w:val="58595B"/>
                      <w:spacing w:val="-11"/>
                      <w:sz w:val="12"/>
                    </w:rPr>
                    <w:t> </w:t>
                  </w:r>
                  <w:r>
                    <w:rPr>
                      <w:color w:val="58595B"/>
                      <w:sz w:val="12"/>
                    </w:rPr>
                    <w:t>Speech</w:t>
                  </w:r>
                  <w:r>
                    <w:rPr>
                      <w:color w:val="58595B"/>
                      <w:spacing w:val="-11"/>
                      <w:sz w:val="12"/>
                    </w:rPr>
                    <w:t> </w:t>
                  </w:r>
                  <w:r>
                    <w:rPr>
                      <w:color w:val="58595B"/>
                      <w:sz w:val="12"/>
                    </w:rPr>
                    <w:t>delivered</w:t>
                  </w:r>
                  <w:r>
                    <w:rPr>
                      <w:color w:val="58595B"/>
                      <w:spacing w:val="-11"/>
                      <w:sz w:val="12"/>
                    </w:rPr>
                    <w:t> </w:t>
                  </w:r>
                  <w:r>
                    <w:rPr>
                      <w:color w:val="58595B"/>
                      <w:sz w:val="12"/>
                    </w:rPr>
                    <w:t>to</w:t>
                  </w:r>
                  <w:r>
                    <w:rPr>
                      <w:color w:val="58595B"/>
                      <w:spacing w:val="-11"/>
                      <w:sz w:val="12"/>
                    </w:rPr>
                    <w:t> </w:t>
                  </w:r>
                  <w:r>
                    <w:rPr>
                      <w:color w:val="58595B"/>
                      <w:sz w:val="12"/>
                    </w:rPr>
                    <w:t>the</w:t>
                  </w:r>
                  <w:r>
                    <w:rPr>
                      <w:color w:val="58595B"/>
                      <w:spacing w:val="-11"/>
                      <w:sz w:val="12"/>
                    </w:rPr>
                    <w:t> </w:t>
                  </w:r>
                  <w:r>
                    <w:rPr>
                      <w:color w:val="58595B"/>
                      <w:sz w:val="12"/>
                    </w:rPr>
                    <w:t>Law</w:t>
                  </w:r>
                  <w:r>
                    <w:rPr>
                      <w:color w:val="58595B"/>
                      <w:spacing w:val="-11"/>
                      <w:sz w:val="12"/>
                    </w:rPr>
                    <w:t> </w:t>
                  </w:r>
                  <w:r>
                    <w:rPr>
                      <w:color w:val="58595B"/>
                      <w:sz w:val="12"/>
                    </w:rPr>
                    <w:t>Institute of</w:t>
                  </w:r>
                  <w:r>
                    <w:rPr>
                      <w:color w:val="58595B"/>
                      <w:spacing w:val="-12"/>
                      <w:sz w:val="12"/>
                    </w:rPr>
                    <w:t> </w:t>
                  </w:r>
                  <w:r>
                    <w:rPr>
                      <w:color w:val="58595B"/>
                      <w:sz w:val="12"/>
                    </w:rPr>
                    <w:t>Victoria,</w:t>
                  </w:r>
                  <w:r>
                    <w:rPr>
                      <w:color w:val="58595B"/>
                      <w:spacing w:val="-12"/>
                      <w:sz w:val="12"/>
                    </w:rPr>
                    <w:t> </w:t>
                  </w:r>
                  <w:r>
                    <w:rPr>
                      <w:color w:val="58595B"/>
                      <w:sz w:val="12"/>
                    </w:rPr>
                    <w:t>4</w:t>
                  </w:r>
                  <w:r>
                    <w:rPr>
                      <w:color w:val="58595B"/>
                      <w:spacing w:val="-12"/>
                      <w:sz w:val="12"/>
                    </w:rPr>
                    <w:t> </w:t>
                  </w:r>
                  <w:r>
                    <w:rPr>
                      <w:color w:val="58595B"/>
                      <w:sz w:val="12"/>
                    </w:rPr>
                    <w:t>September,</w:t>
                  </w:r>
                  <w:r>
                    <w:rPr>
                      <w:color w:val="58595B"/>
                      <w:spacing w:val="-12"/>
                      <w:sz w:val="12"/>
                    </w:rPr>
                    <w:t> </w:t>
                  </w:r>
                  <w:r>
                    <w:rPr>
                      <w:color w:val="58595B"/>
                      <w:sz w:val="12"/>
                    </w:rPr>
                    <w:t>p.</w:t>
                  </w:r>
                  <w:r>
                    <w:rPr>
                      <w:color w:val="58595B"/>
                      <w:spacing w:val="-12"/>
                      <w:sz w:val="12"/>
                    </w:rPr>
                    <w:t> </w:t>
                  </w:r>
                  <w:r>
                    <w:rPr>
                      <w:color w:val="58595B"/>
                      <w:sz w:val="12"/>
                    </w:rPr>
                    <w:t>2.</w:t>
                  </w:r>
                </w:p>
                <w:p>
                  <w:pPr>
                    <w:spacing w:line="242" w:lineRule="auto" w:before="29"/>
                    <w:ind w:left="20" w:right="43" w:firstLine="0"/>
                    <w:jc w:val="left"/>
                    <w:rPr>
                      <w:sz w:val="12"/>
                    </w:rPr>
                  </w:pPr>
                  <w:r>
                    <w:rPr>
                      <w:color w:val="58595B"/>
                      <w:sz w:val="12"/>
                    </w:rPr>
                    <w:t>Australian Panel of Experts on Environmental Law </w:t>
                  </w:r>
                  <w:r>
                    <w:rPr>
                      <w:color w:val="58595B"/>
                      <w:spacing w:val="-3"/>
                      <w:sz w:val="12"/>
                    </w:rPr>
                    <w:t>2015, </w:t>
                  </w:r>
                  <w:r>
                    <w:rPr>
                      <w:i/>
                      <w:color w:val="58595B"/>
                      <w:sz w:val="12"/>
                    </w:rPr>
                    <w:t>Next Generation of Australia Environmental Laws, </w:t>
                  </w:r>
                  <w:r>
                    <w:rPr>
                      <w:color w:val="58595B"/>
                      <w:sz w:val="12"/>
                    </w:rPr>
                    <w:t>Introductory </w:t>
                  </w:r>
                  <w:r>
                    <w:rPr>
                      <w:color w:val="58595B"/>
                      <w:spacing w:val="-3"/>
                      <w:sz w:val="12"/>
                    </w:rPr>
                    <w:t>Paper, </w:t>
                  </w:r>
                  <w:r>
                    <w:rPr>
                      <w:color w:val="58595B"/>
                      <w:sz w:val="12"/>
                    </w:rPr>
                    <w:t>p. 25.</w:t>
                  </w:r>
                </w:p>
                <w:p>
                  <w:pPr>
                    <w:spacing w:line="242" w:lineRule="auto" w:before="29"/>
                    <w:ind w:left="20" w:right="309" w:firstLine="0"/>
                    <w:jc w:val="left"/>
                    <w:rPr>
                      <w:sz w:val="12"/>
                    </w:rPr>
                  </w:pPr>
                  <w:r>
                    <w:rPr>
                      <w:color w:val="58595B"/>
                      <w:sz w:val="12"/>
                    </w:rPr>
                    <w:t>The Strategy Shop </w:t>
                  </w:r>
                  <w:r>
                    <w:rPr>
                      <w:color w:val="58595B"/>
                      <w:spacing w:val="-3"/>
                      <w:sz w:val="12"/>
                    </w:rPr>
                    <w:t>2015, </w:t>
                  </w:r>
                  <w:r>
                    <w:rPr>
                      <w:i/>
                      <w:color w:val="58595B"/>
                      <w:sz w:val="12"/>
                    </w:rPr>
                    <w:t>Report on Submissions to the EPA Inquiry</w:t>
                  </w:r>
                  <w:r>
                    <w:rPr>
                      <w:color w:val="58595B"/>
                      <w:sz w:val="12"/>
                    </w:rPr>
                    <w:t>, Melbourne, December, p. 66.</w:t>
                  </w:r>
                </w:p>
                <w:p>
                  <w:pPr>
                    <w:spacing w:line="242" w:lineRule="auto" w:before="29"/>
                    <w:ind w:left="20" w:right="309" w:firstLine="0"/>
                    <w:jc w:val="left"/>
                    <w:rPr>
                      <w:sz w:val="12"/>
                    </w:rPr>
                  </w:pPr>
                  <w:r>
                    <w:rPr>
                      <w:color w:val="58595B"/>
                      <w:sz w:val="12"/>
                    </w:rPr>
                    <w:t>The Strategy Shop </w:t>
                  </w:r>
                  <w:r>
                    <w:rPr>
                      <w:color w:val="58595B"/>
                      <w:spacing w:val="-3"/>
                      <w:sz w:val="12"/>
                    </w:rPr>
                    <w:t>2015, </w:t>
                  </w:r>
                  <w:r>
                    <w:rPr>
                      <w:i/>
                      <w:color w:val="58595B"/>
                      <w:sz w:val="12"/>
                    </w:rPr>
                    <w:t>Report on Submissions to the EPA Inquiry</w:t>
                  </w:r>
                  <w:r>
                    <w:rPr>
                      <w:color w:val="58595B"/>
                      <w:sz w:val="12"/>
                    </w:rPr>
                    <w:t>, Melbourne, December, p. 66.</w:t>
                  </w:r>
                </w:p>
                <w:p>
                  <w:pPr>
                    <w:spacing w:line="292" w:lineRule="auto" w:before="29"/>
                    <w:ind w:left="20" w:right="248" w:firstLine="0"/>
                    <w:jc w:val="left"/>
                    <w:rPr>
                      <w:sz w:val="12"/>
                    </w:rPr>
                  </w:pPr>
                  <w:r>
                    <w:rPr>
                      <w:color w:val="58595B"/>
                      <w:spacing w:val="-3"/>
                      <w:sz w:val="12"/>
                    </w:rPr>
                    <w:t>EPA </w:t>
                  </w:r>
                  <w:r>
                    <w:rPr>
                      <w:color w:val="58595B"/>
                      <w:sz w:val="12"/>
                    </w:rPr>
                    <w:t>Victoria </w:t>
                  </w:r>
                  <w:r>
                    <w:rPr>
                      <w:color w:val="58595B"/>
                      <w:spacing w:val="-3"/>
                      <w:sz w:val="12"/>
                    </w:rPr>
                    <w:t>2013, </w:t>
                  </w:r>
                  <w:r>
                    <w:rPr>
                      <w:i/>
                      <w:color w:val="58595B"/>
                      <w:sz w:val="12"/>
                    </w:rPr>
                    <w:t>Environmental Citizenship Strategy</w:t>
                  </w:r>
                  <w:r>
                    <w:rPr>
                      <w:color w:val="58595B"/>
                      <w:sz w:val="12"/>
                    </w:rPr>
                    <w:t>, Melbourne. </w:t>
                  </w:r>
                  <w:r>
                    <w:rPr>
                      <w:color w:val="58595B"/>
                      <w:spacing w:val="-3"/>
                      <w:sz w:val="12"/>
                    </w:rPr>
                    <w:t>EPA </w:t>
                  </w:r>
                  <w:r>
                    <w:rPr>
                      <w:color w:val="58595B"/>
                      <w:sz w:val="12"/>
                    </w:rPr>
                    <w:t>Victoria </w:t>
                  </w:r>
                  <w:r>
                    <w:rPr>
                      <w:color w:val="58595B"/>
                      <w:spacing w:val="-3"/>
                      <w:sz w:val="12"/>
                    </w:rPr>
                    <w:t>2013, </w:t>
                  </w:r>
                  <w:r>
                    <w:rPr>
                      <w:i/>
                      <w:color w:val="58595B"/>
                      <w:sz w:val="12"/>
                    </w:rPr>
                    <w:t>EPA Victoria Engagement Policy</w:t>
                  </w:r>
                  <w:r>
                    <w:rPr>
                      <w:color w:val="58595B"/>
                      <w:sz w:val="12"/>
                    </w:rPr>
                    <w:t>, Melbourne, p. 5.</w:t>
                  </w:r>
                </w:p>
                <w:p>
                  <w:pPr>
                    <w:spacing w:line="134" w:lineRule="exact" w:before="6"/>
                    <w:ind w:left="21" w:right="78" w:hanging="2"/>
                    <w:jc w:val="left"/>
                    <w:rPr>
                      <w:sz w:val="12"/>
                    </w:rPr>
                  </w:pPr>
                  <w:r>
                    <w:rPr>
                      <w:color w:val="58595B"/>
                      <w:sz w:val="12"/>
                    </w:rPr>
                    <w:t>Section 67D, </w:t>
                  </w:r>
                  <w:r>
                    <w:rPr>
                      <w:color w:val="58595B"/>
                      <w:spacing w:val="-4"/>
                      <w:sz w:val="12"/>
                    </w:rPr>
                    <w:t>67AC (2)(c), </w:t>
                  </w:r>
                  <w:r>
                    <w:rPr>
                      <w:i/>
                      <w:color w:val="58595B"/>
                      <w:sz w:val="12"/>
                    </w:rPr>
                    <w:t>Environment Protection Act </w:t>
                  </w:r>
                  <w:r>
                    <w:rPr>
                      <w:i/>
                      <w:color w:val="58595B"/>
                      <w:spacing w:val="-3"/>
                      <w:sz w:val="12"/>
                    </w:rPr>
                    <w:t>1970</w:t>
                  </w:r>
                  <w:r>
                    <w:rPr>
                      <w:color w:val="58595B"/>
                      <w:spacing w:val="-3"/>
                      <w:sz w:val="12"/>
                    </w:rPr>
                    <w:t>; EPA </w:t>
                  </w:r>
                  <w:r>
                    <w:rPr>
                      <w:color w:val="58595B"/>
                      <w:sz w:val="12"/>
                    </w:rPr>
                    <w:t>Victoria </w:t>
                  </w:r>
                  <w:r>
                    <w:rPr>
                      <w:color w:val="58595B"/>
                      <w:spacing w:val="-3"/>
                      <w:sz w:val="12"/>
                    </w:rPr>
                    <w:t>2013, </w:t>
                  </w:r>
                  <w:r>
                    <w:rPr>
                      <w:i/>
                      <w:color w:val="58595B"/>
                      <w:sz w:val="12"/>
                    </w:rPr>
                    <w:t>Environmental Citizenship Strategy</w:t>
                  </w:r>
                  <w:r>
                    <w:rPr>
                      <w:color w:val="58595B"/>
                      <w:sz w:val="12"/>
                    </w:rPr>
                    <w:t>, Melbourne.</w:t>
                  </w:r>
                </w:p>
              </w:txbxContent>
            </v:textbox>
            <w10:wrap type="none"/>
          </v:shape>
        </w:pict>
      </w:r>
      <w:r>
        <w:rPr/>
        <w:pict>
          <v:shape style="position:absolute;margin-left:89.708603pt;margin-top:121.643028pt;width:5.3pt;height:8pt;mso-position-horizontal-relative:page;mso-position-vertical-relative:page;z-index:-181480" type="#_x0000_t202" filled="false" stroked="false">
            <v:textbox inset="0,0,0,0">
              <w:txbxContent>
                <w:p>
                  <w:pPr>
                    <w:spacing w:before="4"/>
                    <w:ind w:left="20" w:right="0" w:firstLine="0"/>
                    <w:jc w:val="left"/>
                    <w:rPr>
                      <w:sz w:val="12"/>
                    </w:rPr>
                  </w:pPr>
                  <w:r>
                    <w:rPr>
                      <w:color w:val="58595B"/>
                      <w:sz w:val="12"/>
                    </w:rPr>
                    <w:t>2</w:t>
                  </w:r>
                </w:p>
              </w:txbxContent>
            </v:textbox>
            <w10:wrap type="none"/>
          </v:shape>
        </w:pict>
      </w:r>
      <w:r>
        <w:rPr/>
        <w:pict>
          <v:shape style="position:absolute;margin-left:312.554596pt;margin-top:121.787025pt;width:8.7pt;height:8pt;mso-position-horizontal-relative:page;mso-position-vertical-relative:page;z-index:-181456" type="#_x0000_t202" filled="false" stroked="false">
            <v:textbox inset="0,0,0,0">
              <w:txbxContent>
                <w:p>
                  <w:pPr>
                    <w:spacing w:before="4"/>
                    <w:ind w:left="20" w:right="0" w:firstLine="0"/>
                    <w:jc w:val="left"/>
                    <w:rPr>
                      <w:sz w:val="12"/>
                    </w:rPr>
                  </w:pPr>
                  <w:r>
                    <w:rPr>
                      <w:color w:val="58595B"/>
                      <w:sz w:val="12"/>
                    </w:rPr>
                    <w:t>35</w:t>
                  </w:r>
                </w:p>
              </w:txbxContent>
            </v:textbox>
            <w10:wrap type="none"/>
          </v:shape>
        </w:pict>
      </w:r>
      <w:r>
        <w:rPr/>
        <w:pict>
          <v:shape style="position:absolute;margin-left:89.702599pt;margin-top:137.063034pt;width:5.3pt;height:8pt;mso-position-horizontal-relative:page;mso-position-vertical-relative:page;z-index:-181432" type="#_x0000_t202" filled="false" stroked="false">
            <v:textbox inset="0,0,0,0">
              <w:txbxContent>
                <w:p>
                  <w:pPr>
                    <w:spacing w:before="4"/>
                    <w:ind w:left="20" w:right="0" w:firstLine="0"/>
                    <w:jc w:val="left"/>
                    <w:rPr>
                      <w:sz w:val="12"/>
                    </w:rPr>
                  </w:pPr>
                  <w:r>
                    <w:rPr>
                      <w:color w:val="58595B"/>
                      <w:sz w:val="12"/>
                    </w:rPr>
                    <w:t>3</w:t>
                  </w:r>
                </w:p>
              </w:txbxContent>
            </v:textbox>
            <w10:wrap type="none"/>
          </v:shape>
        </w:pict>
      </w:r>
      <w:r>
        <w:rPr/>
        <w:pict>
          <v:shape style="position:absolute;margin-left:312.554596pt;margin-top:137.207031pt;width:8.7pt;height:8pt;mso-position-horizontal-relative:page;mso-position-vertical-relative:page;z-index:-181408" type="#_x0000_t202" filled="false" stroked="false">
            <v:textbox inset="0,0,0,0">
              <w:txbxContent>
                <w:p>
                  <w:pPr>
                    <w:spacing w:before="4"/>
                    <w:ind w:left="20" w:right="0" w:firstLine="0"/>
                    <w:jc w:val="left"/>
                    <w:rPr>
                      <w:sz w:val="12"/>
                    </w:rPr>
                  </w:pPr>
                  <w:r>
                    <w:rPr>
                      <w:color w:val="58595B"/>
                      <w:sz w:val="12"/>
                    </w:rPr>
                    <w:t>36</w:t>
                  </w:r>
                </w:p>
              </w:txbxContent>
            </v:textbox>
            <w10:wrap type="none"/>
          </v:shape>
        </w:pict>
      </w:r>
      <w:r>
        <w:rPr/>
        <w:pict>
          <v:shape style="position:absolute;margin-left:89.696602pt;margin-top:152.483032pt;width:5.3pt;height:16.45pt;mso-position-horizontal-relative:page;mso-position-vertical-relative:page;z-index:-181384" type="#_x0000_t202" filled="false" stroked="false">
            <v:textbox inset="0,0,0,0">
              <w:txbxContent>
                <w:p>
                  <w:pPr>
                    <w:spacing w:before="4"/>
                    <w:ind w:left="20" w:right="0" w:firstLine="0"/>
                    <w:jc w:val="left"/>
                    <w:rPr>
                      <w:sz w:val="12"/>
                    </w:rPr>
                  </w:pPr>
                  <w:r>
                    <w:rPr>
                      <w:color w:val="58595B"/>
                      <w:sz w:val="12"/>
                    </w:rPr>
                    <w:t>4</w:t>
                  </w:r>
                </w:p>
                <w:p>
                  <w:pPr>
                    <w:spacing w:before="30"/>
                    <w:ind w:left="20" w:right="0" w:firstLine="0"/>
                    <w:jc w:val="left"/>
                    <w:rPr>
                      <w:sz w:val="12"/>
                    </w:rPr>
                  </w:pPr>
                  <w:r>
                    <w:rPr>
                      <w:color w:val="58595B"/>
                      <w:sz w:val="12"/>
                    </w:rPr>
                    <w:t>5</w:t>
                  </w:r>
                </w:p>
              </w:txbxContent>
            </v:textbox>
            <w10:wrap type="none"/>
          </v:shape>
        </w:pict>
      </w:r>
      <w:r>
        <w:rPr/>
        <w:pict>
          <v:shape style="position:absolute;margin-left:312.554596pt;margin-top:152.627029pt;width:8.550pt;height:8pt;mso-position-horizontal-relative:page;mso-position-vertical-relative:page;z-index:-181360" type="#_x0000_t202" filled="false" stroked="false">
            <v:textbox inset="0,0,0,0">
              <w:txbxContent>
                <w:p>
                  <w:pPr>
                    <w:spacing w:before="4"/>
                    <w:ind w:left="20" w:right="-3" w:firstLine="0"/>
                    <w:jc w:val="left"/>
                    <w:rPr>
                      <w:sz w:val="12"/>
                    </w:rPr>
                  </w:pPr>
                  <w:r>
                    <w:rPr>
                      <w:color w:val="58595B"/>
                      <w:sz w:val="12"/>
                    </w:rPr>
                    <w:t>37</w:t>
                  </w:r>
                </w:p>
              </w:txbxContent>
            </v:textbox>
            <w10:wrap type="none"/>
          </v:shape>
        </w:pict>
      </w:r>
      <w:r>
        <w:rPr/>
        <w:pict>
          <v:shape style="position:absolute;margin-left:89.696602pt;margin-top:183.323029pt;width:5.3pt;height:8pt;mso-position-horizontal-relative:page;mso-position-vertical-relative:page;z-index:-181336" type="#_x0000_t202" filled="false" stroked="false">
            <v:textbox inset="0,0,0,0">
              <w:txbxContent>
                <w:p>
                  <w:pPr>
                    <w:spacing w:before="4"/>
                    <w:ind w:left="20" w:right="0" w:firstLine="0"/>
                    <w:jc w:val="left"/>
                    <w:rPr>
                      <w:sz w:val="12"/>
                    </w:rPr>
                  </w:pPr>
                  <w:r>
                    <w:rPr>
                      <w:color w:val="58595B"/>
                      <w:sz w:val="12"/>
                    </w:rPr>
                    <w:t>6</w:t>
                  </w:r>
                </w:p>
              </w:txbxContent>
            </v:textbox>
            <w10:wrap type="none"/>
          </v:shape>
        </w:pict>
      </w:r>
      <w:r>
        <w:rPr/>
        <w:pict>
          <v:shape style="position:absolute;margin-left:312.554596pt;margin-top:189.053024pt;width:8.7pt;height:16.45pt;mso-position-horizontal-relative:page;mso-position-vertical-relative:page;z-index:-181312" type="#_x0000_t202" filled="false" stroked="false">
            <v:textbox inset="0,0,0,0">
              <w:txbxContent>
                <w:p>
                  <w:pPr>
                    <w:spacing w:before="4"/>
                    <w:ind w:left="20" w:right="0" w:firstLine="0"/>
                    <w:jc w:val="left"/>
                    <w:rPr>
                      <w:sz w:val="12"/>
                    </w:rPr>
                  </w:pPr>
                  <w:r>
                    <w:rPr>
                      <w:color w:val="58595B"/>
                      <w:sz w:val="12"/>
                    </w:rPr>
                    <w:t>38</w:t>
                  </w:r>
                </w:p>
                <w:p>
                  <w:pPr>
                    <w:spacing w:before="30"/>
                    <w:ind w:left="20" w:right="0" w:firstLine="0"/>
                    <w:jc w:val="left"/>
                    <w:rPr>
                      <w:sz w:val="12"/>
                    </w:rPr>
                  </w:pPr>
                  <w:r>
                    <w:rPr>
                      <w:color w:val="58595B"/>
                      <w:sz w:val="12"/>
                    </w:rPr>
                    <w:t>39</w:t>
                  </w:r>
                </w:p>
              </w:txbxContent>
            </v:textbox>
            <w10:wrap type="none"/>
          </v:shape>
        </w:pict>
      </w:r>
      <w:r>
        <w:rPr/>
        <w:pict>
          <v:shape style="position:absolute;margin-left:89.696602pt;margin-top:198.743027pt;width:5.3pt;height:8pt;mso-position-horizontal-relative:page;mso-position-vertical-relative:page;z-index:-181288" type="#_x0000_t202" filled="false" stroked="false">
            <v:textbox inset="0,0,0,0">
              <w:txbxContent>
                <w:p>
                  <w:pPr>
                    <w:spacing w:before="4"/>
                    <w:ind w:left="20" w:right="0" w:firstLine="0"/>
                    <w:jc w:val="left"/>
                    <w:rPr>
                      <w:sz w:val="12"/>
                    </w:rPr>
                  </w:pPr>
                  <w:r>
                    <w:rPr>
                      <w:color w:val="58595B"/>
                      <w:sz w:val="12"/>
                    </w:rPr>
                    <w:t>7</w:t>
                  </w:r>
                </w:p>
              </w:txbxContent>
            </v:textbox>
            <w10:wrap type="none"/>
          </v:shape>
        </w:pict>
      </w:r>
      <w:r>
        <w:rPr/>
        <w:pict>
          <v:shape style="position:absolute;margin-left:312.548615pt;margin-top:212.891022pt;width:8.7pt;height:16.45pt;mso-position-horizontal-relative:page;mso-position-vertical-relative:page;z-index:-181264" type="#_x0000_t202" filled="false" stroked="false">
            <v:textbox inset="0,0,0,0">
              <w:txbxContent>
                <w:p>
                  <w:pPr>
                    <w:spacing w:before="4"/>
                    <w:ind w:left="20" w:right="0" w:firstLine="0"/>
                    <w:jc w:val="left"/>
                    <w:rPr>
                      <w:sz w:val="12"/>
                    </w:rPr>
                  </w:pPr>
                  <w:r>
                    <w:rPr>
                      <w:color w:val="58595B"/>
                      <w:sz w:val="12"/>
                    </w:rPr>
                    <w:t>40</w:t>
                  </w:r>
                </w:p>
                <w:p>
                  <w:pPr>
                    <w:spacing w:before="30"/>
                    <w:ind w:left="20" w:right="0" w:firstLine="0"/>
                    <w:jc w:val="left"/>
                    <w:rPr>
                      <w:sz w:val="12"/>
                    </w:rPr>
                  </w:pPr>
                  <w:r>
                    <w:rPr>
                      <w:color w:val="58595B"/>
                      <w:sz w:val="12"/>
                    </w:rPr>
                    <w:t>41</w:t>
                  </w:r>
                </w:p>
              </w:txbxContent>
            </v:textbox>
            <w10:wrap type="none"/>
          </v:shape>
        </w:pict>
      </w:r>
      <w:r>
        <w:rPr/>
        <w:pict>
          <v:shape style="position:absolute;margin-left:89.696602pt;margin-top:221.165024pt;width:5.3pt;height:8pt;mso-position-horizontal-relative:page;mso-position-vertical-relative:page;z-index:-181240" type="#_x0000_t202" filled="false" stroked="false">
            <v:textbox inset="0,0,0,0">
              <w:txbxContent>
                <w:p>
                  <w:pPr>
                    <w:spacing w:before="4"/>
                    <w:ind w:left="20" w:right="0" w:firstLine="0"/>
                    <w:jc w:val="left"/>
                    <w:rPr>
                      <w:sz w:val="12"/>
                    </w:rPr>
                  </w:pPr>
                  <w:r>
                    <w:rPr>
                      <w:color w:val="58595B"/>
                      <w:sz w:val="12"/>
                    </w:rPr>
                    <w:t>8</w:t>
                  </w:r>
                </w:p>
              </w:txbxContent>
            </v:textbox>
            <w10:wrap type="none"/>
          </v:shape>
        </w:pict>
      </w:r>
      <w:r>
        <w:rPr/>
        <w:pict>
          <v:shape style="position:absolute;margin-left:312.542603pt;margin-top:243.731033pt;width:8.75pt;height:24.85pt;mso-position-horizontal-relative:page;mso-position-vertical-relative:page;z-index:-181216" type="#_x0000_t202" filled="false" stroked="false">
            <v:textbox inset="0,0,0,0">
              <w:txbxContent>
                <w:p>
                  <w:pPr>
                    <w:spacing w:before="4"/>
                    <w:ind w:left="20" w:right="0" w:firstLine="0"/>
                    <w:jc w:val="left"/>
                    <w:rPr>
                      <w:sz w:val="12"/>
                    </w:rPr>
                  </w:pPr>
                  <w:r>
                    <w:rPr>
                      <w:color w:val="58595B"/>
                      <w:sz w:val="12"/>
                    </w:rPr>
                    <w:t>42</w:t>
                  </w:r>
                </w:p>
                <w:p>
                  <w:pPr>
                    <w:spacing w:before="30"/>
                    <w:ind w:left="20" w:right="0" w:firstLine="0"/>
                    <w:jc w:val="left"/>
                    <w:rPr>
                      <w:sz w:val="12"/>
                    </w:rPr>
                  </w:pPr>
                  <w:r>
                    <w:rPr>
                      <w:color w:val="58595B"/>
                      <w:sz w:val="12"/>
                    </w:rPr>
                    <w:t>43</w:t>
                  </w:r>
                </w:p>
                <w:p>
                  <w:pPr>
                    <w:spacing w:before="30"/>
                    <w:ind w:left="20" w:right="0" w:firstLine="0"/>
                    <w:jc w:val="left"/>
                    <w:rPr>
                      <w:sz w:val="12"/>
                    </w:rPr>
                  </w:pPr>
                  <w:r>
                    <w:rPr>
                      <w:color w:val="58595B"/>
                      <w:sz w:val="12"/>
                    </w:rPr>
                    <w:t>44</w:t>
                  </w:r>
                </w:p>
              </w:txbxContent>
            </v:textbox>
            <w10:wrap type="none"/>
          </v:shape>
        </w:pict>
      </w:r>
      <w:r>
        <w:rPr/>
        <w:pict>
          <v:shape style="position:absolute;margin-left:89.696602pt;margin-top:257.591034pt;width:5.3pt;height:8pt;mso-position-horizontal-relative:page;mso-position-vertical-relative:page;z-index:-181192" type="#_x0000_t202" filled="false" stroked="false">
            <v:textbox inset="0,0,0,0">
              <w:txbxContent>
                <w:p>
                  <w:pPr>
                    <w:spacing w:before="4"/>
                    <w:ind w:left="20" w:right="0" w:firstLine="0"/>
                    <w:jc w:val="left"/>
                    <w:rPr>
                      <w:sz w:val="12"/>
                    </w:rPr>
                  </w:pPr>
                  <w:r>
                    <w:rPr>
                      <w:color w:val="58595B"/>
                      <w:sz w:val="12"/>
                    </w:rPr>
                    <w:t>9</w:t>
                  </w:r>
                </w:p>
              </w:txbxContent>
            </v:textbox>
            <w10:wrap type="none"/>
          </v:shape>
        </w:pict>
      </w:r>
      <w:r>
        <w:rPr/>
        <w:pict>
          <v:shape style="position:absolute;margin-left:89.696602pt;margin-top:273.011017pt;width:8.25pt;height:8pt;mso-position-horizontal-relative:page;mso-position-vertical-relative:page;z-index:-181168" type="#_x0000_t202" filled="false" stroked="false">
            <v:textbox inset="0,0,0,0">
              <w:txbxContent>
                <w:p>
                  <w:pPr>
                    <w:spacing w:before="4"/>
                    <w:ind w:left="20" w:right="-9" w:firstLine="0"/>
                    <w:jc w:val="left"/>
                    <w:rPr>
                      <w:sz w:val="12"/>
                    </w:rPr>
                  </w:pPr>
                  <w:r>
                    <w:rPr>
                      <w:color w:val="58595B"/>
                      <w:sz w:val="12"/>
                    </w:rPr>
                    <w:t>10</w:t>
                  </w:r>
                </w:p>
              </w:txbxContent>
            </v:textbox>
            <w10:wrap type="none"/>
          </v:shape>
        </w:pict>
      </w:r>
      <w:r>
        <w:rPr/>
        <w:pict>
          <v:shape style="position:absolute;margin-left:89.696602pt;margin-top:288.431030pt;width:7.6pt;height:8pt;mso-position-horizontal-relative:page;mso-position-vertical-relative:page;z-index:-181144" type="#_x0000_t202" filled="false" stroked="false">
            <v:textbox inset="0,0,0,0">
              <w:txbxContent>
                <w:p>
                  <w:pPr>
                    <w:spacing w:before="4"/>
                    <w:ind w:left="20" w:right="0" w:firstLine="0"/>
                    <w:jc w:val="left"/>
                    <w:rPr>
                      <w:sz w:val="12"/>
                    </w:rPr>
                  </w:pPr>
                  <w:r>
                    <w:rPr>
                      <w:color w:val="58595B"/>
                      <w:spacing w:val="-11"/>
                      <w:sz w:val="12"/>
                    </w:rPr>
                    <w:t>11</w:t>
                  </w:r>
                </w:p>
              </w:txbxContent>
            </v:textbox>
            <w10:wrap type="none"/>
          </v:shape>
        </w:pict>
      </w:r>
      <w:r>
        <w:rPr/>
        <w:pict>
          <v:shape style="position:absolute;margin-left:312.542603pt;margin-top:289.991028pt;width:8.7pt;height:8pt;mso-position-horizontal-relative:page;mso-position-vertical-relative:page;z-index:-181120" type="#_x0000_t202" filled="false" stroked="false">
            <v:textbox inset="0,0,0,0">
              <w:txbxContent>
                <w:p>
                  <w:pPr>
                    <w:spacing w:before="4"/>
                    <w:ind w:left="20" w:right="0" w:firstLine="0"/>
                    <w:jc w:val="left"/>
                    <w:rPr>
                      <w:sz w:val="12"/>
                    </w:rPr>
                  </w:pPr>
                  <w:r>
                    <w:rPr>
                      <w:color w:val="58595B"/>
                      <w:sz w:val="12"/>
                    </w:rPr>
                    <w:t>45</w:t>
                  </w:r>
                </w:p>
              </w:txbxContent>
            </v:textbox>
            <w10:wrap type="none"/>
          </v:shape>
        </w:pict>
      </w:r>
      <w:r>
        <w:rPr/>
        <w:pict>
          <v:shape style="position:absolute;margin-left:89.696602pt;margin-top:303.851013pt;width:8.1pt;height:8pt;mso-position-horizontal-relative:page;mso-position-vertical-relative:page;z-index:-181096" type="#_x0000_t202" filled="false" stroked="false">
            <v:textbox inset="0,0,0,0">
              <w:txbxContent>
                <w:p>
                  <w:pPr>
                    <w:spacing w:before="4"/>
                    <w:ind w:left="20" w:right="-12" w:firstLine="0"/>
                    <w:jc w:val="left"/>
                    <w:rPr>
                      <w:sz w:val="12"/>
                    </w:rPr>
                  </w:pPr>
                  <w:r>
                    <w:rPr>
                      <w:color w:val="58595B"/>
                      <w:sz w:val="12"/>
                    </w:rPr>
                    <w:t>12</w:t>
                  </w:r>
                </w:p>
              </w:txbxContent>
            </v:textbox>
            <w10:wrap type="none"/>
          </v:shape>
        </w:pict>
      </w:r>
      <w:r>
        <w:rPr/>
        <w:pict>
          <v:shape style="position:absolute;margin-left:89.690598pt;margin-top:326.273041pt;width:8.1pt;height:8pt;mso-position-horizontal-relative:page;mso-position-vertical-relative:page;z-index:-181072" type="#_x0000_t202" filled="false" stroked="false">
            <v:textbox inset="0,0,0,0">
              <w:txbxContent>
                <w:p>
                  <w:pPr>
                    <w:spacing w:before="4"/>
                    <w:ind w:left="20" w:right="-12" w:firstLine="0"/>
                    <w:jc w:val="left"/>
                    <w:rPr>
                      <w:sz w:val="12"/>
                    </w:rPr>
                  </w:pPr>
                  <w:r>
                    <w:rPr>
                      <w:color w:val="58595B"/>
                      <w:sz w:val="12"/>
                    </w:rPr>
                    <w:t>13</w:t>
                  </w:r>
                </w:p>
              </w:txbxContent>
            </v:textbox>
            <w10:wrap type="none"/>
          </v:shape>
        </w:pict>
      </w:r>
      <w:r>
        <w:rPr/>
        <w:pict>
          <v:shape style="position:absolute;margin-left:312.542603pt;margin-top:333.419037pt;width:8.7pt;height:8pt;mso-position-horizontal-relative:page;mso-position-vertical-relative:page;z-index:-181048" type="#_x0000_t202" filled="false" stroked="false">
            <v:textbox inset="0,0,0,0">
              <w:txbxContent>
                <w:p>
                  <w:pPr>
                    <w:spacing w:before="4"/>
                    <w:ind w:left="20" w:right="0" w:firstLine="0"/>
                    <w:jc w:val="left"/>
                    <w:rPr>
                      <w:sz w:val="12"/>
                    </w:rPr>
                  </w:pPr>
                  <w:r>
                    <w:rPr>
                      <w:color w:val="58595B"/>
                      <w:sz w:val="12"/>
                    </w:rPr>
                    <w:t>46</w:t>
                  </w:r>
                </w:p>
              </w:txbxContent>
            </v:textbox>
            <w10:wrap type="none"/>
          </v:shape>
        </w:pict>
      </w:r>
      <w:r>
        <w:rPr/>
        <w:pict>
          <v:shape style="position:absolute;margin-left:89.690598pt;margin-top:341.693024pt;width:8.15pt;height:8pt;mso-position-horizontal-relative:page;mso-position-vertical-relative:page;z-index:-181024" type="#_x0000_t202" filled="false" stroked="false">
            <v:textbox inset="0,0,0,0">
              <w:txbxContent>
                <w:p>
                  <w:pPr>
                    <w:spacing w:before="4"/>
                    <w:ind w:left="20" w:right="-11" w:firstLine="0"/>
                    <w:jc w:val="left"/>
                    <w:rPr>
                      <w:sz w:val="12"/>
                    </w:rPr>
                  </w:pPr>
                  <w:r>
                    <w:rPr>
                      <w:color w:val="58595B"/>
                      <w:sz w:val="12"/>
                    </w:rPr>
                    <w:t>14</w:t>
                  </w:r>
                </w:p>
              </w:txbxContent>
            </v:textbox>
            <w10:wrap type="none"/>
          </v:shape>
        </w:pict>
      </w:r>
      <w:r>
        <w:rPr/>
        <w:pict>
          <v:shape style="position:absolute;margin-left:89.690598pt;margin-top:357.113037pt;width:8.15pt;height:8pt;mso-position-horizontal-relative:page;mso-position-vertical-relative:page;z-index:-181000" type="#_x0000_t202" filled="false" stroked="false">
            <v:textbox inset="0,0,0,0">
              <w:txbxContent>
                <w:p>
                  <w:pPr>
                    <w:spacing w:before="4"/>
                    <w:ind w:left="20" w:right="-11" w:firstLine="0"/>
                    <w:jc w:val="left"/>
                    <w:rPr>
                      <w:sz w:val="12"/>
                    </w:rPr>
                  </w:pPr>
                  <w:r>
                    <w:rPr>
                      <w:color w:val="58595B"/>
                      <w:sz w:val="12"/>
                    </w:rPr>
                    <w:t>15</w:t>
                  </w:r>
                </w:p>
              </w:txbxContent>
            </v:textbox>
            <w10:wrap type="none"/>
          </v:shape>
        </w:pict>
      </w:r>
      <w:r>
        <w:rPr/>
        <w:pict>
          <v:shape style="position:absolute;margin-left:312.542603pt;margin-top:362.843018pt;width:8.15pt;height:8pt;mso-position-horizontal-relative:page;mso-position-vertical-relative:page;z-index:-180976" type="#_x0000_t202" filled="false" stroked="false">
            <v:textbox inset="0,0,0,0">
              <w:txbxContent>
                <w:p>
                  <w:pPr>
                    <w:spacing w:before="4"/>
                    <w:ind w:left="20" w:right="-11" w:firstLine="0"/>
                    <w:jc w:val="left"/>
                    <w:rPr>
                      <w:sz w:val="12"/>
                    </w:rPr>
                  </w:pPr>
                  <w:r>
                    <w:rPr>
                      <w:color w:val="58595B"/>
                      <w:sz w:val="12"/>
                    </w:rPr>
                    <w:t>47</w:t>
                  </w:r>
                </w:p>
              </w:txbxContent>
            </v:textbox>
            <w10:wrap type="none"/>
          </v:shape>
        </w:pict>
      </w:r>
      <w:r>
        <w:rPr/>
        <w:pict>
          <v:shape style="position:absolute;margin-left:312.542603pt;margin-top:378.263031pt;width:8.7pt;height:8pt;mso-position-horizontal-relative:page;mso-position-vertical-relative:page;z-index:-180952" type="#_x0000_t202" filled="false" stroked="false">
            <v:textbox inset="0,0,0,0">
              <w:txbxContent>
                <w:p>
                  <w:pPr>
                    <w:spacing w:before="4"/>
                    <w:ind w:left="20" w:right="0" w:firstLine="0"/>
                    <w:jc w:val="left"/>
                    <w:rPr>
                      <w:sz w:val="12"/>
                    </w:rPr>
                  </w:pPr>
                  <w:r>
                    <w:rPr>
                      <w:color w:val="58595B"/>
                      <w:sz w:val="12"/>
                    </w:rPr>
                    <w:t>48</w:t>
                  </w:r>
                </w:p>
              </w:txbxContent>
            </v:textbox>
            <w10:wrap type="none"/>
          </v:shape>
        </w:pict>
      </w:r>
      <w:r>
        <w:rPr/>
        <w:pict>
          <v:shape style="position:absolute;margin-left:89.696602pt;margin-top:386.537018pt;width:8.25pt;height:16.45pt;mso-position-horizontal-relative:page;mso-position-vertical-relative:page;z-index:-180928" type="#_x0000_t202" filled="false" stroked="false">
            <v:textbox inset="0,0,0,0">
              <w:txbxContent>
                <w:p>
                  <w:pPr>
                    <w:spacing w:before="4"/>
                    <w:ind w:left="20" w:right="-9" w:firstLine="0"/>
                    <w:jc w:val="left"/>
                    <w:rPr>
                      <w:sz w:val="12"/>
                    </w:rPr>
                  </w:pPr>
                  <w:r>
                    <w:rPr>
                      <w:color w:val="58595B"/>
                      <w:sz w:val="12"/>
                    </w:rPr>
                    <w:t>16</w:t>
                  </w:r>
                </w:p>
                <w:p>
                  <w:pPr>
                    <w:spacing w:before="30"/>
                    <w:ind w:left="20" w:right="-9" w:firstLine="0"/>
                    <w:jc w:val="left"/>
                    <w:rPr>
                      <w:sz w:val="12"/>
                    </w:rPr>
                  </w:pPr>
                  <w:r>
                    <w:rPr>
                      <w:color w:val="58595B"/>
                      <w:sz w:val="12"/>
                    </w:rPr>
                    <w:t>17</w:t>
                  </w:r>
                </w:p>
              </w:txbxContent>
            </v:textbox>
            <w10:wrap type="none"/>
          </v:shape>
        </w:pict>
      </w:r>
      <w:r>
        <w:rPr/>
        <w:pict>
          <v:shape style="position:absolute;margin-left:312.542603pt;margin-top:393.683014pt;width:8.65pt;height:8pt;mso-position-horizontal-relative:page;mso-position-vertical-relative:page;z-index:-180904" type="#_x0000_t202" filled="false" stroked="false">
            <v:textbox inset="0,0,0,0">
              <w:txbxContent>
                <w:p>
                  <w:pPr>
                    <w:spacing w:before="4"/>
                    <w:ind w:left="20" w:right="-1" w:firstLine="0"/>
                    <w:jc w:val="left"/>
                    <w:rPr>
                      <w:sz w:val="12"/>
                    </w:rPr>
                  </w:pPr>
                  <w:r>
                    <w:rPr>
                      <w:color w:val="58595B"/>
                      <w:sz w:val="12"/>
                    </w:rPr>
                    <w:t>49</w:t>
                  </w:r>
                </w:p>
              </w:txbxContent>
            </v:textbox>
            <w10:wrap type="none"/>
          </v:shape>
        </w:pict>
      </w:r>
      <w:r>
        <w:rPr/>
        <w:pict>
          <v:shape style="position:absolute;margin-left:89.696602pt;margin-top:410.375031pt;width:8.2pt;height:8pt;mso-position-horizontal-relative:page;mso-position-vertical-relative:page;z-index:-180880" type="#_x0000_t202" filled="false" stroked="false">
            <v:textbox inset="0,0,0,0">
              <w:txbxContent>
                <w:p>
                  <w:pPr>
                    <w:spacing w:before="4"/>
                    <w:ind w:left="20" w:right="-10" w:firstLine="0"/>
                    <w:jc w:val="left"/>
                    <w:rPr>
                      <w:sz w:val="12"/>
                    </w:rPr>
                  </w:pPr>
                  <w:r>
                    <w:rPr>
                      <w:color w:val="58595B"/>
                      <w:sz w:val="12"/>
                    </w:rPr>
                    <w:t>18</w:t>
                  </w:r>
                </w:p>
              </w:txbxContent>
            </v:textbox>
            <w10:wrap type="none"/>
          </v:shape>
        </w:pict>
      </w:r>
      <w:r>
        <w:rPr/>
        <w:pict>
          <v:shape style="position:absolute;margin-left:312.542603pt;margin-top:416.105042pt;width:8.7pt;height:8pt;mso-position-horizontal-relative:page;mso-position-vertical-relative:page;z-index:-180856" type="#_x0000_t202" filled="false" stroked="false">
            <v:textbox inset="0,0,0,0">
              <w:txbxContent>
                <w:p>
                  <w:pPr>
                    <w:spacing w:before="4"/>
                    <w:ind w:left="20" w:right="0" w:firstLine="0"/>
                    <w:jc w:val="left"/>
                    <w:rPr>
                      <w:sz w:val="12"/>
                    </w:rPr>
                  </w:pPr>
                  <w:r>
                    <w:rPr>
                      <w:color w:val="58595B"/>
                      <w:sz w:val="12"/>
                    </w:rPr>
                    <w:t>50</w:t>
                  </w:r>
                </w:p>
              </w:txbxContent>
            </v:textbox>
            <w10:wrap type="none"/>
          </v:shape>
        </w:pict>
      </w:r>
      <w:r>
        <w:rPr/>
        <w:pict>
          <v:shape style="position:absolute;margin-left:89.696602pt;margin-top:425.795013pt;width:8.2pt;height:8pt;mso-position-horizontal-relative:page;mso-position-vertical-relative:page;z-index:-180832" type="#_x0000_t202" filled="false" stroked="false">
            <v:textbox inset="0,0,0,0">
              <w:txbxContent>
                <w:p>
                  <w:pPr>
                    <w:spacing w:before="4"/>
                    <w:ind w:left="20" w:right="-10" w:firstLine="0"/>
                    <w:jc w:val="left"/>
                    <w:rPr>
                      <w:sz w:val="12"/>
                    </w:rPr>
                  </w:pPr>
                  <w:r>
                    <w:rPr>
                      <w:color w:val="58595B"/>
                      <w:sz w:val="12"/>
                    </w:rPr>
                    <w:t>19</w:t>
                  </w:r>
                </w:p>
              </w:txbxContent>
            </v:textbox>
            <w10:wrap type="none"/>
          </v:shape>
        </w:pict>
      </w:r>
      <w:r>
        <w:rPr/>
        <w:pict>
          <v:shape style="position:absolute;margin-left:312.542603pt;margin-top:438.527039pt;width:8.6pt;height:16.45pt;mso-position-horizontal-relative:page;mso-position-vertical-relative:page;z-index:-180808" type="#_x0000_t202" filled="false" stroked="false">
            <v:textbox inset="0,0,0,0">
              <w:txbxContent>
                <w:p>
                  <w:pPr>
                    <w:spacing w:before="4"/>
                    <w:ind w:left="20" w:right="-2" w:firstLine="0"/>
                    <w:jc w:val="left"/>
                    <w:rPr>
                      <w:sz w:val="12"/>
                    </w:rPr>
                  </w:pPr>
                  <w:r>
                    <w:rPr>
                      <w:color w:val="58595B"/>
                      <w:sz w:val="12"/>
                    </w:rPr>
                    <w:t>51</w:t>
                  </w:r>
                </w:p>
                <w:p>
                  <w:pPr>
                    <w:spacing w:before="30"/>
                    <w:ind w:left="20" w:right="-2" w:firstLine="0"/>
                    <w:jc w:val="left"/>
                    <w:rPr>
                      <w:sz w:val="12"/>
                    </w:rPr>
                  </w:pPr>
                  <w:r>
                    <w:rPr>
                      <w:color w:val="58595B"/>
                      <w:sz w:val="12"/>
                    </w:rPr>
                    <w:t>52</w:t>
                  </w:r>
                </w:p>
              </w:txbxContent>
            </v:textbox>
            <w10:wrap type="none"/>
          </v:shape>
        </w:pict>
      </w:r>
      <w:r>
        <w:rPr/>
        <w:pict>
          <v:shape style="position:absolute;margin-left:89.696602pt;margin-top:441.215027pt;width:8.65pt;height:8pt;mso-position-horizontal-relative:page;mso-position-vertical-relative:page;z-index:-180784" type="#_x0000_t202" filled="false" stroked="false">
            <v:textbox inset="0,0,0,0">
              <w:txbxContent>
                <w:p>
                  <w:pPr>
                    <w:spacing w:before="4"/>
                    <w:ind w:left="20" w:right="-1" w:firstLine="0"/>
                    <w:jc w:val="left"/>
                    <w:rPr>
                      <w:sz w:val="12"/>
                    </w:rPr>
                  </w:pPr>
                  <w:r>
                    <w:rPr>
                      <w:color w:val="58595B"/>
                      <w:sz w:val="12"/>
                    </w:rPr>
                    <w:t>20</w:t>
                  </w:r>
                </w:p>
              </w:txbxContent>
            </v:textbox>
            <w10:wrap type="none"/>
          </v:shape>
        </w:pict>
      </w:r>
      <w:r>
        <w:rPr/>
        <w:pict>
          <v:shape style="position:absolute;margin-left:89.696602pt;margin-top:456.63504pt;width:8.3pt;height:8pt;mso-position-horizontal-relative:page;mso-position-vertical-relative:page;z-index:-180760" type="#_x0000_t202" filled="false" stroked="false">
            <v:textbox inset="0,0,0,0">
              <w:txbxContent>
                <w:p>
                  <w:pPr>
                    <w:spacing w:before="4"/>
                    <w:ind w:left="20" w:right="-8" w:firstLine="0"/>
                    <w:jc w:val="left"/>
                    <w:rPr>
                      <w:sz w:val="12"/>
                    </w:rPr>
                  </w:pPr>
                  <w:r>
                    <w:rPr>
                      <w:color w:val="58595B"/>
                      <w:sz w:val="12"/>
                    </w:rPr>
                    <w:t>21</w:t>
                  </w:r>
                </w:p>
              </w:txbxContent>
            </v:textbox>
            <w10:wrap type="none"/>
          </v:shape>
        </w:pict>
      </w:r>
      <w:r>
        <w:rPr/>
        <w:pict>
          <v:shape style="position:absolute;margin-left:312.542603pt;margin-top:462.365021pt;width:8.7pt;height:8pt;mso-position-horizontal-relative:page;mso-position-vertical-relative:page;z-index:-180736" type="#_x0000_t202" filled="false" stroked="false">
            <v:textbox inset="0,0,0,0">
              <w:txbxContent>
                <w:p>
                  <w:pPr>
                    <w:spacing w:before="4"/>
                    <w:ind w:left="20" w:right="0" w:firstLine="0"/>
                    <w:jc w:val="left"/>
                    <w:rPr>
                      <w:sz w:val="12"/>
                    </w:rPr>
                  </w:pPr>
                  <w:r>
                    <w:rPr>
                      <w:color w:val="58595B"/>
                      <w:sz w:val="12"/>
                    </w:rPr>
                    <w:t>53</w:t>
                  </w:r>
                </w:p>
              </w:txbxContent>
            </v:textbox>
            <w10:wrap type="none"/>
          </v:shape>
        </w:pict>
      </w:r>
      <w:r>
        <w:rPr/>
        <w:pict>
          <v:shape style="position:absolute;margin-left:89.702599pt;margin-top:472.055023pt;width:8.7pt;height:8pt;mso-position-horizontal-relative:page;mso-position-vertical-relative:page;z-index:-180712" type="#_x0000_t202" filled="false" stroked="false">
            <v:textbox inset="0,0,0,0">
              <w:txbxContent>
                <w:p>
                  <w:pPr>
                    <w:spacing w:before="4"/>
                    <w:ind w:left="20" w:right="0" w:firstLine="0"/>
                    <w:jc w:val="left"/>
                    <w:rPr>
                      <w:sz w:val="12"/>
                    </w:rPr>
                  </w:pPr>
                  <w:r>
                    <w:rPr>
                      <w:color w:val="58595B"/>
                      <w:sz w:val="12"/>
                    </w:rPr>
                    <w:t>22</w:t>
                  </w:r>
                </w:p>
              </w:txbxContent>
            </v:textbox>
            <w10:wrap type="none"/>
          </v:shape>
        </w:pict>
      </w:r>
      <w:r>
        <w:rPr/>
        <w:pict>
          <v:shape style="position:absolute;margin-left:312.536591pt;margin-top:477.785034pt;width:8.8pt;height:33.3pt;mso-position-horizontal-relative:page;mso-position-vertical-relative:page;z-index:-180688" type="#_x0000_t202" filled="false" stroked="false">
            <v:textbox inset="0,0,0,0">
              <w:txbxContent>
                <w:p>
                  <w:pPr>
                    <w:spacing w:before="4"/>
                    <w:ind w:left="20" w:right="0" w:firstLine="0"/>
                    <w:jc w:val="left"/>
                    <w:rPr>
                      <w:sz w:val="12"/>
                    </w:rPr>
                  </w:pPr>
                  <w:r>
                    <w:rPr>
                      <w:color w:val="58595B"/>
                      <w:sz w:val="12"/>
                    </w:rPr>
                    <w:t>54</w:t>
                  </w:r>
                </w:p>
                <w:p>
                  <w:pPr>
                    <w:spacing w:before="30"/>
                    <w:ind w:left="20" w:right="0" w:firstLine="0"/>
                    <w:jc w:val="left"/>
                    <w:rPr>
                      <w:sz w:val="12"/>
                    </w:rPr>
                  </w:pPr>
                  <w:r>
                    <w:rPr>
                      <w:color w:val="58595B"/>
                      <w:sz w:val="12"/>
                    </w:rPr>
                    <w:t>55</w:t>
                  </w:r>
                </w:p>
                <w:p>
                  <w:pPr>
                    <w:spacing w:before="30"/>
                    <w:ind w:left="20" w:right="0" w:firstLine="0"/>
                    <w:jc w:val="left"/>
                    <w:rPr>
                      <w:sz w:val="12"/>
                    </w:rPr>
                  </w:pPr>
                  <w:r>
                    <w:rPr>
                      <w:color w:val="58595B"/>
                      <w:sz w:val="12"/>
                    </w:rPr>
                    <w:t>56</w:t>
                  </w:r>
                </w:p>
                <w:p>
                  <w:pPr>
                    <w:spacing w:before="30"/>
                    <w:ind w:left="20" w:right="0" w:firstLine="0"/>
                    <w:jc w:val="left"/>
                    <w:rPr>
                      <w:sz w:val="12"/>
                    </w:rPr>
                  </w:pPr>
                  <w:r>
                    <w:rPr>
                      <w:color w:val="58595B"/>
                      <w:sz w:val="12"/>
                    </w:rPr>
                    <w:t>57</w:t>
                  </w:r>
                </w:p>
              </w:txbxContent>
            </v:textbox>
            <w10:wrap type="none"/>
          </v:shape>
        </w:pict>
      </w:r>
      <w:r>
        <w:rPr/>
        <w:pict>
          <v:shape style="position:absolute;margin-left:89.702599pt;margin-top:487.475037pt;width:8.65pt;height:8pt;mso-position-horizontal-relative:page;mso-position-vertical-relative:page;z-index:-180664" type="#_x0000_t202" filled="false" stroked="false">
            <v:textbox inset="0,0,0,0">
              <w:txbxContent>
                <w:p>
                  <w:pPr>
                    <w:spacing w:before="4"/>
                    <w:ind w:left="20" w:right="-1" w:firstLine="0"/>
                    <w:jc w:val="left"/>
                    <w:rPr>
                      <w:sz w:val="12"/>
                    </w:rPr>
                  </w:pPr>
                  <w:r>
                    <w:rPr>
                      <w:color w:val="58595B"/>
                      <w:sz w:val="12"/>
                    </w:rPr>
                    <w:t>23</w:t>
                  </w:r>
                </w:p>
              </w:txbxContent>
            </v:textbox>
            <w10:wrap type="none"/>
          </v:shape>
        </w:pict>
      </w:r>
      <w:r>
        <w:rPr/>
        <w:pict>
          <v:shape style="position:absolute;margin-left:89.702599pt;margin-top:502.89502pt;width:8.550pt;height:8pt;mso-position-horizontal-relative:page;mso-position-vertical-relative:page;z-index:-180640" type="#_x0000_t202" filled="false" stroked="false">
            <v:textbox inset="0,0,0,0">
              <w:txbxContent>
                <w:p>
                  <w:pPr>
                    <w:spacing w:before="4"/>
                    <w:ind w:left="20" w:right="-3" w:firstLine="0"/>
                    <w:jc w:val="left"/>
                    <w:rPr>
                      <w:sz w:val="12"/>
                    </w:rPr>
                  </w:pPr>
                  <w:r>
                    <w:rPr>
                      <w:color w:val="58595B"/>
                      <w:sz w:val="12"/>
                    </w:rPr>
                    <w:t>24</w:t>
                  </w:r>
                </w:p>
              </w:txbxContent>
            </v:textbox>
            <w10:wrap type="none"/>
          </v:shape>
        </w:pict>
      </w:r>
      <w:r>
        <w:rPr/>
        <w:pict>
          <v:shape style="position:absolute;margin-left:312.536591pt;margin-top:518.459045pt;width:8.7pt;height:8pt;mso-position-horizontal-relative:page;mso-position-vertical-relative:page;z-index:-180616" type="#_x0000_t202" filled="false" stroked="false">
            <v:textbox inset="0,0,0,0">
              <w:txbxContent>
                <w:p>
                  <w:pPr>
                    <w:spacing w:before="4"/>
                    <w:ind w:left="20" w:right="0" w:firstLine="0"/>
                    <w:jc w:val="left"/>
                    <w:rPr>
                      <w:sz w:val="12"/>
                    </w:rPr>
                  </w:pPr>
                  <w:r>
                    <w:rPr>
                      <w:color w:val="58595B"/>
                      <w:sz w:val="12"/>
                    </w:rPr>
                    <w:t>58</w:t>
                  </w:r>
                </w:p>
              </w:txbxContent>
            </v:textbox>
            <w10:wrap type="none"/>
          </v:shape>
        </w:pict>
      </w:r>
      <w:r>
        <w:rPr/>
        <w:pict>
          <v:shape style="position:absolute;margin-left:89.702599pt;margin-top:525.317017pt;width:8.6pt;height:8pt;mso-position-horizontal-relative:page;mso-position-vertical-relative:page;z-index:-180592" type="#_x0000_t202" filled="false" stroked="false">
            <v:textbox inset="0,0,0,0">
              <w:txbxContent>
                <w:p>
                  <w:pPr>
                    <w:spacing w:before="4"/>
                    <w:ind w:left="20" w:right="-2" w:firstLine="0"/>
                    <w:jc w:val="left"/>
                    <w:rPr>
                      <w:sz w:val="12"/>
                    </w:rPr>
                  </w:pPr>
                  <w:r>
                    <w:rPr>
                      <w:color w:val="58595B"/>
                      <w:sz w:val="12"/>
                    </w:rPr>
                    <w:t>25</w:t>
                  </w:r>
                </w:p>
              </w:txbxContent>
            </v:textbox>
            <w10:wrap type="none"/>
          </v:shape>
        </w:pict>
      </w:r>
      <w:r>
        <w:rPr/>
        <w:pict>
          <v:shape style="position:absolute;margin-left:312.536591pt;margin-top:533.879028pt;width:8.65pt;height:8pt;mso-position-horizontal-relative:page;mso-position-vertical-relative:page;z-index:-180568" type="#_x0000_t202" filled="false" stroked="false">
            <v:textbox inset="0,0,0,0">
              <w:txbxContent>
                <w:p>
                  <w:pPr>
                    <w:spacing w:before="4"/>
                    <w:ind w:left="20" w:right="-1" w:firstLine="0"/>
                    <w:jc w:val="left"/>
                    <w:rPr>
                      <w:sz w:val="12"/>
                    </w:rPr>
                  </w:pPr>
                  <w:r>
                    <w:rPr>
                      <w:color w:val="58595B"/>
                      <w:sz w:val="12"/>
                    </w:rPr>
                    <w:t>59</w:t>
                  </w:r>
                </w:p>
              </w:txbxContent>
            </v:textbox>
            <w10:wrap type="none"/>
          </v:shape>
        </w:pict>
      </w:r>
      <w:r>
        <w:rPr/>
        <w:pict>
          <v:shape style="position:absolute;margin-left:312.536591pt;margin-top:549.299011pt;width:8.75pt;height:8pt;mso-position-horizontal-relative:page;mso-position-vertical-relative:page;z-index:-180544" type="#_x0000_t202" filled="false" stroked="false">
            <v:textbox inset="0,0,0,0">
              <w:txbxContent>
                <w:p>
                  <w:pPr>
                    <w:spacing w:before="4"/>
                    <w:ind w:left="20" w:right="0" w:firstLine="0"/>
                    <w:jc w:val="left"/>
                    <w:rPr>
                      <w:sz w:val="12"/>
                    </w:rPr>
                  </w:pPr>
                  <w:r>
                    <w:rPr>
                      <w:color w:val="58595B"/>
                      <w:sz w:val="12"/>
                    </w:rPr>
                    <w:t>60</w:t>
                  </w:r>
                </w:p>
              </w:txbxContent>
            </v:textbox>
            <w10:wrap type="none"/>
          </v:shape>
        </w:pict>
      </w:r>
      <w:r>
        <w:rPr/>
        <w:pict>
          <v:shape style="position:absolute;margin-left:312.536591pt;margin-top:564.719055pt;width:8.3pt;height:8pt;mso-position-horizontal-relative:page;mso-position-vertical-relative:page;z-index:-180520" type="#_x0000_t202" filled="false" stroked="false">
            <v:textbox inset="0,0,0,0">
              <w:txbxContent>
                <w:p>
                  <w:pPr>
                    <w:spacing w:before="4"/>
                    <w:ind w:left="20" w:right="-8" w:firstLine="0"/>
                    <w:jc w:val="left"/>
                    <w:rPr>
                      <w:sz w:val="12"/>
                    </w:rPr>
                  </w:pPr>
                  <w:r>
                    <w:rPr>
                      <w:color w:val="58595B"/>
                      <w:sz w:val="12"/>
                    </w:rPr>
                    <w:t>61</w:t>
                  </w:r>
                </w:p>
              </w:txbxContent>
            </v:textbox>
            <w10:wrap type="none"/>
          </v:shape>
        </w:pict>
      </w:r>
      <w:r>
        <w:rPr/>
        <w:pict>
          <v:shape style="position:absolute;margin-left:89.702599pt;margin-top:568.745056pt;width:8.65pt;height:8pt;mso-position-horizontal-relative:page;mso-position-vertical-relative:page;z-index:-180496" type="#_x0000_t202" filled="false" stroked="false">
            <v:textbox inset="0,0,0,0">
              <w:txbxContent>
                <w:p>
                  <w:pPr>
                    <w:spacing w:before="4"/>
                    <w:ind w:left="20" w:right="-1" w:firstLine="0"/>
                    <w:jc w:val="left"/>
                    <w:rPr>
                      <w:sz w:val="12"/>
                    </w:rPr>
                  </w:pPr>
                  <w:r>
                    <w:rPr>
                      <w:color w:val="58595B"/>
                      <w:sz w:val="12"/>
                    </w:rPr>
                    <w:t>26</w:t>
                  </w:r>
                </w:p>
              </w:txbxContent>
            </v:textbox>
            <w10:wrap type="none"/>
          </v:shape>
        </w:pict>
      </w:r>
      <w:r>
        <w:rPr/>
        <w:pict>
          <v:shape style="position:absolute;margin-left:312.524597pt;margin-top:587.141052pt;width:8.75pt;height:33.3pt;mso-position-horizontal-relative:page;mso-position-vertical-relative:page;z-index:-180472" type="#_x0000_t202" filled="false" stroked="false">
            <v:textbox inset="0,0,0,0">
              <w:txbxContent>
                <w:p>
                  <w:pPr>
                    <w:spacing w:before="4"/>
                    <w:ind w:left="20" w:right="0" w:firstLine="0"/>
                    <w:jc w:val="left"/>
                    <w:rPr>
                      <w:sz w:val="12"/>
                    </w:rPr>
                  </w:pPr>
                  <w:r>
                    <w:rPr>
                      <w:color w:val="58595B"/>
                      <w:sz w:val="12"/>
                    </w:rPr>
                    <w:t>62</w:t>
                  </w:r>
                </w:p>
                <w:p>
                  <w:pPr>
                    <w:spacing w:before="30"/>
                    <w:ind w:left="20" w:right="0" w:firstLine="0"/>
                    <w:jc w:val="left"/>
                    <w:rPr>
                      <w:sz w:val="12"/>
                    </w:rPr>
                  </w:pPr>
                  <w:r>
                    <w:rPr>
                      <w:color w:val="58595B"/>
                      <w:sz w:val="12"/>
                    </w:rPr>
                    <w:t>63</w:t>
                  </w:r>
                </w:p>
                <w:p>
                  <w:pPr>
                    <w:spacing w:before="30"/>
                    <w:ind w:left="20" w:right="0" w:firstLine="0"/>
                    <w:jc w:val="left"/>
                    <w:rPr>
                      <w:sz w:val="12"/>
                    </w:rPr>
                  </w:pPr>
                  <w:r>
                    <w:rPr>
                      <w:color w:val="58595B"/>
                      <w:sz w:val="12"/>
                    </w:rPr>
                    <w:t>64</w:t>
                  </w:r>
                </w:p>
                <w:p>
                  <w:pPr>
                    <w:spacing w:before="30"/>
                    <w:ind w:left="20" w:right="0" w:firstLine="0"/>
                    <w:jc w:val="left"/>
                    <w:rPr>
                      <w:sz w:val="12"/>
                    </w:rPr>
                  </w:pPr>
                  <w:r>
                    <w:rPr>
                      <w:color w:val="58595B"/>
                      <w:sz w:val="12"/>
                    </w:rPr>
                    <w:t>65</w:t>
                  </w:r>
                </w:p>
              </w:txbxContent>
            </v:textbox>
            <w10:wrap type="none"/>
          </v:shape>
        </w:pict>
      </w:r>
      <w:r>
        <w:rPr/>
        <w:pict>
          <v:shape style="position:absolute;margin-left:89.702599pt;margin-top:598.169006pt;width:8.6pt;height:8pt;mso-position-horizontal-relative:page;mso-position-vertical-relative:page;z-index:-180448" type="#_x0000_t202" filled="false" stroked="false">
            <v:textbox inset="0,0,0,0">
              <w:txbxContent>
                <w:p>
                  <w:pPr>
                    <w:spacing w:before="4"/>
                    <w:ind w:left="20" w:right="-2" w:firstLine="0"/>
                    <w:jc w:val="left"/>
                    <w:rPr>
                      <w:sz w:val="12"/>
                    </w:rPr>
                  </w:pPr>
                  <w:r>
                    <w:rPr>
                      <w:color w:val="58595B"/>
                      <w:sz w:val="12"/>
                    </w:rPr>
                    <w:t>27</w:t>
                  </w:r>
                </w:p>
              </w:txbxContent>
            </v:textbox>
            <w10:wrap type="none"/>
          </v:shape>
        </w:pict>
      </w:r>
      <w:r>
        <w:rPr/>
        <w:pict>
          <v:shape style="position:absolute;margin-left:89.702599pt;margin-top:627.593018pt;width:8.6pt;height:8pt;mso-position-horizontal-relative:page;mso-position-vertical-relative:page;z-index:-180424" type="#_x0000_t202" filled="false" stroked="false">
            <v:textbox inset="0,0,0,0">
              <w:txbxContent>
                <w:p>
                  <w:pPr>
                    <w:spacing w:before="4"/>
                    <w:ind w:left="20" w:right="-2" w:firstLine="0"/>
                    <w:jc w:val="left"/>
                    <w:rPr>
                      <w:sz w:val="12"/>
                    </w:rPr>
                  </w:pPr>
                  <w:r>
                    <w:rPr>
                      <w:color w:val="58595B"/>
                      <w:sz w:val="12"/>
                    </w:rPr>
                    <w:t>28</w:t>
                  </w:r>
                </w:p>
              </w:txbxContent>
            </v:textbox>
            <w10:wrap type="none"/>
          </v:shape>
        </w:pict>
      </w:r>
      <w:r>
        <w:rPr/>
        <w:pict>
          <v:shape style="position:absolute;margin-left:312.524597pt;margin-top:627.815002pt;width:8.75pt;height:8pt;mso-position-horizontal-relative:page;mso-position-vertical-relative:page;z-index:-180400" type="#_x0000_t202" filled="false" stroked="false">
            <v:textbox inset="0,0,0,0">
              <w:txbxContent>
                <w:p>
                  <w:pPr>
                    <w:spacing w:before="4"/>
                    <w:ind w:left="20" w:right="0" w:firstLine="0"/>
                    <w:jc w:val="left"/>
                    <w:rPr>
                      <w:sz w:val="12"/>
                    </w:rPr>
                  </w:pPr>
                  <w:r>
                    <w:rPr>
                      <w:color w:val="58595B"/>
                      <w:sz w:val="12"/>
                    </w:rPr>
                    <w:t>66</w:t>
                  </w:r>
                </w:p>
              </w:txbxContent>
            </v:textbox>
            <w10:wrap type="none"/>
          </v:shape>
        </w:pict>
      </w:r>
      <w:r>
        <w:rPr/>
        <w:pict>
          <v:shape style="position:absolute;margin-left:312.524597pt;margin-top:650.237pt;width:8.6pt;height:8pt;mso-position-horizontal-relative:page;mso-position-vertical-relative:page;z-index:-180376" type="#_x0000_t202" filled="false" stroked="false">
            <v:textbox inset="0,0,0,0">
              <w:txbxContent>
                <w:p>
                  <w:pPr>
                    <w:spacing w:before="4"/>
                    <w:ind w:left="20" w:right="-2" w:firstLine="0"/>
                    <w:jc w:val="left"/>
                    <w:rPr>
                      <w:sz w:val="12"/>
                    </w:rPr>
                  </w:pPr>
                  <w:r>
                    <w:rPr>
                      <w:color w:val="58595B"/>
                      <w:sz w:val="12"/>
                    </w:rPr>
                    <w:t>67</w:t>
                  </w:r>
                </w:p>
              </w:txbxContent>
            </v:textbox>
            <w10:wrap type="none"/>
          </v:shape>
        </w:pict>
      </w:r>
      <w:r>
        <w:rPr/>
        <w:pict>
          <v:shape style="position:absolute;margin-left:89.702599pt;margin-top:657.017029pt;width:8.65pt;height:8pt;mso-position-horizontal-relative:page;mso-position-vertical-relative:page;z-index:-180352" type="#_x0000_t202" filled="false" stroked="false">
            <v:textbox inset="0,0,0,0">
              <w:txbxContent>
                <w:p>
                  <w:pPr>
                    <w:spacing w:before="4"/>
                    <w:ind w:left="20" w:right="-1" w:firstLine="0"/>
                    <w:jc w:val="left"/>
                    <w:rPr>
                      <w:sz w:val="12"/>
                    </w:rPr>
                  </w:pPr>
                  <w:r>
                    <w:rPr>
                      <w:color w:val="58595B"/>
                      <w:sz w:val="12"/>
                    </w:rPr>
                    <w:t>29</w:t>
                  </w:r>
                </w:p>
              </w:txbxContent>
            </v:textbox>
            <w10:wrap type="none"/>
          </v:shape>
        </w:pict>
      </w:r>
      <w:r>
        <w:rPr/>
        <w:pict>
          <v:shape style="position:absolute;margin-left:312.524597pt;margin-top:672.658997pt;width:8.7pt;height:8pt;mso-position-horizontal-relative:page;mso-position-vertical-relative:page;z-index:-180328" type="#_x0000_t202" filled="false" stroked="false">
            <v:textbox inset="0,0,0,0">
              <w:txbxContent>
                <w:p>
                  <w:pPr>
                    <w:spacing w:before="4"/>
                    <w:ind w:left="20" w:right="0" w:firstLine="0"/>
                    <w:jc w:val="left"/>
                    <w:rPr>
                      <w:sz w:val="12"/>
                    </w:rPr>
                  </w:pPr>
                  <w:r>
                    <w:rPr>
                      <w:color w:val="58595B"/>
                      <w:sz w:val="12"/>
                    </w:rPr>
                    <w:t>68</w:t>
                  </w:r>
                </w:p>
              </w:txbxContent>
            </v:textbox>
            <w10:wrap type="none"/>
          </v:shape>
        </w:pict>
      </w:r>
      <w:r>
        <w:rPr/>
        <w:pict>
          <v:shape style="position:absolute;margin-left:89.702599pt;margin-top:686.44104pt;width:8.7pt;height:8pt;mso-position-horizontal-relative:page;mso-position-vertical-relative:page;z-index:-180304" type="#_x0000_t202" filled="false" stroked="false">
            <v:textbox inset="0,0,0,0">
              <w:txbxContent>
                <w:p>
                  <w:pPr>
                    <w:spacing w:before="4"/>
                    <w:ind w:left="20" w:right="0" w:firstLine="0"/>
                    <w:jc w:val="left"/>
                    <w:rPr>
                      <w:sz w:val="12"/>
                    </w:rPr>
                  </w:pPr>
                  <w:r>
                    <w:rPr>
                      <w:color w:val="58595B"/>
                      <w:sz w:val="12"/>
                    </w:rPr>
                    <w:t>30</w:t>
                  </w:r>
                </w:p>
              </w:txbxContent>
            </v:textbox>
            <w10:wrap type="none"/>
          </v:shape>
        </w:pict>
      </w:r>
      <w:r>
        <w:rPr/>
        <w:pict>
          <v:shape style="position:absolute;margin-left:312.518585pt;margin-top:688.079041pt;width:8.7pt;height:24.85pt;mso-position-horizontal-relative:page;mso-position-vertical-relative:page;z-index:-180280" type="#_x0000_t202" filled="false" stroked="false">
            <v:textbox inset="0,0,0,0">
              <w:txbxContent>
                <w:p>
                  <w:pPr>
                    <w:spacing w:before="4"/>
                    <w:ind w:left="20" w:right="0" w:firstLine="0"/>
                    <w:jc w:val="left"/>
                    <w:rPr>
                      <w:sz w:val="12"/>
                    </w:rPr>
                  </w:pPr>
                  <w:r>
                    <w:rPr>
                      <w:color w:val="58595B"/>
                      <w:sz w:val="12"/>
                    </w:rPr>
                    <w:t>69</w:t>
                  </w:r>
                </w:p>
                <w:p>
                  <w:pPr>
                    <w:spacing w:before="30"/>
                    <w:ind w:left="20" w:right="0" w:firstLine="0"/>
                    <w:jc w:val="left"/>
                    <w:rPr>
                      <w:sz w:val="12"/>
                    </w:rPr>
                  </w:pPr>
                  <w:r>
                    <w:rPr>
                      <w:color w:val="58595B"/>
                      <w:sz w:val="12"/>
                    </w:rPr>
                    <w:t>70</w:t>
                  </w:r>
                </w:p>
                <w:p>
                  <w:pPr>
                    <w:spacing w:before="30"/>
                    <w:ind w:left="20" w:right="0" w:firstLine="0"/>
                    <w:jc w:val="left"/>
                    <w:rPr>
                      <w:sz w:val="12"/>
                    </w:rPr>
                  </w:pPr>
                  <w:r>
                    <w:rPr>
                      <w:color w:val="58595B"/>
                      <w:sz w:val="12"/>
                    </w:rPr>
                    <w:t>71</w:t>
                  </w:r>
                </w:p>
              </w:txbxContent>
            </v:textbox>
            <w10:wrap type="none"/>
          </v:shape>
        </w:pict>
      </w:r>
      <w:r>
        <w:rPr/>
        <w:pict>
          <v:shape style="position:absolute;margin-left:89.702599pt;margin-top:708.863037pt;width:8.15pt;height:8pt;mso-position-horizontal-relative:page;mso-position-vertical-relative:page;z-index:-180256" type="#_x0000_t202" filled="false" stroked="false">
            <v:textbox inset="0,0,0,0">
              <w:txbxContent>
                <w:p>
                  <w:pPr>
                    <w:spacing w:before="4"/>
                    <w:ind w:left="20" w:right="-11" w:firstLine="0"/>
                    <w:jc w:val="left"/>
                    <w:rPr>
                      <w:sz w:val="12"/>
                    </w:rPr>
                  </w:pPr>
                  <w:r>
                    <w:rPr>
                      <w:color w:val="58595B"/>
                      <w:sz w:val="12"/>
                    </w:rPr>
                    <w:t>31</w:t>
                  </w:r>
                </w:p>
              </w:txbxContent>
            </v:textbox>
            <w10:wrap type="none"/>
          </v:shape>
        </w:pict>
      </w:r>
      <w:r>
        <w:rPr/>
        <w:pict>
          <v:shape style="position:absolute;margin-left:312.518585pt;margin-top:727.337036pt;width:8.6pt;height:8pt;mso-position-horizontal-relative:page;mso-position-vertical-relative:page;z-index:-180232" type="#_x0000_t202" filled="false" stroked="false">
            <v:textbox inset="0,0,0,0">
              <w:txbxContent>
                <w:p>
                  <w:pPr>
                    <w:spacing w:before="4"/>
                    <w:ind w:left="20" w:right="-2" w:firstLine="0"/>
                    <w:jc w:val="left"/>
                    <w:rPr>
                      <w:sz w:val="12"/>
                    </w:rPr>
                  </w:pPr>
                  <w:r>
                    <w:rPr>
                      <w:color w:val="58595B"/>
                      <w:sz w:val="12"/>
                    </w:rPr>
                    <w:t>72</w:t>
                  </w:r>
                </w:p>
              </w:txbxContent>
            </v:textbox>
            <w10:wrap type="none"/>
          </v:shape>
        </w:pict>
      </w:r>
      <w:r>
        <w:rPr/>
        <w:pict>
          <v:shape style="position:absolute;margin-left:89.702599pt;margin-top:731.285034pt;width:8.6pt;height:8pt;mso-position-horizontal-relative:page;mso-position-vertical-relative:page;z-index:-180208" type="#_x0000_t202" filled="false" stroked="false">
            <v:textbox inset="0,0,0,0">
              <w:txbxContent>
                <w:p>
                  <w:pPr>
                    <w:spacing w:before="4"/>
                    <w:ind w:left="20" w:right="-2" w:firstLine="0"/>
                    <w:jc w:val="left"/>
                    <w:rPr>
                      <w:sz w:val="12"/>
                    </w:rPr>
                  </w:pPr>
                  <w:r>
                    <w:rPr>
                      <w:color w:val="58595B"/>
                      <w:sz w:val="12"/>
                    </w:rPr>
                    <w:t>32</w:t>
                  </w:r>
                </w:p>
              </w:txbxContent>
            </v:textbox>
            <w10:wrap type="none"/>
          </v:shape>
        </w:pict>
      </w:r>
      <w:r>
        <w:rPr/>
        <w:pict>
          <v:shape style="position:absolute;margin-left:312.518585pt;margin-top:742.757019pt;width:8.6pt;height:8pt;mso-position-horizontal-relative:page;mso-position-vertical-relative:page;z-index:-180184" type="#_x0000_t202" filled="false" stroked="false">
            <v:textbox inset="0,0,0,0">
              <w:txbxContent>
                <w:p>
                  <w:pPr>
                    <w:spacing w:before="4"/>
                    <w:ind w:left="20" w:right="-2" w:firstLine="0"/>
                    <w:jc w:val="left"/>
                    <w:rPr>
                      <w:sz w:val="12"/>
                    </w:rPr>
                  </w:pPr>
                  <w:r>
                    <w:rPr>
                      <w:color w:val="58595B"/>
                      <w:sz w:val="12"/>
                    </w:rPr>
                    <w:t>73</w:t>
                  </w:r>
                </w:p>
              </w:txbxContent>
            </v:textbox>
            <w10:wrap type="none"/>
          </v:shape>
        </w:pict>
      </w:r>
      <w:r>
        <w:rPr/>
        <w:pict>
          <v:shape style="position:absolute;margin-left:312.512604pt;margin-top:758.177002pt;width:7.8pt;height:8pt;mso-position-horizontal-relative:page;mso-position-vertical-relative:page;z-index:-180160" type="#_x0000_t202" filled="false" stroked="false">
            <v:textbox inset="0,0,0,0">
              <w:txbxContent>
                <w:p>
                  <w:pPr>
                    <w:spacing w:before="4"/>
                    <w:ind w:left="20" w:right="-18" w:firstLine="0"/>
                    <w:jc w:val="left"/>
                    <w:rPr>
                      <w:sz w:val="12"/>
                    </w:rPr>
                  </w:pPr>
                  <w:r>
                    <w:rPr>
                      <w:color w:val="58595B"/>
                      <w:sz w:val="12"/>
                    </w:rPr>
                    <w:t>74</w:t>
                  </w:r>
                </w:p>
              </w:txbxContent>
            </v:textbox>
            <w10:wrap type="none"/>
          </v:shape>
        </w:pict>
      </w:r>
      <w:r>
        <w:rPr/>
        <w:pict>
          <v:shape style="position:absolute;margin-left:312.506592pt;margin-top:773.597046pt;width:8.65pt;height:24.85pt;mso-position-horizontal-relative:page;mso-position-vertical-relative:page;z-index:-180136" type="#_x0000_t202" filled="false" stroked="false">
            <v:textbox inset="0,0,0,0">
              <w:txbxContent>
                <w:p>
                  <w:pPr>
                    <w:spacing w:before="4"/>
                    <w:ind w:left="20" w:right="-1" w:firstLine="0"/>
                    <w:jc w:val="left"/>
                    <w:rPr>
                      <w:sz w:val="12"/>
                    </w:rPr>
                  </w:pPr>
                  <w:r>
                    <w:rPr>
                      <w:color w:val="58595B"/>
                      <w:sz w:val="12"/>
                    </w:rPr>
                    <w:t>75</w:t>
                  </w:r>
                </w:p>
                <w:p>
                  <w:pPr>
                    <w:spacing w:before="30"/>
                    <w:ind w:left="20" w:right="-1" w:firstLine="0"/>
                    <w:jc w:val="left"/>
                    <w:rPr>
                      <w:sz w:val="12"/>
                    </w:rPr>
                  </w:pPr>
                  <w:r>
                    <w:rPr>
                      <w:color w:val="58595B"/>
                      <w:sz w:val="12"/>
                    </w:rPr>
                    <w:t>76</w:t>
                  </w:r>
                </w:p>
                <w:p>
                  <w:pPr>
                    <w:spacing w:before="30"/>
                    <w:ind w:left="20" w:right="-1" w:firstLine="0"/>
                    <w:jc w:val="left"/>
                    <w:rPr>
                      <w:sz w:val="12"/>
                    </w:rPr>
                  </w:pPr>
                  <w:r>
                    <w:rPr>
                      <w:color w:val="58595B"/>
                      <w:sz w:val="12"/>
                    </w:rPr>
                    <w:t>77</w:t>
                  </w:r>
                </w:p>
              </w:txbxContent>
            </v:textbox>
            <w10:wrap type="none"/>
          </v:shape>
        </w:pict>
      </w:r>
      <w:r>
        <w:rPr/>
        <w:pict>
          <v:shape style="position:absolute;margin-left:89.702599pt;margin-top:795.719055pt;width:8.7pt;height:8pt;mso-position-horizontal-relative:page;mso-position-vertical-relative:page;z-index:-180112" type="#_x0000_t202" filled="false" stroked="false">
            <v:textbox inset="0,0,0,0">
              <w:txbxContent>
                <w:p>
                  <w:pPr>
                    <w:spacing w:before="4"/>
                    <w:ind w:left="20" w:right="0" w:firstLine="0"/>
                    <w:jc w:val="left"/>
                    <w:rPr>
                      <w:sz w:val="12"/>
                    </w:rPr>
                  </w:pPr>
                  <w:r>
                    <w:rPr>
                      <w:color w:val="58595B"/>
                      <w:sz w:val="12"/>
                    </w:rPr>
                    <w:t>33</w:t>
                  </w:r>
                </w:p>
              </w:txbxContent>
            </v:textbox>
            <w10:wrap type="none"/>
          </v:shape>
        </w:pict>
      </w:r>
      <w:r>
        <w:rPr/>
        <w:pict>
          <v:shape style="position:absolute;margin-left:534.996094pt;margin-top:44.090015pt;width:60.3pt;height:5.25pt;mso-position-horizontal-relative:page;mso-position-vertical-relative:page;z-index:-18008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80064" type="#_x0000_t202" filled="false" stroked="false">
            <v:textbox inset="0,0,0,0">
              <w:txbxContent/>
            </v:textbox>
            <w10:wrap type="none"/>
          </v:shape>
        </w:pict>
      </w:r>
      <w:r>
        <w:rPr/>
        <w:pict>
          <v:shape style="position:absolute;margin-left:90.708603pt;margin-top:92.331017pt;width:432pt;height:12pt;mso-position-horizontal-relative:page;mso-position-vertical-relative:page;z-index:-180040" type="#_x0000_t202" filled="false" stroked="false">
            <v:textbox inset="0,0,0,0">
              <w:txbxContent>
                <w:p>
                  <w:pPr>
                    <w:pStyle w:val="BodyText"/>
                    <w:spacing w:before="4"/>
                    <w:ind w:left="40"/>
                    <w:rPr>
                      <w:rFonts w:ascii="Times New Roman"/>
                      <w:sz w:val="17"/>
                    </w:rPr>
                  </w:pPr>
                </w:p>
              </w:txbxContent>
            </v:textbox>
            <w10:wrap type="none"/>
          </v:shape>
        </w:pict>
      </w:r>
    </w:p>
    <w:p>
      <w:pPr>
        <w:spacing w:after="0"/>
        <w:rPr>
          <w:sz w:val="2"/>
          <w:szCs w:val="2"/>
        </w:rPr>
        <w:sectPr>
          <w:pgSz w:w="11910" w:h="16840"/>
          <w:pgMar w:top="800" w:bottom="280" w:left="1680" w:right="0"/>
        </w:sectPr>
      </w:pPr>
    </w:p>
    <w:p>
      <w:pPr>
        <w:rPr>
          <w:sz w:val="2"/>
          <w:szCs w:val="2"/>
        </w:rPr>
      </w:pPr>
      <w:r>
        <w:rPr/>
        <w:drawing>
          <wp:anchor distT="0" distB="0" distL="0" distR="0" allowOverlap="1" layoutInCell="1" locked="0" behindDoc="1" simplePos="0" relativeHeight="268255439">
            <wp:simplePos x="0" y="0"/>
            <wp:positionH relativeFrom="page">
              <wp:posOffset>0</wp:posOffset>
            </wp:positionH>
            <wp:positionV relativeFrom="page">
              <wp:posOffset>3</wp:posOffset>
            </wp:positionV>
            <wp:extent cx="7559039" cy="10692000"/>
            <wp:effectExtent l="0" t="0" r="0" b="0"/>
            <wp:wrapNone/>
            <wp:docPr id="11" name="image3.jpeg" descr=""/>
            <wp:cNvGraphicFramePr>
              <a:graphicFrameLocks noChangeAspect="1"/>
            </wp:cNvGraphicFramePr>
            <a:graphic>
              <a:graphicData uri="http://schemas.openxmlformats.org/drawingml/2006/picture">
                <pic:pic>
                  <pic:nvPicPr>
                    <pic:cNvPr id="12" name="image3.jpeg"/>
                    <pic:cNvPicPr/>
                  </pic:nvPicPr>
                  <pic:blipFill>
                    <a:blip r:embed="rId7" cstate="print"/>
                    <a:stretch>
                      <a:fillRect/>
                    </a:stretch>
                  </pic:blipFill>
                  <pic:spPr>
                    <a:xfrm>
                      <a:off x="0" y="0"/>
                      <a:ext cx="7559039" cy="10692000"/>
                    </a:xfrm>
                    <a:prstGeom prst="rect">
                      <a:avLst/>
                    </a:prstGeom>
                  </pic:spPr>
                </pic:pic>
              </a:graphicData>
            </a:graphic>
          </wp:anchor>
        </w:drawing>
      </w:r>
    </w:p>
    <w:p>
      <w:pPr>
        <w:spacing w:after="0"/>
        <w:rPr>
          <w:sz w:val="2"/>
          <w:szCs w:val="2"/>
        </w:rPr>
        <w:sectPr>
          <w:pgSz w:w="11910" w:h="16840"/>
          <w:pgMar w:top="1580" w:bottom="280" w:left="1680" w:right="1680"/>
        </w:sectPr>
      </w:pPr>
    </w:p>
    <w:p>
      <w:pPr>
        <w:rPr>
          <w:sz w:val="2"/>
          <w:szCs w:val="2"/>
        </w:rPr>
      </w:pPr>
      <w:r>
        <w:rPr/>
        <w:pict>
          <v:group style="position:absolute;margin-left:.076pt;margin-top:.000244pt;width:598.7pt;height:841.9pt;mso-position-horizontal-relative:page;mso-position-vertical-relative:page;z-index:-179992" coordorigin="2,0" coordsize="11974,16838">
            <v:shape style="position:absolute;left:2;top:0;width:11904;height:16838" type="#_x0000_t75" stroked="false">
              <v:imagedata r:id="rId8" o:title=""/>
            </v:shape>
            <v:line style="position:absolute" from="10700,917" to="11906,917" stroked="true" strokeweight="7pt" strokecolor="#0095a7"/>
            <w10:wrap type="none"/>
          </v:group>
        </w:pict>
      </w:r>
      <w:r>
        <w:rPr/>
        <w:pict>
          <v:shape style="position:absolute;margin-left:511.420288pt;margin-top:40.902756pt;width:13.65pt;height:9.5pt;mso-position-horizontal-relative:page;mso-position-vertical-relative:page;z-index:-179968" type="#_x0000_t202" filled="false" stroked="false">
            <v:textbox inset="0,0,0,0">
              <w:txbxContent>
                <w:p>
                  <w:pPr>
                    <w:spacing w:before="1"/>
                    <w:ind w:left="20" w:right="-18" w:firstLine="0"/>
                    <w:jc w:val="left"/>
                    <w:rPr>
                      <w:sz w:val="15"/>
                    </w:rPr>
                  </w:pPr>
                  <w:r>
                    <w:rPr>
                      <w:color w:val="58595B"/>
                      <w:sz w:val="15"/>
                    </w:rPr>
                    <w:t>151</w:t>
                  </w:r>
                </w:p>
              </w:txbxContent>
            </v:textbox>
            <w10:wrap type="none"/>
          </v:shape>
        </w:pict>
      </w:r>
      <w:r>
        <w:rPr/>
        <w:pict>
          <v:shape style="position:absolute;margin-left:89.708702pt;margin-top:105.893967pt;width:332.25pt;height:60.75pt;mso-position-horizontal-relative:page;mso-position-vertical-relative:page;z-index:-179944" type="#_x0000_t202" filled="false" stroked="false">
            <v:textbox inset="0,0,0,0">
              <w:txbxContent>
                <w:p>
                  <w:pPr>
                    <w:spacing w:line="224" w:lineRule="exact" w:before="0"/>
                    <w:ind w:left="20" w:right="4" w:firstLine="0"/>
                    <w:jc w:val="left"/>
                    <w:rPr>
                      <w:b/>
                      <w:sz w:val="20"/>
                    </w:rPr>
                  </w:pPr>
                  <w:r>
                    <w:rPr>
                      <w:b/>
                      <w:color w:val="0095A7"/>
                      <w:sz w:val="20"/>
                    </w:rPr>
                    <w:t>CHAPTER 8</w:t>
                  </w:r>
                </w:p>
                <w:p>
                  <w:pPr>
                    <w:spacing w:line="440" w:lineRule="exact" w:before="102"/>
                    <w:ind w:left="20" w:right="4" w:firstLine="0"/>
                    <w:jc w:val="left"/>
                    <w:rPr>
                      <w:sz w:val="40"/>
                    </w:rPr>
                  </w:pPr>
                  <w:r>
                    <w:rPr>
                      <w:color w:val="58595B"/>
                      <w:spacing w:val="-8"/>
                      <w:sz w:val="40"/>
                    </w:rPr>
                    <w:t>RESPONDING </w:t>
                  </w:r>
                  <w:r>
                    <w:rPr>
                      <w:color w:val="58595B"/>
                      <w:spacing w:val="-10"/>
                      <w:sz w:val="40"/>
                    </w:rPr>
                    <w:t>TO </w:t>
                  </w:r>
                  <w:r>
                    <w:rPr>
                      <w:color w:val="58595B"/>
                      <w:spacing w:val="-5"/>
                      <w:sz w:val="40"/>
                    </w:rPr>
                    <w:t>THE </w:t>
                  </w:r>
                  <w:r>
                    <w:rPr>
                      <w:color w:val="58595B"/>
                      <w:spacing w:val="-7"/>
                      <w:sz w:val="40"/>
                    </w:rPr>
                    <w:t>CHALLENGE </w:t>
                  </w:r>
                  <w:r>
                    <w:rPr>
                      <w:color w:val="58595B"/>
                      <w:spacing w:val="-4"/>
                      <w:sz w:val="40"/>
                    </w:rPr>
                    <w:t>OF </w:t>
                  </w:r>
                  <w:r>
                    <w:rPr>
                      <w:color w:val="58595B"/>
                      <w:spacing w:val="-12"/>
                      <w:sz w:val="40"/>
                    </w:rPr>
                    <w:t>CLIMATE </w:t>
                  </w:r>
                  <w:r>
                    <w:rPr>
                      <w:color w:val="58595B"/>
                      <w:spacing w:val="-5"/>
                      <w:sz w:val="40"/>
                    </w:rPr>
                    <w:t>CHANGE</w:t>
                  </w:r>
                </w:p>
              </w:txbxContent>
            </v:textbox>
            <w10:wrap type="none"/>
          </v:shape>
        </w:pict>
      </w:r>
      <w:r>
        <w:rPr/>
        <w:pict>
          <v:shape style="position:absolute;margin-left:534.996094pt;margin-top:44.090015pt;width:60.3pt;height:5.25pt;mso-position-horizontal-relative:page;mso-position-vertical-relative:page;z-index:-179920"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9896" type="#_x0000_t202" filled="false" stroked="false">
            <v:textbox inset="0,0,0,0">
              <w:txbxContent/>
            </v:textbox>
            <w10:wrap type="none"/>
          </v:shape>
        </w:pict>
      </w:r>
    </w:p>
    <w:p>
      <w:pPr>
        <w:spacing w:after="0"/>
        <w:rPr>
          <w:sz w:val="2"/>
          <w:szCs w:val="2"/>
        </w:rPr>
        <w:sectPr>
          <w:pgSz w:w="11910" w:h="16840"/>
          <w:pgMar w:top="800" w:bottom="280" w:left="1680" w:right="1300"/>
        </w:sectPr>
      </w:pPr>
    </w:p>
    <w:p>
      <w:pPr>
        <w:rPr>
          <w:sz w:val="2"/>
          <w:szCs w:val="2"/>
        </w:rPr>
      </w:pPr>
      <w:r>
        <w:rPr/>
        <w:pict>
          <v:line style="position:absolute;mso-position-horizontal-relative:page;mso-position-vertical-relative:page;z-index:-179872" from=".0pt,45.840015pt" to="60.2791pt,45.840015pt" stroked="true" strokeweight="7pt" strokecolor="#0095a7">
            <w10:wrap type="none"/>
          </v:line>
        </w:pict>
      </w:r>
      <w:r>
        <w:rPr/>
        <w:pict>
          <v:rect style="position:absolute;margin-left:70.865997pt;margin-top:143.421021pt;width:432.701pt;height:185.473pt;mso-position-horizontal-relative:page;mso-position-vertical-relative:page;z-index:-179848" filled="true" fillcolor="#eff6f0" stroked="false">
            <v:fill type="solid"/>
            <w10:wrap type="none"/>
          </v:rect>
        </w:pict>
      </w:r>
      <w:r>
        <w:rPr/>
        <w:pict>
          <v:shape style="position:absolute;margin-left:69.866096pt;margin-top:40.902756pt;width:14.35pt;height:9.5pt;mso-position-horizontal-relative:page;mso-position-vertical-relative:page;z-index:-179824" type="#_x0000_t202" filled="false" stroked="false">
            <v:textbox inset="0,0,0,0">
              <w:txbxContent>
                <w:p>
                  <w:pPr>
                    <w:spacing w:before="1"/>
                    <w:ind w:left="20" w:right="-4" w:firstLine="0"/>
                    <w:jc w:val="left"/>
                    <w:rPr>
                      <w:sz w:val="15"/>
                    </w:rPr>
                  </w:pPr>
                  <w:r>
                    <w:rPr>
                      <w:color w:val="58595B"/>
                      <w:sz w:val="15"/>
                    </w:rPr>
                    <w:t>152</w:t>
                  </w:r>
                </w:p>
              </w:txbxContent>
            </v:textbox>
            <w10:wrap type="none"/>
          </v:shape>
        </w:pict>
      </w:r>
      <w:r>
        <w:rPr/>
        <w:pict>
          <v:shape style="position:absolute;margin-left:95.377899pt;margin-top:40.902756pt;width:147.75pt;height:9.5pt;mso-position-horizontal-relative:page;mso-position-vertical-relative:page;z-index:-179800"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564812pt;width:389.3pt;height:16pt;mso-position-horizontal-relative:page;mso-position-vertical-relative:page;z-index:-179776" type="#_x0000_t202" filled="false" stroked="false">
            <v:textbox inset="0,0,0,0">
              <w:txbxContent>
                <w:p>
                  <w:pPr>
                    <w:spacing w:line="306" w:lineRule="exact" w:before="0"/>
                    <w:ind w:left="20" w:right="0" w:firstLine="0"/>
                    <w:jc w:val="left"/>
                    <w:rPr>
                      <w:sz w:val="28"/>
                    </w:rPr>
                  </w:pPr>
                  <w:r>
                    <w:rPr>
                      <w:color w:val="0095A7"/>
                      <w:sz w:val="28"/>
                    </w:rPr>
                    <w:t>RESPONDING </w:t>
                  </w:r>
                  <w:r>
                    <w:rPr>
                      <w:color w:val="0095A7"/>
                      <w:spacing w:val="-5"/>
                      <w:sz w:val="28"/>
                    </w:rPr>
                    <w:t>TO </w:t>
                  </w:r>
                  <w:r>
                    <w:rPr>
                      <w:color w:val="0095A7"/>
                      <w:sz w:val="28"/>
                    </w:rPr>
                    <w:t>THE CHALLENGE OF </w:t>
                  </w:r>
                  <w:r>
                    <w:rPr>
                      <w:color w:val="0095A7"/>
                      <w:spacing w:val="-5"/>
                      <w:sz w:val="28"/>
                    </w:rPr>
                    <w:t>CLIMATE </w:t>
                  </w:r>
                  <w:r>
                    <w:rPr>
                      <w:color w:val="0095A7"/>
                      <w:sz w:val="28"/>
                    </w:rPr>
                    <w:t>CHANGE</w:t>
                  </w:r>
                </w:p>
              </w:txbxContent>
            </v:textbox>
            <w10:wrap type="none"/>
          </v:shape>
        </w:pict>
      </w:r>
      <w:r>
        <w:rPr/>
        <w:pict>
          <v:shape style="position:absolute;margin-left:69.866096pt;margin-top:350.095642pt;width:435.4pt;height:100.3pt;mso-position-horizontal-relative:page;mso-position-vertical-relative:page;z-index:-179752" type="#_x0000_t202" filled="false" stroked="false">
            <v:textbox inset="0,0,0,0">
              <w:txbxContent>
                <w:p>
                  <w:pPr>
                    <w:spacing w:line="265" w:lineRule="exact" w:before="0"/>
                    <w:ind w:left="20" w:right="3" w:firstLine="0"/>
                    <w:jc w:val="left"/>
                    <w:rPr>
                      <w:sz w:val="24"/>
                    </w:rPr>
                  </w:pPr>
                  <w:r>
                    <w:rPr>
                      <w:color w:val="0095A7"/>
                      <w:sz w:val="24"/>
                    </w:rPr>
                    <w:t>8.1  Introduction</w:t>
                  </w:r>
                </w:p>
                <w:p>
                  <w:pPr>
                    <w:pStyle w:val="BodyText"/>
                    <w:spacing w:line="280" w:lineRule="auto" w:before="145"/>
                    <w:ind w:right="38"/>
                  </w:pPr>
                  <w:r>
                    <w:rPr>
                      <w:color w:val="58595B"/>
                    </w:rPr>
                    <w:t>The Victorian Government’s response to the </w:t>
                  </w:r>
                  <w:r>
                    <w:rPr>
                      <w:color w:val="58595B"/>
                      <w:spacing w:val="-4"/>
                    </w:rPr>
                    <w:t>2013 </w:t>
                  </w:r>
                  <w:r>
                    <w:rPr>
                      <w:color w:val="58595B"/>
                    </w:rPr>
                    <w:t>State of the Environment Report stated that the inquiry would consider the </w:t>
                  </w:r>
                  <w:r>
                    <w:rPr>
                      <w:color w:val="58595B"/>
                      <w:spacing w:val="-7"/>
                    </w:rPr>
                    <w:t>EPA’s </w:t>
                  </w:r>
                  <w:r>
                    <w:rPr>
                      <w:color w:val="58595B"/>
                    </w:rPr>
                    <w:t>role in regulating greenhouse gas emissions.</w:t>
                  </w:r>
                  <w:r>
                    <w:rPr>
                      <w:color w:val="58595B"/>
                      <w:position w:val="7"/>
                      <w:sz w:val="11"/>
                    </w:rPr>
                    <w:t>1 </w:t>
                  </w:r>
                  <w:r>
                    <w:rPr>
                      <w:color w:val="58595B"/>
                    </w:rPr>
                    <w:t>According to our term of reference, ‘Victoria’s environment protection approaches need to be ready to deal with  the range of human and environmental impacts and challenges we expect to face in the</w:t>
                  </w:r>
                  <w:r>
                    <w:rPr>
                      <w:color w:val="58595B"/>
                      <w:spacing w:val="6"/>
                    </w:rPr>
                    <w:t> </w:t>
                  </w:r>
                  <w:r>
                    <w:rPr>
                      <w:color w:val="58595B"/>
                      <w:spacing w:val="-3"/>
                    </w:rPr>
                    <w:t>future’.</w:t>
                  </w:r>
                </w:p>
                <w:p>
                  <w:pPr>
                    <w:pStyle w:val="BodyText"/>
                    <w:spacing w:line="280" w:lineRule="auto" w:before="2"/>
                    <w:ind w:right="3"/>
                  </w:pPr>
                  <w:r>
                    <w:rPr>
                      <w:color w:val="58595B"/>
                    </w:rPr>
                    <w:t>Climate change is the most significant environmental issue we face and a quintessential example of such future challenges.</w:t>
                  </w:r>
                </w:p>
              </w:txbxContent>
            </v:textbox>
            <w10:wrap type="none"/>
          </v:shape>
        </w:pict>
      </w:r>
      <w:r>
        <w:rPr/>
        <w:pict>
          <v:shape style="position:absolute;margin-left:69.869797pt;margin-top:460.385559pt;width:427.3pt;height:25.5pt;mso-position-horizontal-relative:page;mso-position-vertical-relative:page;z-index:-179728" type="#_x0000_t202" filled="false" stroked="false">
            <v:textbox inset="0,0,0,0">
              <w:txbxContent>
                <w:p>
                  <w:pPr>
                    <w:pStyle w:val="BodyText"/>
                    <w:spacing w:line="280" w:lineRule="auto"/>
                    <w:ind w:right="17"/>
                  </w:pPr>
                  <w:r>
                    <w:rPr>
                      <w:color w:val="58595B"/>
                    </w:rPr>
                    <w:t>Greenhouse gas emissions reduction is a complex policy issue for the Victorian Government for several reasons:</w:t>
                  </w:r>
                </w:p>
              </w:txbxContent>
            </v:textbox>
            <w10:wrap type="none"/>
          </v:shape>
        </w:pict>
      </w:r>
      <w:r>
        <w:rPr/>
        <w:pict>
          <v:shape style="position:absolute;margin-left:69.869797pt;margin-top:493.055573pt;width:5.5pt;height:12pt;mso-position-horizontal-relative:page;mso-position-vertical-relative:page;z-index:-179704"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78.369797pt;margin-top:493.055573pt;width:426.95pt;height:212.35pt;mso-position-horizontal-relative:page;mso-position-vertical-relative:page;z-index:-179680" type="#_x0000_t202" filled="false" stroked="false">
            <v:textbox inset="0,0,0,0">
              <w:txbxContent>
                <w:p>
                  <w:pPr>
                    <w:pStyle w:val="BodyText"/>
                    <w:spacing w:line="280" w:lineRule="auto"/>
                    <w:ind w:right="17"/>
                  </w:pPr>
                  <w:r>
                    <w:rPr>
                      <w:color w:val="58595B"/>
                    </w:rPr>
                    <w:t>The Commonwealth Government determines Australia’s greenhouse gas emissions reduction targets and the actions to achieve these targets. Victorian Government action to reduce the state’s emissions will contribute to meeting the national target rather than deliver additional reductions in atmospheric greenhouse gas concentrations.</w:t>
                  </w:r>
                </w:p>
                <w:p>
                  <w:pPr>
                    <w:pStyle w:val="BodyText"/>
                    <w:spacing w:line="280" w:lineRule="auto" w:before="115"/>
                    <w:ind w:right="17"/>
                  </w:pPr>
                  <w:r>
                    <w:rPr>
                      <w:color w:val="58595B"/>
                    </w:rPr>
                    <w:t>Stakeholders have different views about the Victorian Government’s role in reducing emissions. Environment groups generally support strong action by the Victorian Government, but many business groups contend that emissions reduction should be the sole responsibility of the Commonwealth Government.</w:t>
                  </w:r>
                </w:p>
                <w:p>
                  <w:pPr>
                    <w:pStyle w:val="BodyText"/>
                    <w:spacing w:line="280" w:lineRule="auto" w:before="115"/>
                    <w:ind w:right="17"/>
                  </w:pPr>
                  <w:r>
                    <w:rPr>
                      <w:color w:val="58595B"/>
                    </w:rPr>
                    <w:t>There can be tensions between reducing greenhouse gas emissions and encouraging growth  in economic activity and employment. In some instances – such as deploying renewable energy or improving energy efficiency – emissions reduction can be achieved while driving economic growth. In contrast, other activities – such as using brown coal to generate electricity or to produce fertiliser, gas or liquid fuels – will increase economic activity and employment, but also increase Victoria’s greenhouse gas emissions in the absence of technologies or processes to mitigate these</w:t>
                  </w:r>
                  <w:r>
                    <w:rPr>
                      <w:color w:val="58595B"/>
                      <w:spacing w:val="4"/>
                    </w:rPr>
                    <w:t> </w:t>
                  </w:r>
                  <w:r>
                    <w:rPr>
                      <w:color w:val="58595B"/>
                    </w:rPr>
                    <w:t>emissions.</w:t>
                  </w:r>
                </w:p>
              </w:txbxContent>
            </v:textbox>
            <w10:wrap type="none"/>
          </v:shape>
        </w:pict>
      </w:r>
      <w:r>
        <w:rPr/>
        <w:pict>
          <v:shape style="position:absolute;margin-left:69.869797pt;margin-top:552.725586pt;width:5.5pt;height:12pt;mso-position-horizontal-relative:page;mso-position-vertical-relative:page;z-index:-17965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69797pt;margin-top:612.395569pt;width:5.5pt;height:12pt;mso-position-horizontal-relative:page;mso-position-vertical-relative:page;z-index:-17963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70.865997pt;margin-top:143.421021pt;width:432.7pt;height:185.5pt;mso-position-horizontal-relative:page;mso-position-vertical-relative:page;z-index:-179608" type="#_x0000_t202" filled="false" stroked="false">
            <v:textbox inset="0,0,0,0">
              <w:txbxContent>
                <w:p>
                  <w:pPr>
                    <w:spacing w:before="128"/>
                    <w:ind w:left="170" w:right="277" w:firstLine="0"/>
                    <w:jc w:val="left"/>
                    <w:rPr>
                      <w:b/>
                      <w:sz w:val="20"/>
                    </w:rPr>
                  </w:pPr>
                  <w:r>
                    <w:rPr>
                      <w:b/>
                      <w:color w:val="0095A7"/>
                      <w:sz w:val="20"/>
                    </w:rPr>
                    <w:t>KEY MESSAGES</w:t>
                  </w:r>
                </w:p>
                <w:p>
                  <w:pPr>
                    <w:pStyle w:val="BodyText"/>
                    <w:spacing w:line="280" w:lineRule="auto" w:before="153"/>
                    <w:ind w:left="170" w:right="615"/>
                  </w:pPr>
                  <w:r>
                    <w:rPr>
                      <w:color w:val="58595B"/>
                    </w:rPr>
                    <w:t>Climate change is the most significant environmental issue we face – its importance was a resounding theme in consultations and in submissions.</w:t>
                  </w:r>
                </w:p>
                <w:p>
                  <w:pPr>
                    <w:pStyle w:val="BodyText"/>
                    <w:spacing w:before="172"/>
                    <w:ind w:left="170" w:right="277"/>
                  </w:pPr>
                  <w:r>
                    <w:rPr>
                      <w:color w:val="58595B"/>
                    </w:rPr>
                    <w:t>The Victorian Government is committed to reducing the state’s greenhouse gas emissions.</w:t>
                  </w:r>
                </w:p>
                <w:p>
                  <w:pPr>
                    <w:pStyle w:val="BodyText"/>
                    <w:spacing w:before="3"/>
                    <w:ind w:left="0"/>
                    <w:rPr>
                      <w:rFonts w:ascii="Times New Roman"/>
                      <w:sz w:val="18"/>
                    </w:rPr>
                  </w:pPr>
                </w:p>
                <w:p>
                  <w:pPr>
                    <w:pStyle w:val="BodyText"/>
                    <w:spacing w:line="280" w:lineRule="auto"/>
                    <w:ind w:left="170" w:right="615"/>
                  </w:pPr>
                  <w:r>
                    <w:rPr>
                      <w:color w:val="58595B"/>
                    </w:rPr>
                    <w:t>The EPA’s primary tool for regulating greenhouse gas emissions – the state environment protection policy (Air Quality Management) – is not effective in its current form.</w:t>
                  </w:r>
                </w:p>
                <w:p>
                  <w:pPr>
                    <w:pStyle w:val="BodyText"/>
                    <w:spacing w:line="280" w:lineRule="auto" w:before="172"/>
                    <w:ind w:left="170" w:right="277"/>
                  </w:pPr>
                  <w:r>
                    <w:rPr>
                      <w:color w:val="58595B"/>
                    </w:rPr>
                    <w:t>The EPA needs clear direction from government regarding its role in regulating greenhouse gas emissions and the settings it applies to duty holders.</w:t>
                  </w:r>
                </w:p>
                <w:p>
                  <w:pPr>
                    <w:pStyle w:val="BodyText"/>
                    <w:spacing w:line="280" w:lineRule="auto" w:before="172"/>
                    <w:ind w:left="170" w:right="277"/>
                  </w:pPr>
                  <w:r>
                    <w:rPr>
                      <w:color w:val="58595B"/>
                    </w:rPr>
                    <w:t>New statutory instruments to manage greenhouse gas emissions should be developed through a whole-of-government process that includes advice from the EPA.</w:t>
                  </w:r>
                </w:p>
              </w:txbxContent>
            </v:textbox>
            <w10:wrap type="none"/>
          </v:shape>
        </w:pict>
      </w:r>
      <w:r>
        <w:rPr/>
        <w:pict>
          <v:shape style="position:absolute;margin-left:.0pt;margin-top:44.090015pt;width:60.3pt;height:5.25pt;mso-position-horizontal-relative:page;mso-position-vertical-relative:page;z-index:-179584"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9560"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9536" from="534.996094pt,45.840015pt" to="595.276001pt,45.840015pt" stroked="true" strokeweight="7pt" strokecolor="#0095a7">
            <w10:wrap type="none"/>
          </v:line>
        </w:pict>
      </w:r>
      <w:r>
        <w:rPr/>
        <w:pict>
          <v:shape style="position:absolute;margin-left:230.658493pt;margin-top:40.902756pt;width:269.25pt;height:9.5pt;mso-position-horizontal-relative:page;mso-position-vertical-relative:page;z-index:-179512" type="#_x0000_t202" filled="false" stroked="false">
            <v:textbox inset="0,0,0,0">
              <w:txbxContent>
                <w:p>
                  <w:pPr>
                    <w:spacing w:before="1"/>
                    <w:ind w:left="20" w:right="0" w:firstLine="0"/>
                    <w:jc w:val="left"/>
                    <w:rPr>
                      <w:sz w:val="15"/>
                    </w:rPr>
                  </w:pPr>
                  <w:r>
                    <w:rPr>
                      <w:color w:val="58595B"/>
                      <w:sz w:val="15"/>
                    </w:rPr>
                    <w:t>CHAPTER 8    RESPONDING TO THE CHALLENGE OF CLIMATE CHANGE</w:t>
                  </w:r>
                </w:p>
              </w:txbxContent>
            </v:textbox>
            <w10:wrap type="none"/>
          </v:shape>
        </w:pict>
      </w:r>
      <w:r>
        <w:rPr/>
        <w:pict>
          <v:shape style="position:absolute;margin-left:510.895996pt;margin-top:40.902756pt;width:14.5pt;height:9.5pt;mso-position-horizontal-relative:page;mso-position-vertical-relative:page;z-index:-179488" type="#_x0000_t202" filled="false" stroked="false">
            <v:textbox inset="0,0,0,0">
              <w:txbxContent>
                <w:p>
                  <w:pPr>
                    <w:spacing w:before="1"/>
                    <w:ind w:left="20" w:right="-1" w:firstLine="0"/>
                    <w:jc w:val="left"/>
                    <w:rPr>
                      <w:sz w:val="15"/>
                    </w:rPr>
                  </w:pPr>
                  <w:r>
                    <w:rPr>
                      <w:color w:val="58595B"/>
                      <w:sz w:val="15"/>
                    </w:rPr>
                    <w:t>153</w:t>
                  </w:r>
                </w:p>
              </w:txbxContent>
            </v:textbox>
            <w10:wrap type="none"/>
          </v:shape>
        </w:pict>
      </w:r>
      <w:r>
        <w:rPr/>
        <w:pict>
          <v:shape style="position:absolute;margin-left:89.708603pt;margin-top:105.893967pt;width:418.45pt;height:25.5pt;mso-position-horizontal-relative:page;mso-position-vertical-relative:page;z-index:-179464" type="#_x0000_t202" filled="false" stroked="false">
            <v:textbox inset="0,0,0,0">
              <w:txbxContent>
                <w:p>
                  <w:pPr>
                    <w:pStyle w:val="BodyText"/>
                    <w:spacing w:line="280" w:lineRule="auto"/>
                  </w:pPr>
                  <w:r>
                    <w:rPr>
                      <w:color w:val="58595B"/>
                    </w:rPr>
                    <w:t>This policy context creates a difficult operating environment for the EPA. And these difficulties will only intensify as pressure mounts for Victoria to transition to a low carbon economy.</w:t>
                  </w:r>
                </w:p>
              </w:txbxContent>
            </v:textbox>
            <w10:wrap type="none"/>
          </v:shape>
        </w:pict>
      </w:r>
      <w:r>
        <w:rPr/>
        <w:pict>
          <v:shape style="position:absolute;margin-left:89.708603pt;margin-top:141.393967pt;width:424.25pt;height:52.55pt;mso-position-horizontal-relative:page;mso-position-vertical-relative:page;z-index:-179440" type="#_x0000_t202" filled="false" stroked="false">
            <v:textbox inset="0,0,0,0">
              <w:txbxContent>
                <w:p>
                  <w:pPr>
                    <w:pStyle w:val="BodyText"/>
                    <w:spacing w:line="280" w:lineRule="auto"/>
                  </w:pPr>
                  <w:r>
                    <w:rPr>
                      <w:color w:val="58595B"/>
                    </w:rPr>
                    <w:t>For this inquiry, we considered the significance of climate change and examined the EPA’s role in regulating greenhouse gas emissions. We drew on what we heard from stakeholders, as well as the findings and recommendations of the </w:t>
                  </w:r>
                  <w:r>
                    <w:rPr>
                      <w:i/>
                      <w:color w:val="58595B"/>
                    </w:rPr>
                    <w:t>Independent Review of the Climate Change Act 2010</w:t>
                  </w:r>
                  <w:r>
                    <w:rPr>
                      <w:color w:val="58595B"/>
                      <w:position w:val="7"/>
                      <w:sz w:val="11"/>
                    </w:rPr>
                    <w:t>2  </w:t>
                  </w:r>
                  <w:r>
                    <w:rPr>
                      <w:color w:val="58595B"/>
                    </w:rPr>
                    <w:t>where relevant.</w:t>
                  </w:r>
                </w:p>
              </w:txbxContent>
            </v:textbox>
            <w10:wrap type="none"/>
          </v:shape>
        </w:pict>
      </w:r>
      <w:r>
        <w:rPr/>
        <w:pict>
          <v:shape style="position:absolute;margin-left:89.707397pt;margin-top:206.533142pt;width:431.15pt;height:127.3pt;mso-position-horizontal-relative:page;mso-position-vertical-relative:page;z-index:-179416" type="#_x0000_t202" filled="false" stroked="false">
            <v:textbox inset="0,0,0,0">
              <w:txbxContent>
                <w:p>
                  <w:pPr>
                    <w:spacing w:line="265" w:lineRule="exact" w:before="0"/>
                    <w:ind w:left="20" w:right="20" w:firstLine="0"/>
                    <w:jc w:val="left"/>
                    <w:rPr>
                      <w:sz w:val="24"/>
                    </w:rPr>
                  </w:pPr>
                  <w:r>
                    <w:rPr>
                      <w:color w:val="0095A7"/>
                      <w:sz w:val="24"/>
                    </w:rPr>
                    <w:t>8.2  Climate change – the most significant environmental issue we</w:t>
                  </w:r>
                  <w:r>
                    <w:rPr>
                      <w:color w:val="0095A7"/>
                      <w:spacing w:val="60"/>
                      <w:sz w:val="24"/>
                    </w:rPr>
                    <w:t> </w:t>
                  </w:r>
                  <w:r>
                    <w:rPr>
                      <w:color w:val="0095A7"/>
                      <w:sz w:val="24"/>
                    </w:rPr>
                    <w:t>face</w:t>
                  </w:r>
                </w:p>
                <w:p>
                  <w:pPr>
                    <w:pStyle w:val="BodyText"/>
                    <w:spacing w:line="280" w:lineRule="auto" w:before="145"/>
                    <w:ind w:right="20"/>
                  </w:pPr>
                  <w:r>
                    <w:rPr>
                      <w:color w:val="58595B"/>
                    </w:rPr>
                    <w:t>Climate change is the most significant environmental issue we face. The Paris Agreement – adopted by Australia and other nations in December </w:t>
                  </w:r>
                  <w:r>
                    <w:rPr>
                      <w:color w:val="58595B"/>
                      <w:spacing w:val="-4"/>
                    </w:rPr>
                    <w:t>2015 </w:t>
                  </w:r>
                  <w:r>
                    <w:rPr>
                      <w:color w:val="58595B"/>
                    </w:rPr>
                    <w:t>– stated </w:t>
                  </w:r>
                  <w:r>
                    <w:rPr>
                      <w:color w:val="58595B"/>
                      <w:spacing w:val="-7"/>
                    </w:rPr>
                    <w:t>‘… </w:t>
                  </w:r>
                  <w:r>
                    <w:rPr>
                      <w:color w:val="58595B"/>
                    </w:rPr>
                    <w:t>climate change represents an urgent and potentially irreversible threat to human societies and the planet and thus requires the widest possible cooperation by all countries.’</w:t>
                  </w:r>
                  <w:r>
                    <w:rPr>
                      <w:color w:val="58595B"/>
                      <w:position w:val="7"/>
                      <w:sz w:val="11"/>
                    </w:rPr>
                    <w:t>3 </w:t>
                  </w:r>
                  <w:r>
                    <w:rPr>
                      <w:color w:val="58595B"/>
                    </w:rPr>
                    <w:t>Countries, including Australia, agreed to hold </w:t>
                  </w:r>
                  <w:r>
                    <w:rPr>
                      <w:color w:val="58595B"/>
                      <w:spacing w:val="-7"/>
                    </w:rPr>
                    <w:t>‘… </w:t>
                  </w:r>
                  <w:r>
                    <w:rPr>
                      <w:color w:val="58595B"/>
                    </w:rPr>
                    <w:t>the increase in global average temperature to well below 2°C above pre-industrial</w:t>
                  </w:r>
                  <w:r>
                    <w:rPr>
                      <w:color w:val="58595B"/>
                      <w:spacing w:val="1"/>
                    </w:rPr>
                    <w:t> </w:t>
                  </w:r>
                  <w:r>
                    <w:rPr>
                      <w:color w:val="58595B"/>
                    </w:rPr>
                    <w:t>levels</w:t>
                  </w:r>
                </w:p>
                <w:p>
                  <w:pPr>
                    <w:pStyle w:val="BodyText"/>
                    <w:spacing w:line="280" w:lineRule="auto" w:before="2"/>
                    <w:ind w:right="20"/>
                  </w:pPr>
                  <w:r>
                    <w:rPr>
                      <w:color w:val="58595B"/>
                    </w:rPr>
                    <w:t>and [to pursue] efforts to limit the temperature increase to 1.5°C above pre industrial levels.’</w:t>
                  </w:r>
                  <w:r>
                    <w:rPr>
                      <w:color w:val="58595B"/>
                      <w:position w:val="7"/>
                      <w:sz w:val="11"/>
                    </w:rPr>
                    <w:t>4 </w:t>
                  </w:r>
                  <w:r>
                    <w:rPr>
                      <w:color w:val="58595B"/>
                    </w:rPr>
                    <w:t>Achieving this outcome will require deep reductions in emissions including decarbonisation of energy production and use.</w:t>
                  </w:r>
                </w:p>
              </w:txbxContent>
            </v:textbox>
            <w10:wrap type="none"/>
          </v:shape>
        </w:pict>
      </w:r>
      <w:r>
        <w:rPr/>
        <w:pict>
          <v:shape style="position:absolute;margin-left:89.707397pt;margin-top:343.823059pt;width:363.65pt;height:12pt;mso-position-horizontal-relative:page;mso-position-vertical-relative:page;z-index:-179392" type="#_x0000_t202" filled="false" stroked="false">
            <v:textbox inset="0,0,0,0">
              <w:txbxContent>
                <w:p>
                  <w:pPr>
                    <w:pStyle w:val="BodyText"/>
                    <w:spacing w:line="224" w:lineRule="exact"/>
                  </w:pPr>
                  <w:r>
                    <w:rPr>
                      <w:color w:val="58595B"/>
                    </w:rPr>
                    <w:t>Climate change was also an important issue for many stakeholders to our inquiry:</w:t>
                  </w:r>
                </w:p>
              </w:txbxContent>
            </v:textbox>
            <w10:wrap type="none"/>
          </v:shape>
        </w:pict>
      </w:r>
      <w:r>
        <w:rPr/>
        <w:pict>
          <v:shape style="position:absolute;margin-left:118.057404pt;margin-top:365.823059pt;width:350.3pt;height:25.5pt;mso-position-horizontal-relative:page;mso-position-vertical-relative:page;z-index:-179368" type="#_x0000_t202" filled="false" stroked="false">
            <v:textbox inset="0,0,0,0">
              <w:txbxContent>
                <w:p>
                  <w:pPr>
                    <w:spacing w:line="280" w:lineRule="auto" w:before="0"/>
                    <w:ind w:left="20" w:right="0" w:firstLine="0"/>
                    <w:jc w:val="left"/>
                    <w:rPr>
                      <w:sz w:val="20"/>
                    </w:rPr>
                  </w:pPr>
                  <w:r>
                    <w:rPr>
                      <w:i/>
                      <w:color w:val="231F20"/>
                      <w:sz w:val="20"/>
                    </w:rPr>
                    <w:t>… climate change is the largest environmental challenge that the state and the planet faces. </w:t>
                  </w:r>
                  <w:r>
                    <w:rPr>
                      <w:color w:val="231F20"/>
                      <w:sz w:val="20"/>
                    </w:rPr>
                    <w:t>(Environment Victoria submission, p. 5)</w:t>
                  </w:r>
                </w:p>
              </w:txbxContent>
            </v:textbox>
            <w10:wrap type="none"/>
          </v:shape>
        </w:pict>
      </w:r>
      <w:r>
        <w:rPr/>
        <w:pict>
          <v:shape style="position:absolute;margin-left:118.057404pt;margin-top:401.323059pt;width:371.1pt;height:25.5pt;mso-position-horizontal-relative:page;mso-position-vertical-relative:page;z-index:-179344" type="#_x0000_t202" filled="false" stroked="false">
            <v:textbox inset="0,0,0,0">
              <w:txbxContent>
                <w:p>
                  <w:pPr>
                    <w:spacing w:line="280" w:lineRule="auto" w:before="0"/>
                    <w:ind w:left="20" w:right="0" w:firstLine="0"/>
                    <w:jc w:val="left"/>
                    <w:rPr>
                      <w:sz w:val="20"/>
                    </w:rPr>
                  </w:pPr>
                  <w:r>
                    <w:rPr>
                      <w:i/>
                      <w:color w:val="231F20"/>
                      <w:sz w:val="20"/>
                    </w:rPr>
                    <w:t>… climate change is by far the biggest environment challenge. </w:t>
                  </w:r>
                  <w:r>
                    <w:rPr>
                      <w:color w:val="231F20"/>
                      <w:sz w:val="20"/>
                    </w:rPr>
                    <w:t>(Brooklyn Residents Action Group submission, p. 5)</w:t>
                  </w:r>
                </w:p>
              </w:txbxContent>
            </v:textbox>
            <w10:wrap type="none"/>
          </v:shape>
        </w:pict>
      </w:r>
      <w:r>
        <w:rPr/>
        <w:pict>
          <v:shape style="position:absolute;margin-left:118.057404pt;margin-top:436.823059pt;width:343.45pt;height:25.5pt;mso-position-horizontal-relative:page;mso-position-vertical-relative:page;z-index:-179320" type="#_x0000_t202" filled="false" stroked="false">
            <v:textbox inset="0,0,0,0">
              <w:txbxContent>
                <w:p>
                  <w:pPr>
                    <w:spacing w:line="280" w:lineRule="auto" w:before="0"/>
                    <w:ind w:left="20" w:right="14" w:firstLine="0"/>
                    <w:jc w:val="left"/>
                    <w:rPr>
                      <w:sz w:val="20"/>
                    </w:rPr>
                  </w:pPr>
                  <w:r>
                    <w:rPr>
                      <w:i/>
                      <w:color w:val="231F20"/>
                      <w:sz w:val="20"/>
                    </w:rPr>
                    <w:t>… climate change is the greatest threat to Victoria’s environment … </w:t>
                  </w:r>
                  <w:r>
                    <w:rPr>
                      <w:color w:val="231F20"/>
                      <w:sz w:val="20"/>
                    </w:rPr>
                    <w:t>(Monash Business School, Monash University submission, p. 5)</w:t>
                  </w:r>
                </w:p>
              </w:txbxContent>
            </v:textbox>
            <w10:wrap type="none"/>
          </v:shape>
        </w:pict>
      </w:r>
      <w:r>
        <w:rPr/>
        <w:pict>
          <v:shape style="position:absolute;margin-left:118.057404pt;margin-top:472.323059pt;width:369.65pt;height:12pt;mso-position-horizontal-relative:page;mso-position-vertical-relative:page;z-index:-179296" type="#_x0000_t202" filled="false" stroked="false">
            <v:textbox inset="0,0,0,0">
              <w:txbxContent>
                <w:p>
                  <w:pPr>
                    <w:spacing w:line="224" w:lineRule="exact" w:before="0"/>
                    <w:ind w:left="20" w:right="0" w:firstLine="0"/>
                    <w:jc w:val="left"/>
                    <w:rPr>
                      <w:sz w:val="20"/>
                    </w:rPr>
                  </w:pPr>
                  <w:r>
                    <w:rPr>
                      <w:i/>
                      <w:color w:val="231F20"/>
                      <w:sz w:val="20"/>
                    </w:rPr>
                    <w:t>Climate change is an issue of global significance … </w:t>
                  </w:r>
                  <w:r>
                    <w:rPr>
                      <w:color w:val="231F20"/>
                      <w:sz w:val="20"/>
                    </w:rPr>
                    <w:t>(AGL Energy submission, p. 4)</w:t>
                  </w:r>
                </w:p>
              </w:txbxContent>
            </v:textbox>
            <w10:wrap type="none"/>
          </v:shape>
        </w:pict>
      </w:r>
      <w:r>
        <w:rPr/>
        <w:pict>
          <v:shape style="position:absolute;margin-left:118.057404pt;margin-top:494.323059pt;width:366.55pt;height:25.5pt;mso-position-horizontal-relative:page;mso-position-vertical-relative:page;z-index:-179272" type="#_x0000_t202" filled="false" stroked="false">
            <v:textbox inset="0,0,0,0">
              <w:txbxContent>
                <w:p>
                  <w:pPr>
                    <w:spacing w:line="280" w:lineRule="auto" w:before="0"/>
                    <w:ind w:left="20" w:right="-19" w:firstLine="0"/>
                    <w:jc w:val="left"/>
                    <w:rPr>
                      <w:sz w:val="20"/>
                    </w:rPr>
                  </w:pPr>
                  <w:r>
                    <w:rPr>
                      <w:i/>
                      <w:color w:val="231F20"/>
                      <w:sz w:val="20"/>
                    </w:rPr>
                    <w:t>… </w:t>
                  </w:r>
                  <w:r>
                    <w:rPr>
                      <w:i/>
                      <w:color w:val="231F20"/>
                      <w:spacing w:val="-3"/>
                      <w:sz w:val="20"/>
                    </w:rPr>
                    <w:t>the </w:t>
                  </w:r>
                  <w:r>
                    <w:rPr>
                      <w:i/>
                      <w:color w:val="231F20"/>
                      <w:sz w:val="20"/>
                    </w:rPr>
                    <w:t>dire </w:t>
                  </w:r>
                  <w:r>
                    <w:rPr>
                      <w:i/>
                      <w:color w:val="231F20"/>
                      <w:spacing w:val="-4"/>
                      <w:sz w:val="20"/>
                    </w:rPr>
                    <w:t>threat that </w:t>
                  </w:r>
                  <w:r>
                    <w:rPr>
                      <w:i/>
                      <w:color w:val="231F20"/>
                      <w:spacing w:val="-3"/>
                      <w:sz w:val="20"/>
                    </w:rPr>
                    <w:t>climate change </w:t>
                  </w:r>
                  <w:r>
                    <w:rPr>
                      <w:i/>
                      <w:color w:val="231F20"/>
                      <w:spacing w:val="-4"/>
                      <w:sz w:val="20"/>
                    </w:rPr>
                    <w:t>poses </w:t>
                  </w:r>
                  <w:r>
                    <w:rPr>
                      <w:i/>
                      <w:color w:val="231F20"/>
                      <w:spacing w:val="-3"/>
                      <w:sz w:val="20"/>
                    </w:rPr>
                    <w:t>to </w:t>
                  </w:r>
                  <w:r>
                    <w:rPr>
                      <w:i/>
                      <w:color w:val="231F20"/>
                      <w:sz w:val="20"/>
                    </w:rPr>
                    <w:t>a </w:t>
                  </w:r>
                  <w:r>
                    <w:rPr>
                      <w:i/>
                      <w:color w:val="231F20"/>
                      <w:spacing w:val="-4"/>
                      <w:sz w:val="20"/>
                    </w:rPr>
                    <w:t>liveable environment. </w:t>
                  </w:r>
                  <w:r>
                    <w:rPr>
                      <w:color w:val="231F20"/>
                      <w:spacing w:val="-3"/>
                      <w:sz w:val="20"/>
                    </w:rPr>
                    <w:t>(Surf Coast </w:t>
                  </w:r>
                  <w:r>
                    <w:rPr>
                      <w:color w:val="231F20"/>
                      <w:sz w:val="20"/>
                    </w:rPr>
                    <w:t>Air </w:t>
                  </w:r>
                  <w:r>
                    <w:rPr>
                      <w:color w:val="231F20"/>
                      <w:spacing w:val="-3"/>
                      <w:sz w:val="20"/>
                    </w:rPr>
                    <w:t>Action </w:t>
                  </w:r>
                  <w:r>
                    <w:rPr>
                      <w:color w:val="231F20"/>
                      <w:spacing w:val="-4"/>
                      <w:sz w:val="20"/>
                    </w:rPr>
                    <w:t>submission, p. </w:t>
                  </w:r>
                  <w:r>
                    <w:rPr>
                      <w:color w:val="231F20"/>
                      <w:spacing w:val="-6"/>
                      <w:sz w:val="20"/>
                    </w:rPr>
                    <w:t>2)</w:t>
                  </w:r>
                </w:p>
              </w:txbxContent>
            </v:textbox>
            <w10:wrap type="none"/>
          </v:shape>
        </w:pict>
      </w:r>
      <w:r>
        <w:rPr/>
        <w:pict>
          <v:shape style="position:absolute;margin-left:89.708603pt;margin-top:532.481934pt;width:435.6pt;height:127.3pt;mso-position-horizontal-relative:page;mso-position-vertical-relative:page;z-index:-179248" type="#_x0000_t202" filled="false" stroked="false">
            <v:textbox inset="0,0,0,0">
              <w:txbxContent>
                <w:p>
                  <w:pPr>
                    <w:spacing w:line="265" w:lineRule="exact" w:before="0"/>
                    <w:ind w:left="20" w:right="11" w:firstLine="0"/>
                    <w:jc w:val="left"/>
                    <w:rPr>
                      <w:sz w:val="24"/>
                    </w:rPr>
                  </w:pPr>
                  <w:r>
                    <w:rPr>
                      <w:color w:val="0095A7"/>
                      <w:sz w:val="24"/>
                    </w:rPr>
                    <w:t>8.3  Commonwealth and Victorian government roles in emissions</w:t>
                  </w:r>
                  <w:r>
                    <w:rPr>
                      <w:color w:val="0095A7"/>
                      <w:spacing w:val="57"/>
                      <w:sz w:val="24"/>
                    </w:rPr>
                    <w:t> </w:t>
                  </w:r>
                  <w:r>
                    <w:rPr>
                      <w:color w:val="0095A7"/>
                      <w:sz w:val="24"/>
                    </w:rPr>
                    <w:t>reduction</w:t>
                  </w:r>
                </w:p>
                <w:p>
                  <w:pPr>
                    <w:pStyle w:val="BodyText"/>
                    <w:spacing w:line="280" w:lineRule="auto" w:before="145"/>
                    <w:ind w:right="11"/>
                  </w:pPr>
                  <w:r>
                    <w:rPr>
                      <w:color w:val="58595B"/>
                    </w:rPr>
                    <w:t>The Commonwealth Government is responsible for setting Australia’s greenhouse gas emissions reduction targets and for implementing policy to achieve these targets. Its current target is</w:t>
                  </w:r>
                </w:p>
                <w:p>
                  <w:pPr>
                    <w:pStyle w:val="BodyText"/>
                    <w:spacing w:line="280" w:lineRule="auto" w:before="2"/>
                    <w:ind w:right="11"/>
                  </w:pPr>
                  <w:r>
                    <w:rPr>
                      <w:color w:val="58595B"/>
                    </w:rPr>
                    <w:t>to reduce emissions by </w:t>
                  </w:r>
                  <w:r>
                    <w:rPr>
                      <w:color w:val="58595B"/>
                      <w:spacing w:val="2"/>
                    </w:rPr>
                    <w:t>26–28 </w:t>
                  </w:r>
                  <w:r>
                    <w:rPr>
                      <w:color w:val="58595B"/>
                    </w:rPr>
                    <w:t>per cent below 2005 levels by 2030. Action by the Victorian Government to reduce Victoria’s emissions occurs within the context of this national target. If the Victorian</w:t>
                  </w:r>
                  <w:r>
                    <w:rPr>
                      <w:color w:val="58595B"/>
                      <w:spacing w:val="-4"/>
                    </w:rPr>
                    <w:t> </w:t>
                  </w:r>
                  <w:r>
                    <w:rPr>
                      <w:color w:val="58595B"/>
                      <w:spacing w:val="-3"/>
                    </w:rPr>
                    <w:t>Government’s</w:t>
                  </w:r>
                  <w:r>
                    <w:rPr>
                      <w:color w:val="58595B"/>
                      <w:spacing w:val="-8"/>
                    </w:rPr>
                    <w:t> </w:t>
                  </w:r>
                  <w:r>
                    <w:rPr>
                      <w:color w:val="58595B"/>
                    </w:rPr>
                    <w:t>actions</w:t>
                  </w:r>
                  <w:r>
                    <w:rPr>
                      <w:color w:val="58595B"/>
                      <w:spacing w:val="-8"/>
                    </w:rPr>
                    <w:t> </w:t>
                  </w:r>
                  <w:r>
                    <w:rPr>
                      <w:color w:val="58595B"/>
                    </w:rPr>
                    <w:t>reduce</w:t>
                  </w:r>
                  <w:r>
                    <w:rPr>
                      <w:color w:val="58595B"/>
                      <w:spacing w:val="-8"/>
                    </w:rPr>
                    <w:t> </w:t>
                  </w:r>
                  <w:r>
                    <w:rPr>
                      <w:color w:val="58595B"/>
                    </w:rPr>
                    <w:t>the</w:t>
                  </w:r>
                  <w:r>
                    <w:rPr>
                      <w:color w:val="58595B"/>
                      <w:spacing w:val="-8"/>
                    </w:rPr>
                    <w:t> </w:t>
                  </w:r>
                  <w:r>
                    <w:rPr>
                      <w:color w:val="58595B"/>
                      <w:spacing w:val="-4"/>
                    </w:rPr>
                    <w:t>state’s</w:t>
                  </w:r>
                  <w:r>
                    <w:rPr>
                      <w:color w:val="58595B"/>
                      <w:spacing w:val="-8"/>
                    </w:rPr>
                    <w:t> </w:t>
                  </w:r>
                  <w:r>
                    <w:rPr>
                      <w:color w:val="58595B"/>
                    </w:rPr>
                    <w:t>emissions</w:t>
                  </w:r>
                  <w:r>
                    <w:rPr>
                      <w:color w:val="58595B"/>
                      <w:spacing w:val="-8"/>
                    </w:rPr>
                    <w:t> </w:t>
                  </w:r>
                  <w:r>
                    <w:rPr>
                      <w:color w:val="58595B"/>
                      <w:spacing w:val="-3"/>
                    </w:rPr>
                    <w:t>beyond</w:t>
                  </w:r>
                  <w:r>
                    <w:rPr>
                      <w:color w:val="58595B"/>
                      <w:spacing w:val="-8"/>
                    </w:rPr>
                    <w:t> </w:t>
                  </w:r>
                  <w:r>
                    <w:rPr>
                      <w:color w:val="58595B"/>
                    </w:rPr>
                    <w:t>the</w:t>
                  </w:r>
                  <w:r>
                    <w:rPr>
                      <w:color w:val="58595B"/>
                      <w:spacing w:val="-8"/>
                    </w:rPr>
                    <w:t> </w:t>
                  </w:r>
                  <w:r>
                    <w:rPr>
                      <w:color w:val="58595B"/>
                      <w:spacing w:val="-3"/>
                    </w:rPr>
                    <w:t>level</w:t>
                  </w:r>
                  <w:r>
                    <w:rPr>
                      <w:color w:val="58595B"/>
                      <w:spacing w:val="-8"/>
                    </w:rPr>
                    <w:t> </w:t>
                  </w:r>
                  <w:r>
                    <w:rPr>
                      <w:color w:val="58595B"/>
                    </w:rPr>
                    <w:t>that</w:t>
                  </w:r>
                  <w:r>
                    <w:rPr>
                      <w:color w:val="58595B"/>
                      <w:spacing w:val="-8"/>
                    </w:rPr>
                    <w:t> </w:t>
                  </w:r>
                  <w:r>
                    <w:rPr>
                      <w:color w:val="58595B"/>
                    </w:rPr>
                    <w:t>would</w:t>
                  </w:r>
                  <w:r>
                    <w:rPr>
                      <w:color w:val="58595B"/>
                      <w:spacing w:val="-8"/>
                    </w:rPr>
                    <w:t> </w:t>
                  </w:r>
                  <w:r>
                    <w:rPr>
                      <w:color w:val="58595B"/>
                    </w:rPr>
                    <w:t>result</w:t>
                  </w:r>
                  <w:r>
                    <w:rPr>
                      <w:color w:val="58595B"/>
                      <w:spacing w:val="-8"/>
                    </w:rPr>
                    <w:t> </w:t>
                  </w:r>
                  <w:r>
                    <w:rPr>
                      <w:color w:val="58595B"/>
                    </w:rPr>
                    <w:t>from Commonwealth Government policy alone, this will simply change the distribution of emissions reduction across Australia. That is, greater reductions in Victoria will mean that smaller reductions are needed in other jurisdictions for Australia to meet its</w:t>
                  </w:r>
                  <w:r>
                    <w:rPr>
                      <w:color w:val="58595B"/>
                      <w:spacing w:val="5"/>
                    </w:rPr>
                    <w:t> </w:t>
                  </w:r>
                  <w:r>
                    <w:rPr>
                      <w:color w:val="58595B"/>
                    </w:rPr>
                    <w:t>target.</w:t>
                  </w:r>
                </w:p>
              </w:txbxContent>
            </v:textbox>
            <w10:wrap type="none"/>
          </v:shape>
        </w:pict>
      </w:r>
      <w:r>
        <w:rPr/>
        <w:pict>
          <v:shape style="position:absolute;margin-left:534.996094pt;margin-top:44.090015pt;width:60.3pt;height:5.25pt;mso-position-horizontal-relative:page;mso-position-vertical-relative:page;z-index:-17922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9200"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9176" from=".0pt,45.840015pt" to="60.2791pt,45.840015pt" stroked="true" strokeweight="7pt" strokecolor="#0095a7">
            <w10:wrap type="none"/>
          </v:line>
        </w:pict>
      </w:r>
      <w:r>
        <w:rPr/>
        <w:pict>
          <v:shape style="position:absolute;margin-left:69.866096pt;margin-top:40.902756pt;width:14.6pt;height:9.5pt;mso-position-horizontal-relative:page;mso-position-vertical-relative:page;z-index:-179152" type="#_x0000_t202" filled="false" stroked="false">
            <v:textbox inset="0,0,0,0">
              <w:txbxContent>
                <w:p>
                  <w:pPr>
                    <w:spacing w:before="1"/>
                    <w:ind w:left="20" w:right="0" w:firstLine="0"/>
                    <w:jc w:val="left"/>
                    <w:rPr>
                      <w:sz w:val="15"/>
                    </w:rPr>
                  </w:pPr>
                  <w:r>
                    <w:rPr>
                      <w:color w:val="58595B"/>
                      <w:sz w:val="15"/>
                    </w:rPr>
                    <w:t>154</w:t>
                  </w:r>
                </w:p>
              </w:txbxContent>
            </v:textbox>
            <w10:wrap type="none"/>
          </v:shape>
        </w:pict>
      </w:r>
      <w:r>
        <w:rPr/>
        <w:pict>
          <v:shape style="position:absolute;margin-left:95.377899pt;margin-top:40.902756pt;width:147.75pt;height:9.5pt;mso-position-horizontal-relative:page;mso-position-vertical-relative:page;z-index:-179128"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06.8pt;height:66pt;mso-position-horizontal-relative:page;mso-position-vertical-relative:page;z-index:-179104" type="#_x0000_t202" filled="false" stroked="false">
            <v:textbox inset="0,0,0,0">
              <w:txbxContent>
                <w:p>
                  <w:pPr>
                    <w:pStyle w:val="BodyText"/>
                    <w:spacing w:line="280" w:lineRule="auto"/>
                  </w:pPr>
                  <w:r>
                    <w:rPr>
                      <w:color w:val="58595B"/>
                    </w:rPr>
                    <w:t>There was no consensus among inquiry stakeholders about Victoria’s role in greenhouse gas emissions reduction. Environment groups considered the Victorian Government – most likely via the EPA – should regulate greenhouse gas emissions, but many business groups, including peak bodies, argued that greenhouse gas mitigation policy should be left to the Commonwealth Government.</w:t>
                  </w:r>
                </w:p>
              </w:txbxContent>
            </v:textbox>
            <w10:wrap type="none"/>
          </v:shape>
        </w:pict>
      </w:r>
      <w:r>
        <w:rPr/>
        <w:pict>
          <v:shape style="position:absolute;margin-left:98.20610pt;margin-top:181.893967pt;width:368.15pt;height:66pt;mso-position-horizontal-relative:page;mso-position-vertical-relative:page;z-index:-179080" type="#_x0000_t202" filled="false" stroked="false">
            <v:textbox inset="0,0,0,0">
              <w:txbxContent>
                <w:p>
                  <w:pPr>
                    <w:spacing w:line="280" w:lineRule="auto" w:before="0"/>
                    <w:ind w:left="20" w:right="181" w:firstLine="0"/>
                    <w:jc w:val="left"/>
                    <w:rPr>
                      <w:i/>
                      <w:sz w:val="20"/>
                    </w:rPr>
                  </w:pPr>
                  <w:r>
                    <w:rPr>
                      <w:i/>
                      <w:color w:val="231F20"/>
                      <w:sz w:val="20"/>
                    </w:rPr>
                    <w:t>The new Victorian Government has made it clear that it wishes to once more be a leader on climate change and we see the EPA as a crucial organisation to</w:t>
                  </w:r>
                  <w:r>
                    <w:rPr>
                      <w:i/>
                      <w:color w:val="231F20"/>
                      <w:spacing w:val="-1"/>
                      <w:sz w:val="20"/>
                    </w:rPr>
                    <w:t> </w:t>
                  </w:r>
                  <w:r>
                    <w:rPr>
                      <w:i/>
                      <w:color w:val="231F20"/>
                      <w:sz w:val="20"/>
                    </w:rPr>
                    <w:t>help</w:t>
                  </w:r>
                </w:p>
                <w:p>
                  <w:pPr>
                    <w:spacing w:line="280" w:lineRule="auto" w:before="2"/>
                    <w:ind w:left="20" w:right="17" w:firstLine="0"/>
                    <w:jc w:val="both"/>
                    <w:rPr>
                      <w:sz w:val="20"/>
                    </w:rPr>
                  </w:pPr>
                  <w:r>
                    <w:rPr>
                      <w:i/>
                      <w:color w:val="231F20"/>
                      <w:sz w:val="20"/>
                    </w:rPr>
                    <w:t>achieve this aim …. That addressing climate change and in particular the emission of greenhouse gases from power generation, industry and transport become a top priority and core function of the EPA. </w:t>
                  </w:r>
                  <w:r>
                    <w:rPr>
                      <w:color w:val="231F20"/>
                      <w:sz w:val="20"/>
                    </w:rPr>
                    <w:t>(Lighter Footprints submission, pp. 3–4)</w:t>
                  </w:r>
                </w:p>
              </w:txbxContent>
            </v:textbox>
            <w10:wrap type="none"/>
          </v:shape>
        </w:pict>
      </w:r>
      <w:r>
        <w:rPr/>
        <w:pict>
          <v:shape style="position:absolute;margin-left:98.20610pt;margin-top:257.893982pt;width:375.7pt;height:52.5pt;mso-position-horizontal-relative:page;mso-position-vertical-relative:page;z-index:-179056" type="#_x0000_t202" filled="false" stroked="false">
            <v:textbox inset="0,0,0,0">
              <w:txbxContent>
                <w:p>
                  <w:pPr>
                    <w:spacing w:line="280" w:lineRule="auto" w:before="0"/>
                    <w:ind w:left="20" w:right="13" w:firstLine="0"/>
                    <w:jc w:val="left"/>
                    <w:rPr>
                      <w:sz w:val="20"/>
                    </w:rPr>
                  </w:pPr>
                  <w:r>
                    <w:rPr>
                      <w:i/>
                      <w:color w:val="231F20"/>
                      <w:sz w:val="20"/>
                    </w:rPr>
                    <w:t>It is unacceptable that the EPA, as the state body responsible for regulation of pollution and the environmental impacts of industry, does not have a meaningful and powerful role in the regulation of carbon pollution. </w:t>
                  </w:r>
                  <w:r>
                    <w:rPr>
                      <w:color w:val="231F20"/>
                      <w:sz w:val="20"/>
                    </w:rPr>
                    <w:t>(Environmental Justice Australia submission, p. 17)</w:t>
                  </w:r>
                </w:p>
              </w:txbxContent>
            </v:textbox>
            <w10:wrap type="none"/>
          </v:shape>
        </w:pict>
      </w:r>
      <w:r>
        <w:rPr/>
        <w:pict>
          <v:shape style="position:absolute;margin-left:98.20610pt;margin-top:320.393982pt;width:360.65pt;height:39pt;mso-position-horizontal-relative:page;mso-position-vertical-relative:page;z-index:-179032" type="#_x0000_t202" filled="false" stroked="false">
            <v:textbox inset="0,0,0,0">
              <w:txbxContent>
                <w:p>
                  <w:pPr>
                    <w:spacing w:line="280" w:lineRule="auto" w:before="0"/>
                    <w:ind w:left="20" w:right="0" w:firstLine="0"/>
                    <w:jc w:val="left"/>
                    <w:rPr>
                      <w:sz w:val="20"/>
                    </w:rPr>
                  </w:pPr>
                  <w:r>
                    <w:rPr>
                      <w:i/>
                      <w:color w:val="231F20"/>
                      <w:sz w:val="20"/>
                    </w:rPr>
                    <w:t>… the MCA does not support state-based climate change policies and legislative regimes because they are at best inefficient and at worst ineffective and counterproductive. </w:t>
                  </w:r>
                  <w:r>
                    <w:rPr>
                      <w:color w:val="231F20"/>
                      <w:sz w:val="20"/>
                    </w:rPr>
                    <w:t>(Minerals Council of Australia – Victoria submission, p. 6)</w:t>
                  </w:r>
                </w:p>
              </w:txbxContent>
            </v:textbox>
            <w10:wrap type="none"/>
          </v:shape>
        </w:pict>
      </w:r>
      <w:r>
        <w:rPr/>
        <w:pict>
          <v:shape style="position:absolute;margin-left:98.20610pt;margin-top:369.393982pt;width:333.5pt;height:25.5pt;mso-position-horizontal-relative:page;mso-position-vertical-relative:page;z-index:-179008" type="#_x0000_t202" filled="false" stroked="false">
            <v:textbox inset="0,0,0,0">
              <w:txbxContent>
                <w:p>
                  <w:pPr>
                    <w:spacing w:line="280" w:lineRule="auto" w:before="0"/>
                    <w:ind w:left="20" w:right="0" w:firstLine="0"/>
                    <w:jc w:val="left"/>
                    <w:rPr>
                      <w:sz w:val="20"/>
                    </w:rPr>
                  </w:pPr>
                  <w:r>
                    <w:rPr>
                      <w:i/>
                      <w:color w:val="231F20"/>
                      <w:sz w:val="20"/>
                    </w:rPr>
                    <w:t>Mitigating greenhouse gas emissions is primarily a national issue requiring a coherent national approach. </w:t>
                  </w:r>
                  <w:r>
                    <w:rPr>
                      <w:color w:val="231F20"/>
                      <w:sz w:val="20"/>
                    </w:rPr>
                    <w:t>(Australian Industry Group submission, p. 7)</w:t>
                  </w:r>
                </w:p>
              </w:txbxContent>
            </v:textbox>
            <w10:wrap type="none"/>
          </v:shape>
        </w:pict>
      </w:r>
      <w:r>
        <w:rPr/>
        <w:pict>
          <v:shape style="position:absolute;margin-left:69.856102pt;margin-top:404.893982pt;width:426.6pt;height:39pt;mso-position-horizontal-relative:page;mso-position-vertical-relative:page;z-index:-178984" type="#_x0000_t202" filled="false" stroked="false">
            <v:textbox inset="0,0,0,0">
              <w:txbxContent>
                <w:p>
                  <w:pPr>
                    <w:pStyle w:val="BodyText"/>
                    <w:spacing w:line="280" w:lineRule="auto"/>
                    <w:ind w:right="17"/>
                  </w:pPr>
                  <w:r>
                    <w:rPr>
                      <w:color w:val="58595B"/>
                    </w:rPr>
                    <w:t>While Victorian actions will not affect the total concentration of greenhouse gas emissions in  the atmosphere, the Victorian Government may seek to reduce the state’s emissions in line with state-specific</w:t>
                  </w:r>
                  <w:r>
                    <w:rPr>
                      <w:color w:val="58595B"/>
                      <w:spacing w:val="11"/>
                    </w:rPr>
                    <w:t> </w:t>
                  </w:r>
                  <w:r>
                    <w:rPr>
                      <w:color w:val="58595B"/>
                    </w:rPr>
                    <w:t>objectives:</w:t>
                  </w:r>
                </w:p>
              </w:txbxContent>
            </v:textbox>
            <w10:wrap type="none"/>
          </v:shape>
        </w:pict>
      </w:r>
      <w:r>
        <w:rPr/>
        <w:pict>
          <v:shape style="position:absolute;margin-left:69.856102pt;margin-top:451.063965pt;width:5.5pt;height:12pt;mso-position-horizontal-relative:page;mso-position-vertical-relative:page;z-index:-17896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78.356102pt;margin-top:451.063965pt;width:426.3pt;height:93pt;mso-position-horizontal-relative:page;mso-position-vertical-relative:page;z-index:-178936" type="#_x0000_t202" filled="false" stroked="false">
            <v:textbox inset="0,0,0,0">
              <w:txbxContent>
                <w:p>
                  <w:pPr>
                    <w:spacing w:line="280" w:lineRule="auto" w:before="0"/>
                    <w:ind w:left="20" w:right="228" w:firstLine="0"/>
                    <w:jc w:val="left"/>
                    <w:rPr>
                      <w:sz w:val="20"/>
                    </w:rPr>
                  </w:pPr>
                  <w:r>
                    <w:rPr>
                      <w:b/>
                      <w:color w:val="58595B"/>
                      <w:sz w:val="20"/>
                    </w:rPr>
                    <w:t>Transitioning</w:t>
                  </w:r>
                  <w:r>
                    <w:rPr>
                      <w:b/>
                      <w:color w:val="58595B"/>
                      <w:spacing w:val="-8"/>
                      <w:sz w:val="20"/>
                    </w:rPr>
                    <w:t> </w:t>
                  </w:r>
                  <w:r>
                    <w:rPr>
                      <w:b/>
                      <w:color w:val="58595B"/>
                      <w:sz w:val="20"/>
                    </w:rPr>
                    <w:t>to</w:t>
                  </w:r>
                  <w:r>
                    <w:rPr>
                      <w:b/>
                      <w:color w:val="58595B"/>
                      <w:spacing w:val="-8"/>
                      <w:sz w:val="20"/>
                    </w:rPr>
                    <w:t> </w:t>
                  </w:r>
                  <w:r>
                    <w:rPr>
                      <w:b/>
                      <w:color w:val="58595B"/>
                      <w:sz w:val="20"/>
                    </w:rPr>
                    <w:t>a</w:t>
                  </w:r>
                  <w:r>
                    <w:rPr>
                      <w:b/>
                      <w:color w:val="58595B"/>
                      <w:spacing w:val="-8"/>
                      <w:sz w:val="20"/>
                    </w:rPr>
                    <w:t> </w:t>
                  </w:r>
                  <w:r>
                    <w:rPr>
                      <w:b/>
                      <w:color w:val="58595B"/>
                      <w:sz w:val="20"/>
                    </w:rPr>
                    <w:t>low</w:t>
                  </w:r>
                  <w:r>
                    <w:rPr>
                      <w:b/>
                      <w:color w:val="58595B"/>
                      <w:spacing w:val="-8"/>
                      <w:sz w:val="20"/>
                    </w:rPr>
                    <w:t> </w:t>
                  </w:r>
                  <w:r>
                    <w:rPr>
                      <w:b/>
                      <w:color w:val="58595B"/>
                      <w:sz w:val="20"/>
                    </w:rPr>
                    <w:t>carbon</w:t>
                  </w:r>
                  <w:r>
                    <w:rPr>
                      <w:b/>
                      <w:color w:val="58595B"/>
                      <w:spacing w:val="-8"/>
                      <w:sz w:val="20"/>
                    </w:rPr>
                    <w:t> </w:t>
                  </w:r>
                  <w:r>
                    <w:rPr>
                      <w:b/>
                      <w:color w:val="58595B"/>
                      <w:sz w:val="20"/>
                    </w:rPr>
                    <w:t>economy</w:t>
                  </w:r>
                  <w:r>
                    <w:rPr>
                      <w:b/>
                      <w:color w:val="58595B"/>
                      <w:spacing w:val="-8"/>
                      <w:sz w:val="20"/>
                    </w:rPr>
                    <w:t> </w:t>
                  </w:r>
                  <w:r>
                    <w:rPr>
                      <w:color w:val="58595B"/>
                      <w:sz w:val="20"/>
                    </w:rPr>
                    <w:t>–</w:t>
                  </w:r>
                  <w:r>
                    <w:rPr>
                      <w:color w:val="58595B"/>
                      <w:spacing w:val="-8"/>
                      <w:sz w:val="20"/>
                    </w:rPr>
                    <w:t> </w:t>
                  </w:r>
                  <w:r>
                    <w:rPr>
                      <w:color w:val="58595B"/>
                      <w:spacing w:val="-3"/>
                      <w:sz w:val="20"/>
                    </w:rPr>
                    <w:t>Victoria’s</w:t>
                  </w:r>
                  <w:r>
                    <w:rPr>
                      <w:color w:val="58595B"/>
                      <w:spacing w:val="-8"/>
                      <w:sz w:val="20"/>
                    </w:rPr>
                    <w:t> </w:t>
                  </w:r>
                  <w:r>
                    <w:rPr>
                      <w:color w:val="58595B"/>
                      <w:sz w:val="20"/>
                    </w:rPr>
                    <w:t>long</w:t>
                  </w:r>
                  <w:r>
                    <w:rPr>
                      <w:color w:val="58595B"/>
                      <w:spacing w:val="-8"/>
                      <w:sz w:val="20"/>
                    </w:rPr>
                    <w:t> </w:t>
                  </w:r>
                  <w:r>
                    <w:rPr>
                      <w:color w:val="58595B"/>
                      <w:sz w:val="20"/>
                    </w:rPr>
                    <w:t>term</w:t>
                  </w:r>
                  <w:r>
                    <w:rPr>
                      <w:color w:val="58595B"/>
                      <w:spacing w:val="-8"/>
                      <w:sz w:val="20"/>
                    </w:rPr>
                    <w:t> </w:t>
                  </w:r>
                  <w:r>
                    <w:rPr>
                      <w:color w:val="58595B"/>
                      <w:sz w:val="20"/>
                    </w:rPr>
                    <w:t>economic</w:t>
                  </w:r>
                  <w:r>
                    <w:rPr>
                      <w:color w:val="58595B"/>
                      <w:spacing w:val="-8"/>
                      <w:sz w:val="20"/>
                    </w:rPr>
                    <w:t> </w:t>
                  </w:r>
                  <w:r>
                    <w:rPr>
                      <w:color w:val="58595B"/>
                      <w:spacing w:val="-2"/>
                      <w:sz w:val="20"/>
                    </w:rPr>
                    <w:t>interests</w:t>
                  </w:r>
                  <w:r>
                    <w:rPr>
                      <w:color w:val="58595B"/>
                      <w:spacing w:val="-8"/>
                      <w:sz w:val="20"/>
                    </w:rPr>
                    <w:t> </w:t>
                  </w:r>
                  <w:r>
                    <w:rPr>
                      <w:color w:val="58595B"/>
                      <w:spacing w:val="-3"/>
                      <w:sz w:val="20"/>
                    </w:rPr>
                    <w:t>may</w:t>
                  </w:r>
                  <w:r>
                    <w:rPr>
                      <w:color w:val="58595B"/>
                      <w:spacing w:val="-8"/>
                      <w:sz w:val="20"/>
                    </w:rPr>
                    <w:t> </w:t>
                  </w:r>
                  <w:r>
                    <w:rPr>
                      <w:color w:val="58595B"/>
                      <w:sz w:val="20"/>
                    </w:rPr>
                    <w:t>best be</w:t>
                  </w:r>
                  <w:r>
                    <w:rPr>
                      <w:color w:val="58595B"/>
                      <w:spacing w:val="-8"/>
                      <w:sz w:val="20"/>
                    </w:rPr>
                    <w:t> </w:t>
                  </w:r>
                  <w:r>
                    <w:rPr>
                      <w:color w:val="58595B"/>
                      <w:sz w:val="20"/>
                    </w:rPr>
                    <w:t>served</w:t>
                  </w:r>
                  <w:r>
                    <w:rPr>
                      <w:color w:val="58595B"/>
                      <w:spacing w:val="-8"/>
                      <w:sz w:val="20"/>
                    </w:rPr>
                    <w:t> </w:t>
                  </w:r>
                  <w:r>
                    <w:rPr>
                      <w:color w:val="58595B"/>
                      <w:spacing w:val="-3"/>
                      <w:sz w:val="20"/>
                    </w:rPr>
                    <w:t>by</w:t>
                  </w:r>
                  <w:r>
                    <w:rPr>
                      <w:color w:val="58595B"/>
                      <w:spacing w:val="-8"/>
                      <w:sz w:val="20"/>
                    </w:rPr>
                    <w:t> </w:t>
                  </w:r>
                  <w:r>
                    <w:rPr>
                      <w:color w:val="58595B"/>
                      <w:sz w:val="20"/>
                    </w:rPr>
                    <w:t>efforts</w:t>
                  </w:r>
                  <w:r>
                    <w:rPr>
                      <w:color w:val="58595B"/>
                      <w:spacing w:val="-8"/>
                      <w:sz w:val="20"/>
                    </w:rPr>
                    <w:t> </w:t>
                  </w:r>
                  <w:r>
                    <w:rPr>
                      <w:color w:val="58595B"/>
                      <w:sz w:val="20"/>
                    </w:rPr>
                    <w:t>to</w:t>
                  </w:r>
                  <w:r>
                    <w:rPr>
                      <w:color w:val="58595B"/>
                      <w:spacing w:val="-8"/>
                      <w:sz w:val="20"/>
                    </w:rPr>
                    <w:t> </w:t>
                  </w:r>
                  <w:r>
                    <w:rPr>
                      <w:color w:val="58595B"/>
                      <w:sz w:val="20"/>
                    </w:rPr>
                    <w:t>reduce</w:t>
                  </w:r>
                  <w:r>
                    <w:rPr>
                      <w:color w:val="58595B"/>
                      <w:spacing w:val="-8"/>
                      <w:sz w:val="20"/>
                    </w:rPr>
                    <w:t> </w:t>
                  </w:r>
                  <w:r>
                    <w:rPr>
                      <w:color w:val="58595B"/>
                      <w:sz w:val="20"/>
                    </w:rPr>
                    <w:t>the</w:t>
                  </w:r>
                  <w:r>
                    <w:rPr>
                      <w:color w:val="58595B"/>
                      <w:spacing w:val="-8"/>
                      <w:sz w:val="20"/>
                    </w:rPr>
                    <w:t> </w:t>
                  </w:r>
                  <w:r>
                    <w:rPr>
                      <w:color w:val="58595B"/>
                      <w:spacing w:val="-4"/>
                      <w:sz w:val="20"/>
                    </w:rPr>
                    <w:t>state’s</w:t>
                  </w:r>
                  <w:r>
                    <w:rPr>
                      <w:color w:val="58595B"/>
                      <w:spacing w:val="-8"/>
                      <w:sz w:val="20"/>
                    </w:rPr>
                    <w:t> </w:t>
                  </w:r>
                  <w:r>
                    <w:rPr>
                      <w:color w:val="58595B"/>
                      <w:sz w:val="20"/>
                    </w:rPr>
                    <w:t>emissions</w:t>
                  </w:r>
                  <w:r>
                    <w:rPr>
                      <w:color w:val="58595B"/>
                      <w:spacing w:val="-8"/>
                      <w:sz w:val="20"/>
                    </w:rPr>
                    <w:t> </w:t>
                  </w:r>
                  <w:r>
                    <w:rPr>
                      <w:color w:val="58595B"/>
                      <w:sz w:val="20"/>
                    </w:rPr>
                    <w:t>at</w:t>
                  </w:r>
                  <w:r>
                    <w:rPr>
                      <w:color w:val="58595B"/>
                      <w:spacing w:val="-8"/>
                      <w:sz w:val="20"/>
                    </w:rPr>
                    <w:t> </w:t>
                  </w:r>
                  <w:r>
                    <w:rPr>
                      <w:color w:val="58595B"/>
                      <w:sz w:val="20"/>
                    </w:rPr>
                    <w:t>a</w:t>
                  </w:r>
                  <w:r>
                    <w:rPr>
                      <w:color w:val="58595B"/>
                      <w:spacing w:val="-8"/>
                      <w:sz w:val="20"/>
                    </w:rPr>
                    <w:t> </w:t>
                  </w:r>
                  <w:r>
                    <w:rPr>
                      <w:color w:val="58595B"/>
                      <w:sz w:val="20"/>
                    </w:rPr>
                    <w:t>scale</w:t>
                  </w:r>
                  <w:r>
                    <w:rPr>
                      <w:color w:val="58595B"/>
                      <w:spacing w:val="-8"/>
                      <w:sz w:val="20"/>
                    </w:rPr>
                    <w:t> </w:t>
                  </w:r>
                  <w:r>
                    <w:rPr>
                      <w:color w:val="58595B"/>
                      <w:sz w:val="20"/>
                    </w:rPr>
                    <w:t>and</w:t>
                  </w:r>
                  <w:r>
                    <w:rPr>
                      <w:color w:val="58595B"/>
                      <w:spacing w:val="-8"/>
                      <w:sz w:val="20"/>
                    </w:rPr>
                    <w:t> </w:t>
                  </w:r>
                  <w:r>
                    <w:rPr>
                      <w:color w:val="58595B"/>
                      <w:sz w:val="20"/>
                    </w:rPr>
                    <w:t>pace</w:t>
                  </w:r>
                  <w:r>
                    <w:rPr>
                      <w:color w:val="58595B"/>
                      <w:spacing w:val="-8"/>
                      <w:sz w:val="20"/>
                    </w:rPr>
                    <w:t> </w:t>
                  </w:r>
                  <w:r>
                    <w:rPr>
                      <w:color w:val="58595B"/>
                      <w:spacing w:val="-3"/>
                      <w:sz w:val="20"/>
                    </w:rPr>
                    <w:t>beyond</w:t>
                  </w:r>
                  <w:r>
                    <w:rPr>
                      <w:color w:val="58595B"/>
                      <w:spacing w:val="-8"/>
                      <w:sz w:val="20"/>
                    </w:rPr>
                    <w:t> </w:t>
                  </w:r>
                  <w:r>
                    <w:rPr>
                      <w:color w:val="58595B"/>
                      <w:sz w:val="20"/>
                    </w:rPr>
                    <w:t>that</w:t>
                  </w:r>
                  <w:r>
                    <w:rPr>
                      <w:color w:val="58595B"/>
                      <w:spacing w:val="-8"/>
                      <w:sz w:val="20"/>
                    </w:rPr>
                    <w:t> </w:t>
                  </w:r>
                  <w:r>
                    <w:rPr>
                      <w:color w:val="58595B"/>
                      <w:sz w:val="20"/>
                    </w:rPr>
                    <w:t>driven</w:t>
                  </w:r>
                  <w:r>
                    <w:rPr>
                      <w:color w:val="58595B"/>
                      <w:spacing w:val="-8"/>
                      <w:sz w:val="20"/>
                    </w:rPr>
                    <w:t> </w:t>
                  </w:r>
                  <w:r>
                    <w:rPr>
                      <w:color w:val="58595B"/>
                      <w:spacing w:val="-3"/>
                      <w:sz w:val="20"/>
                    </w:rPr>
                    <w:t>by</w:t>
                  </w:r>
                </w:p>
                <w:p>
                  <w:pPr>
                    <w:pStyle w:val="BodyText"/>
                    <w:spacing w:line="280" w:lineRule="auto" w:before="2"/>
                    <w:ind w:right="17"/>
                    <w:rPr>
                      <w:sz w:val="11"/>
                    </w:rPr>
                  </w:pPr>
                  <w:r>
                    <w:rPr>
                      <w:color w:val="58595B"/>
                    </w:rPr>
                    <w:t>Commonwealth</w:t>
                  </w:r>
                  <w:r>
                    <w:rPr>
                      <w:color w:val="58595B"/>
                      <w:spacing w:val="-11"/>
                    </w:rPr>
                    <w:t> </w:t>
                  </w:r>
                  <w:r>
                    <w:rPr>
                      <w:color w:val="58595B"/>
                      <w:spacing w:val="-3"/>
                    </w:rPr>
                    <w:t>Government</w:t>
                  </w:r>
                  <w:r>
                    <w:rPr>
                      <w:color w:val="58595B"/>
                      <w:spacing w:val="-11"/>
                    </w:rPr>
                    <w:t> </w:t>
                  </w:r>
                  <w:r>
                    <w:rPr>
                      <w:color w:val="58595B"/>
                      <w:spacing w:val="-4"/>
                    </w:rPr>
                    <w:t>policy.</w:t>
                  </w:r>
                  <w:r>
                    <w:rPr>
                      <w:color w:val="58595B"/>
                      <w:spacing w:val="-11"/>
                    </w:rPr>
                    <w:t> </w:t>
                  </w:r>
                  <w:r>
                    <w:rPr>
                      <w:color w:val="58595B"/>
                    </w:rPr>
                    <w:t>Analysis</w:t>
                  </w:r>
                  <w:r>
                    <w:rPr>
                      <w:color w:val="58595B"/>
                      <w:spacing w:val="-11"/>
                    </w:rPr>
                    <w:t> </w:t>
                  </w:r>
                  <w:r>
                    <w:rPr>
                      <w:color w:val="58595B"/>
                    </w:rPr>
                    <w:t>consistently</w:t>
                  </w:r>
                  <w:r>
                    <w:rPr>
                      <w:color w:val="58595B"/>
                      <w:spacing w:val="-11"/>
                    </w:rPr>
                    <w:t> </w:t>
                  </w:r>
                  <w:r>
                    <w:rPr>
                      <w:color w:val="58595B"/>
                    </w:rPr>
                    <w:t>finds</w:t>
                  </w:r>
                  <w:r>
                    <w:rPr>
                      <w:color w:val="58595B"/>
                      <w:spacing w:val="-11"/>
                    </w:rPr>
                    <w:t> </w:t>
                  </w:r>
                  <w:r>
                    <w:rPr>
                      <w:color w:val="58595B"/>
                    </w:rPr>
                    <w:t>that</w:t>
                  </w:r>
                  <w:r>
                    <w:rPr>
                      <w:color w:val="58595B"/>
                      <w:spacing w:val="-11"/>
                    </w:rPr>
                    <w:t> </w:t>
                  </w:r>
                  <w:r>
                    <w:rPr>
                      <w:color w:val="58595B"/>
                    </w:rPr>
                    <w:t>strong</w:t>
                  </w:r>
                  <w:r>
                    <w:rPr>
                      <w:color w:val="58595B"/>
                      <w:spacing w:val="-11"/>
                    </w:rPr>
                    <w:t> </w:t>
                  </w:r>
                  <w:r>
                    <w:rPr>
                      <w:color w:val="58595B"/>
                    </w:rPr>
                    <w:t>early</w:t>
                  </w:r>
                  <w:r>
                    <w:rPr>
                      <w:color w:val="58595B"/>
                      <w:spacing w:val="-11"/>
                    </w:rPr>
                    <w:t> </w:t>
                  </w:r>
                  <w:r>
                    <w:rPr>
                      <w:color w:val="58595B"/>
                    </w:rPr>
                    <w:t>action</w:t>
                  </w:r>
                  <w:r>
                    <w:rPr>
                      <w:color w:val="58595B"/>
                      <w:spacing w:val="-11"/>
                    </w:rPr>
                    <w:t> </w:t>
                  </w:r>
                  <w:r>
                    <w:rPr>
                      <w:color w:val="58595B"/>
                    </w:rPr>
                    <w:t>lowers</w:t>
                  </w:r>
                  <w:r>
                    <w:rPr>
                      <w:color w:val="58595B"/>
                      <w:spacing w:val="-11"/>
                    </w:rPr>
                    <w:t> </w:t>
                  </w:r>
                  <w:r>
                    <w:rPr>
                      <w:color w:val="58595B"/>
                    </w:rPr>
                    <w:t>the cost</w:t>
                  </w:r>
                  <w:r>
                    <w:rPr>
                      <w:color w:val="58595B"/>
                      <w:spacing w:val="-8"/>
                    </w:rPr>
                    <w:t> </w:t>
                  </w:r>
                  <w:r>
                    <w:rPr>
                      <w:color w:val="58595B"/>
                    </w:rPr>
                    <w:t>of</w:t>
                  </w:r>
                  <w:r>
                    <w:rPr>
                      <w:color w:val="58595B"/>
                      <w:spacing w:val="-8"/>
                    </w:rPr>
                    <w:t> </w:t>
                  </w:r>
                  <w:r>
                    <w:rPr>
                      <w:color w:val="58595B"/>
                    </w:rPr>
                    <w:t>transitioning</w:t>
                  </w:r>
                  <w:r>
                    <w:rPr>
                      <w:color w:val="58595B"/>
                      <w:spacing w:val="-8"/>
                    </w:rPr>
                    <w:t> </w:t>
                  </w:r>
                  <w:r>
                    <w:rPr>
                      <w:color w:val="58595B"/>
                    </w:rPr>
                    <w:t>to</w:t>
                  </w:r>
                  <w:r>
                    <w:rPr>
                      <w:color w:val="58595B"/>
                      <w:spacing w:val="-8"/>
                    </w:rPr>
                    <w:t> </w:t>
                  </w:r>
                  <w:r>
                    <w:rPr>
                      <w:color w:val="58595B"/>
                    </w:rPr>
                    <w:t>a</w:t>
                  </w:r>
                  <w:r>
                    <w:rPr>
                      <w:color w:val="58595B"/>
                      <w:spacing w:val="-8"/>
                    </w:rPr>
                    <w:t> </w:t>
                  </w:r>
                  <w:r>
                    <w:rPr>
                      <w:color w:val="58595B"/>
                    </w:rPr>
                    <w:t>low</w:t>
                  </w:r>
                  <w:r>
                    <w:rPr>
                      <w:color w:val="58595B"/>
                      <w:spacing w:val="-8"/>
                    </w:rPr>
                    <w:t> </w:t>
                  </w:r>
                  <w:r>
                    <w:rPr>
                      <w:color w:val="58595B"/>
                    </w:rPr>
                    <w:t>carbon</w:t>
                  </w:r>
                  <w:r>
                    <w:rPr>
                      <w:color w:val="58595B"/>
                      <w:spacing w:val="-8"/>
                    </w:rPr>
                    <w:t> </w:t>
                  </w:r>
                  <w:r>
                    <w:rPr>
                      <w:color w:val="58595B"/>
                      <w:spacing w:val="-3"/>
                    </w:rPr>
                    <w:t>economy.</w:t>
                  </w:r>
                  <w:r>
                    <w:rPr>
                      <w:color w:val="58595B"/>
                      <w:spacing w:val="-8"/>
                    </w:rPr>
                    <w:t> </w:t>
                  </w:r>
                  <w:r>
                    <w:rPr>
                      <w:color w:val="58595B"/>
                    </w:rPr>
                    <w:t>The</w:t>
                  </w:r>
                  <w:r>
                    <w:rPr>
                      <w:color w:val="58595B"/>
                      <w:spacing w:val="-8"/>
                    </w:rPr>
                    <w:t> </w:t>
                  </w:r>
                  <w:r>
                    <w:rPr>
                      <w:color w:val="58595B"/>
                    </w:rPr>
                    <w:t>Stern</w:t>
                  </w:r>
                  <w:r>
                    <w:rPr>
                      <w:color w:val="58595B"/>
                      <w:spacing w:val="-8"/>
                    </w:rPr>
                    <w:t> </w:t>
                  </w:r>
                  <w:r>
                    <w:rPr>
                      <w:color w:val="58595B"/>
                      <w:spacing w:val="-4"/>
                    </w:rPr>
                    <w:t>Review,</w:t>
                  </w:r>
                  <w:r>
                    <w:rPr>
                      <w:color w:val="58595B"/>
                      <w:spacing w:val="-8"/>
                    </w:rPr>
                    <w:t> </w:t>
                  </w:r>
                  <w:r>
                    <w:rPr>
                      <w:color w:val="58595B"/>
                    </w:rPr>
                    <w:t>for</w:t>
                  </w:r>
                  <w:r>
                    <w:rPr>
                      <w:color w:val="58595B"/>
                      <w:spacing w:val="-8"/>
                    </w:rPr>
                    <w:t> </w:t>
                  </w:r>
                  <w:r>
                    <w:rPr>
                      <w:color w:val="58595B"/>
                      <w:spacing w:val="-3"/>
                    </w:rPr>
                    <w:t>example,</w:t>
                  </w:r>
                  <w:r>
                    <w:rPr>
                      <w:color w:val="58595B"/>
                      <w:spacing w:val="-8"/>
                    </w:rPr>
                    <w:t> </w:t>
                  </w:r>
                  <w:r>
                    <w:rPr>
                      <w:color w:val="58595B"/>
                    </w:rPr>
                    <w:t>concluded</w:t>
                  </w:r>
                  <w:r>
                    <w:rPr>
                      <w:color w:val="58595B"/>
                      <w:spacing w:val="-8"/>
                    </w:rPr>
                    <w:t> ‘… </w:t>
                  </w:r>
                  <w:r>
                    <w:rPr>
                      <w:color w:val="58595B"/>
                    </w:rPr>
                    <w:t>early action</w:t>
                  </w:r>
                  <w:r>
                    <w:rPr>
                      <w:color w:val="58595B"/>
                      <w:spacing w:val="-8"/>
                    </w:rPr>
                    <w:t> </w:t>
                  </w:r>
                  <w:r>
                    <w:rPr>
                      <w:color w:val="58595B"/>
                    </w:rPr>
                    <w:t>…</w:t>
                  </w:r>
                  <w:r>
                    <w:rPr>
                      <w:color w:val="58595B"/>
                      <w:spacing w:val="-8"/>
                    </w:rPr>
                    <w:t> </w:t>
                  </w:r>
                  <w:r>
                    <w:rPr>
                      <w:color w:val="58595B"/>
                    </w:rPr>
                    <w:t>will</w:t>
                  </w:r>
                  <w:r>
                    <w:rPr>
                      <w:color w:val="58595B"/>
                      <w:spacing w:val="-8"/>
                    </w:rPr>
                    <w:t> </w:t>
                  </w:r>
                  <w:r>
                    <w:rPr>
                      <w:color w:val="58595B"/>
                      <w:spacing w:val="-3"/>
                    </w:rPr>
                    <w:t>avoid</w:t>
                  </w:r>
                  <w:r>
                    <w:rPr>
                      <w:color w:val="58595B"/>
                      <w:spacing w:val="-8"/>
                    </w:rPr>
                    <w:t> </w:t>
                  </w:r>
                  <w:r>
                    <w:rPr>
                      <w:color w:val="58595B"/>
                    </w:rPr>
                    <w:t>the</w:t>
                  </w:r>
                  <w:r>
                    <w:rPr>
                      <w:color w:val="58595B"/>
                      <w:spacing w:val="-8"/>
                    </w:rPr>
                    <w:t> </w:t>
                  </w:r>
                  <w:r>
                    <w:rPr>
                      <w:color w:val="58595B"/>
                    </w:rPr>
                    <w:t>risk</w:t>
                  </w:r>
                  <w:r>
                    <w:rPr>
                      <w:color w:val="58595B"/>
                      <w:spacing w:val="-8"/>
                    </w:rPr>
                    <w:t> </w:t>
                  </w:r>
                  <w:r>
                    <w:rPr>
                      <w:color w:val="58595B"/>
                    </w:rPr>
                    <w:t>and</w:t>
                  </w:r>
                  <w:r>
                    <w:rPr>
                      <w:color w:val="58595B"/>
                      <w:spacing w:val="-8"/>
                    </w:rPr>
                    <w:t> </w:t>
                  </w:r>
                  <w:r>
                    <w:rPr>
                      <w:color w:val="58595B"/>
                    </w:rPr>
                    <w:t>costs</w:t>
                  </w:r>
                  <w:r>
                    <w:rPr>
                      <w:color w:val="58595B"/>
                      <w:spacing w:val="-8"/>
                    </w:rPr>
                    <w:t> </w:t>
                  </w:r>
                  <w:r>
                    <w:rPr>
                      <w:color w:val="58595B"/>
                    </w:rPr>
                    <w:t>of</w:t>
                  </w:r>
                  <w:r>
                    <w:rPr>
                      <w:color w:val="58595B"/>
                      <w:spacing w:val="-8"/>
                    </w:rPr>
                    <w:t> </w:t>
                  </w:r>
                  <w:r>
                    <w:rPr>
                      <w:color w:val="58595B"/>
                    </w:rPr>
                    <w:t>bigger</w:t>
                  </w:r>
                  <w:r>
                    <w:rPr>
                      <w:color w:val="58595B"/>
                      <w:spacing w:val="-8"/>
                    </w:rPr>
                    <w:t> </w:t>
                  </w:r>
                  <w:r>
                    <w:rPr>
                      <w:color w:val="58595B"/>
                    </w:rPr>
                    <w:t>cuts</w:t>
                  </w:r>
                  <w:r>
                    <w:rPr>
                      <w:color w:val="58595B"/>
                      <w:spacing w:val="-8"/>
                    </w:rPr>
                    <w:t> </w:t>
                  </w:r>
                  <w:r>
                    <w:rPr>
                      <w:color w:val="58595B"/>
                      <w:spacing w:val="-4"/>
                    </w:rPr>
                    <w:t>later.</w:t>
                  </w:r>
                  <w:r>
                    <w:rPr>
                      <w:color w:val="58595B"/>
                      <w:spacing w:val="-8"/>
                    </w:rPr>
                    <w:t> </w:t>
                  </w:r>
                  <w:r>
                    <w:rPr>
                      <w:color w:val="58595B"/>
                    </w:rPr>
                    <w:t>The</w:t>
                  </w:r>
                  <w:r>
                    <w:rPr>
                      <w:color w:val="58595B"/>
                      <w:spacing w:val="-8"/>
                    </w:rPr>
                    <w:t> </w:t>
                  </w:r>
                  <w:r>
                    <w:rPr>
                      <w:color w:val="58595B"/>
                    </w:rPr>
                    <w:t>longer</w:t>
                  </w:r>
                  <w:r>
                    <w:rPr>
                      <w:color w:val="58595B"/>
                      <w:spacing w:val="-8"/>
                    </w:rPr>
                    <w:t> </w:t>
                  </w:r>
                  <w:r>
                    <w:rPr>
                      <w:color w:val="58595B"/>
                    </w:rPr>
                    <w:t>action</w:t>
                  </w:r>
                  <w:r>
                    <w:rPr>
                      <w:color w:val="58595B"/>
                      <w:spacing w:val="-8"/>
                    </w:rPr>
                    <w:t> </w:t>
                  </w:r>
                  <w:r>
                    <w:rPr>
                      <w:color w:val="58595B"/>
                    </w:rPr>
                    <w:t>is</w:t>
                  </w:r>
                  <w:r>
                    <w:rPr>
                      <w:color w:val="58595B"/>
                      <w:spacing w:val="-8"/>
                    </w:rPr>
                    <w:t> </w:t>
                  </w:r>
                  <w:r>
                    <w:rPr>
                      <w:color w:val="58595B"/>
                      <w:spacing w:val="-3"/>
                    </w:rPr>
                    <w:t>delayed,</w:t>
                  </w:r>
                  <w:r>
                    <w:rPr>
                      <w:color w:val="58595B"/>
                      <w:spacing w:val="-8"/>
                    </w:rPr>
                    <w:t> </w:t>
                  </w:r>
                  <w:r>
                    <w:rPr>
                      <w:color w:val="58595B"/>
                    </w:rPr>
                    <w:t>the</w:t>
                  </w:r>
                  <w:r>
                    <w:rPr>
                      <w:color w:val="58595B"/>
                      <w:spacing w:val="-8"/>
                    </w:rPr>
                    <w:t> </w:t>
                  </w:r>
                  <w:r>
                    <w:rPr>
                      <w:color w:val="58595B"/>
                    </w:rPr>
                    <w:t>harder it</w:t>
                  </w:r>
                  <w:r>
                    <w:rPr>
                      <w:color w:val="58595B"/>
                      <w:spacing w:val="-9"/>
                    </w:rPr>
                    <w:t> </w:t>
                  </w:r>
                  <w:r>
                    <w:rPr>
                      <w:color w:val="58595B"/>
                    </w:rPr>
                    <w:t>will</w:t>
                  </w:r>
                  <w:r>
                    <w:rPr>
                      <w:color w:val="58595B"/>
                      <w:spacing w:val="-9"/>
                    </w:rPr>
                    <w:t> </w:t>
                  </w:r>
                  <w:r>
                    <w:rPr>
                      <w:color w:val="58595B"/>
                      <w:spacing w:val="-3"/>
                    </w:rPr>
                    <w:t>become.’</w:t>
                  </w:r>
                  <w:r>
                    <w:rPr>
                      <w:color w:val="58595B"/>
                      <w:spacing w:val="-9"/>
                    </w:rPr>
                    <w:t> </w:t>
                  </w:r>
                  <w:r>
                    <w:rPr>
                      <w:color w:val="58595B"/>
                    </w:rPr>
                    <w:t>The</w:t>
                  </w:r>
                  <w:r>
                    <w:rPr>
                      <w:color w:val="58595B"/>
                      <w:spacing w:val="-9"/>
                    </w:rPr>
                    <w:t> </w:t>
                  </w:r>
                  <w:r>
                    <w:rPr>
                      <w:color w:val="58595B"/>
                      <w:spacing w:val="-3"/>
                    </w:rPr>
                    <w:t>review</w:t>
                  </w:r>
                  <w:r>
                    <w:rPr>
                      <w:color w:val="58595B"/>
                      <w:spacing w:val="-9"/>
                    </w:rPr>
                    <w:t> </w:t>
                  </w:r>
                  <w:r>
                    <w:rPr>
                      <w:color w:val="58595B"/>
                    </w:rPr>
                    <w:t>also</w:t>
                  </w:r>
                  <w:r>
                    <w:rPr>
                      <w:color w:val="58595B"/>
                      <w:spacing w:val="-9"/>
                    </w:rPr>
                    <w:t> </w:t>
                  </w:r>
                  <w:r>
                    <w:rPr>
                      <w:color w:val="58595B"/>
                    </w:rPr>
                    <w:t>concluded</w:t>
                  </w:r>
                  <w:r>
                    <w:rPr>
                      <w:color w:val="58595B"/>
                      <w:spacing w:val="-9"/>
                    </w:rPr>
                    <w:t> </w:t>
                  </w:r>
                  <w:r>
                    <w:rPr>
                      <w:color w:val="58595B"/>
                    </w:rPr>
                    <w:t>that</w:t>
                  </w:r>
                  <w:r>
                    <w:rPr>
                      <w:color w:val="58595B"/>
                      <w:spacing w:val="-9"/>
                    </w:rPr>
                    <w:t> </w:t>
                  </w:r>
                  <w:r>
                    <w:rPr>
                      <w:color w:val="58595B"/>
                    </w:rPr>
                    <w:t>the</w:t>
                  </w:r>
                  <w:r>
                    <w:rPr>
                      <w:color w:val="58595B"/>
                      <w:spacing w:val="-9"/>
                    </w:rPr>
                    <w:t> </w:t>
                  </w:r>
                  <w:r>
                    <w:rPr>
                      <w:color w:val="58595B"/>
                      <w:spacing w:val="-8"/>
                    </w:rPr>
                    <w:t>‘…</w:t>
                  </w:r>
                  <w:r>
                    <w:rPr>
                      <w:color w:val="58595B"/>
                      <w:spacing w:val="-9"/>
                    </w:rPr>
                    <w:t> </w:t>
                  </w:r>
                  <w:r>
                    <w:rPr>
                      <w:color w:val="58595B"/>
                    </w:rPr>
                    <w:t>smooth</w:t>
                  </w:r>
                  <w:r>
                    <w:rPr>
                      <w:color w:val="58595B"/>
                      <w:spacing w:val="-9"/>
                    </w:rPr>
                    <w:t> </w:t>
                  </w:r>
                  <w:r>
                    <w:rPr>
                      <w:color w:val="58595B"/>
                    </w:rPr>
                    <w:t>transition</w:t>
                  </w:r>
                  <w:r>
                    <w:rPr>
                      <w:color w:val="58595B"/>
                      <w:spacing w:val="-9"/>
                    </w:rPr>
                    <w:t> </w:t>
                  </w:r>
                  <w:r>
                    <w:rPr>
                      <w:color w:val="58595B"/>
                    </w:rPr>
                    <w:t>to</w:t>
                  </w:r>
                  <w:r>
                    <w:rPr>
                      <w:color w:val="58595B"/>
                      <w:spacing w:val="-9"/>
                    </w:rPr>
                    <w:t> </w:t>
                  </w:r>
                  <w:r>
                    <w:rPr>
                      <w:color w:val="58595B"/>
                    </w:rPr>
                    <w:t>a</w:t>
                  </w:r>
                  <w:r>
                    <w:rPr>
                      <w:color w:val="58595B"/>
                      <w:spacing w:val="-9"/>
                    </w:rPr>
                    <w:t> </w:t>
                  </w:r>
                  <w:r>
                    <w:rPr>
                      <w:color w:val="58595B"/>
                    </w:rPr>
                    <w:t>low</w:t>
                  </w:r>
                  <w:r>
                    <w:rPr>
                      <w:color w:val="58595B"/>
                      <w:spacing w:val="-9"/>
                    </w:rPr>
                    <w:t> </w:t>
                  </w:r>
                  <w:r>
                    <w:rPr>
                      <w:color w:val="58595B"/>
                    </w:rPr>
                    <w:t>[greenhouse</w:t>
                  </w:r>
                  <w:r>
                    <w:rPr>
                      <w:color w:val="58595B"/>
                      <w:spacing w:val="-9"/>
                    </w:rPr>
                    <w:t> </w:t>
                  </w:r>
                  <w:r>
                    <w:rPr>
                      <w:color w:val="58595B"/>
                      <w:spacing w:val="-3"/>
                    </w:rPr>
                    <w:t>gas] environment</w:t>
                  </w:r>
                  <w:r>
                    <w:rPr>
                      <w:color w:val="58595B"/>
                      <w:spacing w:val="-7"/>
                    </w:rPr>
                    <w:t> </w:t>
                  </w:r>
                  <w:r>
                    <w:rPr>
                      <w:color w:val="58595B"/>
                    </w:rPr>
                    <w:t>with</w:t>
                  </w:r>
                  <w:r>
                    <w:rPr>
                      <w:color w:val="58595B"/>
                      <w:spacing w:val="-7"/>
                    </w:rPr>
                    <w:t> </w:t>
                  </w:r>
                  <w:r>
                    <w:rPr>
                      <w:color w:val="58595B"/>
                    </w:rPr>
                    <w:t>early</w:t>
                  </w:r>
                  <w:r>
                    <w:rPr>
                      <w:color w:val="58595B"/>
                      <w:spacing w:val="-7"/>
                    </w:rPr>
                    <w:t> </w:t>
                  </w:r>
                  <w:r>
                    <w:rPr>
                      <w:color w:val="58595B"/>
                    </w:rPr>
                    <w:t>action</w:t>
                  </w:r>
                  <w:r>
                    <w:rPr>
                      <w:color w:val="58595B"/>
                      <w:spacing w:val="-7"/>
                    </w:rPr>
                    <w:t> </w:t>
                  </w:r>
                  <w:r>
                    <w:rPr>
                      <w:color w:val="58595B"/>
                    </w:rPr>
                    <w:t>to</w:t>
                  </w:r>
                  <w:r>
                    <w:rPr>
                      <w:color w:val="58595B"/>
                      <w:spacing w:val="-7"/>
                    </w:rPr>
                    <w:t> </w:t>
                  </w:r>
                  <w:r>
                    <w:rPr>
                      <w:color w:val="58595B"/>
                    </w:rPr>
                    <w:t>reduce</w:t>
                  </w:r>
                  <w:r>
                    <w:rPr>
                      <w:color w:val="58595B"/>
                      <w:spacing w:val="-7"/>
                    </w:rPr>
                    <w:t> </w:t>
                  </w:r>
                  <w:r>
                    <w:rPr>
                      <w:color w:val="58595B"/>
                    </w:rPr>
                    <w:t>emissions</w:t>
                  </w:r>
                  <w:r>
                    <w:rPr>
                      <w:color w:val="58595B"/>
                      <w:spacing w:val="-7"/>
                    </w:rPr>
                    <w:t> </w:t>
                  </w:r>
                  <w:r>
                    <w:rPr>
                      <w:color w:val="58595B"/>
                    </w:rPr>
                    <w:t>is</w:t>
                  </w:r>
                  <w:r>
                    <w:rPr>
                      <w:color w:val="58595B"/>
                      <w:spacing w:val="-7"/>
                    </w:rPr>
                    <w:t> </w:t>
                  </w:r>
                  <w:r>
                    <w:rPr>
                      <w:color w:val="58595B"/>
                      <w:spacing w:val="-3"/>
                    </w:rPr>
                    <w:t>likely</w:t>
                  </w:r>
                  <w:r>
                    <w:rPr>
                      <w:color w:val="58595B"/>
                      <w:spacing w:val="-7"/>
                    </w:rPr>
                    <w:t> </w:t>
                  </w:r>
                  <w:r>
                    <w:rPr>
                      <w:color w:val="58595B"/>
                    </w:rPr>
                    <w:t>to</w:t>
                  </w:r>
                  <w:r>
                    <w:rPr>
                      <w:color w:val="58595B"/>
                      <w:spacing w:val="-7"/>
                    </w:rPr>
                    <w:t> </w:t>
                  </w:r>
                  <w:r>
                    <w:rPr>
                      <w:color w:val="58595B"/>
                    </w:rPr>
                    <w:t>limit</w:t>
                  </w:r>
                  <w:r>
                    <w:rPr>
                      <w:color w:val="58595B"/>
                      <w:spacing w:val="-7"/>
                    </w:rPr>
                    <w:t> </w:t>
                  </w:r>
                  <w:r>
                    <w:rPr>
                      <w:color w:val="58595B"/>
                      <w:spacing w:val="-3"/>
                    </w:rPr>
                    <w:t>adjustment</w:t>
                  </w:r>
                  <w:r>
                    <w:rPr>
                      <w:color w:val="58595B"/>
                      <w:spacing w:val="-7"/>
                    </w:rPr>
                    <w:t> </w:t>
                  </w:r>
                  <w:r>
                    <w:rPr>
                      <w:color w:val="58595B"/>
                      <w:spacing w:val="-3"/>
                    </w:rPr>
                    <w:t>costs.’</w:t>
                  </w:r>
                  <w:r>
                    <w:rPr>
                      <w:color w:val="58595B"/>
                      <w:spacing w:val="-3"/>
                      <w:position w:val="7"/>
                      <w:sz w:val="11"/>
                    </w:rPr>
                    <w:t>5</w:t>
                  </w:r>
                </w:p>
              </w:txbxContent>
            </v:textbox>
            <w10:wrap type="none"/>
          </v:shape>
        </w:pict>
      </w:r>
      <w:r>
        <w:rPr/>
        <w:pict>
          <v:shape style="position:absolute;margin-left:78.367104pt;margin-top:554.086853pt;width:426.2pt;height:112.2pt;mso-position-horizontal-relative:page;mso-position-vertical-relative:page;z-index:-178912" type="#_x0000_t202" filled="false" stroked="false">
            <v:textbox inset="0,0,0,0">
              <w:txbxContent>
                <w:p>
                  <w:pPr>
                    <w:pStyle w:val="BodyText"/>
                    <w:spacing w:line="280" w:lineRule="auto"/>
                    <w:ind w:right="134"/>
                  </w:pPr>
                  <w:r>
                    <w:rPr>
                      <w:color w:val="58595B"/>
                    </w:rPr>
                    <w:t>Similarly, the Climate Change Authority noted </w:t>
                  </w:r>
                  <w:r>
                    <w:rPr>
                      <w:color w:val="58595B"/>
                      <w:spacing w:val="-7"/>
                    </w:rPr>
                    <w:t>‘… </w:t>
                  </w:r>
                  <w:r>
                    <w:rPr>
                      <w:color w:val="58595B"/>
                    </w:rPr>
                    <w:t>early action is critical to limit future costs  and maintain the feasibility of limiting temperature increases … delaying emissions</w:t>
                  </w:r>
                  <w:r>
                    <w:rPr>
                      <w:color w:val="58595B"/>
                      <w:spacing w:val="-1"/>
                    </w:rPr>
                    <w:t> </w:t>
                  </w:r>
                  <w:r>
                    <w:rPr>
                      <w:color w:val="58595B"/>
                    </w:rPr>
                    <w:t>reductions:</w:t>
                  </w:r>
                </w:p>
                <w:p>
                  <w:pPr>
                    <w:pStyle w:val="BodyText"/>
                    <w:spacing w:line="280" w:lineRule="auto" w:before="2"/>
                    <w:ind w:right="1"/>
                    <w:rPr>
                      <w:sz w:val="11"/>
                    </w:rPr>
                  </w:pPr>
                  <w:r>
                    <w:rPr>
                      <w:color w:val="58595B"/>
                    </w:rPr>
                    <w:t>increases the rate of emissions reductions (‘decarbonisation rates’) that will be necessary in the future; and increases costs of meeting emissions targets.’</w:t>
                  </w:r>
                  <w:r>
                    <w:rPr>
                      <w:color w:val="58595B"/>
                      <w:position w:val="7"/>
                      <w:sz w:val="11"/>
                    </w:rPr>
                    <w:t>6</w:t>
                  </w:r>
                </w:p>
                <w:p>
                  <w:pPr>
                    <w:pStyle w:val="BodyText"/>
                    <w:spacing w:line="280" w:lineRule="auto" w:before="115"/>
                    <w:ind w:right="134"/>
                  </w:pPr>
                  <w:r>
                    <w:rPr>
                      <w:b/>
                      <w:color w:val="58595B"/>
                    </w:rPr>
                    <w:t>Creating certainty for business and investors </w:t>
                  </w:r>
                  <w:r>
                    <w:rPr>
                      <w:color w:val="58595B"/>
                    </w:rPr>
                    <w:t>– Well-designed and consistently applied action by the Victorian Government can increase certainty for business and investors. Policy uncertainty at both the Commonwealth and state level undermines business confidence in making decisions to reduce emissions and to invest in renewable energy.</w:t>
                  </w:r>
                </w:p>
              </w:txbxContent>
            </v:textbox>
            <w10:wrap type="none"/>
          </v:shape>
        </w:pict>
      </w:r>
      <w:r>
        <w:rPr/>
        <w:pict>
          <v:shape style="position:absolute;margin-left:69.867104pt;margin-top:613.756042pt;width:5.5pt;height:12pt;mso-position-horizontal-relative:page;mso-position-vertical-relative:page;z-index:-17888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78.367104pt;margin-top:676.256042pt;width:427pt;height:93pt;mso-position-horizontal-relative:page;mso-position-vertical-relative:page;z-index:-178864" type="#_x0000_t202" filled="false" stroked="false">
            <v:textbox inset="0,0,0,0">
              <w:txbxContent>
                <w:p>
                  <w:pPr>
                    <w:pStyle w:val="BodyText"/>
                    <w:spacing w:line="280" w:lineRule="auto"/>
                  </w:pPr>
                  <w:r>
                    <w:rPr>
                      <w:color w:val="58595B"/>
                    </w:rPr>
                    <w:t>National climate change mitigation policy has, and continues to be, uncertain. A national carbon pricing scheme was introduced in 2012 only to be repealed in 2014. Details of the current Commonwealth Government’s intentions regarding the Emissions Reduction Fund – and,</w:t>
                  </w:r>
                </w:p>
                <w:p>
                  <w:pPr>
                    <w:pStyle w:val="BodyText"/>
                    <w:spacing w:line="280" w:lineRule="auto" w:before="2"/>
                    <w:ind w:right="486"/>
                    <w:jc w:val="both"/>
                  </w:pPr>
                  <w:r>
                    <w:rPr>
                      <w:color w:val="58595B"/>
                    </w:rPr>
                    <w:t>in particular, its Safeguard Mechanism – remain uncertain. The Renewable Energy Target was amended following a period of substantial uncertainty about its future. Further, details of the Federal Opposition’s intention to reintroduce an emissions trading scheme are yet to be announced.</w:t>
                  </w:r>
                </w:p>
              </w:txbxContent>
            </v:textbox>
            <w10:wrap type="none"/>
          </v:shape>
        </w:pict>
      </w:r>
      <w:r>
        <w:rPr/>
        <w:pict>
          <v:shape style="position:absolute;margin-left:.0pt;margin-top:44.090015pt;width:60.3pt;height:5.25pt;mso-position-horizontal-relative:page;mso-position-vertical-relative:page;z-index:-17884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881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8792" from="534.996094pt,45.840015pt" to="595.276001pt,45.840015pt" stroked="true" strokeweight="7pt" strokecolor="#0095a7">
            <w10:wrap type="none"/>
          </v:line>
        </w:pict>
      </w:r>
      <w:r>
        <w:rPr/>
        <w:pict>
          <v:shape style="position:absolute;margin-left:230.658493pt;margin-top:40.902756pt;width:269.25pt;height:9.5pt;mso-position-horizontal-relative:page;mso-position-vertical-relative:page;z-index:-178768" type="#_x0000_t202" filled="false" stroked="false">
            <v:textbox inset="0,0,0,0">
              <w:txbxContent>
                <w:p>
                  <w:pPr>
                    <w:spacing w:before="1"/>
                    <w:ind w:left="20" w:right="0" w:firstLine="0"/>
                    <w:jc w:val="left"/>
                    <w:rPr>
                      <w:sz w:val="15"/>
                    </w:rPr>
                  </w:pPr>
                  <w:r>
                    <w:rPr>
                      <w:color w:val="58595B"/>
                      <w:sz w:val="15"/>
                    </w:rPr>
                    <w:t>CHAPTER 8    RESPONDING TO THE CHALLENGE OF CLIMATE CHANGE</w:t>
                  </w:r>
                </w:p>
              </w:txbxContent>
            </v:textbox>
            <w10:wrap type="none"/>
          </v:shape>
        </w:pict>
      </w:r>
      <w:r>
        <w:rPr/>
        <w:pict>
          <v:shape style="position:absolute;margin-left:510.895996pt;margin-top:40.902756pt;width:14.5pt;height:9.5pt;mso-position-horizontal-relative:page;mso-position-vertical-relative:page;z-index:-178744" type="#_x0000_t202" filled="false" stroked="false">
            <v:textbox inset="0,0,0,0">
              <w:txbxContent>
                <w:p>
                  <w:pPr>
                    <w:spacing w:before="1"/>
                    <w:ind w:left="20" w:right="-1" w:firstLine="0"/>
                    <w:jc w:val="left"/>
                    <w:rPr>
                      <w:sz w:val="15"/>
                    </w:rPr>
                  </w:pPr>
                  <w:r>
                    <w:rPr>
                      <w:color w:val="58595B"/>
                      <w:sz w:val="15"/>
                    </w:rPr>
                    <w:t>155</w:t>
                  </w:r>
                </w:p>
              </w:txbxContent>
            </v:textbox>
            <w10:wrap type="none"/>
          </v:shape>
        </w:pict>
      </w:r>
      <w:r>
        <w:rPr/>
        <w:pict>
          <v:shape style="position:absolute;margin-left:98.210197pt;margin-top:105.893967pt;width:426.35pt;height:326.05pt;mso-position-horizontal-relative:page;mso-position-vertical-relative:page;z-index:-178720" type="#_x0000_t202" filled="false" stroked="false">
            <v:textbox inset="0,0,0,0">
              <w:txbxContent>
                <w:p>
                  <w:pPr>
                    <w:pStyle w:val="BodyText"/>
                    <w:spacing w:line="280" w:lineRule="auto"/>
                  </w:pPr>
                  <w:r>
                    <w:rPr>
                      <w:color w:val="58595B"/>
                    </w:rPr>
                    <w:t>Victorian climate change policy has also been subject to uncertainty and change. The </w:t>
                  </w:r>
                  <w:r>
                    <w:rPr>
                      <w:i/>
                      <w:color w:val="58595B"/>
                    </w:rPr>
                    <w:t>Climate Change Act 2010 </w:t>
                  </w:r>
                  <w:r>
                    <w:rPr>
                      <w:color w:val="58595B"/>
                    </w:rPr>
                    <w:t>was introduced, reviewed and amended. The EPA’s Environment and Resource Efficiency Plans (EREP) program was terminated earlier than scheduled following</w:t>
                  </w:r>
                </w:p>
                <w:p>
                  <w:pPr>
                    <w:pStyle w:val="BodyText"/>
                    <w:spacing w:line="280" w:lineRule="auto" w:before="2"/>
                  </w:pPr>
                  <w:r>
                    <w:rPr>
                      <w:color w:val="58595B"/>
                    </w:rPr>
                    <w:t>a Council of Australian Governments review of the complementarity of emissions reduction programs in the light of a national carbon pricing scheme. Energy efficiency policies and measures have come and gone and support for renewable energy has waxed and waned, depending on the policy of the government of the day.</w:t>
                  </w:r>
                </w:p>
                <w:p>
                  <w:pPr>
                    <w:pStyle w:val="BodyText"/>
                    <w:spacing w:line="280" w:lineRule="auto" w:before="115"/>
                  </w:pPr>
                  <w:r>
                    <w:rPr>
                      <w:b/>
                      <w:color w:val="58595B"/>
                    </w:rPr>
                    <w:t>Stimulating innovation </w:t>
                  </w:r>
                  <w:r>
                    <w:rPr>
                      <w:color w:val="58595B"/>
                    </w:rPr>
                    <w:t>– Victorian Government policies and programs to drive emissions reductions can increase the opportunity for new technologies to penetrate the market. They can stimulate business to do new things in new ways, which improves business productivity and profitability, creates jobs and increases economic activity.</w:t>
                  </w:r>
                </w:p>
                <w:p>
                  <w:pPr>
                    <w:pStyle w:val="BodyText"/>
                    <w:spacing w:line="280" w:lineRule="auto" w:before="115"/>
                    <w:ind w:right="49"/>
                  </w:pPr>
                  <w:r>
                    <w:rPr>
                      <w:b/>
                      <w:color w:val="58595B"/>
                    </w:rPr>
                    <w:t>Mitigating reputational risk to Victoria </w:t>
                  </w:r>
                  <w:r>
                    <w:rPr>
                      <w:color w:val="58595B"/>
                    </w:rPr>
                    <w:t>– Globally, consumers – including businesses across supply chains – are increasingly demanding more sustainable products and services, and greater transparency in the sourcing and content of business inputs. In this context, Victoria’s greenhouse gas-intensive electricity sector is a potential source of reputational risk for Victorian exporters. Action by the Victorian Government to reduce the emissions intensity of the electricity sector can mitigate this</w:t>
                  </w:r>
                  <w:r>
                    <w:rPr>
                      <w:color w:val="58595B"/>
                      <w:spacing w:val="21"/>
                    </w:rPr>
                    <w:t> </w:t>
                  </w:r>
                  <w:r>
                    <w:rPr>
                      <w:color w:val="58595B"/>
                    </w:rPr>
                    <w:t>risk.</w:t>
                  </w:r>
                </w:p>
                <w:p>
                  <w:pPr>
                    <w:pStyle w:val="BodyText"/>
                    <w:spacing w:line="280" w:lineRule="auto" w:before="115"/>
                    <w:ind w:right="137"/>
                  </w:pPr>
                  <w:r>
                    <w:rPr>
                      <w:b/>
                      <w:color w:val="58595B"/>
                    </w:rPr>
                    <w:t>Encouraging greater ambition at the national level </w:t>
                  </w:r>
                  <w:r>
                    <w:rPr>
                      <w:color w:val="58595B"/>
                    </w:rPr>
                    <w:t>– Strong Victorian Government action  to reduce emissions may encourage the Commonwealth Government to strengthen Australia’s emissions reduction target (which some commentators consider is insufficient for</w:t>
                  </w:r>
                  <w:r>
                    <w:rPr>
                      <w:color w:val="58595B"/>
                      <w:spacing w:val="23"/>
                    </w:rPr>
                    <w:t> </w:t>
                  </w:r>
                  <w:r>
                    <w:rPr>
                      <w:color w:val="58595B"/>
                    </w:rPr>
                    <w:t>Australia</w:t>
                  </w:r>
                </w:p>
                <w:p>
                  <w:pPr>
                    <w:pStyle w:val="BodyText"/>
                    <w:spacing w:line="280" w:lineRule="auto" w:before="2"/>
                    <w:ind w:right="408"/>
                  </w:pPr>
                  <w:r>
                    <w:rPr>
                      <w:color w:val="58595B"/>
                    </w:rPr>
                    <w:t>to play its full part in limiting the increase in global average temperature to well below 2°C).</w:t>
                  </w:r>
                  <w:r>
                    <w:rPr>
                      <w:color w:val="58595B"/>
                      <w:position w:val="7"/>
                      <w:sz w:val="11"/>
                    </w:rPr>
                    <w:t>7 </w:t>
                  </w:r>
                  <w:r>
                    <w:rPr>
                      <w:color w:val="58595B"/>
                    </w:rPr>
                    <w:t>Victorian leadership may also encourage other states and territories to follow suit, thereby providing further encouragement for stronger commitments at the national level.</w:t>
                  </w:r>
                </w:p>
              </w:txbxContent>
            </v:textbox>
            <w10:wrap type="none"/>
          </v:shape>
        </w:pict>
      </w:r>
      <w:r>
        <w:rPr/>
        <w:pict>
          <v:shape style="position:absolute;margin-left:89.712601pt;margin-top:206.063965pt;width:5.5pt;height:12pt;mso-position-horizontal-relative:page;mso-position-vertical-relative:page;z-index:-17869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12601pt;margin-top:265.733978pt;width:5.5pt;height:12pt;mso-position-horizontal-relative:page;mso-position-vertical-relative:page;z-index:-17867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12601pt;margin-top:352.403961pt;width:5.5pt;height:12pt;mso-position-horizontal-relative:page;mso-position-vertical-relative:page;z-index:-17864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08603pt;margin-top:444.537048pt;width:426pt;height:46.3pt;mso-position-horizontal-relative:page;mso-position-vertical-relative:page;z-index:-178624" type="#_x0000_t202" filled="false" stroked="false">
            <v:textbox inset="0,0,0,0">
              <w:txbxContent>
                <w:p>
                  <w:pPr>
                    <w:spacing w:line="265" w:lineRule="exact" w:before="0"/>
                    <w:ind w:left="20" w:right="0" w:firstLine="0"/>
                    <w:jc w:val="left"/>
                    <w:rPr>
                      <w:sz w:val="24"/>
                    </w:rPr>
                  </w:pPr>
                  <w:r>
                    <w:rPr>
                      <w:color w:val="0095A7"/>
                      <w:sz w:val="24"/>
                    </w:rPr>
                    <w:t>8.4  The </w:t>
                  </w:r>
                  <w:r>
                    <w:rPr>
                      <w:color w:val="0095A7"/>
                      <w:spacing w:val="-8"/>
                      <w:sz w:val="24"/>
                    </w:rPr>
                    <w:t>EPA’s </w:t>
                  </w:r>
                  <w:r>
                    <w:rPr>
                      <w:color w:val="0095A7"/>
                      <w:sz w:val="24"/>
                    </w:rPr>
                    <w:t>role in regulating greenhouse gas</w:t>
                  </w:r>
                  <w:r>
                    <w:rPr>
                      <w:color w:val="0095A7"/>
                      <w:spacing w:val="51"/>
                      <w:sz w:val="24"/>
                    </w:rPr>
                    <w:t> </w:t>
                  </w:r>
                  <w:r>
                    <w:rPr>
                      <w:color w:val="0095A7"/>
                      <w:sz w:val="24"/>
                    </w:rPr>
                    <w:t>emissions</w:t>
                  </w:r>
                </w:p>
                <w:p>
                  <w:pPr>
                    <w:pStyle w:val="BodyText"/>
                    <w:spacing w:line="280" w:lineRule="auto" w:before="145"/>
                  </w:pPr>
                  <w:r>
                    <w:rPr>
                      <w:color w:val="58595B"/>
                    </w:rPr>
                    <w:t>The EPA currently regulates greenhouse gas emissions. Its power to do so is established under the EP Act and by obligations set out in the Climate Change Act (box 8.1).</w:t>
                  </w:r>
                </w:p>
              </w:txbxContent>
            </v:textbox>
            <w10:wrap type="none"/>
          </v:shape>
        </w:pict>
      </w:r>
      <w:r>
        <w:rPr/>
        <w:pict>
          <v:shape style="position:absolute;margin-left:89.708603pt;margin-top:500.826965pt;width:429.8pt;height:66.05pt;mso-position-horizontal-relative:page;mso-position-vertical-relative:page;z-index:-178600" type="#_x0000_t202" filled="false" stroked="false">
            <v:textbox inset="0,0,0,0">
              <w:txbxContent>
                <w:p>
                  <w:pPr>
                    <w:pStyle w:val="BodyText"/>
                    <w:spacing w:line="280" w:lineRule="auto"/>
                    <w:ind w:right="17"/>
                  </w:pPr>
                  <w:r>
                    <w:rPr>
                      <w:color w:val="58595B"/>
                    </w:rPr>
                    <w:t>We note that the Independent Review of the Climate Change Act </w:t>
                  </w:r>
                  <w:r>
                    <w:rPr>
                      <w:color w:val="58595B"/>
                      <w:spacing w:val="-3"/>
                    </w:rPr>
                    <w:t>2010 </w:t>
                  </w:r>
                  <w:r>
                    <w:rPr>
                      <w:color w:val="58595B"/>
                    </w:rPr>
                    <w:t>recommended reinstating the </w:t>
                  </w:r>
                  <w:r>
                    <w:rPr>
                      <w:color w:val="58595B"/>
                      <w:spacing w:val="-7"/>
                    </w:rPr>
                    <w:t>EPA’s </w:t>
                  </w:r>
                  <w:r>
                    <w:rPr>
                      <w:color w:val="58595B"/>
                    </w:rPr>
                    <w:t>power to regulate greenhouse gas emissions from the facilities it regulates for the purposes of achieving a long term emissions reduction target.</w:t>
                  </w:r>
                  <w:r>
                    <w:rPr>
                      <w:color w:val="58595B"/>
                      <w:position w:val="7"/>
                      <w:sz w:val="11"/>
                    </w:rPr>
                    <w:t>8 </w:t>
                  </w:r>
                  <w:r>
                    <w:rPr>
                      <w:color w:val="58595B"/>
                    </w:rPr>
                    <w:t>It is important to recognise that the </w:t>
                  </w:r>
                  <w:r>
                    <w:rPr>
                      <w:color w:val="58595B"/>
                      <w:spacing w:val="-4"/>
                    </w:rPr>
                    <w:t>EPA </w:t>
                  </w:r>
                  <w:r>
                    <w:rPr>
                      <w:color w:val="58595B"/>
                    </w:rPr>
                    <w:t>currently has the power to regulate emissions irrespective of whether or not the Climate Change Act is</w:t>
                  </w:r>
                  <w:r>
                    <w:rPr>
                      <w:color w:val="58595B"/>
                      <w:spacing w:val="1"/>
                    </w:rPr>
                    <w:t> </w:t>
                  </w:r>
                  <w:r>
                    <w:rPr>
                      <w:color w:val="58595B"/>
                    </w:rPr>
                    <w:t>amended.</w:t>
                  </w:r>
                </w:p>
              </w:txbxContent>
            </v:textbox>
            <w10:wrap type="none"/>
          </v:shape>
        </w:pict>
      </w:r>
      <w:r>
        <w:rPr/>
        <w:pict>
          <v:shape style="position:absolute;margin-left:89.709396pt;margin-top:576.830994pt;width:411.6pt;height:79.55pt;mso-position-horizontal-relative:page;mso-position-vertical-relative:page;z-index:-178576" type="#_x0000_t202" filled="false" stroked="false">
            <v:textbox inset="0,0,0,0">
              <w:txbxContent>
                <w:p>
                  <w:pPr>
                    <w:pStyle w:val="BodyText"/>
                    <w:spacing w:line="280" w:lineRule="auto"/>
                  </w:pPr>
                  <w:r>
                    <w:rPr>
                      <w:color w:val="58595B"/>
                    </w:rPr>
                    <w:t>The EPA regulates greenhouse gas emissions in accordance with the provisions of statutory policy,</w:t>
                  </w:r>
                  <w:r>
                    <w:rPr>
                      <w:color w:val="58595B"/>
                      <w:position w:val="7"/>
                      <w:sz w:val="11"/>
                    </w:rPr>
                    <w:t>9 </w:t>
                  </w:r>
                  <w:r>
                    <w:rPr>
                      <w:color w:val="58595B"/>
                    </w:rPr>
                    <w:t>primarily the State Environment Protection Policy (Air Quality Management) [SEPP (AQM)]. The EPA also regulates greenhouse gas emissions from landfills under the Waste Management Policy (Siting, Design and Management of Landfills). However, as landfills contribute only 1.2 per cent of Victoria’s total greenhouse gas emissions,</w:t>
                  </w:r>
                  <w:r>
                    <w:rPr>
                      <w:color w:val="58595B"/>
                      <w:position w:val="7"/>
                      <w:sz w:val="11"/>
                    </w:rPr>
                    <w:t>10 </w:t>
                  </w:r>
                  <w:r>
                    <w:rPr>
                      <w:color w:val="58595B"/>
                    </w:rPr>
                    <w:t>the discussion in this section focuses on the SEPP (AQM).</w:t>
                  </w:r>
                </w:p>
              </w:txbxContent>
            </v:textbox>
            <w10:wrap type="none"/>
          </v:shape>
        </w:pict>
      </w:r>
      <w:r>
        <w:rPr/>
        <w:pict>
          <v:shape style="position:absolute;margin-left:534.996094pt;margin-top:44.090015pt;width:60.3pt;height:5.25pt;mso-position-horizontal-relative:page;mso-position-vertical-relative:page;z-index:-17855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852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8504" from=".0pt,45.840015pt" to="60.2791pt,45.840015pt" stroked="true" strokeweight="7pt" strokecolor="#0095a7">
            <w10:wrap type="none"/>
          </v:line>
        </w:pict>
      </w:r>
      <w:r>
        <w:rPr/>
        <w:pict>
          <v:rect style="position:absolute;margin-left:70.865997pt;margin-top:107.717018pt;width:432.701pt;height:515.674pt;mso-position-horizontal-relative:page;mso-position-vertical-relative:page;z-index:-178480" filled="true" fillcolor="#eaf2f3" stroked="false">
            <v:fill type="solid"/>
            <w10:wrap type="none"/>
          </v:rect>
        </w:pict>
      </w:r>
      <w:r>
        <w:rPr/>
        <w:pict>
          <v:shape style="position:absolute;margin-left:69.866096pt;margin-top:40.902756pt;width:14.5pt;height:9.5pt;mso-position-horizontal-relative:page;mso-position-vertical-relative:page;z-index:-178456" type="#_x0000_t202" filled="false" stroked="false">
            <v:textbox inset="0,0,0,0">
              <w:txbxContent>
                <w:p>
                  <w:pPr>
                    <w:spacing w:before="1"/>
                    <w:ind w:left="20" w:right="-1" w:firstLine="0"/>
                    <w:jc w:val="left"/>
                    <w:rPr>
                      <w:sz w:val="15"/>
                    </w:rPr>
                  </w:pPr>
                  <w:r>
                    <w:rPr>
                      <w:color w:val="58595B"/>
                      <w:sz w:val="15"/>
                    </w:rPr>
                    <w:t>156</w:t>
                  </w:r>
                </w:p>
              </w:txbxContent>
            </v:textbox>
            <w10:wrap type="none"/>
          </v:shape>
        </w:pict>
      </w:r>
      <w:r>
        <w:rPr/>
        <w:pict>
          <v:shape style="position:absolute;margin-left:95.377899pt;margin-top:40.902756pt;width:147.75pt;height:9.5pt;mso-position-horizontal-relative:page;mso-position-vertical-relative:page;z-index:-17843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70.865997pt;margin-top:107.717018pt;width:432.7pt;height:515.7pt;mso-position-horizontal-relative:page;mso-position-vertical-relative:page;z-index:-178408" type="#_x0000_t202" filled="false" stroked="false">
            <v:textbox inset="0,0,0,0">
              <w:txbxContent>
                <w:p>
                  <w:pPr>
                    <w:pStyle w:val="BodyText"/>
                    <w:spacing w:before="128"/>
                    <w:ind w:left="170"/>
                  </w:pPr>
                  <w:r>
                    <w:rPr>
                      <w:b/>
                      <w:color w:val="0095A7"/>
                    </w:rPr>
                    <w:t>BOX 8.1 </w:t>
                  </w:r>
                  <w:r>
                    <w:rPr>
                      <w:color w:val="0095A7"/>
                    </w:rPr>
                    <w:t>EPA’S LEGISLATIVE POWERS TO REGULATE GREENHOUSE GAS EMISSIONS</w:t>
                  </w:r>
                </w:p>
                <w:p>
                  <w:pPr>
                    <w:pStyle w:val="BodyText"/>
                    <w:spacing w:before="9"/>
                    <w:ind w:left="0"/>
                    <w:rPr>
                      <w:rFonts w:ascii="Times New Roman"/>
                      <w:sz w:val="15"/>
                    </w:rPr>
                  </w:pPr>
                </w:p>
                <w:p>
                  <w:pPr>
                    <w:spacing w:before="0"/>
                    <w:ind w:left="170" w:right="277" w:firstLine="0"/>
                    <w:jc w:val="left"/>
                    <w:rPr>
                      <w:i/>
                      <w:sz w:val="20"/>
                    </w:rPr>
                  </w:pPr>
                  <w:r>
                    <w:rPr>
                      <w:i/>
                      <w:color w:val="6D6E71"/>
                      <w:sz w:val="20"/>
                    </w:rPr>
                    <w:t>Powers under the Environment Protection Act</w:t>
                  </w:r>
                </w:p>
                <w:p>
                  <w:pPr>
                    <w:pStyle w:val="BodyText"/>
                    <w:spacing w:line="280" w:lineRule="auto" w:before="125"/>
                    <w:ind w:left="170" w:right="870"/>
                  </w:pPr>
                  <w:r>
                    <w:rPr>
                      <w:color w:val="58595B"/>
                    </w:rPr>
                    <w:t>The EP Act gives the EPA the power to regulate greenhouse gas emissions under the following provisions:</w:t>
                  </w:r>
                </w:p>
                <w:p>
                  <w:pPr>
                    <w:pStyle w:val="ListParagraph"/>
                    <w:numPr>
                      <w:ilvl w:val="0"/>
                      <w:numId w:val="62"/>
                    </w:numPr>
                    <w:tabs>
                      <w:tab w:pos="341" w:val="left" w:leader="none"/>
                    </w:tabs>
                    <w:spacing w:line="458" w:lineRule="auto" w:before="115" w:after="0"/>
                    <w:ind w:left="340" w:right="866" w:hanging="170"/>
                    <w:jc w:val="left"/>
                    <w:rPr>
                      <w:sz w:val="20"/>
                    </w:rPr>
                  </w:pPr>
                  <w:r>
                    <w:rPr>
                      <w:color w:val="58595B"/>
                      <w:sz w:val="20"/>
                    </w:rPr>
                    <w:t>Powers to recommend policy or regulations in relation to greenhouse gas emissions The </w:t>
                  </w:r>
                  <w:r>
                    <w:rPr>
                      <w:color w:val="58595B"/>
                      <w:spacing w:val="-4"/>
                      <w:sz w:val="20"/>
                    </w:rPr>
                    <w:t>EPA</w:t>
                  </w:r>
                  <w:r>
                    <w:rPr>
                      <w:color w:val="58595B"/>
                      <w:spacing w:val="-1"/>
                      <w:sz w:val="20"/>
                    </w:rPr>
                    <w:t> </w:t>
                  </w:r>
                  <w:r>
                    <w:rPr>
                      <w:color w:val="58595B"/>
                      <w:sz w:val="20"/>
                    </w:rPr>
                    <w:t>can:</w:t>
                  </w:r>
                </w:p>
                <w:p>
                  <w:pPr>
                    <w:pStyle w:val="ListParagraph"/>
                    <w:numPr>
                      <w:ilvl w:val="1"/>
                      <w:numId w:val="62"/>
                    </w:numPr>
                    <w:tabs>
                      <w:tab w:pos="681" w:val="left" w:leader="none"/>
                    </w:tabs>
                    <w:spacing w:line="280" w:lineRule="auto" w:before="6" w:after="0"/>
                    <w:ind w:left="680" w:right="541" w:hanging="340"/>
                    <w:jc w:val="left"/>
                    <w:rPr>
                      <w:sz w:val="20"/>
                    </w:rPr>
                  </w:pPr>
                  <w:r>
                    <w:rPr>
                      <w:color w:val="58595B"/>
                      <w:sz w:val="20"/>
                    </w:rPr>
                    <w:t>recommend to the Governor in Council to make statutory policies and regulations to regulate the emission and discharge of greenhouse gas substances to</w:t>
                  </w:r>
                  <w:r>
                    <w:rPr>
                      <w:color w:val="58595B"/>
                      <w:spacing w:val="4"/>
                      <w:sz w:val="20"/>
                    </w:rPr>
                    <w:t> </w:t>
                  </w:r>
                  <w:r>
                    <w:rPr>
                      <w:color w:val="58595B"/>
                      <w:sz w:val="20"/>
                    </w:rPr>
                    <w:t>reduce</w:t>
                  </w:r>
                </w:p>
                <w:p>
                  <w:pPr>
                    <w:pStyle w:val="BodyText"/>
                    <w:spacing w:before="2"/>
                    <w:ind w:left="680" w:right="277"/>
                  </w:pPr>
                  <w:r>
                    <w:rPr>
                      <w:color w:val="58595B"/>
                    </w:rPr>
                    <w:t>harm to the environment (section 13(1)(ga))</w:t>
                  </w:r>
                </w:p>
                <w:p>
                  <w:pPr>
                    <w:pStyle w:val="BodyText"/>
                    <w:spacing w:before="3"/>
                    <w:ind w:left="0"/>
                    <w:rPr>
                      <w:rFonts w:ascii="Times New Roman"/>
                      <w:sz w:val="18"/>
                    </w:rPr>
                  </w:pPr>
                </w:p>
                <w:p>
                  <w:pPr>
                    <w:pStyle w:val="ListParagraph"/>
                    <w:numPr>
                      <w:ilvl w:val="1"/>
                      <w:numId w:val="62"/>
                    </w:numPr>
                    <w:tabs>
                      <w:tab w:pos="681" w:val="left" w:leader="none"/>
                    </w:tabs>
                    <w:spacing w:line="240" w:lineRule="auto" w:before="0" w:after="0"/>
                    <w:ind w:left="680" w:right="0" w:hanging="340"/>
                    <w:jc w:val="left"/>
                    <w:rPr>
                      <w:sz w:val="20"/>
                    </w:rPr>
                  </w:pPr>
                  <w:r>
                    <w:rPr>
                      <w:color w:val="58595B"/>
                      <w:sz w:val="20"/>
                    </w:rPr>
                    <w:t>recommend regulations</w:t>
                  </w:r>
                  <w:r>
                    <w:rPr>
                      <w:color w:val="58595B"/>
                      <w:spacing w:val="2"/>
                      <w:sz w:val="20"/>
                    </w:rPr>
                    <w:t> </w:t>
                  </w:r>
                  <w:r>
                    <w:rPr>
                      <w:color w:val="58595B"/>
                      <w:sz w:val="20"/>
                    </w:rPr>
                    <w:t>including:</w:t>
                  </w:r>
                </w:p>
                <w:p>
                  <w:pPr>
                    <w:pStyle w:val="BodyText"/>
                    <w:spacing w:before="3"/>
                    <w:ind w:left="0"/>
                    <w:rPr>
                      <w:rFonts w:ascii="Times New Roman"/>
                      <w:sz w:val="18"/>
                    </w:rPr>
                  </w:pPr>
                </w:p>
                <w:p>
                  <w:pPr>
                    <w:pStyle w:val="ListParagraph"/>
                    <w:numPr>
                      <w:ilvl w:val="2"/>
                      <w:numId w:val="62"/>
                    </w:numPr>
                    <w:tabs>
                      <w:tab w:pos="1021" w:val="left" w:leader="none"/>
                    </w:tabs>
                    <w:spacing w:line="280" w:lineRule="auto" w:before="0" w:after="0"/>
                    <w:ind w:left="1020" w:right="392" w:hanging="340"/>
                    <w:jc w:val="left"/>
                    <w:rPr>
                      <w:sz w:val="20"/>
                    </w:rPr>
                  </w:pPr>
                  <w:r>
                    <w:rPr>
                      <w:color w:val="58595B"/>
                      <w:sz w:val="20"/>
                    </w:rPr>
                    <w:t>prohibiting or regulating the emission or discharge of greenhouse gas substances into the</w:t>
                  </w:r>
                  <w:r>
                    <w:rPr>
                      <w:color w:val="58595B"/>
                      <w:spacing w:val="-8"/>
                      <w:sz w:val="20"/>
                    </w:rPr>
                    <w:t> </w:t>
                  </w:r>
                  <w:r>
                    <w:rPr>
                      <w:color w:val="58595B"/>
                      <w:sz w:val="20"/>
                    </w:rPr>
                    <w:t>environment;</w:t>
                  </w:r>
                </w:p>
                <w:p>
                  <w:pPr>
                    <w:pStyle w:val="ListParagraph"/>
                    <w:numPr>
                      <w:ilvl w:val="2"/>
                      <w:numId w:val="62"/>
                    </w:numPr>
                    <w:tabs>
                      <w:tab w:pos="1021" w:val="left" w:leader="none"/>
                    </w:tabs>
                    <w:spacing w:line="280" w:lineRule="auto" w:before="172" w:after="0"/>
                    <w:ind w:left="1020" w:right="228" w:hanging="340"/>
                    <w:jc w:val="both"/>
                    <w:rPr>
                      <w:sz w:val="20"/>
                    </w:rPr>
                  </w:pPr>
                  <w:r>
                    <w:rPr>
                      <w:color w:val="58595B"/>
                      <w:sz w:val="20"/>
                    </w:rPr>
                    <w:t>prescribing standards for the emission or discharge of greenhouse gas substances into the environment, including emission intensity standards and maximum levels of emission of greenhouse gas substances;</w:t>
                  </w:r>
                  <w:r>
                    <w:rPr>
                      <w:color w:val="58595B"/>
                      <w:spacing w:val="-2"/>
                      <w:sz w:val="20"/>
                    </w:rPr>
                    <w:t> </w:t>
                  </w:r>
                  <w:r>
                    <w:rPr>
                      <w:color w:val="58595B"/>
                      <w:sz w:val="20"/>
                    </w:rPr>
                    <w:t>and</w:t>
                  </w:r>
                </w:p>
                <w:p>
                  <w:pPr>
                    <w:pStyle w:val="ListParagraph"/>
                    <w:numPr>
                      <w:ilvl w:val="2"/>
                      <w:numId w:val="62"/>
                    </w:numPr>
                    <w:tabs>
                      <w:tab w:pos="1021" w:val="left" w:leader="none"/>
                    </w:tabs>
                    <w:spacing w:line="280" w:lineRule="auto" w:before="172" w:after="0"/>
                    <w:ind w:left="1020" w:right="308" w:hanging="340"/>
                    <w:jc w:val="both"/>
                    <w:rPr>
                      <w:sz w:val="20"/>
                    </w:rPr>
                  </w:pPr>
                  <w:r>
                    <w:rPr>
                      <w:color w:val="58595B"/>
                      <w:sz w:val="20"/>
                    </w:rPr>
                    <w:t>prescribing conditions under which greenhouse gas substances may be emitted or discharged into the environment (section</w:t>
                  </w:r>
                  <w:r>
                    <w:rPr>
                      <w:color w:val="58595B"/>
                      <w:spacing w:val="-4"/>
                      <w:sz w:val="20"/>
                    </w:rPr>
                    <w:t> 71(1)(fab)-(fad)).</w:t>
                  </w:r>
                </w:p>
                <w:p>
                  <w:pPr>
                    <w:pStyle w:val="ListParagraph"/>
                    <w:numPr>
                      <w:ilvl w:val="0"/>
                      <w:numId w:val="62"/>
                    </w:numPr>
                    <w:tabs>
                      <w:tab w:pos="341" w:val="left" w:leader="none"/>
                    </w:tabs>
                    <w:spacing w:line="240" w:lineRule="auto" w:before="115" w:after="0"/>
                    <w:ind w:left="340" w:right="0" w:hanging="170"/>
                    <w:jc w:val="left"/>
                    <w:rPr>
                      <w:sz w:val="20"/>
                    </w:rPr>
                  </w:pPr>
                  <w:r>
                    <w:rPr>
                      <w:color w:val="58595B"/>
                      <w:sz w:val="20"/>
                    </w:rPr>
                    <w:t>Power to regulate greenhouse gas as</w:t>
                  </w:r>
                  <w:r>
                    <w:rPr>
                      <w:color w:val="58595B"/>
                      <w:spacing w:val="-19"/>
                      <w:sz w:val="20"/>
                    </w:rPr>
                    <w:t> </w:t>
                  </w:r>
                  <w:r>
                    <w:rPr>
                      <w:color w:val="58595B"/>
                      <w:sz w:val="20"/>
                    </w:rPr>
                    <w:t>‘waste’</w:t>
                  </w:r>
                </w:p>
                <w:p>
                  <w:pPr>
                    <w:pStyle w:val="BodyText"/>
                    <w:spacing w:before="3"/>
                    <w:ind w:left="0"/>
                    <w:rPr>
                      <w:rFonts w:ascii="Times New Roman"/>
                      <w:sz w:val="18"/>
                    </w:rPr>
                  </w:pPr>
                </w:p>
                <w:p>
                  <w:pPr>
                    <w:pStyle w:val="ListParagraph"/>
                    <w:numPr>
                      <w:ilvl w:val="1"/>
                      <w:numId w:val="62"/>
                    </w:numPr>
                    <w:tabs>
                      <w:tab w:pos="681" w:val="left" w:leader="none"/>
                    </w:tabs>
                    <w:spacing w:line="280" w:lineRule="auto" w:before="0" w:after="0"/>
                    <w:ind w:left="680" w:right="358" w:hanging="340"/>
                    <w:jc w:val="left"/>
                    <w:rPr>
                      <w:sz w:val="20"/>
                    </w:rPr>
                  </w:pPr>
                  <w:r>
                    <w:rPr>
                      <w:color w:val="58595B"/>
                      <w:sz w:val="20"/>
                    </w:rPr>
                    <w:t>the definition of waste includes ‘any greenhouse gas substance emitted or discharged into the environment’ (section</w:t>
                  </w:r>
                  <w:r>
                    <w:rPr>
                      <w:color w:val="58595B"/>
                      <w:spacing w:val="-5"/>
                      <w:sz w:val="20"/>
                    </w:rPr>
                    <w:t> 4)</w:t>
                  </w:r>
                </w:p>
                <w:p>
                  <w:pPr>
                    <w:pStyle w:val="ListParagraph"/>
                    <w:numPr>
                      <w:ilvl w:val="1"/>
                      <w:numId w:val="62"/>
                    </w:numPr>
                    <w:tabs>
                      <w:tab w:pos="681" w:val="left" w:leader="none"/>
                    </w:tabs>
                    <w:spacing w:line="280" w:lineRule="auto" w:before="172" w:after="0"/>
                    <w:ind w:left="680" w:right="377" w:hanging="340"/>
                    <w:jc w:val="left"/>
                    <w:rPr>
                      <w:sz w:val="20"/>
                    </w:rPr>
                  </w:pPr>
                  <w:r>
                    <w:rPr>
                      <w:color w:val="58595B"/>
                      <w:sz w:val="20"/>
                    </w:rPr>
                    <w:t>the </w:t>
                  </w:r>
                  <w:r>
                    <w:rPr>
                      <w:color w:val="58595B"/>
                      <w:spacing w:val="-4"/>
                      <w:sz w:val="20"/>
                    </w:rPr>
                    <w:t>EPA </w:t>
                  </w:r>
                  <w:r>
                    <w:rPr>
                      <w:color w:val="58595B"/>
                      <w:sz w:val="20"/>
                    </w:rPr>
                    <w:t>can regulate greenhouse gases as a waste via works approvals and licences (sections </w:t>
                  </w:r>
                  <w:r>
                    <w:rPr>
                      <w:color w:val="58595B"/>
                      <w:spacing w:val="-3"/>
                      <w:sz w:val="20"/>
                    </w:rPr>
                    <w:t>19A </w:t>
                  </w:r>
                  <w:r>
                    <w:rPr>
                      <w:color w:val="58595B"/>
                      <w:sz w:val="20"/>
                    </w:rPr>
                    <w:t>and</w:t>
                  </w:r>
                  <w:r>
                    <w:rPr>
                      <w:color w:val="58595B"/>
                      <w:spacing w:val="1"/>
                      <w:sz w:val="20"/>
                    </w:rPr>
                    <w:t> </w:t>
                  </w:r>
                  <w:r>
                    <w:rPr>
                      <w:color w:val="58595B"/>
                      <w:spacing w:val="-4"/>
                      <w:sz w:val="20"/>
                    </w:rPr>
                    <w:t>B)</w:t>
                  </w:r>
                </w:p>
                <w:p>
                  <w:pPr>
                    <w:pStyle w:val="ListParagraph"/>
                    <w:numPr>
                      <w:ilvl w:val="1"/>
                      <w:numId w:val="62"/>
                    </w:numPr>
                    <w:tabs>
                      <w:tab w:pos="681" w:val="left" w:leader="none"/>
                    </w:tabs>
                    <w:spacing w:line="280" w:lineRule="auto" w:before="172" w:after="0"/>
                    <w:ind w:left="680" w:right="299" w:hanging="340"/>
                    <w:jc w:val="left"/>
                    <w:rPr>
                      <w:sz w:val="20"/>
                    </w:rPr>
                  </w:pPr>
                  <w:r>
                    <w:rPr>
                      <w:color w:val="58595B"/>
                      <w:sz w:val="20"/>
                    </w:rPr>
                    <w:t>other ‘Powers, duties, and functions’ of the </w:t>
                  </w:r>
                  <w:r>
                    <w:rPr>
                      <w:color w:val="58595B"/>
                      <w:spacing w:val="-4"/>
                      <w:sz w:val="20"/>
                    </w:rPr>
                    <w:t>EPA </w:t>
                  </w:r>
                  <w:r>
                    <w:rPr>
                      <w:color w:val="58595B"/>
                      <w:sz w:val="20"/>
                    </w:rPr>
                    <w:t>may be applicable to regulating emissions of greenhouse gases as a </w:t>
                  </w:r>
                  <w:r>
                    <w:rPr>
                      <w:color w:val="58595B"/>
                      <w:spacing w:val="-3"/>
                      <w:sz w:val="20"/>
                    </w:rPr>
                    <w:t>waste (for example, </w:t>
                  </w:r>
                  <w:r>
                    <w:rPr>
                      <w:color w:val="58595B"/>
                      <w:sz w:val="20"/>
                    </w:rPr>
                    <w:t>sections</w:t>
                  </w:r>
                  <w:r>
                    <w:rPr>
                      <w:color w:val="58595B"/>
                      <w:spacing w:val="-36"/>
                      <w:sz w:val="20"/>
                    </w:rPr>
                    <w:t> </w:t>
                  </w:r>
                  <w:r>
                    <w:rPr>
                      <w:color w:val="58595B"/>
                      <w:spacing w:val="-8"/>
                      <w:sz w:val="20"/>
                    </w:rPr>
                    <w:t>13(1)(b), </w:t>
                  </w:r>
                  <w:r>
                    <w:rPr>
                      <w:color w:val="58595B"/>
                      <w:spacing w:val="-6"/>
                      <w:sz w:val="20"/>
                    </w:rPr>
                    <w:t>(ca), (cc), (d), </w:t>
                  </w:r>
                  <w:r>
                    <w:rPr>
                      <w:color w:val="58595B"/>
                      <w:spacing w:val="-7"/>
                      <w:sz w:val="20"/>
                    </w:rPr>
                    <w:t>(n), </w:t>
                  </w:r>
                  <w:r>
                    <w:rPr>
                      <w:color w:val="58595B"/>
                      <w:spacing w:val="-6"/>
                      <w:sz w:val="20"/>
                    </w:rPr>
                    <w:t>(na) </w:t>
                  </w:r>
                  <w:r>
                    <w:rPr>
                      <w:color w:val="58595B"/>
                      <w:sz w:val="20"/>
                    </w:rPr>
                    <w:t>and</w:t>
                  </w:r>
                  <w:r>
                    <w:rPr>
                      <w:color w:val="58595B"/>
                      <w:spacing w:val="-3"/>
                      <w:sz w:val="20"/>
                    </w:rPr>
                    <w:t> </w:t>
                  </w:r>
                  <w:r>
                    <w:rPr>
                      <w:color w:val="58595B"/>
                      <w:spacing w:val="-6"/>
                      <w:sz w:val="20"/>
                    </w:rPr>
                    <w:t>(p)).</w:t>
                  </w:r>
                </w:p>
                <w:p>
                  <w:pPr>
                    <w:pStyle w:val="ListParagraph"/>
                    <w:numPr>
                      <w:ilvl w:val="0"/>
                      <w:numId w:val="62"/>
                    </w:numPr>
                    <w:tabs>
                      <w:tab w:pos="341" w:val="left" w:leader="none"/>
                    </w:tabs>
                    <w:spacing w:line="240" w:lineRule="auto" w:before="115" w:after="0"/>
                    <w:ind w:left="340" w:right="0" w:hanging="170"/>
                    <w:jc w:val="left"/>
                    <w:rPr>
                      <w:sz w:val="20"/>
                    </w:rPr>
                  </w:pPr>
                  <w:r>
                    <w:rPr>
                      <w:color w:val="58595B"/>
                      <w:sz w:val="20"/>
                    </w:rPr>
                    <w:t>Other</w:t>
                  </w:r>
                </w:p>
                <w:p>
                  <w:pPr>
                    <w:pStyle w:val="BodyText"/>
                    <w:spacing w:before="3"/>
                    <w:ind w:left="0"/>
                    <w:rPr>
                      <w:rFonts w:ascii="Times New Roman"/>
                      <w:sz w:val="18"/>
                    </w:rPr>
                  </w:pPr>
                </w:p>
                <w:p>
                  <w:pPr>
                    <w:pStyle w:val="BodyText"/>
                    <w:spacing w:line="280" w:lineRule="auto"/>
                    <w:ind w:left="340" w:right="601"/>
                  </w:pPr>
                  <w:r>
                    <w:rPr>
                      <w:color w:val="58595B"/>
                    </w:rPr>
                    <w:t>The EPA has power to implement economic measures to provide incentives to avoid or minimise environmental harm (where the definition of ‘environment’ includes climate) (section 19AA). This includes tradeable emissions schemes (section 19AB).</w:t>
                  </w:r>
                </w:p>
              </w:txbxContent>
            </v:textbox>
            <w10:wrap type="none"/>
          </v:shape>
        </w:pict>
      </w:r>
      <w:r>
        <w:rPr/>
        <w:pict>
          <v:shape style="position:absolute;margin-left:.0pt;margin-top:44.090015pt;width:60.3pt;height:5.25pt;mso-position-horizontal-relative:page;mso-position-vertical-relative:page;z-index:-178384"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8360"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8336" from="534.996094pt,45.840015pt" to="595.276001pt,45.840015pt" stroked="true" strokeweight="7pt" strokecolor="#0095a7">
            <w10:wrap type="none"/>
          </v:line>
        </w:pict>
      </w:r>
      <w:r>
        <w:rPr/>
        <w:pict>
          <v:rect style="position:absolute;margin-left:90.709pt;margin-top:107.717018pt;width:432.701pt;height:226.044pt;mso-position-horizontal-relative:page;mso-position-vertical-relative:page;z-index:-178312" filled="true" fillcolor="#eaf2f3" stroked="false">
            <v:fill type="solid"/>
            <w10:wrap type="none"/>
          </v:rect>
        </w:pict>
      </w:r>
      <w:r>
        <w:rPr/>
        <w:pict>
          <v:shape style="position:absolute;margin-left:230.659195pt;margin-top:40.902756pt;width:45.55pt;height:9.5pt;mso-position-horizontal-relative:page;mso-position-vertical-relative:page;z-index:-178288" type="#_x0000_t202" filled="false" stroked="false">
            <v:textbox inset="0,0,0,0">
              <w:txbxContent>
                <w:p>
                  <w:pPr>
                    <w:spacing w:before="1"/>
                    <w:ind w:left="20" w:right="0" w:firstLine="0"/>
                    <w:jc w:val="left"/>
                    <w:rPr>
                      <w:sz w:val="15"/>
                    </w:rPr>
                  </w:pPr>
                  <w:r>
                    <w:rPr>
                      <w:color w:val="58595B"/>
                      <w:sz w:val="15"/>
                    </w:rPr>
                    <w:t>CHAPTER 8</w:t>
                  </w:r>
                </w:p>
              </w:txbxContent>
            </v:textbox>
            <w10:wrap type="none"/>
          </v:shape>
        </w:pict>
      </w:r>
      <w:r>
        <w:rPr/>
        <w:pict>
          <v:shape style="position:absolute;margin-left:281.891693pt;margin-top:40.902756pt;width:218pt;height:9.5pt;mso-position-horizontal-relative:page;mso-position-vertical-relative:page;z-index:-178264" type="#_x0000_t202" filled="false" stroked="false">
            <v:textbox inset="0,0,0,0">
              <w:txbxContent>
                <w:p>
                  <w:pPr>
                    <w:spacing w:before="1"/>
                    <w:ind w:left="20" w:right="0" w:firstLine="0"/>
                    <w:jc w:val="left"/>
                    <w:rPr>
                      <w:sz w:val="15"/>
                    </w:rPr>
                  </w:pPr>
                  <w:r>
                    <w:rPr>
                      <w:color w:val="58595B"/>
                      <w:sz w:val="15"/>
                    </w:rPr>
                    <w:t>RESPONDING TO THE CHALLENGE OF CLIMATE CHANGE</w:t>
                  </w:r>
                </w:p>
              </w:txbxContent>
            </v:textbox>
            <w10:wrap type="none"/>
          </v:shape>
        </w:pict>
      </w:r>
      <w:r>
        <w:rPr/>
        <w:pict>
          <v:shape style="position:absolute;margin-left:511.0242pt;margin-top:40.902756pt;width:14.35pt;height:9.5pt;mso-position-horizontal-relative:page;mso-position-vertical-relative:page;z-index:-178240" type="#_x0000_t202" filled="false" stroked="false">
            <v:textbox inset="0,0,0,0">
              <w:txbxContent>
                <w:p>
                  <w:pPr>
                    <w:spacing w:before="1"/>
                    <w:ind w:left="20" w:right="-4" w:firstLine="0"/>
                    <w:jc w:val="left"/>
                    <w:rPr>
                      <w:sz w:val="15"/>
                    </w:rPr>
                  </w:pPr>
                  <w:r>
                    <w:rPr>
                      <w:color w:val="58595B"/>
                      <w:sz w:val="15"/>
                    </w:rPr>
                    <w:t>157</w:t>
                  </w:r>
                </w:p>
              </w:txbxContent>
            </v:textbox>
            <w10:wrap type="none"/>
          </v:shape>
        </w:pict>
      </w:r>
      <w:r>
        <w:rPr/>
        <w:pict>
          <v:shape style="position:absolute;margin-left:89.712601pt;margin-top:356.577881pt;width:430.65pt;height:85.2pt;mso-position-horizontal-relative:page;mso-position-vertical-relative:page;z-index:-178216" type="#_x0000_t202" filled="false" stroked="false">
            <v:textbox inset="0,0,0,0">
              <w:txbxContent>
                <w:p>
                  <w:pPr>
                    <w:pStyle w:val="BodyText"/>
                    <w:spacing w:line="224" w:lineRule="exact"/>
                  </w:pPr>
                  <w:r>
                    <w:rPr>
                      <w:color w:val="0095A7"/>
                    </w:rPr>
                    <w:t>8.4.1  Using the SEPP (AQM) to regulate greenhouse gas emissions</w:t>
                  </w:r>
                </w:p>
                <w:p>
                  <w:pPr>
                    <w:pStyle w:val="BodyText"/>
                    <w:spacing w:line="280" w:lineRule="auto" w:before="153"/>
                  </w:pPr>
                  <w:r>
                    <w:rPr>
                      <w:color w:val="58595B"/>
                    </w:rPr>
                    <w:t>Government establishes statutory policies such as the SEPP (AQM) via the Governor in Council. The EPA then implements these regulatory tools. Currently, the provisions of the SEPP (AQM) that relate</w:t>
                  </w:r>
                </w:p>
                <w:p>
                  <w:pPr>
                    <w:pStyle w:val="BodyText"/>
                    <w:spacing w:line="280" w:lineRule="auto" w:before="2"/>
                  </w:pPr>
                  <w:r>
                    <w:rPr>
                      <w:color w:val="58595B"/>
                    </w:rPr>
                    <w:t>to regulating greenhouse gas emissions are problematic because they are expressed in qualitative rather than quantitative terms:</w:t>
                  </w:r>
                </w:p>
              </w:txbxContent>
            </v:textbox>
            <w10:wrap type="none"/>
          </v:shape>
        </w:pict>
      </w:r>
      <w:r>
        <w:rPr/>
        <w:pict>
          <v:shape style="position:absolute;margin-left:89.712601pt;margin-top:448.917877pt;width:5.5pt;height:12pt;mso-position-horizontal-relative:page;mso-position-vertical-relative:page;z-index:-17819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98.212601pt;margin-top:448.917877pt;width:423.8pt;height:185.35pt;mso-position-horizontal-relative:page;mso-position-vertical-relative:page;z-index:-178168" type="#_x0000_t202" filled="false" stroked="false">
            <v:textbox inset="0,0,0,0">
              <w:txbxContent>
                <w:p>
                  <w:pPr>
                    <w:pStyle w:val="BodyText"/>
                    <w:spacing w:line="280" w:lineRule="auto"/>
                  </w:pPr>
                  <w:r>
                    <w:rPr>
                      <w:b/>
                      <w:color w:val="58595B"/>
                    </w:rPr>
                    <w:t>Clause 33 </w:t>
                  </w:r>
                  <w:r>
                    <w:rPr>
                      <w:color w:val="58595B"/>
                    </w:rPr>
                    <w:t>– (1) Generators of emissions of greenhouse gases must manage their emissions in accordance with the provisions of Clauses 18 and 19; and … (3) The Authority will apply (any) protocols (for environmental management relating to greenhouse gas emissions) to generators of emissions subject to works approvals and licences, and in assessing the potential impacts of other development proposals.</w:t>
                  </w:r>
                </w:p>
                <w:p>
                  <w:pPr>
                    <w:pStyle w:val="BodyText"/>
                    <w:spacing w:line="280" w:lineRule="auto" w:before="115"/>
                    <w:ind w:right="387"/>
                  </w:pPr>
                  <w:r>
                    <w:rPr>
                      <w:b/>
                      <w:color w:val="58595B"/>
                    </w:rPr>
                    <w:t>Clause 18 </w:t>
                  </w:r>
                  <w:r>
                    <w:rPr>
                      <w:color w:val="58595B"/>
                    </w:rPr>
                    <w:t>– … generators of emissions include: (a) those who operate or manage sources of emissions, or undertake activities that generate emissions or result in the generation of</w:t>
                  </w:r>
                </w:p>
                <w:p>
                  <w:pPr>
                    <w:pStyle w:val="BodyText"/>
                    <w:spacing w:line="280" w:lineRule="auto" w:before="2"/>
                    <w:ind w:right="132"/>
                  </w:pPr>
                  <w:r>
                    <w:rPr>
                      <w:color w:val="58595B"/>
                    </w:rPr>
                    <w:t>emissions; and … (3) Generators of emissions must: (a) manage their activities in accordance with the aims, principles and intent of the policy; (b) pursue continuous improvement in their environmental management practices and environmental performance; and (c) apply best practice to the management of their emissions …</w:t>
                  </w:r>
                </w:p>
                <w:p>
                  <w:pPr>
                    <w:pStyle w:val="BodyText"/>
                    <w:spacing w:line="280" w:lineRule="auto" w:before="115"/>
                    <w:ind w:right="76"/>
                  </w:pPr>
                  <w:r>
                    <w:rPr>
                      <w:b/>
                      <w:color w:val="58595B"/>
                    </w:rPr>
                    <w:t>Clause 19 </w:t>
                  </w:r>
                  <w:r>
                    <w:rPr>
                      <w:color w:val="58595B"/>
                    </w:rPr>
                    <w:t>– (1) A generator of a new or substantially modified source of emissions must apply best practice to the management of those emissions.</w:t>
                  </w:r>
                </w:p>
              </w:txbxContent>
            </v:textbox>
            <w10:wrap type="none"/>
          </v:shape>
        </w:pict>
      </w:r>
      <w:r>
        <w:rPr/>
        <w:pict>
          <v:shape style="position:absolute;margin-left:89.712601pt;margin-top:522.087891pt;width:5.5pt;height:12pt;mso-position-horizontal-relative:page;mso-position-vertical-relative:page;z-index:-178144"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12601pt;margin-top:608.757874pt;width:5.5pt;height:12pt;mso-position-horizontal-relative:page;mso-position-vertical-relative:page;z-index:-17812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12601pt;margin-top:644.257874pt;width:431.85pt;height:25.5pt;mso-position-horizontal-relative:page;mso-position-vertical-relative:page;z-index:-178096" type="#_x0000_t202" filled="false" stroked="false">
            <v:textbox inset="0,0,0,0">
              <w:txbxContent>
                <w:p>
                  <w:pPr>
                    <w:pStyle w:val="BodyText"/>
                    <w:spacing w:line="280" w:lineRule="auto"/>
                    <w:ind w:right="3"/>
                  </w:pPr>
                  <w:r>
                    <w:rPr>
                      <w:color w:val="58595B"/>
                    </w:rPr>
                    <w:t>We examined the EPA’s current approach to applying these provisions for three broad categories of emissions sources.</w:t>
                  </w:r>
                </w:p>
              </w:txbxContent>
            </v:textbox>
            <w10:wrap type="none"/>
          </v:shape>
        </w:pict>
      </w:r>
      <w:r>
        <w:rPr/>
        <w:pict>
          <v:shape style="position:absolute;margin-left:90.709pt;margin-top:107.717018pt;width:432.75pt;height:226.05pt;mso-position-horizontal-relative:page;mso-position-vertical-relative:page;z-index:-178072" type="#_x0000_t202" filled="false" stroked="false">
            <v:textbox inset="0,0,0,0">
              <w:txbxContent>
                <w:p>
                  <w:pPr>
                    <w:spacing w:before="128"/>
                    <w:ind w:left="170" w:right="482" w:firstLine="0"/>
                    <w:jc w:val="left"/>
                    <w:rPr>
                      <w:i/>
                      <w:sz w:val="20"/>
                    </w:rPr>
                  </w:pPr>
                  <w:r>
                    <w:rPr>
                      <w:i/>
                      <w:color w:val="6D6E71"/>
                      <w:sz w:val="20"/>
                    </w:rPr>
                    <w:t>Obligations under the Climate Change Act</w:t>
                  </w:r>
                </w:p>
                <w:p>
                  <w:pPr>
                    <w:pStyle w:val="BodyText"/>
                    <w:spacing w:line="280" w:lineRule="auto" w:before="125"/>
                    <w:ind w:left="170" w:right="434"/>
                  </w:pPr>
                  <w:r>
                    <w:rPr>
                      <w:color w:val="58595B"/>
                    </w:rPr>
                    <w:t>Under the Climate Change Act, the </w:t>
                  </w:r>
                  <w:r>
                    <w:rPr>
                      <w:color w:val="58595B"/>
                      <w:spacing w:val="-4"/>
                    </w:rPr>
                    <w:t>EPA </w:t>
                  </w:r>
                  <w:r>
                    <w:rPr>
                      <w:color w:val="58595B"/>
                    </w:rPr>
                    <w:t>has an obligation to consider emissions as part of its routine decision making. Section </w:t>
                  </w:r>
                  <w:r>
                    <w:rPr>
                      <w:color w:val="58595B"/>
                      <w:spacing w:val="-5"/>
                    </w:rPr>
                    <w:t>14 </w:t>
                  </w:r>
                  <w:r>
                    <w:rPr>
                      <w:color w:val="58595B"/>
                    </w:rPr>
                    <w:t>of the Act requires the </w:t>
                  </w:r>
                  <w:r>
                    <w:rPr>
                      <w:color w:val="58595B"/>
                      <w:spacing w:val="-4"/>
                    </w:rPr>
                    <w:t>EPA </w:t>
                  </w:r>
                  <w:r>
                    <w:rPr>
                      <w:color w:val="58595B"/>
                    </w:rPr>
                    <w:t>to have regard to </w:t>
                  </w:r>
                  <w:r>
                    <w:rPr>
                      <w:color w:val="58595B"/>
                      <w:spacing w:val="-7"/>
                    </w:rPr>
                    <w:t>‘… </w:t>
                  </w:r>
                  <w:r>
                    <w:rPr>
                      <w:color w:val="58595B"/>
                    </w:rPr>
                    <w:t>the potential contribution to Victoria’s greenhouse gas emissions’ when making decisions or taking actions set out in Schedule 1 of the Climate Change Act – specifically with respect  to recommendations by the </w:t>
                  </w:r>
                  <w:r>
                    <w:rPr>
                      <w:color w:val="58595B"/>
                      <w:spacing w:val="-4"/>
                    </w:rPr>
                    <w:t>EPA </w:t>
                  </w:r>
                  <w:r>
                    <w:rPr>
                      <w:color w:val="58595B"/>
                    </w:rPr>
                    <w:t>relating to state environment protection policy; waste management policy; the issuing of works approvals; and licensing of scheduled premises. Section </w:t>
                  </w:r>
                  <w:r>
                    <w:rPr>
                      <w:color w:val="58595B"/>
                      <w:spacing w:val="-6"/>
                    </w:rPr>
                    <w:t>14(4) </w:t>
                  </w:r>
                  <w:r>
                    <w:rPr>
                      <w:color w:val="58595B"/>
                    </w:rPr>
                    <w:t>of the Climate Change Act specifies that </w:t>
                  </w:r>
                  <w:r>
                    <w:rPr>
                      <w:color w:val="58595B"/>
                      <w:spacing w:val="-7"/>
                    </w:rPr>
                    <w:t>‘… </w:t>
                  </w:r>
                  <w:r>
                    <w:rPr>
                      <w:color w:val="58595B"/>
                    </w:rPr>
                    <w:t>in having regard to the potential contribution to Victoria’s greenhouse gas emissions, the relevant considerations are</w:t>
                  </w:r>
                  <w:r>
                    <w:rPr>
                      <w:color w:val="58595B"/>
                      <w:spacing w:val="-1"/>
                    </w:rPr>
                    <w:t> </w:t>
                  </w:r>
                  <w:r>
                    <w:rPr>
                      <w:color w:val="58595B"/>
                    </w:rPr>
                    <w:t>…</w:t>
                  </w:r>
                </w:p>
                <w:p>
                  <w:pPr>
                    <w:pStyle w:val="BodyText"/>
                    <w:spacing w:line="280" w:lineRule="auto" w:before="2"/>
                    <w:ind w:left="170" w:right="267"/>
                  </w:pPr>
                  <w:r>
                    <w:rPr>
                      <w:color w:val="58595B"/>
                    </w:rPr>
                    <w:t>potential short and long term greenhouse gas emissions; direct and indirect greenhouse gas emissions; increases and decreases in greenhouse gas emissions; and cumulative impacts of greenhouse gas emissions’.</w:t>
                  </w:r>
                </w:p>
                <w:p>
                  <w:pPr>
                    <w:pStyle w:val="BodyText"/>
                    <w:spacing w:line="280" w:lineRule="auto" w:before="172"/>
                    <w:ind w:left="170" w:right="571"/>
                    <w:jc w:val="both"/>
                  </w:pPr>
                  <w:r>
                    <w:rPr>
                      <w:color w:val="58595B"/>
                    </w:rPr>
                    <w:t>Section 15 of the Climate Change Act states that the Minister responsible for the Act may issue guidelines about the scope and application of the requirements of section 14, but to date no such guidelines have been issued.</w:t>
                  </w:r>
                </w:p>
              </w:txbxContent>
            </v:textbox>
            <w10:wrap type="none"/>
          </v:shape>
        </w:pict>
      </w:r>
      <w:r>
        <w:rPr/>
        <w:pict>
          <v:shape style="position:absolute;margin-left:534.996094pt;margin-top:44.090015pt;width:60.3pt;height:5.25pt;mso-position-horizontal-relative:page;mso-position-vertical-relative:page;z-index:-17804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8024"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8000" from=".0pt,45.840015pt" to="60.2791pt,45.840015pt" stroked="true" strokeweight="7pt" strokecolor="#0095a7">
            <w10:wrap type="none"/>
          </v:line>
        </w:pict>
      </w:r>
      <w:r>
        <w:rPr/>
        <w:pict>
          <v:rect style="position:absolute;margin-left:70.865997pt;margin-top:325.257019pt;width:432.701pt;height:460.469pt;mso-position-horizontal-relative:page;mso-position-vertical-relative:page;z-index:-177976" filled="true" fillcolor="#eaf2f3" stroked="false">
            <v:fill type="solid"/>
            <w10:wrap type="none"/>
          </v:rect>
        </w:pict>
      </w:r>
      <w:r>
        <w:rPr/>
        <w:pict>
          <v:shape style="position:absolute;margin-left:69.866096pt;margin-top:40.902756pt;width:14.5pt;height:9.5pt;mso-position-horizontal-relative:page;mso-position-vertical-relative:page;z-index:-177952" type="#_x0000_t202" filled="false" stroked="false">
            <v:textbox inset="0,0,0,0">
              <w:txbxContent>
                <w:p>
                  <w:pPr>
                    <w:spacing w:before="1"/>
                    <w:ind w:left="20" w:right="-1" w:firstLine="0"/>
                    <w:jc w:val="left"/>
                    <w:rPr>
                      <w:sz w:val="15"/>
                    </w:rPr>
                  </w:pPr>
                  <w:r>
                    <w:rPr>
                      <w:color w:val="58595B"/>
                      <w:sz w:val="15"/>
                    </w:rPr>
                    <w:t>158</w:t>
                  </w:r>
                </w:p>
              </w:txbxContent>
            </v:textbox>
            <w10:wrap type="none"/>
          </v:shape>
        </w:pict>
      </w:r>
      <w:r>
        <w:rPr/>
        <w:pict>
          <v:shape style="position:absolute;margin-left:95.377899pt;margin-top:40.902756pt;width:147.75pt;height:9.5pt;mso-position-horizontal-relative:page;mso-position-vertical-relative:page;z-index:-177928"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2602pt;margin-top:105.893967pt;width:431.8pt;height:137.8pt;mso-position-horizontal-relative:page;mso-position-vertical-relative:page;z-index:-177904" type="#_x0000_t202" filled="false" stroked="false">
            <v:textbox inset="0,0,0,0">
              <w:txbxContent>
                <w:p>
                  <w:pPr>
                    <w:spacing w:line="224" w:lineRule="exact" w:before="0"/>
                    <w:ind w:left="20" w:right="-13" w:firstLine="0"/>
                    <w:jc w:val="left"/>
                    <w:rPr>
                      <w:i/>
                      <w:sz w:val="20"/>
                    </w:rPr>
                  </w:pPr>
                  <w:r>
                    <w:rPr>
                      <w:i/>
                      <w:color w:val="6D6E71"/>
                      <w:sz w:val="20"/>
                    </w:rPr>
                    <w:t>Emissions from potential new sources that are subject to Scheduled Premises Regulations</w:t>
                  </w:r>
                </w:p>
                <w:p>
                  <w:pPr>
                    <w:pStyle w:val="BodyText"/>
                    <w:spacing w:line="278" w:lineRule="auto" w:before="125"/>
                    <w:ind w:right="-13"/>
                  </w:pPr>
                  <w:r>
                    <w:rPr>
                      <w:color w:val="58595B"/>
                      <w:spacing w:val="-4"/>
                    </w:rPr>
                    <w:t>Potential </w:t>
                  </w:r>
                  <w:r>
                    <w:rPr>
                      <w:color w:val="58595B"/>
                      <w:spacing w:val="-3"/>
                    </w:rPr>
                    <w:t>new sources </w:t>
                  </w:r>
                  <w:r>
                    <w:rPr>
                      <w:color w:val="58595B"/>
                    </w:rPr>
                    <w:t>of </w:t>
                  </w:r>
                  <w:r>
                    <w:rPr>
                      <w:color w:val="58595B"/>
                      <w:spacing w:val="-3"/>
                    </w:rPr>
                    <w:t>emissions </w:t>
                  </w:r>
                  <w:r>
                    <w:rPr>
                      <w:color w:val="58595B"/>
                    </w:rPr>
                    <w:t>at </w:t>
                  </w:r>
                  <w:r>
                    <w:rPr>
                      <w:color w:val="58595B"/>
                      <w:spacing w:val="-3"/>
                    </w:rPr>
                    <w:t>premises that </w:t>
                  </w:r>
                  <w:r>
                    <w:rPr>
                      <w:color w:val="58595B"/>
                    </w:rPr>
                    <w:t>are </w:t>
                  </w:r>
                  <w:r>
                    <w:rPr>
                      <w:color w:val="58595B"/>
                      <w:spacing w:val="-3"/>
                    </w:rPr>
                    <w:t>subject </w:t>
                  </w:r>
                  <w:r>
                    <w:rPr>
                      <w:color w:val="58595B"/>
                    </w:rPr>
                    <w:t>to </w:t>
                  </w:r>
                  <w:r>
                    <w:rPr>
                      <w:color w:val="58595B"/>
                      <w:spacing w:val="-4"/>
                    </w:rPr>
                    <w:t>Environment </w:t>
                  </w:r>
                  <w:r>
                    <w:rPr>
                      <w:color w:val="58595B"/>
                      <w:spacing w:val="-3"/>
                    </w:rPr>
                    <w:t>Protection (Scheduled</w:t>
                  </w:r>
                  <w:r>
                    <w:rPr>
                      <w:color w:val="58595B"/>
                      <w:spacing w:val="-7"/>
                    </w:rPr>
                    <w:t> </w:t>
                  </w:r>
                  <w:r>
                    <w:rPr>
                      <w:color w:val="58595B"/>
                      <w:spacing w:val="-3"/>
                    </w:rPr>
                    <w:t>Premises</w:t>
                  </w:r>
                  <w:r>
                    <w:rPr>
                      <w:color w:val="58595B"/>
                      <w:spacing w:val="-7"/>
                    </w:rPr>
                    <w:t> </w:t>
                  </w:r>
                  <w:r>
                    <w:rPr>
                      <w:color w:val="58595B"/>
                    </w:rPr>
                    <w:t>and</w:t>
                  </w:r>
                  <w:r>
                    <w:rPr>
                      <w:color w:val="58595B"/>
                      <w:spacing w:val="-7"/>
                    </w:rPr>
                    <w:t> </w:t>
                  </w:r>
                  <w:r>
                    <w:rPr>
                      <w:color w:val="58595B"/>
                      <w:spacing w:val="-4"/>
                    </w:rPr>
                    <w:t>Exemption)</w:t>
                  </w:r>
                  <w:r>
                    <w:rPr>
                      <w:color w:val="58595B"/>
                      <w:spacing w:val="-7"/>
                    </w:rPr>
                    <w:t> </w:t>
                  </w:r>
                  <w:r>
                    <w:rPr>
                      <w:color w:val="58595B"/>
                      <w:spacing w:val="-3"/>
                    </w:rPr>
                    <w:t>Regulations</w:t>
                  </w:r>
                  <w:r>
                    <w:rPr>
                      <w:color w:val="58595B"/>
                      <w:spacing w:val="-7"/>
                    </w:rPr>
                    <w:t> </w:t>
                  </w:r>
                  <w:r>
                    <w:rPr>
                      <w:color w:val="58595B"/>
                    </w:rPr>
                    <w:t>2007</w:t>
                  </w:r>
                  <w:r>
                    <w:rPr>
                      <w:color w:val="58595B"/>
                      <w:spacing w:val="-7"/>
                    </w:rPr>
                    <w:t> </w:t>
                  </w:r>
                  <w:r>
                    <w:rPr>
                      <w:color w:val="58595B"/>
                      <w:spacing w:val="-3"/>
                    </w:rPr>
                    <w:t>must</w:t>
                  </w:r>
                  <w:r>
                    <w:rPr>
                      <w:color w:val="58595B"/>
                      <w:spacing w:val="-7"/>
                    </w:rPr>
                    <w:t> </w:t>
                  </w:r>
                  <w:r>
                    <w:rPr>
                      <w:color w:val="58595B"/>
                      <w:spacing w:val="-3"/>
                    </w:rPr>
                    <w:t>obtain</w:t>
                  </w:r>
                  <w:r>
                    <w:rPr>
                      <w:color w:val="58595B"/>
                      <w:spacing w:val="-7"/>
                    </w:rPr>
                    <w:t> </w:t>
                  </w:r>
                  <w:r>
                    <w:rPr>
                      <w:color w:val="58595B"/>
                    </w:rPr>
                    <w:t>a</w:t>
                  </w:r>
                  <w:r>
                    <w:rPr>
                      <w:color w:val="58595B"/>
                      <w:spacing w:val="-7"/>
                    </w:rPr>
                    <w:t> </w:t>
                  </w:r>
                  <w:r>
                    <w:rPr>
                      <w:color w:val="58595B"/>
                      <w:spacing w:val="-3"/>
                    </w:rPr>
                    <w:t>works</w:t>
                  </w:r>
                  <w:r>
                    <w:rPr>
                      <w:color w:val="58595B"/>
                      <w:spacing w:val="-7"/>
                    </w:rPr>
                    <w:t> </w:t>
                  </w:r>
                  <w:r>
                    <w:rPr>
                      <w:color w:val="58595B"/>
                      <w:spacing w:val="-4"/>
                    </w:rPr>
                    <w:t>approval</w:t>
                  </w:r>
                  <w:r>
                    <w:rPr>
                      <w:color w:val="58595B"/>
                      <w:spacing w:val="-7"/>
                    </w:rPr>
                    <w:t> </w:t>
                  </w:r>
                  <w:r>
                    <w:rPr>
                      <w:color w:val="58595B"/>
                    </w:rPr>
                    <w:t>and</w:t>
                  </w:r>
                  <w:r>
                    <w:rPr>
                      <w:color w:val="58595B"/>
                      <w:spacing w:val="-7"/>
                    </w:rPr>
                    <w:t> </w:t>
                  </w:r>
                  <w:r>
                    <w:rPr>
                      <w:color w:val="58595B"/>
                    </w:rPr>
                    <w:t>a</w:t>
                  </w:r>
                  <w:r>
                    <w:rPr>
                      <w:color w:val="58595B"/>
                      <w:spacing w:val="-7"/>
                    </w:rPr>
                    <w:t> </w:t>
                  </w:r>
                  <w:r>
                    <w:rPr>
                      <w:color w:val="58595B"/>
                    </w:rPr>
                    <w:t>licence for </w:t>
                  </w:r>
                  <w:r>
                    <w:rPr>
                      <w:color w:val="58595B"/>
                      <w:spacing w:val="-3"/>
                    </w:rPr>
                    <w:t>their intended operations. </w:t>
                  </w:r>
                  <w:r>
                    <w:rPr>
                      <w:color w:val="58595B"/>
                    </w:rPr>
                    <w:t>The </w:t>
                  </w:r>
                  <w:r>
                    <w:rPr>
                      <w:color w:val="58595B"/>
                      <w:spacing w:val="-9"/>
                    </w:rPr>
                    <w:t>EPA’s </w:t>
                  </w:r>
                  <w:r>
                    <w:rPr>
                      <w:color w:val="58595B"/>
                      <w:spacing w:val="-3"/>
                    </w:rPr>
                    <w:t>Works Approval Application Guideline requires that applicants pursue best </w:t>
                  </w:r>
                  <w:r>
                    <w:rPr>
                      <w:color w:val="58595B"/>
                    </w:rPr>
                    <w:t>practice for </w:t>
                  </w:r>
                  <w:r>
                    <w:rPr>
                      <w:color w:val="58595B"/>
                      <w:spacing w:val="-3"/>
                    </w:rPr>
                    <w:t>energy use </w:t>
                  </w:r>
                  <w:r>
                    <w:rPr>
                      <w:color w:val="58595B"/>
                    </w:rPr>
                    <w:t>and </w:t>
                  </w:r>
                  <w:r>
                    <w:rPr>
                      <w:color w:val="58595B"/>
                      <w:spacing w:val="-3"/>
                    </w:rPr>
                    <w:t>greenhouse emissions, </w:t>
                  </w:r>
                  <w:r>
                    <w:rPr>
                      <w:color w:val="58595B"/>
                      <w:spacing w:val="-2"/>
                    </w:rPr>
                    <w:t>which </w:t>
                  </w:r>
                  <w:r>
                    <w:rPr>
                      <w:color w:val="58595B"/>
                    </w:rPr>
                    <w:t>is </w:t>
                  </w:r>
                  <w:r>
                    <w:rPr>
                      <w:color w:val="58595B"/>
                      <w:spacing w:val="-3"/>
                    </w:rPr>
                    <w:t>consistent </w:t>
                  </w:r>
                  <w:r>
                    <w:rPr>
                      <w:color w:val="58595B"/>
                    </w:rPr>
                    <w:t>with the </w:t>
                  </w:r>
                  <w:r>
                    <w:rPr>
                      <w:color w:val="58595B"/>
                      <w:spacing w:val="-3"/>
                    </w:rPr>
                    <w:t>SEPP </w:t>
                  </w:r>
                  <w:r>
                    <w:rPr>
                      <w:color w:val="58595B"/>
                      <w:spacing w:val="-4"/>
                    </w:rPr>
                    <w:t>(AQM). Requirements </w:t>
                  </w:r>
                  <w:r>
                    <w:rPr>
                      <w:color w:val="58595B"/>
                    </w:rPr>
                    <w:t>for </w:t>
                  </w:r>
                  <w:r>
                    <w:rPr>
                      <w:color w:val="58595B"/>
                      <w:spacing w:val="-3"/>
                    </w:rPr>
                    <w:t>energy use </w:t>
                  </w:r>
                  <w:r>
                    <w:rPr>
                      <w:color w:val="58595B"/>
                    </w:rPr>
                    <w:t>and </w:t>
                  </w:r>
                  <w:r>
                    <w:rPr>
                      <w:color w:val="58595B"/>
                      <w:spacing w:val="-3"/>
                    </w:rPr>
                    <w:t>greenhouse gas </w:t>
                  </w:r>
                  <w:r>
                    <w:rPr>
                      <w:color w:val="58595B"/>
                      <w:spacing w:val="-4"/>
                    </w:rPr>
                    <w:t>emissions</w:t>
                  </w:r>
                  <w:r>
                    <w:rPr>
                      <w:color w:val="58595B"/>
                      <w:spacing w:val="-4"/>
                      <w:position w:val="7"/>
                      <w:sz w:val="11"/>
                    </w:rPr>
                    <w:t>11 </w:t>
                  </w:r>
                  <w:r>
                    <w:rPr>
                      <w:color w:val="58595B"/>
                    </w:rPr>
                    <w:t>are </w:t>
                  </w:r>
                  <w:r>
                    <w:rPr>
                      <w:color w:val="58595B"/>
                      <w:spacing w:val="-3"/>
                    </w:rPr>
                    <w:t>threshold- based. Applicants </w:t>
                  </w:r>
                  <w:r>
                    <w:rPr>
                      <w:color w:val="58595B"/>
                    </w:rPr>
                    <w:t>whose </w:t>
                  </w:r>
                  <w:r>
                    <w:rPr>
                      <w:color w:val="58595B"/>
                      <w:spacing w:val="-3"/>
                    </w:rPr>
                    <w:t>proposed works will use </w:t>
                  </w:r>
                  <w:r>
                    <w:rPr>
                      <w:color w:val="58595B"/>
                    </w:rPr>
                    <w:t>more than </w:t>
                  </w:r>
                  <w:r>
                    <w:rPr>
                      <w:color w:val="58595B"/>
                      <w:spacing w:val="-5"/>
                    </w:rPr>
                    <w:t>10 </w:t>
                  </w:r>
                  <w:r>
                    <w:rPr>
                      <w:color w:val="58595B"/>
                      <w:spacing w:val="-3"/>
                    </w:rPr>
                    <w:t>terajoules </w:t>
                  </w:r>
                  <w:r>
                    <w:rPr>
                      <w:color w:val="58595B"/>
                    </w:rPr>
                    <w:t>of </w:t>
                  </w:r>
                  <w:r>
                    <w:rPr>
                      <w:color w:val="58595B"/>
                      <w:spacing w:val="-3"/>
                    </w:rPr>
                    <w:t>energy </w:t>
                  </w:r>
                  <w:r>
                    <w:rPr>
                      <w:color w:val="58595B"/>
                    </w:rPr>
                    <w:t>per </w:t>
                  </w:r>
                  <w:r>
                    <w:rPr>
                      <w:color w:val="58595B"/>
                      <w:spacing w:val="-3"/>
                    </w:rPr>
                    <w:t>year </w:t>
                  </w:r>
                  <w:r>
                    <w:rPr>
                      <w:color w:val="58595B"/>
                    </w:rPr>
                    <w:t>or </w:t>
                  </w:r>
                  <w:r>
                    <w:rPr>
                      <w:color w:val="58595B"/>
                      <w:spacing w:val="-3"/>
                    </w:rPr>
                    <w:t>result </w:t>
                  </w:r>
                  <w:r>
                    <w:rPr>
                      <w:color w:val="58595B"/>
                    </w:rPr>
                    <w:t>in more than </w:t>
                  </w:r>
                  <w:r>
                    <w:rPr>
                      <w:color w:val="58595B"/>
                      <w:spacing w:val="-3"/>
                    </w:rPr>
                    <w:t>1,000 tonnes </w:t>
                  </w:r>
                  <w:r>
                    <w:rPr>
                      <w:color w:val="58595B"/>
                    </w:rPr>
                    <w:t>of carbon </w:t>
                  </w:r>
                  <w:r>
                    <w:rPr>
                      <w:color w:val="58595B"/>
                      <w:spacing w:val="-3"/>
                    </w:rPr>
                    <w:t>dioxide </w:t>
                  </w:r>
                  <w:r>
                    <w:rPr>
                      <w:color w:val="58595B"/>
                      <w:spacing w:val="-4"/>
                    </w:rPr>
                    <w:t>equivalent </w:t>
                  </w:r>
                  <w:r>
                    <w:rPr>
                      <w:color w:val="58595B"/>
                      <w:spacing w:val="-3"/>
                    </w:rPr>
                    <w:t>emissions </w:t>
                  </w:r>
                  <w:r>
                    <w:rPr>
                      <w:color w:val="58595B"/>
                      <w:spacing w:val="-5"/>
                    </w:rPr>
                    <w:t>(CO2-</w:t>
                  </w:r>
                  <w:r>
                    <w:rPr>
                      <w:color w:val="58595B"/>
                      <w:spacing w:val="-5"/>
                      <w:position w:val="-2"/>
                      <w:sz w:val="18"/>
                    </w:rPr>
                    <w:t>e</w:t>
                  </w:r>
                  <w:r>
                    <w:rPr>
                      <w:color w:val="58595B"/>
                      <w:spacing w:val="-5"/>
                    </w:rPr>
                    <w:t>) </w:t>
                  </w:r>
                  <w:r>
                    <w:rPr>
                      <w:color w:val="58595B"/>
                    </w:rPr>
                    <w:t>per </w:t>
                  </w:r>
                  <w:r>
                    <w:rPr>
                      <w:color w:val="58595B"/>
                      <w:spacing w:val="-3"/>
                    </w:rPr>
                    <w:t>year </w:t>
                  </w:r>
                  <w:r>
                    <w:rPr>
                      <w:color w:val="58595B"/>
                    </w:rPr>
                    <w:t>in </w:t>
                  </w:r>
                  <w:r>
                    <w:rPr>
                      <w:color w:val="58595B"/>
                      <w:spacing w:val="-3"/>
                    </w:rPr>
                    <w:t>energy and/or </w:t>
                  </w:r>
                  <w:r>
                    <w:rPr>
                      <w:color w:val="58595B"/>
                    </w:rPr>
                    <w:t>non-energy </w:t>
                  </w:r>
                  <w:r>
                    <w:rPr>
                      <w:color w:val="58595B"/>
                      <w:spacing w:val="-3"/>
                    </w:rPr>
                    <w:t>related greenhouse gas emissions must undertake </w:t>
                  </w:r>
                  <w:r>
                    <w:rPr>
                      <w:color w:val="58595B"/>
                    </w:rPr>
                    <w:t>a more </w:t>
                  </w:r>
                  <w:r>
                    <w:rPr>
                      <w:color w:val="58595B"/>
                      <w:spacing w:val="-3"/>
                    </w:rPr>
                    <w:t>detailed assessment </w:t>
                  </w:r>
                  <w:r>
                    <w:rPr>
                      <w:color w:val="58595B"/>
                    </w:rPr>
                    <w:t>of</w:t>
                  </w:r>
                  <w:r>
                    <w:rPr>
                      <w:color w:val="58595B"/>
                      <w:spacing w:val="-8"/>
                    </w:rPr>
                    <w:t> </w:t>
                  </w:r>
                  <w:r>
                    <w:rPr>
                      <w:color w:val="58595B"/>
                      <w:spacing w:val="-3"/>
                    </w:rPr>
                    <w:t>best</w:t>
                  </w:r>
                  <w:r>
                    <w:rPr>
                      <w:color w:val="58595B"/>
                      <w:spacing w:val="-8"/>
                    </w:rPr>
                    <w:t> </w:t>
                  </w:r>
                  <w:r>
                    <w:rPr>
                      <w:color w:val="58595B"/>
                    </w:rPr>
                    <w:t>practice</w:t>
                  </w:r>
                  <w:r>
                    <w:rPr>
                      <w:color w:val="58595B"/>
                      <w:spacing w:val="-8"/>
                    </w:rPr>
                    <w:t> </w:t>
                  </w:r>
                  <w:r>
                    <w:rPr>
                      <w:color w:val="58595B"/>
                      <w:spacing w:val="-3"/>
                    </w:rPr>
                    <w:t>options</w:t>
                  </w:r>
                  <w:r>
                    <w:rPr>
                      <w:color w:val="58595B"/>
                      <w:spacing w:val="-8"/>
                    </w:rPr>
                    <w:t> </w:t>
                  </w:r>
                  <w:r>
                    <w:rPr>
                      <w:color w:val="58595B"/>
                    </w:rPr>
                    <w:t>than</w:t>
                  </w:r>
                  <w:r>
                    <w:rPr>
                      <w:color w:val="58595B"/>
                      <w:spacing w:val="-8"/>
                    </w:rPr>
                    <w:t> </w:t>
                  </w:r>
                  <w:r>
                    <w:rPr>
                      <w:color w:val="58595B"/>
                      <w:spacing w:val="-3"/>
                    </w:rPr>
                    <w:t>applicants</w:t>
                  </w:r>
                  <w:r>
                    <w:rPr>
                      <w:color w:val="58595B"/>
                      <w:spacing w:val="-8"/>
                    </w:rPr>
                    <w:t> </w:t>
                  </w:r>
                  <w:r>
                    <w:rPr>
                      <w:color w:val="58595B"/>
                    </w:rPr>
                    <w:t>whose</w:t>
                  </w:r>
                  <w:r>
                    <w:rPr>
                      <w:color w:val="58595B"/>
                      <w:spacing w:val="-8"/>
                    </w:rPr>
                    <w:t> </w:t>
                  </w:r>
                  <w:r>
                    <w:rPr>
                      <w:color w:val="58595B"/>
                      <w:spacing w:val="-3"/>
                    </w:rPr>
                    <w:t>proposed</w:t>
                  </w:r>
                  <w:r>
                    <w:rPr>
                      <w:color w:val="58595B"/>
                      <w:spacing w:val="-8"/>
                    </w:rPr>
                    <w:t> </w:t>
                  </w:r>
                  <w:r>
                    <w:rPr>
                      <w:color w:val="58595B"/>
                      <w:spacing w:val="-3"/>
                    </w:rPr>
                    <w:t>works</w:t>
                  </w:r>
                  <w:r>
                    <w:rPr>
                      <w:color w:val="58595B"/>
                      <w:spacing w:val="-8"/>
                    </w:rPr>
                    <w:t> </w:t>
                  </w:r>
                  <w:r>
                    <w:rPr>
                      <w:color w:val="58595B"/>
                      <w:spacing w:val="-3"/>
                    </w:rPr>
                    <w:t>fall</w:t>
                  </w:r>
                  <w:r>
                    <w:rPr>
                      <w:color w:val="58595B"/>
                      <w:spacing w:val="-8"/>
                    </w:rPr>
                    <w:t> </w:t>
                  </w:r>
                  <w:r>
                    <w:rPr>
                      <w:color w:val="58595B"/>
                      <w:spacing w:val="-3"/>
                    </w:rPr>
                    <w:t>below</w:t>
                  </w:r>
                  <w:r>
                    <w:rPr>
                      <w:color w:val="58595B"/>
                      <w:spacing w:val="-8"/>
                    </w:rPr>
                    <w:t> </w:t>
                  </w:r>
                  <w:r>
                    <w:rPr>
                      <w:color w:val="58595B"/>
                    </w:rPr>
                    <w:t>these</w:t>
                  </w:r>
                  <w:r>
                    <w:rPr>
                      <w:color w:val="58595B"/>
                      <w:spacing w:val="-8"/>
                    </w:rPr>
                    <w:t> </w:t>
                  </w:r>
                  <w:r>
                    <w:rPr>
                      <w:color w:val="58595B"/>
                      <w:spacing w:val="-3"/>
                    </w:rPr>
                    <w:t>thresholds.</w:t>
                  </w:r>
                </w:p>
              </w:txbxContent>
            </v:textbox>
            <w10:wrap type="none"/>
          </v:shape>
        </w:pict>
      </w:r>
      <w:r>
        <w:rPr/>
        <w:pict>
          <v:shape style="position:absolute;margin-left:69.866203pt;margin-top:253.645874pt;width:429.3pt;height:66pt;mso-position-horizontal-relative:page;mso-position-vertical-relative:page;z-index:-177880" type="#_x0000_t202" filled="false" stroked="false">
            <v:textbox inset="0,0,0,0">
              <w:txbxContent>
                <w:p>
                  <w:pPr>
                    <w:pStyle w:val="BodyText"/>
                    <w:spacing w:line="280" w:lineRule="auto"/>
                    <w:ind w:right="17"/>
                  </w:pPr>
                  <w:r>
                    <w:rPr>
                      <w:color w:val="58595B"/>
                    </w:rPr>
                    <w:t>The concept of best practice has proven problematic, as reflected in the Victorian Civil and Administrative Tribunal’s (VCAT) hearing of the Dual Gas case (box 8.2). Best practice is qualitative rather than quantitative, and so does not provide clear direction for the EPA regarding the requirements it must place on new sources of greenhouse gas emissions that are subject to works approval and licensing.</w:t>
                  </w:r>
                </w:p>
              </w:txbxContent>
            </v:textbox>
            <w10:wrap type="none"/>
          </v:shape>
        </w:pict>
      </w:r>
      <w:r>
        <w:rPr/>
        <w:pict>
          <v:shape style="position:absolute;margin-left:70.865997pt;margin-top:325.257019pt;width:432.7pt;height:460.5pt;mso-position-horizontal-relative:page;mso-position-vertical-relative:page;z-index:-177856" type="#_x0000_t202" filled="false" stroked="false">
            <v:textbox inset="0,0,0,0">
              <w:txbxContent>
                <w:p>
                  <w:pPr>
                    <w:spacing w:before="128"/>
                    <w:ind w:left="170" w:right="277" w:firstLine="0"/>
                    <w:jc w:val="left"/>
                    <w:rPr>
                      <w:sz w:val="20"/>
                    </w:rPr>
                  </w:pPr>
                  <w:r>
                    <w:rPr>
                      <w:b/>
                      <w:color w:val="0095A7"/>
                      <w:sz w:val="20"/>
                    </w:rPr>
                    <w:t>BOX 8.2 </w:t>
                  </w:r>
                  <w:r>
                    <w:rPr>
                      <w:color w:val="0095A7"/>
                      <w:sz w:val="20"/>
                    </w:rPr>
                    <w:t>VCAT – THE DUAL GAS CASE</w:t>
                  </w:r>
                </w:p>
                <w:p>
                  <w:pPr>
                    <w:pStyle w:val="BodyText"/>
                    <w:spacing w:line="280" w:lineRule="auto" w:before="153"/>
                    <w:ind w:left="170" w:right="304"/>
                  </w:pPr>
                  <w:r>
                    <w:rPr>
                      <w:color w:val="58595B"/>
                    </w:rPr>
                    <w:t>In </w:t>
                  </w:r>
                  <w:r>
                    <w:rPr>
                      <w:color w:val="58595B"/>
                      <w:spacing w:val="-3"/>
                    </w:rPr>
                    <w:t>2012, </w:t>
                  </w:r>
                  <w:r>
                    <w:rPr>
                      <w:color w:val="58595B"/>
                      <w:spacing w:val="-5"/>
                    </w:rPr>
                    <w:t>VCAT </w:t>
                  </w:r>
                  <w:r>
                    <w:rPr>
                      <w:color w:val="58595B"/>
                    </w:rPr>
                    <w:t>conducted a case regarding the </w:t>
                  </w:r>
                  <w:r>
                    <w:rPr>
                      <w:color w:val="58595B"/>
                      <w:spacing w:val="-7"/>
                    </w:rPr>
                    <w:t>EPA’s </w:t>
                  </w:r>
                  <w:r>
                    <w:rPr>
                      <w:color w:val="58595B"/>
                    </w:rPr>
                    <w:t>works approval for Dual Gas </w:t>
                  </w:r>
                  <w:r>
                    <w:rPr>
                      <w:color w:val="58595B"/>
                      <w:spacing w:val="2"/>
                    </w:rPr>
                    <w:t>Pty </w:t>
                  </w:r>
                  <w:r>
                    <w:rPr>
                      <w:color w:val="58595B"/>
                      <w:spacing w:val="-3"/>
                    </w:rPr>
                    <w:t>Ltd’s </w:t>
                  </w:r>
                  <w:r>
                    <w:rPr>
                      <w:color w:val="58595B"/>
                    </w:rPr>
                    <w:t>plans to develop a </w:t>
                  </w:r>
                  <w:r>
                    <w:rPr>
                      <w:color w:val="58595B"/>
                      <w:spacing w:val="2"/>
                    </w:rPr>
                    <w:t>600 </w:t>
                  </w:r>
                  <w:r>
                    <w:rPr>
                      <w:color w:val="58595B"/>
                    </w:rPr>
                    <w:t>megawatt power station in the Latrobe </w:t>
                  </w:r>
                  <w:r>
                    <w:rPr>
                      <w:color w:val="58595B"/>
                      <w:spacing w:val="-4"/>
                    </w:rPr>
                    <w:t>Valley. </w:t>
                  </w:r>
                  <w:r>
                    <w:rPr>
                      <w:color w:val="58595B"/>
                    </w:rPr>
                    <w:t>The power station  was to use a mix of natural gas and gasified brown coal. The emissions intensity of the plant would be 39 per cent less than the average emissions intensity of existing brown coal power stations in the </w:t>
                  </w:r>
                  <w:r>
                    <w:rPr>
                      <w:color w:val="58595B"/>
                      <w:spacing w:val="-4"/>
                    </w:rPr>
                    <w:t>Valley, </w:t>
                  </w:r>
                  <w:r>
                    <w:rPr>
                      <w:color w:val="58595B"/>
                    </w:rPr>
                    <w:t>but still substantially higher than, for example, a combined cycle gas power station or renewable electricity. The </w:t>
                  </w:r>
                  <w:r>
                    <w:rPr>
                      <w:color w:val="58595B"/>
                      <w:spacing w:val="-4"/>
                    </w:rPr>
                    <w:t>EPA </w:t>
                  </w:r>
                  <w:r>
                    <w:rPr>
                      <w:color w:val="58595B"/>
                    </w:rPr>
                    <w:t>granted a works approval permitting the power station to be built, but with a capacity of </w:t>
                  </w:r>
                  <w:r>
                    <w:rPr>
                      <w:color w:val="58595B"/>
                      <w:spacing w:val="2"/>
                    </w:rPr>
                    <w:t>300</w:t>
                  </w:r>
                  <w:r>
                    <w:rPr>
                      <w:color w:val="58595B"/>
                      <w:spacing w:val="8"/>
                    </w:rPr>
                    <w:t> </w:t>
                  </w:r>
                  <w:r>
                    <w:rPr>
                      <w:color w:val="58595B"/>
                    </w:rPr>
                    <w:t>megawatts.</w:t>
                  </w:r>
                </w:p>
                <w:p>
                  <w:pPr>
                    <w:pStyle w:val="BodyText"/>
                    <w:spacing w:line="280" w:lineRule="auto" w:before="172"/>
                    <w:ind w:left="170" w:right="466"/>
                  </w:pPr>
                  <w:r>
                    <w:rPr>
                      <w:color w:val="58595B"/>
                    </w:rPr>
                    <w:t>Four objectors, including Environment Victoria, sought a review of this decision by </w:t>
                  </w:r>
                  <w:r>
                    <w:rPr>
                      <w:color w:val="58595B"/>
                      <w:spacing w:val="-5"/>
                    </w:rPr>
                    <w:t>VCAT  </w:t>
                  </w:r>
                  <w:r>
                    <w:rPr>
                      <w:color w:val="58595B"/>
                    </w:rPr>
                    <w:t>on the grounds that the power station project would be inconsistent with the SEPP</w:t>
                  </w:r>
                  <w:r>
                    <w:rPr>
                      <w:color w:val="58595B"/>
                      <w:spacing w:val="-6"/>
                    </w:rPr>
                    <w:t> </w:t>
                  </w:r>
                  <w:r>
                    <w:rPr>
                      <w:color w:val="58595B"/>
                    </w:rPr>
                    <w:t>(AQM).</w:t>
                  </w:r>
                </w:p>
                <w:p>
                  <w:pPr>
                    <w:pStyle w:val="BodyText"/>
                    <w:spacing w:line="280" w:lineRule="auto" w:before="2"/>
                    <w:ind w:left="170" w:right="189"/>
                  </w:pPr>
                  <w:r>
                    <w:rPr>
                      <w:color w:val="58595B"/>
                    </w:rPr>
                    <w:t>Dual Gas objected, seeking a restoration of the full capacity. VCAT found that the Dual Gas project complied with SEPP (AQM) requirements, noting that the project met the requirement for ‘best practice’ having regard to the definition of best practice in the SEPP (AQM) and comparable industry activity. VCAT noted that ‘best practice’ does not require a comparison with all other types of electricity generation.</w:t>
                  </w:r>
                </w:p>
                <w:p>
                  <w:pPr>
                    <w:pStyle w:val="BodyText"/>
                    <w:spacing w:line="280" w:lineRule="auto" w:before="172"/>
                    <w:ind w:left="170" w:right="189"/>
                    <w:rPr>
                      <w:sz w:val="11"/>
                    </w:rPr>
                  </w:pPr>
                  <w:r>
                    <w:rPr>
                      <w:color w:val="58595B"/>
                      <w:spacing w:val="-7"/>
                    </w:rPr>
                    <w:t>VCAT </w:t>
                  </w:r>
                  <w:r>
                    <w:rPr>
                      <w:color w:val="58595B"/>
                    </w:rPr>
                    <w:t>determined that the Dual Gas project could proceed at a capacity of 600 megawatts subject</w:t>
                  </w:r>
                  <w:r>
                    <w:rPr>
                      <w:color w:val="58595B"/>
                      <w:spacing w:val="-12"/>
                    </w:rPr>
                    <w:t> </w:t>
                  </w:r>
                  <w:r>
                    <w:rPr>
                      <w:color w:val="58595B"/>
                    </w:rPr>
                    <w:t>to</w:t>
                  </w:r>
                  <w:r>
                    <w:rPr>
                      <w:color w:val="58595B"/>
                      <w:spacing w:val="-12"/>
                    </w:rPr>
                    <w:t> </w:t>
                  </w:r>
                  <w:r>
                    <w:rPr>
                      <w:color w:val="58595B"/>
                    </w:rPr>
                    <w:t>conditions,</w:t>
                  </w:r>
                  <w:r>
                    <w:rPr>
                      <w:color w:val="58595B"/>
                      <w:spacing w:val="-12"/>
                    </w:rPr>
                    <w:t> </w:t>
                  </w:r>
                  <w:r>
                    <w:rPr>
                      <w:color w:val="58595B"/>
                    </w:rPr>
                    <w:t>including</w:t>
                  </w:r>
                  <w:r>
                    <w:rPr>
                      <w:color w:val="58595B"/>
                      <w:spacing w:val="-12"/>
                    </w:rPr>
                    <w:t> </w:t>
                  </w:r>
                  <w:r>
                    <w:rPr>
                      <w:color w:val="58595B"/>
                    </w:rPr>
                    <w:t>a</w:t>
                  </w:r>
                  <w:r>
                    <w:rPr>
                      <w:color w:val="58595B"/>
                      <w:spacing w:val="-12"/>
                    </w:rPr>
                    <w:t> </w:t>
                  </w:r>
                  <w:r>
                    <w:rPr>
                      <w:color w:val="58595B"/>
                    </w:rPr>
                    <w:t>condition</w:t>
                  </w:r>
                  <w:r>
                    <w:rPr>
                      <w:color w:val="58595B"/>
                      <w:spacing w:val="-12"/>
                    </w:rPr>
                    <w:t> </w:t>
                  </w:r>
                  <w:r>
                    <w:rPr>
                      <w:color w:val="58595B"/>
                    </w:rPr>
                    <w:t>that</w:t>
                  </w:r>
                  <w:r>
                    <w:rPr>
                      <w:color w:val="58595B"/>
                      <w:spacing w:val="-12"/>
                    </w:rPr>
                    <w:t> </w:t>
                  </w:r>
                  <w:r>
                    <w:rPr>
                      <w:color w:val="58595B"/>
                    </w:rPr>
                    <w:t>‘effectively</w:t>
                  </w:r>
                  <w:r>
                    <w:rPr>
                      <w:color w:val="58595B"/>
                      <w:spacing w:val="-12"/>
                    </w:rPr>
                    <w:t> </w:t>
                  </w:r>
                  <w:r>
                    <w:rPr>
                      <w:color w:val="58595B"/>
                      <w:spacing w:val="-3"/>
                    </w:rPr>
                    <w:t>prevents</w:t>
                  </w:r>
                  <w:r>
                    <w:rPr>
                      <w:color w:val="58595B"/>
                      <w:spacing w:val="-12"/>
                    </w:rPr>
                    <w:t> </w:t>
                  </w:r>
                  <w:r>
                    <w:rPr>
                      <w:color w:val="58595B"/>
                    </w:rPr>
                    <w:t>the</w:t>
                  </w:r>
                  <w:r>
                    <w:rPr>
                      <w:color w:val="58595B"/>
                      <w:spacing w:val="-12"/>
                    </w:rPr>
                    <w:t> </w:t>
                  </w:r>
                  <w:r>
                    <w:rPr>
                      <w:color w:val="58595B"/>
                    </w:rPr>
                    <w:t>[Dual</w:t>
                  </w:r>
                  <w:r>
                    <w:rPr>
                      <w:color w:val="58595B"/>
                      <w:spacing w:val="-12"/>
                    </w:rPr>
                    <w:t> </w:t>
                  </w:r>
                  <w:r>
                    <w:rPr>
                      <w:color w:val="58595B"/>
                    </w:rPr>
                    <w:t>Gas</w:t>
                  </w:r>
                  <w:r>
                    <w:rPr>
                      <w:color w:val="58595B"/>
                      <w:spacing w:val="-12"/>
                    </w:rPr>
                    <w:t> </w:t>
                  </w:r>
                  <w:r>
                    <w:rPr>
                      <w:color w:val="58595B"/>
                    </w:rPr>
                    <w:t>project]</w:t>
                  </w:r>
                  <w:r>
                    <w:rPr>
                      <w:color w:val="58595B"/>
                      <w:spacing w:val="-12"/>
                    </w:rPr>
                    <w:t> </w:t>
                  </w:r>
                  <w:r>
                    <w:rPr>
                      <w:color w:val="58595B"/>
                    </w:rPr>
                    <w:t>from commencing</w:t>
                  </w:r>
                  <w:r>
                    <w:rPr>
                      <w:color w:val="58595B"/>
                      <w:spacing w:val="-10"/>
                    </w:rPr>
                    <w:t> </w:t>
                  </w:r>
                  <w:r>
                    <w:rPr>
                      <w:color w:val="58595B"/>
                    </w:rPr>
                    <w:t>until</w:t>
                  </w:r>
                  <w:r>
                    <w:rPr>
                      <w:color w:val="58595B"/>
                      <w:spacing w:val="-10"/>
                    </w:rPr>
                    <w:t> </w:t>
                  </w:r>
                  <w:r>
                    <w:rPr>
                      <w:color w:val="58595B"/>
                    </w:rPr>
                    <w:t>the</w:t>
                  </w:r>
                  <w:r>
                    <w:rPr>
                      <w:color w:val="58595B"/>
                      <w:spacing w:val="-10"/>
                    </w:rPr>
                    <w:t> </w:t>
                  </w:r>
                  <w:r>
                    <w:rPr>
                      <w:color w:val="58595B"/>
                      <w:spacing w:val="-3"/>
                    </w:rPr>
                    <w:t>retirement</w:t>
                  </w:r>
                  <w:r>
                    <w:rPr>
                      <w:color w:val="58595B"/>
                      <w:spacing w:val="-10"/>
                    </w:rPr>
                    <w:t> </w:t>
                  </w:r>
                  <w:r>
                    <w:rPr>
                      <w:color w:val="58595B"/>
                    </w:rPr>
                    <w:t>of</w:t>
                  </w:r>
                  <w:r>
                    <w:rPr>
                      <w:color w:val="58595B"/>
                      <w:spacing w:val="-10"/>
                    </w:rPr>
                    <w:t> </w:t>
                  </w:r>
                  <w:r>
                    <w:rPr>
                      <w:color w:val="58595B"/>
                    </w:rPr>
                    <w:t>an</w:t>
                  </w:r>
                  <w:r>
                    <w:rPr>
                      <w:color w:val="58595B"/>
                      <w:spacing w:val="-10"/>
                    </w:rPr>
                    <w:t> </w:t>
                  </w:r>
                  <w:r>
                    <w:rPr>
                      <w:color w:val="58595B"/>
                      <w:spacing w:val="-3"/>
                    </w:rPr>
                    <w:t>equivalent</w:t>
                  </w:r>
                  <w:r>
                    <w:rPr>
                      <w:color w:val="58595B"/>
                      <w:spacing w:val="-10"/>
                    </w:rPr>
                    <w:t> </w:t>
                  </w:r>
                  <w:r>
                    <w:rPr>
                      <w:color w:val="58595B"/>
                      <w:spacing w:val="-2"/>
                    </w:rPr>
                    <w:t>amount</w:t>
                  </w:r>
                  <w:r>
                    <w:rPr>
                      <w:color w:val="58595B"/>
                      <w:spacing w:val="-10"/>
                    </w:rPr>
                    <w:t> </w:t>
                  </w:r>
                  <w:r>
                    <w:rPr>
                      <w:color w:val="58595B"/>
                    </w:rPr>
                    <w:t>of</w:t>
                  </w:r>
                  <w:r>
                    <w:rPr>
                      <w:color w:val="58595B"/>
                      <w:spacing w:val="-10"/>
                    </w:rPr>
                    <w:t> </w:t>
                  </w:r>
                  <w:r>
                    <w:rPr>
                      <w:color w:val="58595B"/>
                    </w:rPr>
                    <w:t>higher</w:t>
                  </w:r>
                  <w:r>
                    <w:rPr>
                      <w:color w:val="58595B"/>
                      <w:spacing w:val="-10"/>
                    </w:rPr>
                    <w:t> </w:t>
                  </w:r>
                  <w:r>
                    <w:rPr>
                      <w:color w:val="58595B"/>
                    </w:rPr>
                    <w:t>[greenhouse</w:t>
                  </w:r>
                  <w:r>
                    <w:rPr>
                      <w:color w:val="58595B"/>
                      <w:spacing w:val="-10"/>
                    </w:rPr>
                    <w:t> </w:t>
                  </w:r>
                  <w:r>
                    <w:rPr>
                      <w:color w:val="58595B"/>
                    </w:rPr>
                    <w:t>gas</w:t>
                  </w:r>
                  <w:r>
                    <w:rPr>
                      <w:color w:val="58595B"/>
                      <w:spacing w:val="-10"/>
                    </w:rPr>
                    <w:t> </w:t>
                  </w:r>
                  <w:r>
                    <w:rPr>
                      <w:color w:val="58595B"/>
                    </w:rPr>
                    <w:t>emissions </w:t>
                  </w:r>
                  <w:r>
                    <w:rPr>
                      <w:color w:val="58595B"/>
                      <w:spacing w:val="-3"/>
                    </w:rPr>
                    <w:t>intensity] </w:t>
                  </w:r>
                  <w:r>
                    <w:rPr>
                      <w:color w:val="58595B"/>
                    </w:rPr>
                    <w:t>generation capacity in Victoria is </w:t>
                  </w:r>
                  <w:r>
                    <w:rPr>
                      <w:color w:val="58595B"/>
                      <w:spacing w:val="-3"/>
                    </w:rPr>
                    <w:t>secured’. </w:t>
                  </w:r>
                  <w:r>
                    <w:rPr>
                      <w:color w:val="58595B"/>
                      <w:spacing w:val="-7"/>
                    </w:rPr>
                    <w:t>VCAT </w:t>
                  </w:r>
                  <w:r>
                    <w:rPr>
                      <w:color w:val="58595B"/>
                    </w:rPr>
                    <w:t>noted </w:t>
                  </w:r>
                  <w:r>
                    <w:rPr>
                      <w:color w:val="58595B"/>
                      <w:spacing w:val="-3"/>
                    </w:rPr>
                    <w:t>‘Although </w:t>
                  </w:r>
                  <w:r>
                    <w:rPr>
                      <w:color w:val="58595B"/>
                    </w:rPr>
                    <w:t>such a condition </w:t>
                  </w:r>
                  <w:r>
                    <w:rPr>
                      <w:color w:val="58595B"/>
                      <w:spacing w:val="-3"/>
                    </w:rPr>
                    <w:t>was</w:t>
                  </w:r>
                  <w:r>
                    <w:rPr>
                      <w:color w:val="58595B"/>
                      <w:spacing w:val="-10"/>
                    </w:rPr>
                    <w:t> </w:t>
                  </w:r>
                  <w:r>
                    <w:rPr>
                      <w:color w:val="58595B"/>
                    </w:rPr>
                    <w:t>opposed</w:t>
                  </w:r>
                  <w:r>
                    <w:rPr>
                      <w:color w:val="58595B"/>
                      <w:spacing w:val="-10"/>
                    </w:rPr>
                    <w:t> </w:t>
                  </w:r>
                  <w:r>
                    <w:rPr>
                      <w:color w:val="58595B"/>
                      <w:spacing w:val="-3"/>
                    </w:rPr>
                    <w:t>by</w:t>
                  </w:r>
                  <w:r>
                    <w:rPr>
                      <w:color w:val="58595B"/>
                      <w:spacing w:val="-10"/>
                    </w:rPr>
                    <w:t> </w:t>
                  </w:r>
                  <w:r>
                    <w:rPr>
                      <w:color w:val="58595B"/>
                    </w:rPr>
                    <w:t>Dual</w:t>
                  </w:r>
                  <w:r>
                    <w:rPr>
                      <w:color w:val="58595B"/>
                      <w:spacing w:val="-10"/>
                    </w:rPr>
                    <w:t> </w:t>
                  </w:r>
                  <w:r>
                    <w:rPr>
                      <w:color w:val="58595B"/>
                    </w:rPr>
                    <w:t>Gas,</w:t>
                  </w:r>
                  <w:r>
                    <w:rPr>
                      <w:color w:val="58595B"/>
                      <w:spacing w:val="-10"/>
                    </w:rPr>
                    <w:t> </w:t>
                  </w:r>
                  <w:r>
                    <w:rPr>
                      <w:color w:val="58595B"/>
                    </w:rPr>
                    <w:t>through</w:t>
                  </w:r>
                  <w:r>
                    <w:rPr>
                      <w:color w:val="58595B"/>
                      <w:spacing w:val="-10"/>
                    </w:rPr>
                    <w:t> </w:t>
                  </w:r>
                  <w:r>
                    <w:rPr>
                      <w:color w:val="58595B"/>
                    </w:rPr>
                    <w:t>the</w:t>
                  </w:r>
                  <w:r>
                    <w:rPr>
                      <w:color w:val="58595B"/>
                      <w:spacing w:val="-10"/>
                    </w:rPr>
                    <w:t> </w:t>
                  </w:r>
                  <w:r>
                    <w:rPr>
                      <w:color w:val="58595B"/>
                    </w:rPr>
                    <w:t>condition</w:t>
                  </w:r>
                  <w:r>
                    <w:rPr>
                      <w:color w:val="58595B"/>
                      <w:spacing w:val="-10"/>
                    </w:rPr>
                    <w:t> </w:t>
                  </w:r>
                  <w:r>
                    <w:rPr>
                      <w:color w:val="58595B"/>
                    </w:rPr>
                    <w:t>the</w:t>
                  </w:r>
                  <w:r>
                    <w:rPr>
                      <w:color w:val="58595B"/>
                      <w:spacing w:val="-10"/>
                    </w:rPr>
                    <w:t> </w:t>
                  </w:r>
                  <w:r>
                    <w:rPr>
                      <w:color w:val="58595B"/>
                    </w:rPr>
                    <w:t>[Dual</w:t>
                  </w:r>
                  <w:r>
                    <w:rPr>
                      <w:color w:val="58595B"/>
                      <w:spacing w:val="-10"/>
                    </w:rPr>
                    <w:t> </w:t>
                  </w:r>
                  <w:r>
                    <w:rPr>
                      <w:color w:val="58595B"/>
                    </w:rPr>
                    <w:t>Gas</w:t>
                  </w:r>
                  <w:r>
                    <w:rPr>
                      <w:color w:val="58595B"/>
                      <w:spacing w:val="-10"/>
                    </w:rPr>
                    <w:t> </w:t>
                  </w:r>
                  <w:r>
                    <w:rPr>
                      <w:color w:val="58595B"/>
                    </w:rPr>
                    <w:t>project]</w:t>
                  </w:r>
                  <w:r>
                    <w:rPr>
                      <w:color w:val="58595B"/>
                      <w:spacing w:val="-10"/>
                    </w:rPr>
                    <w:t> </w:t>
                  </w:r>
                  <w:r>
                    <w:rPr>
                      <w:color w:val="58595B"/>
                    </w:rPr>
                    <w:t>will</w:t>
                  </w:r>
                  <w:r>
                    <w:rPr>
                      <w:color w:val="58595B"/>
                      <w:spacing w:val="-10"/>
                    </w:rPr>
                    <w:t> </w:t>
                  </w:r>
                  <w:r>
                    <w:rPr>
                      <w:color w:val="58595B"/>
                    </w:rPr>
                    <w:t>more</w:t>
                  </w:r>
                  <w:r>
                    <w:rPr>
                      <w:color w:val="58595B"/>
                      <w:spacing w:val="-10"/>
                    </w:rPr>
                    <w:t> </w:t>
                  </w:r>
                  <w:r>
                    <w:rPr>
                      <w:color w:val="58595B"/>
                      <w:spacing w:val="-2"/>
                    </w:rPr>
                    <w:t>demonstrably </w:t>
                  </w:r>
                  <w:r>
                    <w:rPr>
                      <w:color w:val="58595B"/>
                    </w:rPr>
                    <w:t>lead to a nett reduction in </w:t>
                  </w:r>
                  <w:r>
                    <w:rPr>
                      <w:color w:val="58595B"/>
                      <w:spacing w:val="-3"/>
                    </w:rPr>
                    <w:t>overall </w:t>
                  </w:r>
                  <w:r>
                    <w:rPr>
                      <w:color w:val="58595B"/>
                    </w:rPr>
                    <w:t>[greenhouse </w:t>
                  </w:r>
                  <w:r>
                    <w:rPr>
                      <w:color w:val="58595B"/>
                      <w:spacing w:val="-3"/>
                    </w:rPr>
                    <w:t>gas] </w:t>
                  </w:r>
                  <w:r>
                    <w:rPr>
                      <w:color w:val="58595B"/>
                    </w:rPr>
                    <w:t>emissions from electricity generation in Victoria,</w:t>
                  </w:r>
                  <w:r>
                    <w:rPr>
                      <w:color w:val="58595B"/>
                      <w:spacing w:val="-12"/>
                    </w:rPr>
                    <w:t> </w:t>
                  </w:r>
                  <w:r>
                    <w:rPr>
                      <w:color w:val="58595B"/>
                    </w:rPr>
                    <w:t>and</w:t>
                  </w:r>
                  <w:r>
                    <w:rPr>
                      <w:color w:val="58595B"/>
                      <w:spacing w:val="-12"/>
                    </w:rPr>
                    <w:t> </w:t>
                  </w:r>
                  <w:r>
                    <w:rPr>
                      <w:color w:val="58595B"/>
                    </w:rPr>
                    <w:t>more</w:t>
                  </w:r>
                  <w:r>
                    <w:rPr>
                      <w:color w:val="58595B"/>
                      <w:spacing w:val="-12"/>
                    </w:rPr>
                    <w:t> </w:t>
                  </w:r>
                  <w:r>
                    <w:rPr>
                      <w:color w:val="58595B"/>
                    </w:rPr>
                    <w:t>clearly</w:t>
                  </w:r>
                  <w:r>
                    <w:rPr>
                      <w:color w:val="58595B"/>
                      <w:spacing w:val="-12"/>
                    </w:rPr>
                    <w:t> </w:t>
                  </w:r>
                  <w:r>
                    <w:rPr>
                      <w:color w:val="58595B"/>
                    </w:rPr>
                    <w:t>facilitate</w:t>
                  </w:r>
                  <w:r>
                    <w:rPr>
                      <w:color w:val="58595B"/>
                      <w:spacing w:val="-12"/>
                    </w:rPr>
                    <w:t> </w:t>
                  </w:r>
                  <w:r>
                    <w:rPr>
                      <w:color w:val="58595B"/>
                    </w:rPr>
                    <w:t>the</w:t>
                  </w:r>
                  <w:r>
                    <w:rPr>
                      <w:color w:val="58595B"/>
                      <w:spacing w:val="-12"/>
                    </w:rPr>
                    <w:t> </w:t>
                  </w:r>
                  <w:r>
                    <w:rPr>
                      <w:color w:val="58595B"/>
                    </w:rPr>
                    <w:t>transition</w:t>
                  </w:r>
                  <w:r>
                    <w:rPr>
                      <w:color w:val="58595B"/>
                      <w:spacing w:val="-12"/>
                    </w:rPr>
                    <w:t> </w:t>
                  </w:r>
                  <w:r>
                    <w:rPr>
                      <w:color w:val="58595B"/>
                    </w:rPr>
                    <w:t>to</w:t>
                  </w:r>
                  <w:r>
                    <w:rPr>
                      <w:color w:val="58595B"/>
                      <w:spacing w:val="-12"/>
                    </w:rPr>
                    <w:t> </w:t>
                  </w:r>
                  <w:r>
                    <w:rPr>
                      <w:color w:val="58595B"/>
                    </w:rPr>
                    <w:t>a</w:t>
                  </w:r>
                  <w:r>
                    <w:rPr>
                      <w:color w:val="58595B"/>
                      <w:spacing w:val="-12"/>
                    </w:rPr>
                    <w:t> </w:t>
                  </w:r>
                  <w:r>
                    <w:rPr>
                      <w:color w:val="58595B"/>
                    </w:rPr>
                    <w:t>lower</w:t>
                  </w:r>
                  <w:r>
                    <w:rPr>
                      <w:color w:val="58595B"/>
                      <w:spacing w:val="-12"/>
                    </w:rPr>
                    <w:t> </w:t>
                  </w:r>
                  <w:r>
                    <w:rPr>
                      <w:color w:val="58595B"/>
                    </w:rPr>
                    <w:t>emissions</w:t>
                  </w:r>
                  <w:r>
                    <w:rPr>
                      <w:color w:val="58595B"/>
                      <w:spacing w:val="-12"/>
                    </w:rPr>
                    <w:t> </w:t>
                  </w:r>
                  <w:r>
                    <w:rPr>
                      <w:color w:val="58595B"/>
                    </w:rPr>
                    <w:t>energy</w:t>
                  </w:r>
                  <w:r>
                    <w:rPr>
                      <w:color w:val="58595B"/>
                      <w:spacing w:val="-12"/>
                    </w:rPr>
                    <w:t> </w:t>
                  </w:r>
                  <w:r>
                    <w:rPr>
                      <w:color w:val="58595B"/>
                      <w:spacing w:val="-5"/>
                    </w:rPr>
                    <w:t>sector’.</w:t>
                  </w:r>
                  <w:r>
                    <w:rPr>
                      <w:color w:val="58595B"/>
                      <w:spacing w:val="-5"/>
                      <w:position w:val="7"/>
                      <w:sz w:val="11"/>
                    </w:rPr>
                    <w:t>12</w:t>
                  </w:r>
                </w:p>
                <w:p>
                  <w:pPr>
                    <w:pStyle w:val="BodyText"/>
                    <w:spacing w:line="280" w:lineRule="auto" w:before="172"/>
                    <w:ind w:left="170" w:right="329"/>
                  </w:pPr>
                  <w:r>
                    <w:rPr>
                      <w:color w:val="58595B"/>
                    </w:rPr>
                    <w:t>Importantly from the perspective of the inquiry, </w:t>
                  </w:r>
                  <w:r>
                    <w:rPr>
                      <w:color w:val="58595B"/>
                      <w:spacing w:val="-5"/>
                    </w:rPr>
                    <w:t>VCAT </w:t>
                  </w:r>
                  <w:r>
                    <w:rPr>
                      <w:color w:val="58595B"/>
                    </w:rPr>
                    <w:t>also noted that the task of considering </w:t>
                  </w:r>
                  <w:r>
                    <w:rPr>
                      <w:color w:val="58595B"/>
                      <w:spacing w:val="-7"/>
                    </w:rPr>
                    <w:t>‘… </w:t>
                  </w:r>
                  <w:r>
                    <w:rPr>
                      <w:color w:val="58595B"/>
                    </w:rPr>
                    <w:t>whether the use of the works proposed for the [Dual Gas project] will be inconsistent  with the SEPP (AQM) or can be made consistent through the imposition of appropriate works approval conditions … is made harder here because the SEPP (AQM) contains some provisions that are qualitative rather than quantitative. Some provisions of the SEPP</w:t>
                  </w:r>
                  <w:r>
                    <w:rPr>
                      <w:color w:val="58595B"/>
                      <w:spacing w:val="-17"/>
                    </w:rPr>
                    <w:t> </w:t>
                  </w:r>
                  <w:r>
                    <w:rPr>
                      <w:color w:val="58595B"/>
                    </w:rPr>
                    <w:t>(AQM)</w:t>
                  </w:r>
                </w:p>
                <w:p>
                  <w:pPr>
                    <w:pStyle w:val="BodyText"/>
                    <w:spacing w:line="280" w:lineRule="auto" w:before="2"/>
                    <w:ind w:left="170" w:right="277"/>
                  </w:pPr>
                  <w:r>
                    <w:rPr>
                      <w:color w:val="58595B"/>
                    </w:rPr>
                    <w:t>adopt or apply broader based environmental objectives and policies, at a time when some of those policies are themselves in a dynamic state of change or political uncertainty’.</w:t>
                  </w:r>
                  <w:r>
                    <w:rPr>
                      <w:color w:val="58595B"/>
                      <w:position w:val="7"/>
                      <w:sz w:val="11"/>
                    </w:rPr>
                    <w:t>13 </w:t>
                  </w:r>
                  <w:r>
                    <w:rPr>
                      <w:color w:val="58595B"/>
                    </w:rPr>
                    <w:t>Indeed, there were changes in policy positions of both the Australian and Victorian governments during the proceedings.</w:t>
                  </w:r>
                </w:p>
              </w:txbxContent>
            </v:textbox>
            <w10:wrap type="none"/>
          </v:shape>
        </w:pict>
      </w:r>
      <w:r>
        <w:rPr/>
        <w:pict>
          <v:shape style="position:absolute;margin-left:.0pt;margin-top:44.090015pt;width:60.3pt;height:5.25pt;mso-position-horizontal-relative:page;mso-position-vertical-relative:page;z-index:-17783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7808"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7784" from="534.996094pt,45.840015pt" to="595.276001pt,45.840015pt" stroked="true" strokeweight="7pt" strokecolor="#0095a7">
            <w10:wrap type="none"/>
          </v:line>
        </w:pict>
      </w:r>
      <w:r>
        <w:rPr/>
        <w:pict>
          <v:shape style="position:absolute;margin-left:230.662994pt;margin-top:40.902756pt;width:294.7pt;height:9.5pt;mso-position-horizontal-relative:page;mso-position-vertical-relative:page;z-index:-177760" type="#_x0000_t202" filled="false" stroked="false">
            <v:textbox inset="0,0,0,0">
              <w:txbxContent>
                <w:p>
                  <w:pPr>
                    <w:tabs>
                      <w:tab w:pos="5625" w:val="left" w:leader="none"/>
                    </w:tabs>
                    <w:spacing w:before="1"/>
                    <w:ind w:left="20" w:right="0" w:firstLine="0"/>
                    <w:jc w:val="left"/>
                    <w:rPr>
                      <w:sz w:val="15"/>
                    </w:rPr>
                  </w:pPr>
                  <w:r>
                    <w:rPr>
                      <w:color w:val="58595B"/>
                      <w:spacing w:val="3"/>
                      <w:sz w:val="15"/>
                    </w:rPr>
                    <w:t>CHAPTER </w:t>
                  </w:r>
                  <w:r>
                    <w:rPr>
                      <w:color w:val="58595B"/>
                      <w:sz w:val="15"/>
                    </w:rPr>
                    <w:t>8    </w:t>
                  </w:r>
                  <w:r>
                    <w:rPr>
                      <w:color w:val="58595B"/>
                      <w:spacing w:val="3"/>
                      <w:sz w:val="15"/>
                    </w:rPr>
                    <w:t>RESPONDING </w:t>
                  </w:r>
                  <w:r>
                    <w:rPr>
                      <w:color w:val="58595B"/>
                      <w:sz w:val="15"/>
                    </w:rPr>
                    <w:t>TO </w:t>
                  </w:r>
                  <w:r>
                    <w:rPr>
                      <w:color w:val="58595B"/>
                      <w:spacing w:val="3"/>
                      <w:sz w:val="15"/>
                    </w:rPr>
                    <w:t>THE CHALLENGE </w:t>
                  </w:r>
                  <w:r>
                    <w:rPr>
                      <w:color w:val="58595B"/>
                      <w:sz w:val="15"/>
                    </w:rPr>
                    <w:t>OF</w:t>
                  </w:r>
                  <w:r>
                    <w:rPr>
                      <w:color w:val="58595B"/>
                      <w:spacing w:val="16"/>
                      <w:sz w:val="15"/>
                    </w:rPr>
                    <w:t> </w:t>
                  </w:r>
                  <w:r>
                    <w:rPr>
                      <w:color w:val="58595B"/>
                      <w:sz w:val="15"/>
                    </w:rPr>
                    <w:t>CLIMATE</w:t>
                  </w:r>
                  <w:r>
                    <w:rPr>
                      <w:color w:val="58595B"/>
                      <w:spacing w:val="5"/>
                      <w:sz w:val="15"/>
                    </w:rPr>
                    <w:t> </w:t>
                  </w:r>
                  <w:r>
                    <w:rPr>
                      <w:color w:val="58595B"/>
                      <w:spacing w:val="3"/>
                      <w:sz w:val="15"/>
                    </w:rPr>
                    <w:t>CHANGE</w:t>
                    <w:tab/>
                  </w:r>
                  <w:r>
                    <w:rPr>
                      <w:color w:val="58595B"/>
                      <w:sz w:val="15"/>
                    </w:rPr>
                    <w:t>159</w:t>
                  </w:r>
                </w:p>
              </w:txbxContent>
            </v:textbox>
            <w10:wrap type="none"/>
          </v:shape>
        </w:pict>
      </w:r>
      <w:r>
        <w:rPr/>
        <w:pict>
          <v:shape style="position:absolute;margin-left:89.708603pt;margin-top:105.893967pt;width:416.85pt;height:52.5pt;mso-position-horizontal-relative:page;mso-position-vertical-relative:page;z-index:-177736" type="#_x0000_t202" filled="false" stroked="false">
            <v:textbox inset="0,0,0,0">
              <w:txbxContent>
                <w:p>
                  <w:pPr>
                    <w:pStyle w:val="BodyText"/>
                    <w:spacing w:line="280" w:lineRule="auto"/>
                    <w:ind w:right="14"/>
                  </w:pPr>
                  <w:r>
                    <w:rPr>
                      <w:color w:val="58595B"/>
                    </w:rPr>
                    <w:t>This issue can be expected to become more prominent as pressure mounts for Victoria to transition to a low carbon economy. The EPA will continue to consider applications for works approval and licences from activities that will contribute to economic growth and employment, but which may also generate significant volumes of greenhouse gas emissions.</w:t>
                  </w:r>
                </w:p>
              </w:txbxContent>
            </v:textbox>
            <w10:wrap type="none"/>
          </v:shape>
        </w:pict>
      </w:r>
      <w:r>
        <w:rPr/>
        <w:pict>
          <v:shape style="position:absolute;margin-left:89.708603pt;margin-top:171.233963pt;width:429.8pt;height:97.25pt;mso-position-horizontal-relative:page;mso-position-vertical-relative:page;z-index:-177712" type="#_x0000_t202" filled="false" stroked="false">
            <v:textbox inset="0,0,0,0">
              <w:txbxContent>
                <w:p>
                  <w:pPr>
                    <w:spacing w:line="224" w:lineRule="exact" w:before="0"/>
                    <w:ind w:left="20" w:right="0" w:firstLine="0"/>
                    <w:jc w:val="left"/>
                    <w:rPr>
                      <w:i/>
                      <w:sz w:val="20"/>
                    </w:rPr>
                  </w:pPr>
                  <w:r>
                    <w:rPr>
                      <w:i/>
                      <w:color w:val="6D6E71"/>
                      <w:sz w:val="20"/>
                    </w:rPr>
                    <w:t>Emissions from existing sources that are subject to Scheduled Premises Regulations</w:t>
                  </w:r>
                </w:p>
                <w:p>
                  <w:pPr>
                    <w:pStyle w:val="BodyText"/>
                    <w:spacing w:line="280" w:lineRule="auto" w:before="125"/>
                    <w:rPr>
                      <w:sz w:val="11"/>
                    </w:rPr>
                  </w:pPr>
                  <w:r>
                    <w:rPr>
                      <w:color w:val="58595B"/>
                    </w:rPr>
                    <w:t>The SEPP (AQM) requires that existing sources pursue continuous improvement and apply best practice in managing emissions, but this requirement has limited practical application for existing operations. As noted above, the requirement is qualitative. Further, many existing business operations cannot improve their environmental performance without replacing equipment or processes. Given these problems, the EPA currently does not require existing licensees to actively seek to reduce their energy use or greenhouse gas emissions.</w:t>
                  </w:r>
                  <w:r>
                    <w:rPr>
                      <w:color w:val="58595B"/>
                      <w:position w:val="7"/>
                      <w:sz w:val="11"/>
                    </w:rPr>
                    <w:t>14</w:t>
                  </w:r>
                </w:p>
              </w:txbxContent>
            </v:textbox>
            <w10:wrap type="none"/>
          </v:shape>
        </w:pict>
      </w:r>
      <w:r>
        <w:rPr/>
        <w:pict>
          <v:shape style="position:absolute;margin-left:89.708603pt;margin-top:278.488373pt;width:429.35pt;height:120pt;mso-position-horizontal-relative:page;mso-position-vertical-relative:page;z-index:-177688" type="#_x0000_t202" filled="false" stroked="false">
            <v:textbox inset="0,0,0,0">
              <w:txbxContent>
                <w:p>
                  <w:pPr>
                    <w:pStyle w:val="BodyText"/>
                    <w:spacing w:line="280" w:lineRule="auto"/>
                    <w:ind w:right="53"/>
                  </w:pPr>
                  <w:r>
                    <w:rPr>
                      <w:color w:val="58595B"/>
                    </w:rPr>
                    <w:t>However, this was not always the case. In the 2000s, the EPA played a significant role in driving energy efficiency improvement through the EREP program and its predecessor, the Industry Greenhouse Program.</w:t>
                  </w:r>
                  <w:r>
                    <w:rPr>
                      <w:color w:val="58595B"/>
                      <w:position w:val="7"/>
                      <w:sz w:val="11"/>
                    </w:rPr>
                    <w:t>15 </w:t>
                  </w:r>
                  <w:r>
                    <w:rPr>
                      <w:color w:val="58595B"/>
                    </w:rPr>
                    <w:t>Victoria’s top 250 users of energy and water were subject to the EREP program – approximately half of these 250 entities were scheduled premises and half were</w:t>
                  </w:r>
                </w:p>
                <w:p>
                  <w:pPr>
                    <w:pStyle w:val="BodyText"/>
                    <w:spacing w:line="280" w:lineRule="auto" w:before="2"/>
                    <w:ind w:right="4"/>
                  </w:pPr>
                  <w:r>
                    <w:rPr>
                      <w:color w:val="58595B"/>
                    </w:rPr>
                    <w:t>not. These 250 entities were required to undertake energy audits and to implement energy efficiency improvements with a payback of up to three years. The government repealed the EREP provisions in the EP Act in 2013 following a Council of Australian Governments review of Commonwealth, state and territory climate change programs to determine their complementarity with the Commonwealth’s carbon pricing regime.</w:t>
                  </w:r>
                </w:p>
              </w:txbxContent>
            </v:textbox>
            <w10:wrap type="none"/>
          </v:shape>
        </w:pict>
      </w:r>
      <w:r>
        <w:rPr/>
        <w:pict>
          <v:shape style="position:absolute;margin-left:89.712196pt;margin-top:411.328369pt;width:415.85pt;height:83.75pt;mso-position-horizontal-relative:page;mso-position-vertical-relative:page;z-index:-177664" type="#_x0000_t202" filled="false" stroked="false">
            <v:textbox inset="0,0,0,0">
              <w:txbxContent>
                <w:p>
                  <w:pPr>
                    <w:spacing w:line="224" w:lineRule="exact" w:before="0"/>
                    <w:ind w:left="20" w:right="0" w:firstLine="0"/>
                    <w:jc w:val="left"/>
                    <w:rPr>
                      <w:i/>
                      <w:sz w:val="20"/>
                    </w:rPr>
                  </w:pPr>
                  <w:r>
                    <w:rPr>
                      <w:i/>
                      <w:color w:val="6D6E71"/>
                      <w:sz w:val="20"/>
                    </w:rPr>
                    <w:t>Emissions from activities that are not scheduled premises</w:t>
                  </w:r>
                </w:p>
                <w:p>
                  <w:pPr>
                    <w:pStyle w:val="BodyText"/>
                    <w:spacing w:line="280" w:lineRule="auto" w:before="125"/>
                    <w:rPr>
                      <w:sz w:val="11"/>
                    </w:rPr>
                  </w:pPr>
                  <w:r>
                    <w:rPr>
                      <w:color w:val="58595B"/>
                    </w:rPr>
                    <w:t>All businesses across all sectors of the economy – and all households – give rise to greenhouse gas emissions. The vast majority of Victoria’s approximately 500,000 businesses are not covered by Scheduled Premises Regulations; nor are any households. Currently, the EPA does not address greenhouse gas emissions from premises and activities that are not scheduled premises.</w:t>
                  </w:r>
                  <w:r>
                    <w:rPr>
                      <w:color w:val="58595B"/>
                      <w:position w:val="7"/>
                      <w:sz w:val="11"/>
                    </w:rPr>
                    <w:t>16</w:t>
                  </w:r>
                </w:p>
              </w:txbxContent>
            </v:textbox>
            <w10:wrap type="none"/>
          </v:shape>
        </w:pict>
      </w:r>
      <w:r>
        <w:rPr/>
        <w:pict>
          <v:shape style="position:absolute;margin-left:89.708603pt;margin-top:509.334869pt;width:429.05pt;height:85.2pt;mso-position-horizontal-relative:page;mso-position-vertical-relative:page;z-index:-177640" type="#_x0000_t202" filled="false" stroked="false">
            <v:textbox inset="0,0,0,0">
              <w:txbxContent>
                <w:p>
                  <w:pPr>
                    <w:pStyle w:val="BodyText"/>
                    <w:spacing w:line="224" w:lineRule="exact"/>
                    <w:ind w:right="17"/>
                  </w:pPr>
                  <w:r>
                    <w:rPr>
                      <w:color w:val="0095A7"/>
                    </w:rPr>
                    <w:t>8.4.2  Providing clear direction for the EPA in its regulation of greenhouse gas emissions</w:t>
                  </w:r>
                </w:p>
                <w:p>
                  <w:pPr>
                    <w:pStyle w:val="BodyText"/>
                    <w:spacing w:line="280" w:lineRule="auto" w:before="153"/>
                    <w:ind w:right="17"/>
                  </w:pPr>
                  <w:r>
                    <w:rPr>
                      <w:color w:val="58595B"/>
                    </w:rPr>
                    <w:t>The discussion above highlights the need for statutory policy settings that provide clear direction for the </w:t>
                  </w:r>
                  <w:r>
                    <w:rPr>
                      <w:color w:val="58595B"/>
                      <w:spacing w:val="-4"/>
                    </w:rPr>
                    <w:t>EPA </w:t>
                  </w:r>
                  <w:r>
                    <w:rPr>
                      <w:color w:val="58595B"/>
                    </w:rPr>
                    <w:t>on its role in regulating greenhouse gas emissions and in framing obligations on duty holders. As pressure grows for deep cuts to be made in Australia’s and Victoria’s emissions consistent with Australia’s commitments under the Paris Agreement, the need for clarity of direction for the </w:t>
                  </w:r>
                  <w:r>
                    <w:rPr>
                      <w:color w:val="58595B"/>
                      <w:spacing w:val="-4"/>
                    </w:rPr>
                    <w:t>EPA </w:t>
                  </w:r>
                  <w:r>
                    <w:rPr>
                      <w:color w:val="58595B"/>
                    </w:rPr>
                    <w:t>will become more</w:t>
                  </w:r>
                  <w:r>
                    <w:rPr>
                      <w:color w:val="58595B"/>
                      <w:spacing w:val="17"/>
                    </w:rPr>
                    <w:t> </w:t>
                  </w:r>
                  <w:r>
                    <w:rPr>
                      <w:color w:val="58595B"/>
                    </w:rPr>
                    <w:t>pressing.</w:t>
                  </w:r>
                </w:p>
              </w:txbxContent>
            </v:textbox>
            <w10:wrap type="none"/>
          </v:shape>
        </w:pict>
      </w:r>
      <w:r>
        <w:rPr/>
        <w:pict>
          <v:shape style="position:absolute;margin-left:89.708603pt;margin-top:604.504883pt;width:429.1pt;height:79.5pt;mso-position-horizontal-relative:page;mso-position-vertical-relative:page;z-index:-177616" type="#_x0000_t202" filled="false" stroked="false">
            <v:textbox inset="0,0,0,0">
              <w:txbxContent>
                <w:p>
                  <w:pPr>
                    <w:pStyle w:val="BodyText"/>
                    <w:spacing w:line="280" w:lineRule="auto"/>
                    <w:ind w:right="15"/>
                  </w:pPr>
                  <w:r>
                    <w:rPr>
                      <w:color w:val="58595B"/>
                    </w:rPr>
                    <w:t>The EPA’s task in the future will be further complicated where projects being assessed for works approval and licensing involve novel technologies or processes, such as potential new uses of brown coal (for example, conversion to liquid fuels, gas, hydrogen and fertilisers). Some of these uses may be proposed at a commercial scale, while others – given the novelty of the technology</w:t>
                  </w:r>
                </w:p>
                <w:p>
                  <w:pPr>
                    <w:pStyle w:val="BodyText"/>
                    <w:spacing w:line="280" w:lineRule="auto" w:before="2"/>
                    <w:ind w:right="15"/>
                  </w:pPr>
                  <w:r>
                    <w:rPr>
                      <w:color w:val="58595B"/>
                    </w:rPr>
                    <w:t>– may be at a research, development and demonstration scale. Clear direction from government regarding the obligations to be required of duty holders will be critical (box 8.3).</w:t>
                  </w:r>
                </w:p>
              </w:txbxContent>
            </v:textbox>
            <w10:wrap type="none"/>
          </v:shape>
        </w:pict>
      </w:r>
      <w:r>
        <w:rPr/>
        <w:pict>
          <v:shape style="position:absolute;margin-left:89.708603pt;margin-top:694.004883pt;width:420.4pt;height:39pt;mso-position-horizontal-relative:page;mso-position-vertical-relative:page;z-index:-177592" type="#_x0000_t202" filled="false" stroked="false">
            <v:textbox inset="0,0,0,0">
              <w:txbxContent>
                <w:p>
                  <w:pPr>
                    <w:pStyle w:val="BodyText"/>
                    <w:spacing w:line="280" w:lineRule="auto"/>
                  </w:pPr>
                  <w:r>
                    <w:rPr>
                      <w:color w:val="58595B"/>
                    </w:rPr>
                    <w:t>Climate change is a complex policy issue. We recognise that climate change policy objectives, and the choice of instruments for pursuing these objectives, are matters requiring a whole-of- government approach (as discussed in chapter 7).</w:t>
                  </w:r>
                </w:p>
              </w:txbxContent>
            </v:textbox>
            <w10:wrap type="none"/>
          </v:shape>
        </w:pict>
      </w:r>
      <w:r>
        <w:rPr/>
        <w:pict>
          <v:shape style="position:absolute;margin-left:89.708603pt;margin-top:743.004883pt;width:431.4pt;height:25.5pt;mso-position-horizontal-relative:page;mso-position-vertical-relative:page;z-index:-177568" type="#_x0000_t202" filled="false" stroked="false">
            <v:textbox inset="0,0,0,0">
              <w:txbxContent>
                <w:p>
                  <w:pPr>
                    <w:pStyle w:val="BodyText"/>
                    <w:spacing w:line="280" w:lineRule="auto"/>
                  </w:pPr>
                  <w:r>
                    <w:rPr>
                      <w:color w:val="58595B"/>
                    </w:rPr>
                    <w:t>On the specific question of the EPA’s role in regulating greenhouse gas emissions, this whole-of- government process must consider two issues.</w:t>
                  </w:r>
                </w:p>
              </w:txbxContent>
            </v:textbox>
            <w10:wrap type="none"/>
          </v:shape>
        </w:pict>
      </w:r>
      <w:r>
        <w:rPr/>
        <w:pict>
          <v:shape style="position:absolute;margin-left:534.996094pt;margin-top:44.090015pt;width:60.3pt;height:5.25pt;mso-position-horizontal-relative:page;mso-position-vertical-relative:page;z-index:-17754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7520"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7496" from=".0pt,45.840015pt" to="60.2791pt,45.840015pt" stroked="true" strokeweight="7pt" strokecolor="#0095a7">
            <w10:wrap type="none"/>
          </v:line>
        </w:pict>
      </w:r>
      <w:r>
        <w:rPr/>
        <w:pict>
          <v:rect style="position:absolute;margin-left:70.865997pt;margin-top:332.343018pt;width:432.701pt;height:164.957pt;mso-position-horizontal-relative:page;mso-position-vertical-relative:page;z-index:-177472" filled="true" fillcolor="#eaf2f3" stroked="false">
            <v:fill type="solid"/>
            <w10:wrap type="none"/>
          </v:rect>
        </w:pict>
      </w:r>
      <w:r>
        <w:rPr/>
        <w:pict>
          <v:shape style="position:absolute;margin-left:69.866096pt;margin-top:40.902756pt;width:14.6pt;height:9.5pt;mso-position-horizontal-relative:page;mso-position-vertical-relative:page;z-index:-177448" type="#_x0000_t202" filled="false" stroked="false">
            <v:textbox inset="0,0,0,0">
              <w:txbxContent>
                <w:p>
                  <w:pPr>
                    <w:spacing w:before="1"/>
                    <w:ind w:left="20" w:right="0" w:firstLine="0"/>
                    <w:jc w:val="left"/>
                    <w:rPr>
                      <w:sz w:val="15"/>
                    </w:rPr>
                  </w:pPr>
                  <w:r>
                    <w:rPr>
                      <w:color w:val="58595B"/>
                      <w:sz w:val="15"/>
                    </w:rPr>
                    <w:t>160</w:t>
                  </w:r>
                </w:p>
              </w:txbxContent>
            </v:textbox>
            <w10:wrap type="none"/>
          </v:shape>
        </w:pict>
      </w:r>
      <w:r>
        <w:rPr/>
        <w:pict>
          <v:shape style="position:absolute;margin-left:95.377899pt;margin-top:40.902756pt;width:147.75pt;height:9.5pt;mso-position-horizontal-relative:page;mso-position-vertical-relative:page;z-index:-177424"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28.15pt;height:39pt;mso-position-horizontal-relative:page;mso-position-vertical-relative:page;z-index:-177400" type="#_x0000_t202" filled="false" stroked="false">
            <v:textbox inset="0,0,0,0">
              <w:txbxContent>
                <w:p>
                  <w:pPr>
                    <w:pStyle w:val="BodyText"/>
                    <w:spacing w:line="280" w:lineRule="auto"/>
                    <w:ind w:right="17"/>
                    <w:jc w:val="both"/>
                  </w:pPr>
                  <w:r>
                    <w:rPr>
                      <w:color w:val="58595B"/>
                    </w:rPr>
                    <w:t>First, whether and in what circumstances the government wants to use regulation by the EPA to reduce greenhouse gas emissions. The Victorian Government has a range of policy instruments it can use to reduce the state’s emissions:</w:t>
                  </w:r>
                </w:p>
              </w:txbxContent>
            </v:textbox>
            <w10:wrap type="none"/>
          </v:shape>
        </w:pict>
      </w:r>
      <w:r>
        <w:rPr/>
        <w:pict>
          <v:shape style="position:absolute;margin-left:98.216103pt;margin-top:154.893967pt;width:375.55pt;height:106.5pt;mso-position-horizontal-relative:page;mso-position-vertical-relative:page;z-index:-177376" type="#_x0000_t202" filled="false" stroked="false">
            <v:textbox inset="0,0,0,0">
              <w:txbxContent>
                <w:p>
                  <w:pPr>
                    <w:spacing w:line="280" w:lineRule="auto" w:before="0"/>
                    <w:ind w:left="20" w:right="0" w:firstLine="0"/>
                    <w:jc w:val="left"/>
                    <w:rPr>
                      <w:i/>
                      <w:sz w:val="20"/>
                    </w:rPr>
                  </w:pPr>
                  <w:r>
                    <w:rPr>
                      <w:i/>
                      <w:color w:val="231F20"/>
                      <w:sz w:val="20"/>
                    </w:rPr>
                    <w:t>The EPA has a critical role to play in regulating [greenhouse gas] emissions, but the EPA’s regulatory powers are not the only option available to government to deliver long term emissions reduction targets. Additional regulatory and non-regulatory options are available and depend on the sectors the Government wishes to prioritise for emissions reduction – for example, stationary energy and transport. This is</w:t>
                  </w:r>
                </w:p>
                <w:p>
                  <w:pPr>
                    <w:spacing w:line="280" w:lineRule="auto" w:before="2"/>
                    <w:ind w:left="20" w:right="0" w:firstLine="0"/>
                    <w:jc w:val="left"/>
                    <w:rPr>
                      <w:i/>
                      <w:sz w:val="20"/>
                    </w:rPr>
                  </w:pPr>
                  <w:r>
                    <w:rPr>
                      <w:i/>
                      <w:color w:val="231F20"/>
                      <w:sz w:val="20"/>
                    </w:rPr>
                    <w:t>a policy decision that will be informed by factors including the long term emissions reduction target. It also will be important to consider the comparative efficiency and effectiveness of regulatory and non-regulatory approaches.</w:t>
                  </w:r>
                </w:p>
              </w:txbxContent>
            </v:textbox>
            <w10:wrap type="none"/>
          </v:shape>
        </w:pict>
      </w:r>
      <w:r>
        <w:rPr/>
        <w:pict>
          <v:shape style="position:absolute;margin-left:98.216103pt;margin-top:271.393982pt;width:374.5pt;height:52.5pt;mso-position-horizontal-relative:page;mso-position-vertical-relative:page;z-index:-177352" type="#_x0000_t202" filled="false" stroked="false">
            <v:textbox inset="0,0,0,0">
              <w:txbxContent>
                <w:p>
                  <w:pPr>
                    <w:spacing w:line="280" w:lineRule="auto" w:before="0"/>
                    <w:ind w:left="20" w:right="17" w:firstLine="0"/>
                    <w:jc w:val="left"/>
                    <w:rPr>
                      <w:sz w:val="11"/>
                    </w:rPr>
                  </w:pPr>
                  <w:r>
                    <w:rPr>
                      <w:i/>
                      <w:color w:val="231F20"/>
                      <w:sz w:val="20"/>
                    </w:rPr>
                    <w:t>The Government, through the department pledge approach, should explore which sectors it wishes to prioritise for emissions reduction and determine the most efficient and effective options to deliver these reductions. This analysis must include both regulatory and non-regulatory mechanisms.</w:t>
                  </w:r>
                  <w:r>
                    <w:rPr>
                      <w:color w:val="231F20"/>
                      <w:position w:val="7"/>
                      <w:sz w:val="11"/>
                    </w:rPr>
                    <w:t>17</w:t>
                  </w:r>
                </w:p>
              </w:txbxContent>
            </v:textbox>
            <w10:wrap type="none"/>
          </v:shape>
        </w:pict>
      </w:r>
      <w:r>
        <w:rPr/>
        <w:pict>
          <v:shape style="position:absolute;margin-left:69.870102pt;margin-top:515.874573pt;width:422.75pt;height:25.5pt;mso-position-horizontal-relative:page;mso-position-vertical-relative:page;z-index:-177328" type="#_x0000_t202" filled="false" stroked="false">
            <v:textbox inset="0,0,0,0">
              <w:txbxContent>
                <w:p>
                  <w:pPr>
                    <w:pStyle w:val="BodyText"/>
                    <w:spacing w:line="280" w:lineRule="auto"/>
                  </w:pPr>
                  <w:r>
                    <w:rPr>
                      <w:color w:val="58595B"/>
                    </w:rPr>
                    <w:t>In determining a preferred policy instrument or package of instruments, relevant considerations will include:</w:t>
                  </w:r>
                </w:p>
              </w:txbxContent>
            </v:textbox>
            <w10:wrap type="none"/>
          </v:shape>
        </w:pict>
      </w:r>
      <w:r>
        <w:rPr/>
        <w:pict>
          <v:shape style="position:absolute;margin-left:69.870102pt;margin-top:548.544556pt;width:5.5pt;height:12pt;mso-position-horizontal-relative:page;mso-position-vertical-relative:page;z-index:-177304"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78.367104pt;margin-top:548.544556pt;width:416.1pt;height:150.550pt;mso-position-horizontal-relative:page;mso-position-vertical-relative:page;z-index:-177280" type="#_x0000_t202" filled="false" stroked="false">
            <v:textbox inset="0,0,0,0">
              <w:txbxContent>
                <w:p>
                  <w:pPr>
                    <w:pStyle w:val="BodyText"/>
                    <w:spacing w:line="280" w:lineRule="auto"/>
                    <w:ind w:right="28"/>
                  </w:pPr>
                  <w:r>
                    <w:rPr>
                      <w:color w:val="58595B"/>
                    </w:rPr>
                    <w:t>the level of ambition for emissions reduction it wishes to pursue – policy instruments should be capable of meeting the government’s emissions reduction goals</w:t>
                  </w:r>
                </w:p>
                <w:p>
                  <w:pPr>
                    <w:pStyle w:val="BodyText"/>
                    <w:spacing w:line="280" w:lineRule="auto" w:before="115"/>
                  </w:pPr>
                  <w:r>
                    <w:rPr>
                      <w:color w:val="58595B"/>
                    </w:rPr>
                    <w:t>the sources of emissions from which reductions are sought – different policy instruments may be required for different sources</w:t>
                  </w:r>
                </w:p>
                <w:p>
                  <w:pPr>
                    <w:pStyle w:val="BodyText"/>
                    <w:spacing w:line="280" w:lineRule="auto" w:before="115"/>
                  </w:pPr>
                  <w:r>
                    <w:rPr>
                      <w:color w:val="58595B"/>
                    </w:rPr>
                    <w:t>the relative effectiveness and efficiency of different instruments, including non-regulatory instruments, with regulatory instruments assessed via a regulatory impact statement</w:t>
                  </w:r>
                </w:p>
                <w:p>
                  <w:pPr>
                    <w:pStyle w:val="BodyText"/>
                    <w:spacing w:before="2"/>
                    <w:rPr>
                      <w:sz w:val="11"/>
                    </w:rPr>
                  </w:pPr>
                  <w:r>
                    <w:rPr>
                      <w:color w:val="58595B"/>
                    </w:rPr>
                    <w:t>(or equivalent)</w:t>
                  </w:r>
                  <w:r>
                    <w:rPr>
                      <w:color w:val="58595B"/>
                      <w:position w:val="7"/>
                      <w:sz w:val="11"/>
                    </w:rPr>
                    <w:t>18</w:t>
                  </w:r>
                </w:p>
                <w:p>
                  <w:pPr>
                    <w:pStyle w:val="BodyText"/>
                    <w:spacing w:line="280" w:lineRule="auto" w:before="153"/>
                  </w:pPr>
                  <w:r>
                    <w:rPr>
                      <w:color w:val="58595B"/>
                    </w:rPr>
                    <w:t>whether the Victorian Government wishes to act independently or to pursue action in cooperation with other states (in which case, policy instruments must be capable of operating across state borders or being harmonised).</w:t>
                  </w:r>
                </w:p>
              </w:txbxContent>
            </v:textbox>
            <w10:wrap type="none"/>
          </v:shape>
        </w:pict>
      </w:r>
      <w:r>
        <w:rPr/>
        <w:pict>
          <v:shape style="position:absolute;margin-left:69.870102pt;margin-top:581.214539pt;width:5.5pt;height:12pt;mso-position-horizontal-relative:page;mso-position-vertical-relative:page;z-index:-17725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70102pt;margin-top:613.884583pt;width:5.5pt;height:12pt;mso-position-horizontal-relative:page;mso-position-vertical-relative:page;z-index:-17723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67104pt;margin-top:660.048157pt;width:5.5pt;height:12pt;mso-position-horizontal-relative:page;mso-position-vertical-relative:page;z-index:-17720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69.867104pt;margin-top:709.048157pt;width:426.9pt;height:39pt;mso-position-horizontal-relative:page;mso-position-vertical-relative:page;z-index:-177184" type="#_x0000_t202" filled="false" stroked="false">
            <v:textbox inset="0,0,0,0">
              <w:txbxContent>
                <w:p>
                  <w:pPr>
                    <w:pStyle w:val="BodyText"/>
                    <w:spacing w:line="280" w:lineRule="auto"/>
                  </w:pPr>
                  <w:r>
                    <w:rPr>
                      <w:color w:val="58595B"/>
                    </w:rPr>
                    <w:t>We recognise that in deciding these issues, the Victorian Government must account not only for its climate change-related objectives, but also for the economic costs and benefits of actions taken to reduce the state’s emissions.</w:t>
                  </w:r>
                </w:p>
              </w:txbxContent>
            </v:textbox>
            <w10:wrap type="none"/>
          </v:shape>
        </w:pict>
      </w:r>
      <w:r>
        <w:rPr/>
        <w:pict>
          <v:shape style="position:absolute;margin-left:70.865997pt;margin-top:332.343018pt;width:432.7pt;height:165pt;mso-position-horizontal-relative:page;mso-position-vertical-relative:page;z-index:-177160" type="#_x0000_t202" filled="false" stroked="false">
            <v:textbox inset="0,0,0,0">
              <w:txbxContent>
                <w:p>
                  <w:pPr>
                    <w:spacing w:before="128"/>
                    <w:ind w:left="170" w:right="277" w:firstLine="0"/>
                    <w:jc w:val="left"/>
                    <w:rPr>
                      <w:sz w:val="20"/>
                    </w:rPr>
                  </w:pPr>
                  <w:r>
                    <w:rPr>
                      <w:b/>
                      <w:color w:val="0095A7"/>
                      <w:sz w:val="20"/>
                    </w:rPr>
                    <w:t>BOX 8.3 </w:t>
                  </w:r>
                  <w:r>
                    <w:rPr>
                      <w:color w:val="0095A7"/>
                      <w:sz w:val="20"/>
                    </w:rPr>
                    <w:t>NEW USES OF BROWN COAL</w:t>
                  </w:r>
                </w:p>
                <w:p>
                  <w:pPr>
                    <w:pStyle w:val="BodyText"/>
                    <w:spacing w:line="280" w:lineRule="auto" w:before="153"/>
                    <w:ind w:left="170" w:right="288"/>
                  </w:pPr>
                  <w:r>
                    <w:rPr>
                      <w:color w:val="58595B"/>
                    </w:rPr>
                    <w:t>The </w:t>
                  </w:r>
                  <w:r>
                    <w:rPr>
                      <w:color w:val="58595B"/>
                      <w:spacing w:val="-4"/>
                    </w:rPr>
                    <w:t>EPA </w:t>
                  </w:r>
                  <w:r>
                    <w:rPr>
                      <w:color w:val="58595B"/>
                    </w:rPr>
                    <w:t>will be required to consider applications for works approval for projects involving new uses of brown coal such as fertiliser, gas, hydrogen and liquid fuels. Under the current SEPP (AQM), the </w:t>
                  </w:r>
                  <w:r>
                    <w:rPr>
                      <w:color w:val="58595B"/>
                      <w:spacing w:val="-4"/>
                    </w:rPr>
                    <w:t>EPA </w:t>
                  </w:r>
                  <w:r>
                    <w:rPr>
                      <w:color w:val="58595B"/>
                    </w:rPr>
                    <w:t>is required to consider what constitutes best practice in managing greenhouse gas emissions from these activities. </w:t>
                  </w:r>
                  <w:r>
                    <w:rPr>
                      <w:color w:val="58595B"/>
                      <w:spacing w:val="-8"/>
                    </w:rPr>
                    <w:t>To </w:t>
                  </w:r>
                  <w:r>
                    <w:rPr>
                      <w:color w:val="58595B"/>
                    </w:rPr>
                    <w:t>provide greater clarity of direction for  the EPA, the Victorian Government must determine what, if </w:t>
                  </w:r>
                  <w:r>
                    <w:rPr>
                      <w:color w:val="58595B"/>
                      <w:spacing w:val="-5"/>
                    </w:rPr>
                    <w:t>any, </w:t>
                  </w:r>
                  <w:r>
                    <w:rPr>
                      <w:color w:val="58595B"/>
                    </w:rPr>
                    <w:t>conditions to impose on these activities. For example, will the government require that the activities simply be carbon capture and storage-ready or will they be approved only if carbon capture and storage is installed at the outset or within a finite period? Will the activities be required to fully offset greenhouse gas emissions – including any residual emissions if carbon capture and storage is installed – using carbon credits and, if so, what is an acceptable</w:t>
                  </w:r>
                  <w:r>
                    <w:rPr>
                      <w:color w:val="58595B"/>
                      <w:spacing w:val="19"/>
                    </w:rPr>
                    <w:t> </w:t>
                  </w:r>
                  <w:r>
                    <w:rPr>
                      <w:color w:val="58595B"/>
                    </w:rPr>
                    <w:t>offset?</w:t>
                  </w:r>
                </w:p>
              </w:txbxContent>
            </v:textbox>
            <w10:wrap type="none"/>
          </v:shape>
        </w:pict>
      </w:r>
      <w:r>
        <w:rPr/>
        <w:pict>
          <v:shape style="position:absolute;margin-left:.0pt;margin-top:44.090015pt;width:60.3pt;height:5.25pt;mso-position-horizontal-relative:page;mso-position-vertical-relative:page;z-index:-177136"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7112"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7088" from="534.996094pt,45.840015pt" to="595.276001pt,45.840015pt" stroked="true" strokeweight="7pt" strokecolor="#0095a7">
            <w10:wrap type="none"/>
          </v:line>
        </w:pict>
      </w:r>
      <w:r>
        <w:rPr/>
        <w:pict>
          <v:shape style="position:absolute;margin-left:230.659805pt;margin-top:40.902756pt;width:269.25pt;height:9.5pt;mso-position-horizontal-relative:page;mso-position-vertical-relative:page;z-index:-177064" type="#_x0000_t202" filled="false" stroked="false">
            <v:textbox inset="0,0,0,0">
              <w:txbxContent>
                <w:p>
                  <w:pPr>
                    <w:spacing w:before="1"/>
                    <w:ind w:left="20" w:right="0" w:firstLine="0"/>
                    <w:jc w:val="left"/>
                    <w:rPr>
                      <w:sz w:val="15"/>
                    </w:rPr>
                  </w:pPr>
                  <w:r>
                    <w:rPr>
                      <w:color w:val="58595B"/>
                      <w:sz w:val="15"/>
                    </w:rPr>
                    <w:t>CHAPTER 8    RESPONDING TO THE CHALLENGE OF CLIMATE CHANGE</w:t>
                  </w:r>
                </w:p>
              </w:txbxContent>
            </v:textbox>
            <w10:wrap type="none"/>
          </v:shape>
        </w:pict>
      </w:r>
      <w:r>
        <w:rPr/>
        <w:pict>
          <v:shape style="position:absolute;margin-left:511.108307pt;margin-top:40.902756pt;width:14.3pt;height:9.5pt;mso-position-horizontal-relative:page;mso-position-vertical-relative:page;z-index:-177040" type="#_x0000_t202" filled="false" stroked="false">
            <v:textbox inset="0,0,0,0">
              <w:txbxContent>
                <w:p>
                  <w:pPr>
                    <w:spacing w:before="1"/>
                    <w:ind w:left="20" w:right="-5" w:firstLine="0"/>
                    <w:jc w:val="left"/>
                    <w:rPr>
                      <w:sz w:val="15"/>
                    </w:rPr>
                  </w:pPr>
                  <w:r>
                    <w:rPr>
                      <w:color w:val="58595B"/>
                      <w:sz w:val="15"/>
                    </w:rPr>
                    <w:t>161</w:t>
                  </w:r>
                </w:p>
              </w:txbxContent>
            </v:textbox>
            <w10:wrap type="none"/>
          </v:shape>
        </w:pict>
      </w:r>
      <w:r>
        <w:rPr/>
        <w:pict>
          <v:shape style="position:absolute;margin-left:89.708603pt;margin-top:105.893967pt;width:407.45pt;height:39pt;mso-position-horizontal-relative:page;mso-position-vertical-relative:page;z-index:-177016" type="#_x0000_t202" filled="false" stroked="false">
            <v:textbox inset="0,0,0,0">
              <w:txbxContent>
                <w:p>
                  <w:pPr>
                    <w:pStyle w:val="BodyText"/>
                    <w:spacing w:line="280" w:lineRule="auto"/>
                    <w:ind w:right="-7"/>
                  </w:pPr>
                  <w:r>
                    <w:rPr>
                      <w:color w:val="58595B"/>
                    </w:rPr>
                    <w:t>Second, if the Victorian Government determines it will use regulation by the EPA to pursue emissions reductions, it must consider the details of the regulatory tools that the EPA will be required to implement.</w:t>
                  </w:r>
                </w:p>
              </w:txbxContent>
            </v:textbox>
            <w10:wrap type="none"/>
          </v:shape>
        </w:pict>
      </w:r>
      <w:r>
        <w:rPr/>
        <w:pict>
          <v:shape style="position:absolute;margin-left:89.708603pt;margin-top:154.893967pt;width:429.55pt;height:25.5pt;mso-position-horizontal-relative:page;mso-position-vertical-relative:page;z-index:-176992" type="#_x0000_t202" filled="false" stroked="false">
            <v:textbox inset="0,0,0,0">
              <w:txbxContent>
                <w:p>
                  <w:pPr>
                    <w:spacing w:line="280" w:lineRule="auto" w:before="0"/>
                    <w:ind w:left="20" w:right="0" w:firstLine="0"/>
                    <w:jc w:val="left"/>
                    <w:rPr>
                      <w:sz w:val="20"/>
                    </w:rPr>
                  </w:pPr>
                  <w:r>
                    <w:rPr>
                      <w:color w:val="58595B"/>
                      <w:sz w:val="20"/>
                    </w:rPr>
                    <w:t>Our analysis highlighted the deficiencies of using the SEPP (AQM) to manage greenhouse gas emissions. The recent </w:t>
                  </w:r>
                  <w:r>
                    <w:rPr>
                      <w:i/>
                      <w:color w:val="58595B"/>
                      <w:sz w:val="20"/>
                    </w:rPr>
                    <w:t>Independent Review of the Climate Change Act 2010 </w:t>
                  </w:r>
                  <w:r>
                    <w:rPr>
                      <w:color w:val="58595B"/>
                      <w:sz w:val="20"/>
                    </w:rPr>
                    <w:t>supported our view:</w:t>
                  </w:r>
                </w:p>
              </w:txbxContent>
            </v:textbox>
            <w10:wrap type="none"/>
          </v:shape>
        </w:pict>
      </w:r>
      <w:r>
        <w:rPr/>
        <w:pict>
          <v:shape style="position:absolute;margin-left:118.058601pt;margin-top:190.393967pt;width:367.85pt;height:66pt;mso-position-horizontal-relative:page;mso-position-vertical-relative:page;z-index:-176968" type="#_x0000_t202" filled="false" stroked="false">
            <v:textbox inset="0,0,0,0">
              <w:txbxContent>
                <w:p>
                  <w:pPr>
                    <w:spacing w:line="280" w:lineRule="auto" w:before="0"/>
                    <w:ind w:left="20" w:right="0" w:firstLine="0"/>
                    <w:jc w:val="left"/>
                    <w:rPr>
                      <w:sz w:val="11"/>
                    </w:rPr>
                  </w:pPr>
                  <w:r>
                    <w:rPr>
                      <w:i/>
                      <w:color w:val="231F20"/>
                      <w:sz w:val="20"/>
                    </w:rPr>
                    <w:t>The IRC believes the current provisions of the SEPP (AQM) are inadequate for achieving meaningful emissions reductions commensurate with recommendations made</w:t>
                  </w:r>
                  <w:r>
                    <w:rPr>
                      <w:i/>
                      <w:color w:val="231F20"/>
                      <w:spacing w:val="-9"/>
                      <w:sz w:val="20"/>
                    </w:rPr>
                    <w:t> </w:t>
                  </w:r>
                  <w:r>
                    <w:rPr>
                      <w:i/>
                      <w:color w:val="231F20"/>
                      <w:sz w:val="20"/>
                    </w:rPr>
                    <w:t>elsewhere</w:t>
                  </w:r>
                  <w:r>
                    <w:rPr>
                      <w:i/>
                      <w:color w:val="231F20"/>
                      <w:spacing w:val="-9"/>
                      <w:sz w:val="20"/>
                    </w:rPr>
                    <w:t> </w:t>
                  </w:r>
                  <w:r>
                    <w:rPr>
                      <w:i/>
                      <w:color w:val="231F20"/>
                      <w:sz w:val="20"/>
                    </w:rPr>
                    <w:t>in</w:t>
                  </w:r>
                  <w:r>
                    <w:rPr>
                      <w:i/>
                      <w:color w:val="231F20"/>
                      <w:spacing w:val="-9"/>
                      <w:sz w:val="20"/>
                    </w:rPr>
                    <w:t> </w:t>
                  </w:r>
                  <w:r>
                    <w:rPr>
                      <w:i/>
                      <w:color w:val="231F20"/>
                      <w:sz w:val="20"/>
                    </w:rPr>
                    <w:t>this</w:t>
                  </w:r>
                  <w:r>
                    <w:rPr>
                      <w:i/>
                      <w:color w:val="231F20"/>
                      <w:spacing w:val="-9"/>
                      <w:sz w:val="20"/>
                    </w:rPr>
                    <w:t> </w:t>
                  </w:r>
                  <w:r>
                    <w:rPr>
                      <w:i/>
                      <w:color w:val="231F20"/>
                      <w:sz w:val="20"/>
                    </w:rPr>
                    <w:t>report</w:t>
                  </w:r>
                  <w:r>
                    <w:rPr>
                      <w:i/>
                      <w:color w:val="231F20"/>
                      <w:spacing w:val="-9"/>
                      <w:sz w:val="20"/>
                    </w:rPr>
                    <w:t> </w:t>
                  </w:r>
                  <w:r>
                    <w:rPr>
                      <w:i/>
                      <w:color w:val="231F20"/>
                      <w:sz w:val="20"/>
                    </w:rPr>
                    <w:t>and</w:t>
                  </w:r>
                  <w:r>
                    <w:rPr>
                      <w:i/>
                      <w:color w:val="231F20"/>
                      <w:spacing w:val="-9"/>
                      <w:sz w:val="20"/>
                    </w:rPr>
                    <w:t> </w:t>
                  </w:r>
                  <w:r>
                    <w:rPr>
                      <w:i/>
                      <w:color w:val="231F20"/>
                      <w:sz w:val="20"/>
                    </w:rPr>
                    <w:t>consistent</w:t>
                  </w:r>
                  <w:r>
                    <w:rPr>
                      <w:i/>
                      <w:color w:val="231F20"/>
                      <w:spacing w:val="-9"/>
                      <w:sz w:val="20"/>
                    </w:rPr>
                    <w:t> </w:t>
                  </w:r>
                  <w:r>
                    <w:rPr>
                      <w:i/>
                      <w:color w:val="231F20"/>
                      <w:sz w:val="20"/>
                    </w:rPr>
                    <w:t>with</w:t>
                  </w:r>
                  <w:r>
                    <w:rPr>
                      <w:i/>
                      <w:color w:val="231F20"/>
                      <w:spacing w:val="-9"/>
                      <w:sz w:val="20"/>
                    </w:rPr>
                    <w:t> </w:t>
                  </w:r>
                  <w:r>
                    <w:rPr>
                      <w:i/>
                      <w:color w:val="231F20"/>
                      <w:sz w:val="20"/>
                    </w:rPr>
                    <w:t>the</w:t>
                  </w:r>
                  <w:r>
                    <w:rPr>
                      <w:i/>
                      <w:color w:val="231F20"/>
                      <w:spacing w:val="-9"/>
                      <w:sz w:val="20"/>
                    </w:rPr>
                    <w:t> </w:t>
                  </w:r>
                  <w:r>
                    <w:rPr>
                      <w:i/>
                      <w:color w:val="231F20"/>
                      <w:sz w:val="20"/>
                    </w:rPr>
                    <w:t>Government’s</w:t>
                  </w:r>
                  <w:r>
                    <w:rPr>
                      <w:i/>
                      <w:color w:val="231F20"/>
                      <w:spacing w:val="-9"/>
                      <w:sz w:val="20"/>
                    </w:rPr>
                    <w:t> </w:t>
                  </w:r>
                  <w:r>
                    <w:rPr>
                      <w:i/>
                      <w:color w:val="231F20"/>
                      <w:sz w:val="20"/>
                    </w:rPr>
                    <w:t>commitment</w:t>
                  </w:r>
                  <w:r>
                    <w:rPr>
                      <w:i/>
                      <w:color w:val="231F20"/>
                      <w:spacing w:val="-9"/>
                      <w:sz w:val="20"/>
                    </w:rPr>
                    <w:t> </w:t>
                  </w:r>
                  <w:r>
                    <w:rPr>
                      <w:i/>
                      <w:color w:val="231F20"/>
                      <w:sz w:val="20"/>
                    </w:rPr>
                    <w:t>to being</w:t>
                  </w:r>
                  <w:r>
                    <w:rPr>
                      <w:i/>
                      <w:color w:val="231F20"/>
                      <w:spacing w:val="-8"/>
                      <w:sz w:val="20"/>
                    </w:rPr>
                    <w:t> </w:t>
                  </w:r>
                  <w:r>
                    <w:rPr>
                      <w:i/>
                      <w:color w:val="231F20"/>
                      <w:sz w:val="20"/>
                    </w:rPr>
                    <w:t>a</w:t>
                  </w:r>
                  <w:r>
                    <w:rPr>
                      <w:i/>
                      <w:color w:val="231F20"/>
                      <w:spacing w:val="-8"/>
                      <w:sz w:val="20"/>
                    </w:rPr>
                    <w:t> </w:t>
                  </w:r>
                  <w:r>
                    <w:rPr>
                      <w:i/>
                      <w:color w:val="231F20"/>
                      <w:sz w:val="20"/>
                    </w:rPr>
                    <w:t>national</w:t>
                  </w:r>
                  <w:r>
                    <w:rPr>
                      <w:i/>
                      <w:color w:val="231F20"/>
                      <w:spacing w:val="-8"/>
                      <w:sz w:val="20"/>
                    </w:rPr>
                    <w:t> </w:t>
                  </w:r>
                  <w:r>
                    <w:rPr>
                      <w:i/>
                      <w:color w:val="231F20"/>
                      <w:sz w:val="20"/>
                    </w:rPr>
                    <w:t>leader</w:t>
                  </w:r>
                  <w:r>
                    <w:rPr>
                      <w:i/>
                      <w:color w:val="231F20"/>
                      <w:spacing w:val="-8"/>
                      <w:sz w:val="20"/>
                    </w:rPr>
                    <w:t> </w:t>
                  </w:r>
                  <w:r>
                    <w:rPr>
                      <w:i/>
                      <w:color w:val="231F20"/>
                      <w:sz w:val="20"/>
                    </w:rPr>
                    <w:t>on</w:t>
                  </w:r>
                  <w:r>
                    <w:rPr>
                      <w:i/>
                      <w:color w:val="231F20"/>
                      <w:spacing w:val="-8"/>
                      <w:sz w:val="20"/>
                    </w:rPr>
                    <w:t> </w:t>
                  </w:r>
                  <w:r>
                    <w:rPr>
                      <w:i/>
                      <w:color w:val="231F20"/>
                      <w:sz w:val="20"/>
                    </w:rPr>
                    <w:t>climate</w:t>
                  </w:r>
                  <w:r>
                    <w:rPr>
                      <w:i/>
                      <w:color w:val="231F20"/>
                      <w:spacing w:val="-8"/>
                      <w:sz w:val="20"/>
                    </w:rPr>
                    <w:t> </w:t>
                  </w:r>
                  <w:r>
                    <w:rPr>
                      <w:i/>
                      <w:color w:val="231F20"/>
                      <w:sz w:val="20"/>
                    </w:rPr>
                    <w:t>change.</w:t>
                  </w:r>
                  <w:r>
                    <w:rPr>
                      <w:i/>
                      <w:color w:val="231F20"/>
                      <w:spacing w:val="-8"/>
                      <w:sz w:val="20"/>
                    </w:rPr>
                    <w:t> </w:t>
                  </w:r>
                  <w:r>
                    <w:rPr>
                      <w:i/>
                      <w:color w:val="231F20"/>
                      <w:sz w:val="20"/>
                    </w:rPr>
                    <w:t>The</w:t>
                  </w:r>
                  <w:r>
                    <w:rPr>
                      <w:i/>
                      <w:color w:val="231F20"/>
                      <w:spacing w:val="-8"/>
                      <w:sz w:val="20"/>
                    </w:rPr>
                    <w:t> </w:t>
                  </w:r>
                  <w:r>
                    <w:rPr>
                      <w:i/>
                      <w:color w:val="231F20"/>
                      <w:sz w:val="20"/>
                    </w:rPr>
                    <w:t>SEPP</w:t>
                  </w:r>
                  <w:r>
                    <w:rPr>
                      <w:i/>
                      <w:color w:val="231F20"/>
                      <w:spacing w:val="-8"/>
                      <w:sz w:val="20"/>
                    </w:rPr>
                    <w:t> </w:t>
                  </w:r>
                  <w:r>
                    <w:rPr>
                      <w:i/>
                      <w:color w:val="231F20"/>
                      <w:sz w:val="20"/>
                    </w:rPr>
                    <w:t>(AQM)</w:t>
                  </w:r>
                  <w:r>
                    <w:rPr>
                      <w:i/>
                      <w:color w:val="231F20"/>
                      <w:spacing w:val="-8"/>
                      <w:sz w:val="20"/>
                    </w:rPr>
                    <w:t> </w:t>
                  </w:r>
                  <w:r>
                    <w:rPr>
                      <w:i/>
                      <w:color w:val="231F20"/>
                      <w:sz w:val="20"/>
                    </w:rPr>
                    <w:t>should</w:t>
                  </w:r>
                  <w:r>
                    <w:rPr>
                      <w:i/>
                      <w:color w:val="231F20"/>
                      <w:spacing w:val="-8"/>
                      <w:sz w:val="20"/>
                    </w:rPr>
                    <w:t> </w:t>
                  </w:r>
                  <w:r>
                    <w:rPr>
                      <w:i/>
                      <w:color w:val="231F20"/>
                      <w:sz w:val="20"/>
                    </w:rPr>
                    <w:t>be</w:t>
                  </w:r>
                  <w:r>
                    <w:rPr>
                      <w:i/>
                      <w:color w:val="231F20"/>
                      <w:spacing w:val="-8"/>
                      <w:sz w:val="20"/>
                    </w:rPr>
                    <w:t> </w:t>
                  </w:r>
                  <w:r>
                    <w:rPr>
                      <w:i/>
                      <w:color w:val="231F20"/>
                      <w:sz w:val="20"/>
                    </w:rPr>
                    <w:t>amended</w:t>
                  </w:r>
                  <w:r>
                    <w:rPr>
                      <w:i/>
                      <w:color w:val="231F20"/>
                      <w:spacing w:val="-8"/>
                      <w:sz w:val="20"/>
                    </w:rPr>
                    <w:t> </w:t>
                  </w:r>
                  <w:r>
                    <w:rPr>
                      <w:i/>
                      <w:color w:val="231F20"/>
                      <w:sz w:val="20"/>
                    </w:rPr>
                    <w:t>– or</w:t>
                  </w:r>
                  <w:r>
                    <w:rPr>
                      <w:i/>
                      <w:color w:val="231F20"/>
                      <w:spacing w:val="-10"/>
                      <w:sz w:val="20"/>
                    </w:rPr>
                    <w:t> </w:t>
                  </w:r>
                  <w:r>
                    <w:rPr>
                      <w:i/>
                      <w:color w:val="231F20"/>
                      <w:sz w:val="20"/>
                    </w:rPr>
                    <w:t>new</w:t>
                  </w:r>
                  <w:r>
                    <w:rPr>
                      <w:i/>
                      <w:color w:val="231F20"/>
                      <w:spacing w:val="-10"/>
                      <w:sz w:val="20"/>
                    </w:rPr>
                    <w:t> </w:t>
                  </w:r>
                  <w:r>
                    <w:rPr>
                      <w:i/>
                      <w:color w:val="231F20"/>
                      <w:sz w:val="20"/>
                    </w:rPr>
                    <w:t>statutory</w:t>
                  </w:r>
                  <w:r>
                    <w:rPr>
                      <w:i/>
                      <w:color w:val="231F20"/>
                      <w:spacing w:val="-10"/>
                      <w:sz w:val="20"/>
                    </w:rPr>
                    <w:t> </w:t>
                  </w:r>
                  <w:r>
                    <w:rPr>
                      <w:i/>
                      <w:color w:val="231F20"/>
                      <w:sz w:val="20"/>
                    </w:rPr>
                    <w:t>policy</w:t>
                  </w:r>
                  <w:r>
                    <w:rPr>
                      <w:i/>
                      <w:color w:val="231F20"/>
                      <w:spacing w:val="-10"/>
                      <w:sz w:val="20"/>
                    </w:rPr>
                    <w:t> </w:t>
                  </w:r>
                  <w:r>
                    <w:rPr>
                      <w:i/>
                      <w:color w:val="231F20"/>
                      <w:sz w:val="20"/>
                    </w:rPr>
                    <w:t>introduced</w:t>
                  </w:r>
                  <w:r>
                    <w:rPr>
                      <w:i/>
                      <w:color w:val="231F20"/>
                      <w:spacing w:val="-10"/>
                      <w:sz w:val="20"/>
                    </w:rPr>
                    <w:t> </w:t>
                  </w:r>
                  <w:r>
                    <w:rPr>
                      <w:i/>
                      <w:color w:val="231F20"/>
                      <w:sz w:val="20"/>
                    </w:rPr>
                    <w:t>–</w:t>
                  </w:r>
                  <w:r>
                    <w:rPr>
                      <w:i/>
                      <w:color w:val="231F20"/>
                      <w:spacing w:val="-10"/>
                      <w:sz w:val="20"/>
                    </w:rPr>
                    <w:t> </w:t>
                  </w:r>
                  <w:r>
                    <w:rPr>
                      <w:i/>
                      <w:color w:val="231F20"/>
                      <w:sz w:val="20"/>
                    </w:rPr>
                    <w:t>to</w:t>
                  </w:r>
                  <w:r>
                    <w:rPr>
                      <w:i/>
                      <w:color w:val="231F20"/>
                      <w:spacing w:val="-10"/>
                      <w:sz w:val="20"/>
                    </w:rPr>
                    <w:t> </w:t>
                  </w:r>
                  <w:r>
                    <w:rPr>
                      <w:i/>
                      <w:color w:val="231F20"/>
                      <w:sz w:val="20"/>
                    </w:rPr>
                    <w:t>address</w:t>
                  </w:r>
                  <w:r>
                    <w:rPr>
                      <w:i/>
                      <w:color w:val="231F20"/>
                      <w:spacing w:val="-10"/>
                      <w:sz w:val="20"/>
                    </w:rPr>
                    <w:t> </w:t>
                  </w:r>
                  <w:r>
                    <w:rPr>
                      <w:i/>
                      <w:color w:val="231F20"/>
                      <w:sz w:val="20"/>
                    </w:rPr>
                    <w:t>these</w:t>
                  </w:r>
                  <w:r>
                    <w:rPr>
                      <w:i/>
                      <w:color w:val="231F20"/>
                      <w:spacing w:val="-10"/>
                      <w:sz w:val="20"/>
                    </w:rPr>
                    <w:t> </w:t>
                  </w:r>
                  <w:r>
                    <w:rPr>
                      <w:i/>
                      <w:color w:val="231F20"/>
                      <w:sz w:val="20"/>
                    </w:rPr>
                    <w:t>limitations.</w:t>
                  </w:r>
                  <w:r>
                    <w:rPr>
                      <w:color w:val="231F20"/>
                      <w:position w:val="7"/>
                      <w:sz w:val="11"/>
                    </w:rPr>
                    <w:t>19</w:t>
                  </w:r>
                </w:p>
              </w:txbxContent>
            </v:textbox>
            <w10:wrap type="none"/>
          </v:shape>
        </w:pict>
      </w:r>
      <w:r>
        <w:rPr/>
        <w:pict>
          <v:shape style="position:absolute;margin-left:89.708603pt;margin-top:266.405762pt;width:230.05pt;height:12pt;mso-position-horizontal-relative:page;mso-position-vertical-relative:page;z-index:-176944" type="#_x0000_t202" filled="false" stroked="false">
            <v:textbox inset="0,0,0,0">
              <w:txbxContent>
                <w:p>
                  <w:pPr>
                    <w:pStyle w:val="BodyText"/>
                    <w:spacing w:line="224" w:lineRule="exact"/>
                    <w:ind w:right="-19"/>
                  </w:pPr>
                  <w:r>
                    <w:rPr>
                      <w:color w:val="58595B"/>
                    </w:rPr>
                    <w:t>Further, the review’s recommendation 26 (4) states:</w:t>
                  </w:r>
                </w:p>
              </w:txbxContent>
            </v:textbox>
            <w10:wrap type="none"/>
          </v:shape>
        </w:pict>
      </w:r>
      <w:r>
        <w:rPr/>
        <w:pict>
          <v:shape style="position:absolute;margin-left:89.708603pt;margin-top:288.405762pt;width:405.2pt;height:52.5pt;mso-position-horizontal-relative:page;mso-position-vertical-relative:page;z-index:-176920" type="#_x0000_t202" filled="false" stroked="false">
            <v:textbox inset="0,0,0,0">
              <w:txbxContent>
                <w:p>
                  <w:pPr>
                    <w:pStyle w:val="BodyText"/>
                    <w:spacing w:line="280" w:lineRule="auto"/>
                    <w:ind w:right="14"/>
                  </w:pPr>
                  <w:r>
                    <w:rPr>
                      <w:color w:val="58595B"/>
                    </w:rPr>
                    <w:t>The following questions are relevant in determining the scope and nature of new regulatory tools – which could take the form of a new statutory instrument dedicated to managing greenhouse gas emissions. As discussed in chapter 7, we consider that the EPA should be involved in whole-of-government processes to consider these high level policy questions.</w:t>
                  </w:r>
                </w:p>
              </w:txbxContent>
            </v:textbox>
            <w10:wrap type="none"/>
          </v:shape>
        </w:pict>
      </w:r>
      <w:r>
        <w:rPr/>
        <w:pict>
          <v:shape style="position:absolute;margin-left:89.708603pt;margin-top:353.745758pt;width:434.5pt;height:149.1pt;mso-position-horizontal-relative:page;mso-position-vertical-relative:page;z-index:-176896" type="#_x0000_t202" filled="false" stroked="false">
            <v:textbox inset="0,0,0,0">
              <w:txbxContent>
                <w:p>
                  <w:pPr>
                    <w:spacing w:line="224" w:lineRule="exact" w:before="0"/>
                    <w:ind w:left="20" w:right="0" w:firstLine="0"/>
                    <w:jc w:val="left"/>
                    <w:rPr>
                      <w:i/>
                      <w:sz w:val="20"/>
                    </w:rPr>
                  </w:pPr>
                  <w:r>
                    <w:rPr>
                      <w:i/>
                      <w:color w:val="6D6E71"/>
                      <w:sz w:val="20"/>
                    </w:rPr>
                    <w:t>Where might regulation by the EPA be most effective and practicable?</w:t>
                  </w:r>
                </w:p>
                <w:p>
                  <w:pPr>
                    <w:pStyle w:val="BodyText"/>
                    <w:spacing w:line="280" w:lineRule="auto" w:before="125"/>
                  </w:pPr>
                  <w:r>
                    <w:rPr>
                      <w:color w:val="58595B"/>
                    </w:rPr>
                    <w:t>Regulation by the EPA is likely to be most effective when it has a point of leverage to implement the regulation, such as scheduled premises. In contrast, it is unlikely to be practical for the EPA to regulate emissions from the following sources:</w:t>
                  </w:r>
                </w:p>
                <w:p>
                  <w:pPr>
                    <w:pStyle w:val="ListParagraph"/>
                    <w:numPr>
                      <w:ilvl w:val="0"/>
                      <w:numId w:val="63"/>
                    </w:numPr>
                    <w:tabs>
                      <w:tab w:pos="190" w:val="left" w:leader="none"/>
                    </w:tabs>
                    <w:spacing w:line="280" w:lineRule="auto" w:before="115" w:after="0"/>
                    <w:ind w:left="190" w:right="214" w:hanging="170"/>
                    <w:jc w:val="left"/>
                    <w:rPr>
                      <w:sz w:val="20"/>
                    </w:rPr>
                  </w:pPr>
                  <w:r>
                    <w:rPr>
                      <w:color w:val="58595B"/>
                      <w:sz w:val="20"/>
                    </w:rPr>
                    <w:t>Non-scheduled activities, which include households and small businesses </w:t>
                  </w:r>
                  <w:r>
                    <w:rPr>
                      <w:color w:val="58595B"/>
                      <w:spacing w:val="-3"/>
                      <w:sz w:val="20"/>
                    </w:rPr>
                    <w:t>(of </w:t>
                  </w:r>
                  <w:r>
                    <w:rPr>
                      <w:color w:val="58595B"/>
                      <w:sz w:val="20"/>
                    </w:rPr>
                    <w:t>which there are more than 400,000 in Victoria). It will not be practical or cost effective for the </w:t>
                  </w:r>
                  <w:r>
                    <w:rPr>
                      <w:color w:val="58595B"/>
                      <w:spacing w:val="-4"/>
                      <w:sz w:val="20"/>
                    </w:rPr>
                    <w:t>EPA </w:t>
                  </w:r>
                  <w:r>
                    <w:rPr>
                      <w:color w:val="58595B"/>
                      <w:sz w:val="20"/>
                    </w:rPr>
                    <w:t>to regulate these</w:t>
                  </w:r>
                  <w:r>
                    <w:rPr>
                      <w:color w:val="58595B"/>
                      <w:spacing w:val="5"/>
                      <w:sz w:val="20"/>
                    </w:rPr>
                    <w:t> </w:t>
                  </w:r>
                  <w:r>
                    <w:rPr>
                      <w:color w:val="58595B"/>
                      <w:sz w:val="20"/>
                    </w:rPr>
                    <w:t>activities.</w:t>
                  </w:r>
                </w:p>
                <w:p>
                  <w:pPr>
                    <w:pStyle w:val="ListParagraph"/>
                    <w:numPr>
                      <w:ilvl w:val="0"/>
                      <w:numId w:val="63"/>
                    </w:numPr>
                    <w:tabs>
                      <w:tab w:pos="190" w:val="left" w:leader="none"/>
                    </w:tabs>
                    <w:spacing w:line="280" w:lineRule="auto" w:before="115" w:after="0"/>
                    <w:ind w:left="190" w:right="330" w:hanging="170"/>
                    <w:jc w:val="left"/>
                    <w:rPr>
                      <w:sz w:val="20"/>
                    </w:rPr>
                  </w:pPr>
                  <w:r>
                    <w:rPr>
                      <w:color w:val="58595B"/>
                      <w:sz w:val="20"/>
                    </w:rPr>
                    <w:t>Sources whose emissions are best managed nationally – this is particularly relevant where uniformity of national standards is important, as is the case, for example, with fuel economy/ emissions standards for motor vehicles.</w:t>
                  </w:r>
                </w:p>
              </w:txbxContent>
            </v:textbox>
            <w10:wrap type="none"/>
          </v:shape>
        </w:pict>
      </w:r>
      <w:r>
        <w:rPr/>
        <w:pict>
          <v:shape style="position:absolute;margin-left:89.708603pt;margin-top:515.675781pt;width:406.9pt;height:125.6pt;mso-position-horizontal-relative:page;mso-position-vertical-relative:page;z-index:-176872" type="#_x0000_t202" filled="false" stroked="false">
            <v:textbox inset="0,0,0,0">
              <w:txbxContent>
                <w:p>
                  <w:pPr>
                    <w:spacing w:line="224" w:lineRule="exact" w:before="0"/>
                    <w:ind w:left="20" w:right="0" w:firstLine="0"/>
                    <w:jc w:val="left"/>
                    <w:rPr>
                      <w:i/>
                      <w:sz w:val="20"/>
                    </w:rPr>
                  </w:pPr>
                  <w:r>
                    <w:rPr>
                      <w:i/>
                      <w:color w:val="6D6E71"/>
                      <w:sz w:val="20"/>
                    </w:rPr>
                    <w:t>What factors should be considered in framing new regulatory tools?</w:t>
                  </w:r>
                </w:p>
                <w:p>
                  <w:pPr>
                    <w:pStyle w:val="BodyText"/>
                    <w:spacing w:before="125"/>
                  </w:pPr>
                  <w:r>
                    <w:rPr>
                      <w:color w:val="58595B"/>
                    </w:rPr>
                    <w:t>Relevant factors in framing new regulatory provisions include:</w:t>
                  </w:r>
                </w:p>
                <w:p>
                  <w:pPr>
                    <w:pStyle w:val="ListParagraph"/>
                    <w:numPr>
                      <w:ilvl w:val="0"/>
                      <w:numId w:val="64"/>
                    </w:numPr>
                    <w:tabs>
                      <w:tab w:pos="190" w:val="left" w:leader="none"/>
                    </w:tabs>
                    <w:spacing w:line="240" w:lineRule="auto" w:before="153" w:after="0"/>
                    <w:ind w:left="190" w:right="0" w:hanging="170"/>
                    <w:jc w:val="left"/>
                    <w:rPr>
                      <w:sz w:val="20"/>
                    </w:rPr>
                  </w:pPr>
                  <w:r>
                    <w:rPr>
                      <w:color w:val="58595B"/>
                      <w:sz w:val="20"/>
                    </w:rPr>
                    <w:t>How stringent would emissions intensity limits or standards</w:t>
                  </w:r>
                  <w:r>
                    <w:rPr>
                      <w:color w:val="58595B"/>
                      <w:spacing w:val="4"/>
                      <w:sz w:val="20"/>
                    </w:rPr>
                    <w:t> </w:t>
                  </w:r>
                  <w:r>
                    <w:rPr>
                      <w:color w:val="58595B"/>
                      <w:spacing w:val="-4"/>
                      <w:sz w:val="20"/>
                    </w:rPr>
                    <w:t>be?</w:t>
                  </w:r>
                </w:p>
                <w:p>
                  <w:pPr>
                    <w:pStyle w:val="ListParagraph"/>
                    <w:numPr>
                      <w:ilvl w:val="0"/>
                      <w:numId w:val="64"/>
                    </w:numPr>
                    <w:tabs>
                      <w:tab w:pos="190" w:val="left" w:leader="none"/>
                    </w:tabs>
                    <w:spacing w:line="240" w:lineRule="auto" w:before="153" w:after="0"/>
                    <w:ind w:left="190" w:right="0" w:hanging="170"/>
                    <w:jc w:val="left"/>
                    <w:rPr>
                      <w:sz w:val="20"/>
                    </w:rPr>
                  </w:pPr>
                  <w:r>
                    <w:rPr>
                      <w:color w:val="58595B"/>
                      <w:sz w:val="20"/>
                    </w:rPr>
                    <w:t>Would the same regulatory requirements be applied to existing and new</w:t>
                  </w:r>
                  <w:r>
                    <w:rPr>
                      <w:color w:val="58595B"/>
                      <w:spacing w:val="-10"/>
                      <w:sz w:val="20"/>
                    </w:rPr>
                    <w:t> </w:t>
                  </w:r>
                  <w:r>
                    <w:rPr>
                      <w:color w:val="58595B"/>
                      <w:sz w:val="20"/>
                    </w:rPr>
                    <w:t>sources?</w:t>
                  </w:r>
                </w:p>
                <w:p>
                  <w:pPr>
                    <w:pStyle w:val="ListParagraph"/>
                    <w:numPr>
                      <w:ilvl w:val="0"/>
                      <w:numId w:val="64"/>
                    </w:numPr>
                    <w:tabs>
                      <w:tab w:pos="190" w:val="left" w:leader="none"/>
                    </w:tabs>
                    <w:spacing w:line="240" w:lineRule="auto" w:before="153" w:after="0"/>
                    <w:ind w:left="190" w:right="0" w:hanging="170"/>
                    <w:jc w:val="left"/>
                    <w:rPr>
                      <w:sz w:val="20"/>
                    </w:rPr>
                  </w:pPr>
                  <w:r>
                    <w:rPr>
                      <w:color w:val="58595B"/>
                      <w:sz w:val="20"/>
                    </w:rPr>
                    <w:t>Might regulation be pursued through economic</w:t>
                  </w:r>
                  <w:r>
                    <w:rPr>
                      <w:color w:val="58595B"/>
                      <w:spacing w:val="-1"/>
                      <w:sz w:val="20"/>
                    </w:rPr>
                    <w:t> </w:t>
                  </w:r>
                  <w:r>
                    <w:rPr>
                      <w:color w:val="58595B"/>
                      <w:sz w:val="20"/>
                    </w:rPr>
                    <w:t>measures?</w:t>
                  </w:r>
                </w:p>
                <w:p>
                  <w:pPr>
                    <w:pStyle w:val="ListParagraph"/>
                    <w:numPr>
                      <w:ilvl w:val="0"/>
                      <w:numId w:val="64"/>
                    </w:numPr>
                    <w:tabs>
                      <w:tab w:pos="190" w:val="left" w:leader="none"/>
                    </w:tabs>
                    <w:spacing w:line="240" w:lineRule="auto" w:before="153" w:after="0"/>
                    <w:ind w:left="190" w:right="0" w:hanging="170"/>
                    <w:jc w:val="left"/>
                    <w:rPr>
                      <w:sz w:val="20"/>
                    </w:rPr>
                  </w:pPr>
                  <w:r>
                    <w:rPr>
                      <w:color w:val="58595B"/>
                      <w:sz w:val="20"/>
                    </w:rPr>
                    <w:t>Would flexibility be allowed in meeting regulatory</w:t>
                  </w:r>
                  <w:r>
                    <w:rPr>
                      <w:color w:val="58595B"/>
                      <w:spacing w:val="-7"/>
                      <w:sz w:val="20"/>
                    </w:rPr>
                    <w:t> </w:t>
                  </w:r>
                  <w:r>
                    <w:rPr>
                      <w:color w:val="58595B"/>
                      <w:sz w:val="20"/>
                    </w:rPr>
                    <w:t>requirements?</w:t>
                  </w:r>
                </w:p>
                <w:p>
                  <w:pPr>
                    <w:pStyle w:val="ListParagraph"/>
                    <w:numPr>
                      <w:ilvl w:val="0"/>
                      <w:numId w:val="64"/>
                    </w:numPr>
                    <w:tabs>
                      <w:tab w:pos="190" w:val="left" w:leader="none"/>
                    </w:tabs>
                    <w:spacing w:line="240" w:lineRule="auto" w:before="153" w:after="0"/>
                    <w:ind w:left="190" w:right="0" w:hanging="170"/>
                    <w:jc w:val="left"/>
                    <w:rPr>
                      <w:sz w:val="20"/>
                    </w:rPr>
                  </w:pPr>
                  <w:r>
                    <w:rPr>
                      <w:color w:val="58595B"/>
                      <w:sz w:val="20"/>
                    </w:rPr>
                    <w:t>Could new regulatory provisions coexist with Commonwealth Government carbon</w:t>
                  </w:r>
                  <w:r>
                    <w:rPr>
                      <w:color w:val="58595B"/>
                      <w:spacing w:val="14"/>
                      <w:sz w:val="20"/>
                    </w:rPr>
                    <w:t> </w:t>
                  </w:r>
                  <w:r>
                    <w:rPr>
                      <w:color w:val="58595B"/>
                      <w:sz w:val="20"/>
                    </w:rPr>
                    <w:t>policy?</w:t>
                  </w:r>
                </w:p>
              </w:txbxContent>
            </v:textbox>
            <w10:wrap type="none"/>
          </v:shape>
        </w:pict>
      </w:r>
      <w:r>
        <w:rPr/>
        <w:pict>
          <v:shape style="position:absolute;margin-left:89.708603pt;margin-top:651.275757pt;width:237.35pt;height:12pt;mso-position-horizontal-relative:page;mso-position-vertical-relative:page;z-index:-176848" type="#_x0000_t202" filled="false" stroked="false">
            <v:textbox inset="0,0,0,0">
              <w:txbxContent>
                <w:p>
                  <w:pPr>
                    <w:pStyle w:val="BodyText"/>
                    <w:spacing w:line="224" w:lineRule="exact"/>
                  </w:pPr>
                  <w:r>
                    <w:rPr>
                      <w:color w:val="58595B"/>
                    </w:rPr>
                    <w:t>These factors are discussed in the case study below.</w:t>
                  </w:r>
                </w:p>
              </w:txbxContent>
            </v:textbox>
            <w10:wrap type="none"/>
          </v:shape>
        </w:pict>
      </w:r>
      <w:r>
        <w:rPr/>
        <w:pict>
          <v:shape style="position:absolute;margin-left:534.996094pt;margin-top:44.090015pt;width:60.3pt;height:5.25pt;mso-position-horizontal-relative:page;mso-position-vertical-relative:page;z-index:-17682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6800"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6776" from=".0pt,45.840015pt" to="60.2791pt,45.840015pt" stroked="true" strokeweight="7pt" strokecolor="#0095a7">
            <w10:wrap type="none"/>
          </v:line>
        </w:pict>
      </w:r>
      <w:r>
        <w:rPr/>
        <w:pict>
          <v:group style="position:absolute;margin-left:70.865997pt;margin-top:107.717018pt;width:432.7pt;height:564.2pt;mso-position-horizontal-relative:page;mso-position-vertical-relative:page;z-index:-176752" coordorigin="1417,2154" coordsize="8654,11284">
            <v:rect style="position:absolute;left:1417;top:2154;width:8654;height:11283" filled="true" fillcolor="#e5e2ed" stroked="false">
              <v:fill type="solid"/>
            </v:rect>
            <v:shape style="position:absolute;left:1587;top:4725;width:8317;height:4365" type="#_x0000_t75" stroked="false">
              <v:imagedata r:id="rId44" o:title=""/>
            </v:shape>
            <w10:wrap type="none"/>
          </v:group>
        </w:pict>
      </w:r>
      <w:r>
        <w:rPr/>
        <w:pict>
          <v:shape style="position:absolute;margin-left:69.866096pt;margin-top:40.902756pt;width:14.5pt;height:9.5pt;mso-position-horizontal-relative:page;mso-position-vertical-relative:page;z-index:-176728" type="#_x0000_t202" filled="false" stroked="false">
            <v:textbox inset="0,0,0,0">
              <w:txbxContent>
                <w:p>
                  <w:pPr>
                    <w:spacing w:before="1"/>
                    <w:ind w:left="20" w:right="-1" w:firstLine="0"/>
                    <w:jc w:val="left"/>
                    <w:rPr>
                      <w:sz w:val="15"/>
                    </w:rPr>
                  </w:pPr>
                  <w:r>
                    <w:rPr>
                      <w:color w:val="58595B"/>
                      <w:sz w:val="15"/>
                    </w:rPr>
                    <w:t>162</w:t>
                  </w:r>
                </w:p>
              </w:txbxContent>
            </v:textbox>
            <w10:wrap type="none"/>
          </v:shape>
        </w:pict>
      </w:r>
      <w:r>
        <w:rPr/>
        <w:pict>
          <v:shape style="position:absolute;margin-left:95.377899pt;margin-top:40.902756pt;width:147.75pt;height:9.5pt;mso-position-horizontal-relative:page;mso-position-vertical-relative:page;z-index:-176704"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70.865997pt;margin-top:107.717018pt;width:432.7pt;height:564.2pt;mso-position-horizontal-relative:page;mso-position-vertical-relative:page;z-index:-176680" type="#_x0000_t202" filled="false" stroked="false">
            <v:textbox inset="0,0,0,0">
              <w:txbxContent>
                <w:p>
                  <w:pPr>
                    <w:spacing w:line="280" w:lineRule="auto" w:before="128"/>
                    <w:ind w:left="170" w:right="1718" w:firstLine="0"/>
                    <w:jc w:val="left"/>
                    <w:rPr>
                      <w:b/>
                      <w:sz w:val="20"/>
                    </w:rPr>
                  </w:pPr>
                  <w:r>
                    <w:rPr>
                      <w:b/>
                      <w:color w:val="8370A0"/>
                      <w:sz w:val="20"/>
                    </w:rPr>
                    <w:t>CASE STUDY – REGULATING GREENHOUSE GAS EMISSIONS FROM POWER STATIONS</w:t>
                  </w:r>
                </w:p>
                <w:p>
                  <w:pPr>
                    <w:pStyle w:val="BodyText"/>
                    <w:spacing w:line="280" w:lineRule="auto" w:before="115"/>
                    <w:ind w:left="170" w:right="491"/>
                  </w:pPr>
                  <w:r>
                    <w:rPr>
                      <w:color w:val="58595B"/>
                    </w:rPr>
                    <w:t>Meeting the Paris Agreement’s objective of limiting the increase in global average temperature to well below 2°C will require deep reductions in emissions – including from the electricity sector which produces 50 per cent of Victoria’s total emissions (figure 8.1).</w:t>
                  </w:r>
                </w:p>
                <w:p>
                  <w:pPr>
                    <w:pStyle w:val="BodyText"/>
                    <w:spacing w:before="4"/>
                    <w:ind w:left="0"/>
                    <w:rPr>
                      <w:rFonts w:ascii="Times New Roman"/>
                      <w:sz w:val="17"/>
                    </w:rPr>
                  </w:pPr>
                </w:p>
                <w:p>
                  <w:pPr>
                    <w:pStyle w:val="BodyText"/>
                    <w:spacing w:line="280" w:lineRule="auto" w:before="1"/>
                    <w:ind w:left="170" w:right="1284"/>
                  </w:pPr>
                  <w:r>
                    <w:rPr>
                      <w:b/>
                      <w:color w:val="0095A7"/>
                    </w:rPr>
                    <w:t>FIGURE 8.1 </w:t>
                  </w:r>
                  <w:r>
                    <w:rPr>
                      <w:color w:val="0095A7"/>
                    </w:rPr>
                    <w:t>VICTORIA’S GREENHOUSE GAS EMISSIONS 2013 (EXCLUDING LAND USE, LAND USE CHANGE AND FORESTRY)</w:t>
                  </w: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spacing w:before="8"/>
                    <w:ind w:left="0"/>
                    <w:rPr>
                      <w:rFonts w:ascii="Times New Roman"/>
                      <w:sz w:val="22"/>
                    </w:rPr>
                  </w:pPr>
                </w:p>
                <w:p>
                  <w:pPr>
                    <w:spacing w:before="0"/>
                    <w:ind w:left="170" w:right="277" w:firstLine="0"/>
                    <w:jc w:val="left"/>
                    <w:rPr>
                      <w:b/>
                      <w:sz w:val="20"/>
                    </w:rPr>
                  </w:pPr>
                  <w:r>
                    <w:rPr>
                      <w:b/>
                      <w:color w:val="58595B"/>
                      <w:sz w:val="20"/>
                    </w:rPr>
                    <w:t>1)    How stringent might standards for NEW power stations be?</w:t>
                  </w:r>
                </w:p>
                <w:p>
                  <w:pPr>
                    <w:spacing w:before="40"/>
                    <w:ind w:left="170" w:right="277" w:firstLine="0"/>
                    <w:jc w:val="left"/>
                    <w:rPr>
                      <w:b/>
                      <w:i/>
                      <w:sz w:val="20"/>
                    </w:rPr>
                  </w:pPr>
                  <w:r>
                    <w:rPr>
                      <w:b/>
                      <w:i/>
                      <w:color w:val="58595B"/>
                      <w:sz w:val="20"/>
                    </w:rPr>
                    <w:t>What standards for new power stations are applied elsewhere?</w:t>
                  </w:r>
                </w:p>
                <w:p>
                  <w:pPr>
                    <w:spacing w:line="280" w:lineRule="auto" w:before="40"/>
                    <w:ind w:left="170" w:right="192" w:firstLine="0"/>
                    <w:jc w:val="left"/>
                    <w:rPr>
                      <w:sz w:val="20"/>
                    </w:rPr>
                  </w:pPr>
                  <w:r>
                    <w:rPr>
                      <w:color w:val="58595B"/>
                      <w:sz w:val="20"/>
                    </w:rPr>
                    <w:t>The </w:t>
                  </w:r>
                  <w:r>
                    <w:rPr>
                      <w:i/>
                      <w:color w:val="58595B"/>
                      <w:sz w:val="20"/>
                    </w:rPr>
                    <w:t>Independent Review of the Climate Change Act 2010 </w:t>
                  </w:r>
                  <w:r>
                    <w:rPr>
                      <w:color w:val="58595B"/>
                      <w:sz w:val="20"/>
                    </w:rPr>
                    <w:t>identified the US EPA and the Canadian Government (under the </w:t>
                  </w:r>
                  <w:r>
                    <w:rPr>
                      <w:i/>
                      <w:color w:val="58595B"/>
                      <w:sz w:val="20"/>
                    </w:rPr>
                    <w:t>Canadian Environmental Protection Act 1999</w:t>
                  </w:r>
                  <w:r>
                    <w:rPr>
                      <w:color w:val="58595B"/>
                      <w:sz w:val="20"/>
                    </w:rPr>
                    <w:t>) as examples the Victorian Government might consider in regulating power station emissions:</w:t>
                  </w:r>
                </w:p>
                <w:p>
                  <w:pPr>
                    <w:pStyle w:val="ListParagraph"/>
                    <w:numPr>
                      <w:ilvl w:val="0"/>
                      <w:numId w:val="65"/>
                    </w:numPr>
                    <w:tabs>
                      <w:tab w:pos="341" w:val="left" w:leader="none"/>
                    </w:tabs>
                    <w:spacing w:line="276" w:lineRule="auto" w:before="115" w:after="0"/>
                    <w:ind w:left="340" w:right="475" w:hanging="170"/>
                    <w:jc w:val="left"/>
                    <w:rPr>
                      <w:sz w:val="11"/>
                    </w:rPr>
                  </w:pPr>
                  <w:r>
                    <w:rPr>
                      <w:b/>
                      <w:color w:val="58595B"/>
                      <w:sz w:val="20"/>
                    </w:rPr>
                    <w:t>US </w:t>
                  </w:r>
                  <w:r>
                    <w:rPr>
                      <w:b/>
                      <w:color w:val="58595B"/>
                      <w:spacing w:val="-4"/>
                      <w:sz w:val="20"/>
                    </w:rPr>
                    <w:t>EPA </w:t>
                  </w:r>
                  <w:r>
                    <w:rPr>
                      <w:color w:val="58595B"/>
                      <w:sz w:val="20"/>
                    </w:rPr>
                    <w:t>– The Clean Power Plan includes emissions limits for new coal and new natural gas power stations. For coal, the emissions limit is approximately 0.64 tonnes of carbon dioxide equivalent emissions per megawatt hour (CO2-</w:t>
                  </w:r>
                  <w:r>
                    <w:rPr>
                      <w:color w:val="58595B"/>
                      <w:position w:val="-2"/>
                      <w:sz w:val="18"/>
                    </w:rPr>
                    <w:t>e</w:t>
                  </w:r>
                  <w:r>
                    <w:rPr>
                      <w:color w:val="58595B"/>
                      <w:sz w:val="20"/>
                    </w:rPr>
                    <w:t>/MWh) and is based on a new highly efficient supercritical pulverised coal unit with partial (20 per cent) carbon capture and storage </w:t>
                  </w:r>
                  <w:r>
                    <w:rPr>
                      <w:color w:val="58595B"/>
                      <w:spacing w:val="-3"/>
                      <w:sz w:val="20"/>
                    </w:rPr>
                    <w:t>(CCS). </w:t>
                  </w:r>
                  <w:r>
                    <w:rPr>
                      <w:color w:val="58595B"/>
                      <w:sz w:val="20"/>
                    </w:rPr>
                    <w:t>For natural gas, the emissions limit is approximately 0.45 tonnes CO2-</w:t>
                  </w:r>
                  <w:r>
                    <w:rPr>
                      <w:color w:val="58595B"/>
                      <w:position w:val="-2"/>
                      <w:sz w:val="18"/>
                    </w:rPr>
                    <w:t>e</w:t>
                  </w:r>
                  <w:r>
                    <w:rPr>
                      <w:color w:val="58595B"/>
                      <w:sz w:val="20"/>
                    </w:rPr>
                    <w:t>/MWh.</w:t>
                  </w:r>
                  <w:r>
                    <w:rPr>
                      <w:color w:val="58595B"/>
                      <w:position w:val="7"/>
                      <w:sz w:val="11"/>
                    </w:rPr>
                    <w:t>20</w:t>
                  </w:r>
                </w:p>
                <w:p>
                  <w:pPr>
                    <w:pStyle w:val="ListParagraph"/>
                    <w:numPr>
                      <w:ilvl w:val="0"/>
                      <w:numId w:val="65"/>
                    </w:numPr>
                    <w:tabs>
                      <w:tab w:pos="341" w:val="left" w:leader="none"/>
                    </w:tabs>
                    <w:spacing w:line="280" w:lineRule="auto" w:before="90" w:after="0"/>
                    <w:ind w:left="340" w:right="610" w:hanging="170"/>
                    <w:jc w:val="left"/>
                    <w:rPr>
                      <w:sz w:val="11"/>
                    </w:rPr>
                  </w:pPr>
                  <w:r>
                    <w:rPr>
                      <w:b/>
                      <w:color w:val="58595B"/>
                      <w:sz w:val="20"/>
                    </w:rPr>
                    <w:t>Canada </w:t>
                  </w:r>
                  <w:r>
                    <w:rPr>
                      <w:color w:val="58595B"/>
                      <w:sz w:val="20"/>
                    </w:rPr>
                    <w:t>– The performance standard for any new power station is set at the emissions intensity level of natural gas combined cycle technology and is fixed at 0.42 tonnes CO2-</w:t>
                  </w:r>
                  <w:r>
                    <w:rPr>
                      <w:color w:val="58595B"/>
                      <w:position w:val="-2"/>
                      <w:sz w:val="18"/>
                    </w:rPr>
                    <w:t>e</w:t>
                  </w:r>
                  <w:r>
                    <w:rPr>
                      <w:color w:val="58595B"/>
                      <w:sz w:val="20"/>
                    </w:rPr>
                    <w:t>/MWh.</w:t>
                  </w:r>
                  <w:r>
                    <w:rPr>
                      <w:color w:val="58595B"/>
                      <w:position w:val="7"/>
                      <w:sz w:val="11"/>
                    </w:rPr>
                    <w:t>21</w:t>
                  </w:r>
                </w:p>
              </w:txbxContent>
            </v:textbox>
            <w10:wrap type="none"/>
          </v:shape>
        </w:pict>
      </w:r>
      <w:r>
        <w:rPr/>
        <w:pict>
          <v:shape style="position:absolute;margin-left:.0pt;margin-top:44.090015pt;width:60.3pt;height:5.25pt;mso-position-horizontal-relative:page;mso-position-vertical-relative:page;z-index:-176656"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6632"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6608" from="534.996094pt,45.840015pt" to="595.276001pt,45.840015pt" stroked="true" strokeweight="7pt" strokecolor="#0095a7">
            <w10:wrap type="none"/>
          </v:line>
        </w:pict>
      </w:r>
      <w:r>
        <w:rPr/>
        <w:pict>
          <v:rect style="position:absolute;margin-left:90.709pt;margin-top:107.717018pt;width:432.701pt;height:669.985pt;mso-position-horizontal-relative:page;mso-position-vertical-relative:page;z-index:-176584" filled="true" fillcolor="#e5e2ed" stroked="false">
            <v:fill type="solid"/>
            <w10:wrap type="none"/>
          </v:rect>
        </w:pict>
      </w:r>
      <w:r>
        <w:rPr/>
        <w:pict>
          <v:shape style="position:absolute;margin-left:230.659805pt;margin-top:40.902756pt;width:269.25pt;height:9.5pt;mso-position-horizontal-relative:page;mso-position-vertical-relative:page;z-index:-176560" type="#_x0000_t202" filled="false" stroked="false">
            <v:textbox inset="0,0,0,0">
              <w:txbxContent>
                <w:p>
                  <w:pPr>
                    <w:spacing w:before="1"/>
                    <w:ind w:left="20" w:right="0" w:firstLine="0"/>
                    <w:jc w:val="left"/>
                    <w:rPr>
                      <w:sz w:val="15"/>
                    </w:rPr>
                  </w:pPr>
                  <w:r>
                    <w:rPr>
                      <w:color w:val="58595B"/>
                      <w:sz w:val="15"/>
                    </w:rPr>
                    <w:t>CHAPTER 8    RESPONDING TO THE CHALLENGE OF CLIMATE CHANGE</w:t>
                  </w:r>
                </w:p>
              </w:txbxContent>
            </v:textbox>
            <w10:wrap type="none"/>
          </v:shape>
        </w:pict>
      </w:r>
      <w:r>
        <w:rPr/>
        <w:pict>
          <v:shape style="position:absolute;margin-left:510.838287pt;margin-top:40.902756pt;width:14.55pt;height:9.5pt;mso-position-horizontal-relative:page;mso-position-vertical-relative:page;z-index:-176536" type="#_x0000_t202" filled="false" stroked="false">
            <v:textbox inset="0,0,0,0">
              <w:txbxContent>
                <w:p>
                  <w:pPr>
                    <w:spacing w:before="1"/>
                    <w:ind w:left="20" w:right="0" w:firstLine="0"/>
                    <w:jc w:val="left"/>
                    <w:rPr>
                      <w:sz w:val="15"/>
                    </w:rPr>
                  </w:pPr>
                  <w:r>
                    <w:rPr>
                      <w:color w:val="58595B"/>
                      <w:sz w:val="15"/>
                    </w:rPr>
                    <w:t>163</w:t>
                  </w:r>
                </w:p>
              </w:txbxContent>
            </v:textbox>
            <w10:wrap type="none"/>
          </v:shape>
        </w:pict>
      </w:r>
      <w:r>
        <w:rPr/>
        <w:pict>
          <v:shape style="position:absolute;margin-left:90.709pt;margin-top:107.717018pt;width:432.75pt;height:670pt;mso-position-horizontal-relative:page;mso-position-vertical-relative:page;z-index:-176512" type="#_x0000_t202" filled="false" stroked="false">
            <v:textbox inset="0,0,0,0">
              <w:txbxContent>
                <w:p>
                  <w:pPr>
                    <w:spacing w:before="128"/>
                    <w:ind w:left="170" w:right="482" w:firstLine="0"/>
                    <w:jc w:val="left"/>
                    <w:rPr>
                      <w:b/>
                      <w:i/>
                      <w:sz w:val="20"/>
                    </w:rPr>
                  </w:pPr>
                  <w:r>
                    <w:rPr>
                      <w:b/>
                      <w:i/>
                      <w:color w:val="58595B"/>
                      <w:sz w:val="20"/>
                    </w:rPr>
                    <w:t>What are the implications of these approaches in a Victorian context?</w:t>
                  </w:r>
                </w:p>
                <w:p>
                  <w:pPr>
                    <w:pStyle w:val="BodyText"/>
                    <w:spacing w:line="280" w:lineRule="auto" w:before="40"/>
                    <w:ind w:left="170" w:right="161"/>
                  </w:pPr>
                  <w:r>
                    <w:rPr>
                      <w:color w:val="58595B"/>
                    </w:rPr>
                    <w:t>The implications for Victoria would depend on the level at which emissions intensity limits for new power stations were set. Limits in line with those of the US and Canada would effectively preclude the construction of a new brown coal power station that was not fitted with CCS</w:t>
                  </w:r>
                </w:p>
                <w:p>
                  <w:pPr>
                    <w:pStyle w:val="BodyText"/>
                    <w:spacing w:line="280" w:lineRule="auto" w:before="2"/>
                    <w:ind w:left="170" w:right="161"/>
                  </w:pPr>
                  <w:r>
                    <w:rPr>
                      <w:color w:val="58595B"/>
                    </w:rPr>
                    <w:t>to capture a substantial proportion of emissions. A new combined cycle natural gas power station could be constructed – however, given the need to transition to a decarbonised electricity sector by mid-century, gas-fired power stations will need to be retrofitted with CCS, or the plant may have to close before the end of its economic life.</w:t>
                  </w:r>
                </w:p>
                <w:p>
                  <w:pPr>
                    <w:spacing w:before="172"/>
                    <w:ind w:left="170" w:right="482" w:firstLine="0"/>
                    <w:jc w:val="left"/>
                    <w:rPr>
                      <w:b/>
                      <w:sz w:val="20"/>
                    </w:rPr>
                  </w:pPr>
                  <w:r>
                    <w:rPr>
                      <w:b/>
                      <w:color w:val="58595B"/>
                      <w:sz w:val="20"/>
                    </w:rPr>
                    <w:t>2)   How stringent might standards for EXISTING power stations</w:t>
                  </w:r>
                  <w:r>
                    <w:rPr>
                      <w:b/>
                      <w:color w:val="58595B"/>
                      <w:spacing w:val="54"/>
                      <w:sz w:val="20"/>
                    </w:rPr>
                    <w:t> </w:t>
                  </w:r>
                  <w:r>
                    <w:rPr>
                      <w:b/>
                      <w:color w:val="58595B"/>
                      <w:spacing w:val="-3"/>
                      <w:sz w:val="20"/>
                    </w:rPr>
                    <w:t>be?</w:t>
                  </w:r>
                </w:p>
                <w:p>
                  <w:pPr>
                    <w:spacing w:before="40"/>
                    <w:ind w:left="170" w:right="482" w:firstLine="0"/>
                    <w:jc w:val="left"/>
                    <w:rPr>
                      <w:b/>
                      <w:i/>
                      <w:sz w:val="20"/>
                    </w:rPr>
                  </w:pPr>
                  <w:r>
                    <w:rPr>
                      <w:b/>
                      <w:i/>
                      <w:color w:val="58595B"/>
                      <w:sz w:val="20"/>
                    </w:rPr>
                    <w:t>What standards for existing power stations are applied elsewhere?</w:t>
                  </w:r>
                </w:p>
                <w:p>
                  <w:pPr>
                    <w:pStyle w:val="BodyText"/>
                    <w:spacing w:before="3"/>
                    <w:ind w:left="0"/>
                    <w:rPr>
                      <w:rFonts w:ascii="Times New Roman"/>
                      <w:sz w:val="18"/>
                    </w:rPr>
                  </w:pPr>
                </w:p>
                <w:p>
                  <w:pPr>
                    <w:pStyle w:val="BodyText"/>
                    <w:spacing w:line="280" w:lineRule="auto"/>
                    <w:ind w:left="170" w:right="161"/>
                  </w:pPr>
                  <w:r>
                    <w:rPr>
                      <w:b/>
                      <w:color w:val="58595B"/>
                    </w:rPr>
                    <w:t>US EPA </w:t>
                  </w:r>
                  <w:r>
                    <w:rPr>
                      <w:color w:val="58595B"/>
                    </w:rPr>
                    <w:t>– the Clean Power Plan includes a complex approach to reducing emissions from existing power stations:</w:t>
                  </w:r>
                </w:p>
                <w:p>
                  <w:pPr>
                    <w:pStyle w:val="ListParagraph"/>
                    <w:numPr>
                      <w:ilvl w:val="0"/>
                      <w:numId w:val="66"/>
                    </w:numPr>
                    <w:tabs>
                      <w:tab w:pos="341" w:val="left" w:leader="none"/>
                    </w:tabs>
                    <w:spacing w:line="240" w:lineRule="auto" w:before="115" w:after="0"/>
                    <w:ind w:left="340" w:right="0" w:hanging="170"/>
                    <w:jc w:val="left"/>
                    <w:rPr>
                      <w:sz w:val="20"/>
                    </w:rPr>
                  </w:pPr>
                  <w:r>
                    <w:rPr>
                      <w:color w:val="58595B"/>
                      <w:spacing w:val="-4"/>
                      <w:sz w:val="20"/>
                    </w:rPr>
                    <w:t>47 </w:t>
                  </w:r>
                  <w:r>
                    <w:rPr>
                      <w:color w:val="58595B"/>
                      <w:sz w:val="20"/>
                    </w:rPr>
                    <w:t>of the 50 US states must develop State Plans that ensure power stations in the</w:t>
                  </w:r>
                  <w:r>
                    <w:rPr>
                      <w:color w:val="58595B"/>
                      <w:spacing w:val="-4"/>
                      <w:sz w:val="20"/>
                    </w:rPr>
                    <w:t> </w:t>
                  </w:r>
                  <w:r>
                    <w:rPr>
                      <w:color w:val="58595B"/>
                      <w:sz w:val="20"/>
                    </w:rPr>
                    <w:t>state</w:t>
                  </w:r>
                </w:p>
                <w:p>
                  <w:pPr>
                    <w:pStyle w:val="ListParagraph"/>
                    <w:numPr>
                      <w:ilvl w:val="1"/>
                      <w:numId w:val="66"/>
                    </w:numPr>
                    <w:tabs>
                      <w:tab w:pos="507" w:val="left" w:leader="none"/>
                    </w:tabs>
                    <w:spacing w:line="280" w:lineRule="auto" w:before="40" w:after="0"/>
                    <w:ind w:left="340" w:right="465" w:firstLine="0"/>
                    <w:jc w:val="both"/>
                    <w:rPr>
                      <w:sz w:val="20"/>
                    </w:rPr>
                  </w:pPr>
                  <w:r>
                    <w:rPr>
                      <w:color w:val="58595B"/>
                      <w:sz w:val="20"/>
                    </w:rPr>
                    <w:t>either individually, collectively or in combination with other measures – achieve interim CO2 performance rates between 2022 and 2029, and final emissions performance rates by</w:t>
                  </w:r>
                  <w:r>
                    <w:rPr>
                      <w:color w:val="58595B"/>
                      <w:spacing w:val="-2"/>
                      <w:sz w:val="20"/>
                    </w:rPr>
                    <w:t> </w:t>
                  </w:r>
                  <w:r>
                    <w:rPr>
                      <w:color w:val="58595B"/>
                      <w:sz w:val="20"/>
                    </w:rPr>
                    <w:t>2030.</w:t>
                  </w:r>
                </w:p>
                <w:p>
                  <w:pPr>
                    <w:pStyle w:val="ListParagraph"/>
                    <w:numPr>
                      <w:ilvl w:val="0"/>
                      <w:numId w:val="66"/>
                    </w:numPr>
                    <w:tabs>
                      <w:tab w:pos="341" w:val="left" w:leader="none"/>
                    </w:tabs>
                    <w:spacing w:line="280" w:lineRule="auto" w:before="115" w:after="0"/>
                    <w:ind w:left="340" w:right="268" w:hanging="170"/>
                    <w:jc w:val="left"/>
                    <w:rPr>
                      <w:sz w:val="20"/>
                    </w:rPr>
                  </w:pPr>
                  <w:r>
                    <w:rPr>
                      <w:color w:val="58595B"/>
                      <w:sz w:val="20"/>
                    </w:rPr>
                    <w:t>Each state has separate goals, which are expressed in two ways – a rate-based goal (that is, an average emissions intensity limit for a state’s power stations) and a mass-based goal (that is, a limit for the total emissions from power stations in the </w:t>
                  </w:r>
                  <w:r>
                    <w:rPr>
                      <w:color w:val="58595B"/>
                      <w:spacing w:val="-3"/>
                      <w:sz w:val="20"/>
                    </w:rPr>
                    <w:t>state). </w:t>
                  </w:r>
                  <w:r>
                    <w:rPr>
                      <w:color w:val="58595B"/>
                      <w:sz w:val="20"/>
                    </w:rPr>
                    <w:t>States can choose which form of goal they use in developing their State</w:t>
                  </w:r>
                  <w:r>
                    <w:rPr>
                      <w:color w:val="58595B"/>
                      <w:spacing w:val="-4"/>
                      <w:sz w:val="20"/>
                    </w:rPr>
                    <w:t> </w:t>
                  </w:r>
                  <w:r>
                    <w:rPr>
                      <w:color w:val="58595B"/>
                      <w:sz w:val="20"/>
                    </w:rPr>
                    <w:t>Plan.</w:t>
                  </w:r>
                </w:p>
                <w:p>
                  <w:pPr>
                    <w:pStyle w:val="ListParagraph"/>
                    <w:numPr>
                      <w:ilvl w:val="0"/>
                      <w:numId w:val="66"/>
                    </w:numPr>
                    <w:tabs>
                      <w:tab w:pos="341" w:val="left" w:leader="none"/>
                    </w:tabs>
                    <w:spacing w:line="273" w:lineRule="auto" w:before="115" w:after="0"/>
                    <w:ind w:left="340" w:right="377" w:hanging="170"/>
                    <w:jc w:val="left"/>
                    <w:rPr>
                      <w:sz w:val="20"/>
                    </w:rPr>
                  </w:pPr>
                  <w:r>
                    <w:rPr>
                      <w:color w:val="58595B"/>
                      <w:sz w:val="20"/>
                    </w:rPr>
                    <w:t>The 2030 rate-based goals of the </w:t>
                  </w:r>
                  <w:r>
                    <w:rPr>
                      <w:color w:val="58595B"/>
                      <w:spacing w:val="-4"/>
                      <w:sz w:val="20"/>
                    </w:rPr>
                    <w:t>47 </w:t>
                  </w:r>
                  <w:r>
                    <w:rPr>
                      <w:color w:val="58595B"/>
                      <w:sz w:val="20"/>
                    </w:rPr>
                    <w:t>states lie in the range of approximately 0.35 to 0.59 tonnes CO2-</w:t>
                  </w:r>
                  <w:r>
                    <w:rPr>
                      <w:color w:val="58595B"/>
                      <w:position w:val="-2"/>
                      <w:sz w:val="18"/>
                    </w:rPr>
                    <w:t>e</w:t>
                  </w:r>
                  <w:r>
                    <w:rPr>
                      <w:color w:val="58595B"/>
                      <w:sz w:val="20"/>
                    </w:rPr>
                    <w:t>/MWh. The lower limit is based on states that have only natural gas power stations while the upper limit is based on states that have only coal/oil power stations. For example, Kentucky – where coal fuelled 92 per cent of net electricity generation in</w:t>
                  </w:r>
                  <w:r>
                    <w:rPr>
                      <w:color w:val="58595B"/>
                      <w:spacing w:val="14"/>
                      <w:sz w:val="20"/>
                    </w:rPr>
                    <w:t> </w:t>
                  </w:r>
                  <w:r>
                    <w:rPr>
                      <w:color w:val="58595B"/>
                      <w:spacing w:val="-4"/>
                      <w:sz w:val="20"/>
                    </w:rPr>
                    <w:t>2014</w:t>
                  </w:r>
                </w:p>
                <w:p>
                  <w:pPr>
                    <w:pStyle w:val="ListParagraph"/>
                    <w:numPr>
                      <w:ilvl w:val="1"/>
                      <w:numId w:val="66"/>
                    </w:numPr>
                    <w:tabs>
                      <w:tab w:pos="507" w:val="left" w:leader="none"/>
                    </w:tabs>
                    <w:spacing w:line="261" w:lineRule="auto" w:before="8" w:after="0"/>
                    <w:ind w:left="340" w:right="168" w:firstLine="0"/>
                    <w:jc w:val="left"/>
                    <w:rPr>
                      <w:sz w:val="20"/>
                    </w:rPr>
                  </w:pPr>
                  <w:r>
                    <w:rPr>
                      <w:color w:val="58595B"/>
                      <w:sz w:val="20"/>
                    </w:rPr>
                    <w:t>has a rate-based goal for 2030 of 0.58 tonnes CO2-</w:t>
                  </w:r>
                  <w:r>
                    <w:rPr>
                      <w:color w:val="58595B"/>
                      <w:position w:val="-2"/>
                      <w:sz w:val="18"/>
                    </w:rPr>
                    <w:t>e</w:t>
                  </w:r>
                  <w:r>
                    <w:rPr>
                      <w:color w:val="58595B"/>
                      <w:sz w:val="20"/>
                    </w:rPr>
                    <w:t>/MWh. Its power sector’s average emissions rate in </w:t>
                  </w:r>
                  <w:r>
                    <w:rPr>
                      <w:color w:val="58595B"/>
                      <w:spacing w:val="-4"/>
                      <w:sz w:val="20"/>
                    </w:rPr>
                    <w:t>2012 </w:t>
                  </w:r>
                  <w:r>
                    <w:rPr>
                      <w:color w:val="58595B"/>
                      <w:sz w:val="20"/>
                    </w:rPr>
                    <w:t>was 0.98 tonnes CO2-</w:t>
                  </w:r>
                  <w:r>
                    <w:rPr>
                      <w:color w:val="58595B"/>
                      <w:position w:val="-2"/>
                      <w:sz w:val="18"/>
                    </w:rPr>
                    <w:t>e</w:t>
                  </w:r>
                  <w:r>
                    <w:rPr>
                      <w:color w:val="58595B"/>
                      <w:sz w:val="20"/>
                    </w:rPr>
                    <w:t>/MWh and its projected emissions intensity  in 2020 without the Clean Power Plan is 0.81 tonnes CO2-</w:t>
                  </w:r>
                  <w:r>
                    <w:rPr>
                      <w:color w:val="58595B"/>
                      <w:position w:val="-2"/>
                      <w:sz w:val="18"/>
                    </w:rPr>
                    <w:t>e</w:t>
                  </w:r>
                  <w:r>
                    <w:rPr>
                      <w:color w:val="58595B"/>
                      <w:sz w:val="20"/>
                    </w:rPr>
                    <w:t>/MWh. The mass-based goal for Kentucky represents a </w:t>
                  </w:r>
                  <w:r>
                    <w:rPr>
                      <w:color w:val="58595B"/>
                      <w:spacing w:val="-4"/>
                      <w:sz w:val="20"/>
                    </w:rPr>
                    <w:t>31 </w:t>
                  </w:r>
                  <w:r>
                    <w:rPr>
                      <w:color w:val="58595B"/>
                      <w:sz w:val="20"/>
                    </w:rPr>
                    <w:t>per cent reduction in power sector emissions by 2030 compared with</w:t>
                  </w:r>
                  <w:r>
                    <w:rPr>
                      <w:color w:val="58595B"/>
                      <w:spacing w:val="3"/>
                      <w:sz w:val="20"/>
                    </w:rPr>
                    <w:t> </w:t>
                  </w:r>
                  <w:r>
                    <w:rPr>
                      <w:color w:val="58595B"/>
                      <w:spacing w:val="-3"/>
                      <w:sz w:val="20"/>
                    </w:rPr>
                    <w:t>2012.</w:t>
                  </w:r>
                </w:p>
                <w:p>
                  <w:pPr>
                    <w:pStyle w:val="ListParagraph"/>
                    <w:numPr>
                      <w:ilvl w:val="0"/>
                      <w:numId w:val="66"/>
                    </w:numPr>
                    <w:tabs>
                      <w:tab w:pos="340" w:val="left" w:leader="none"/>
                    </w:tabs>
                    <w:spacing w:line="280" w:lineRule="auto" w:before="133" w:after="0"/>
                    <w:ind w:left="339" w:right="543" w:hanging="170"/>
                    <w:jc w:val="left"/>
                    <w:rPr>
                      <w:sz w:val="20"/>
                    </w:rPr>
                  </w:pPr>
                  <w:r>
                    <w:rPr>
                      <w:color w:val="58595B"/>
                      <w:sz w:val="20"/>
                    </w:rPr>
                    <w:t>States have flexibility in how to pursue their State Plan – for example, emissions trading between states; demand-side energy efficiency improvements; and investment in renewable</w:t>
                  </w:r>
                  <w:r>
                    <w:rPr>
                      <w:color w:val="58595B"/>
                      <w:spacing w:val="-15"/>
                      <w:sz w:val="20"/>
                    </w:rPr>
                    <w:t> </w:t>
                  </w:r>
                  <w:r>
                    <w:rPr>
                      <w:color w:val="58595B"/>
                      <w:sz w:val="20"/>
                    </w:rPr>
                    <w:t>energy.</w:t>
                  </w:r>
                </w:p>
                <w:p>
                  <w:pPr>
                    <w:pStyle w:val="BodyText"/>
                    <w:spacing w:line="280" w:lineRule="auto" w:before="172"/>
                    <w:ind w:left="169" w:right="739"/>
                  </w:pPr>
                  <w:r>
                    <w:rPr>
                      <w:b/>
                      <w:color w:val="58595B"/>
                    </w:rPr>
                    <w:t>Canada </w:t>
                  </w:r>
                  <w:r>
                    <w:rPr>
                      <w:color w:val="58595B"/>
                    </w:rPr>
                    <w:t>introduced a provision in regulations under its Environmental Protection Act regarding ‘end-of-life’ coal-fired power stations. The regulations are triggered by power station age. In effect, once a power station reaches 50 years of age, it must meet an emissions intensity level equivalent to a natural gas combined cycle plant – that is, 0.42 tonnes CO2-</w:t>
                  </w:r>
                  <w:r>
                    <w:rPr>
                      <w:color w:val="58595B"/>
                      <w:position w:val="-2"/>
                      <w:sz w:val="18"/>
                    </w:rPr>
                    <w:t>e</w:t>
                  </w:r>
                  <w:r>
                    <w:rPr>
                      <w:color w:val="58595B"/>
                    </w:rPr>
                    <w:t>/MWh.</w:t>
                  </w:r>
                </w:p>
                <w:p>
                  <w:pPr>
                    <w:spacing w:before="142"/>
                    <w:ind w:left="170" w:right="482" w:firstLine="0"/>
                    <w:jc w:val="left"/>
                    <w:rPr>
                      <w:b/>
                      <w:i/>
                      <w:sz w:val="20"/>
                    </w:rPr>
                  </w:pPr>
                  <w:r>
                    <w:rPr>
                      <w:b/>
                      <w:i/>
                      <w:color w:val="58595B"/>
                      <w:sz w:val="20"/>
                    </w:rPr>
                    <w:t>What are the implications of these approaches in a Victorian context?</w:t>
                  </w:r>
                </w:p>
                <w:p>
                  <w:pPr>
                    <w:pStyle w:val="BodyText"/>
                    <w:spacing w:line="280" w:lineRule="auto" w:before="40"/>
                    <w:ind w:left="170" w:right="482"/>
                  </w:pPr>
                  <w:r>
                    <w:rPr>
                      <w:color w:val="58595B"/>
                    </w:rPr>
                    <w:t>The emissions intensity and age profile</w:t>
                  </w:r>
                  <w:r>
                    <w:rPr>
                      <w:color w:val="58595B"/>
                      <w:position w:val="7"/>
                      <w:sz w:val="11"/>
                    </w:rPr>
                    <w:t>22 </w:t>
                  </w:r>
                  <w:r>
                    <w:rPr>
                      <w:color w:val="58595B"/>
                    </w:rPr>
                    <w:t>of Victoria’s existing brown coal power stations shows Hazelwood power station is close to 50 years of age (figure 8.2). Further, the emissions intensity of all Victorian power stations exceeds 1.2 tonnes CO2-</w:t>
                  </w:r>
                  <w:r>
                    <w:rPr>
                      <w:color w:val="58595B"/>
                      <w:position w:val="-2"/>
                      <w:sz w:val="18"/>
                    </w:rPr>
                    <w:t>e</w:t>
                  </w:r>
                  <w:r>
                    <w:rPr>
                      <w:color w:val="58595B"/>
                    </w:rPr>
                    <w:t>/MWh.</w:t>
                  </w:r>
                </w:p>
                <w:p>
                  <w:pPr>
                    <w:pStyle w:val="BodyText"/>
                    <w:spacing w:line="280" w:lineRule="auto" w:before="142"/>
                    <w:ind w:left="170" w:right="531"/>
                    <w:jc w:val="both"/>
                  </w:pPr>
                  <w:r>
                    <w:rPr>
                      <w:color w:val="58595B"/>
                    </w:rPr>
                    <w:t>Adopting the Canadian approach would likely result in the withdrawal of Hazelwood in the near term, but it would not trigger action at Yallourn until the early 2030s, Loy Yang A until the late 2030s, and at Loy Yang B until the mid-2040s.</w:t>
                  </w:r>
                </w:p>
              </w:txbxContent>
            </v:textbox>
            <w10:wrap type="none"/>
          </v:shape>
        </w:pict>
      </w:r>
      <w:r>
        <w:rPr/>
        <w:pict>
          <v:shape style="position:absolute;margin-left:534.996094pt;margin-top:44.090015pt;width:60.3pt;height:5.25pt;mso-position-horizontal-relative:page;mso-position-vertical-relative:page;z-index:-176488"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6464"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6440" from=".0pt,45.840015pt" to="60.2791pt,45.840015pt" stroked="true" strokeweight="7pt" strokecolor="#0095a7">
            <w10:wrap type="none"/>
          </v:line>
        </w:pict>
      </w:r>
      <w:r>
        <w:rPr/>
        <w:pict>
          <v:group style="position:absolute;margin-left:70.865997pt;margin-top:107.717018pt;width:432.7pt;height:683.5pt;mso-position-horizontal-relative:page;mso-position-vertical-relative:page;z-index:-176416" coordorigin="1417,2154" coordsize="8654,13670">
            <v:rect style="position:absolute;left:1417;top:2154;width:8654;height:13669" filled="true" fillcolor="#e5e2ed" stroked="false">
              <v:fill type="solid"/>
            </v:rect>
            <v:shape style="position:absolute;left:1587;top:7639;width:8138;height:5245" type="#_x0000_t75" stroked="false">
              <v:imagedata r:id="rId45" o:title=""/>
            </v:shape>
            <w10:wrap type="none"/>
          </v:group>
        </w:pict>
      </w:r>
      <w:r>
        <w:rPr/>
        <w:pict>
          <v:shape style="position:absolute;margin-left:69.866096pt;margin-top:40.902756pt;width:14.65pt;height:9.5pt;mso-position-horizontal-relative:page;mso-position-vertical-relative:page;z-index:-176392" type="#_x0000_t202" filled="false" stroked="false">
            <v:textbox inset="0,0,0,0">
              <w:txbxContent>
                <w:p>
                  <w:pPr>
                    <w:spacing w:before="1"/>
                    <w:ind w:left="20" w:right="0" w:firstLine="0"/>
                    <w:jc w:val="left"/>
                    <w:rPr>
                      <w:sz w:val="15"/>
                    </w:rPr>
                  </w:pPr>
                  <w:r>
                    <w:rPr>
                      <w:color w:val="58595B"/>
                      <w:sz w:val="15"/>
                    </w:rPr>
                    <w:t>164</w:t>
                  </w:r>
                </w:p>
              </w:txbxContent>
            </v:textbox>
            <w10:wrap type="none"/>
          </v:shape>
        </w:pict>
      </w:r>
      <w:r>
        <w:rPr/>
        <w:pict>
          <v:shape style="position:absolute;margin-left:95.377899pt;margin-top:40.902756pt;width:147.75pt;height:9.5pt;mso-position-horizontal-relative:page;mso-position-vertical-relative:page;z-index:-176368"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70.865997pt;margin-top:107.717018pt;width:432.7pt;height:683.5pt;mso-position-horizontal-relative:page;mso-position-vertical-relative:page;z-index:-176344" type="#_x0000_t202" filled="false" stroked="false">
            <v:textbox inset="0,0,0,0">
              <w:txbxContent>
                <w:p>
                  <w:pPr>
                    <w:pStyle w:val="BodyText"/>
                    <w:spacing w:line="276" w:lineRule="auto" w:before="128"/>
                    <w:ind w:left="169" w:right="327"/>
                  </w:pPr>
                  <w:r>
                    <w:rPr>
                      <w:color w:val="58595B"/>
                    </w:rPr>
                    <w:t>The impacts of imposing a rate-based goal (emissions intensity limits) like that of the US EPA’s State Plans would depend on the rate at which the limits were set. For example, assuming limited ability for Hazelwood and Yallourn to significantly improve their emissions intensity, a limit of less than 1.4 tonnes CO2-</w:t>
                  </w:r>
                  <w:r>
                    <w:rPr>
                      <w:color w:val="58595B"/>
                      <w:position w:val="-2"/>
                      <w:sz w:val="18"/>
                    </w:rPr>
                    <w:t>e</w:t>
                  </w:r>
                  <w:r>
                    <w:rPr>
                      <w:color w:val="58595B"/>
                    </w:rPr>
                    <w:t>/MWh would likely result in the withdrawal of both plants. Adopting limits in line with the US EPA’s final 2030 rate-based goal’s upper limit of 0.59 tonnes CO2-</w:t>
                  </w:r>
                  <w:r>
                    <w:rPr>
                      <w:color w:val="58595B"/>
                      <w:position w:val="-2"/>
                      <w:sz w:val="18"/>
                    </w:rPr>
                    <w:t>e</w:t>
                  </w:r>
                  <w:r>
                    <w:rPr>
                      <w:color w:val="58595B"/>
                    </w:rPr>
                    <w:t>/MWh would likely see the withdrawal of all four Victorian brown coal power stations (assuming retrofitting of CCS is not practicable), even allowing for flexibility by including measures such as energy efficiency improvement and investment in renewable energy. This is because Victoria’s brown coal is much more emissions intensive than the bituminous coal that fuels many US coal-fired power stations.</w:t>
                  </w:r>
                </w:p>
                <w:p>
                  <w:pPr>
                    <w:pStyle w:val="BodyText"/>
                    <w:spacing w:line="280" w:lineRule="auto" w:before="176"/>
                    <w:ind w:left="169" w:right="208"/>
                  </w:pPr>
                  <w:r>
                    <w:rPr>
                      <w:color w:val="58595B"/>
                    </w:rPr>
                    <w:t>It is a matter for the Victorian Government to consider not only its climate change mitigation policy objectives, but also the need for orderly transition of the state’s electricity supplies to maintain system reliability and security of supply. In particular, standards (whether age-based and/or emissions intensity-based) and their trajectory over time will need to be tailored to account for the age and emissions profile of the Latrobe Valley power stations. It is beyond the scope of this inquiry to make specific recommendations on this matter.</w:t>
                  </w:r>
                </w:p>
                <w:p>
                  <w:pPr>
                    <w:pStyle w:val="BodyText"/>
                    <w:spacing w:before="4"/>
                    <w:ind w:left="0"/>
                    <w:rPr>
                      <w:rFonts w:ascii="Times New Roman"/>
                      <w:sz w:val="17"/>
                    </w:rPr>
                  </w:pPr>
                </w:p>
                <w:p>
                  <w:pPr>
                    <w:pStyle w:val="BodyText"/>
                    <w:spacing w:line="280" w:lineRule="auto" w:before="1"/>
                    <w:ind w:left="169" w:right="319"/>
                  </w:pPr>
                  <w:r>
                    <w:rPr>
                      <w:b/>
                      <w:color w:val="0095A7"/>
                    </w:rPr>
                    <w:t>FIGURE 8.2 </w:t>
                  </w:r>
                  <w:r>
                    <w:rPr>
                      <w:color w:val="0095A7"/>
                    </w:rPr>
                    <w:t>APPROXIMATE AGE AND EMISSIONS INTENSITY OF VICTORIA’S BROWN COAL GENERATORS</w:t>
                  </w: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ind w:left="0"/>
                    <w:rPr>
                      <w:rFonts w:ascii="Times New Roman"/>
                    </w:rPr>
                  </w:pPr>
                </w:p>
                <w:p>
                  <w:pPr>
                    <w:pStyle w:val="BodyText"/>
                    <w:spacing w:before="4"/>
                    <w:ind w:left="0"/>
                    <w:rPr>
                      <w:rFonts w:ascii="Times New Roman"/>
                      <w:sz w:val="29"/>
                    </w:rPr>
                  </w:pPr>
                </w:p>
                <w:p>
                  <w:pPr>
                    <w:pStyle w:val="Heading1"/>
                    <w:numPr>
                      <w:ilvl w:val="0"/>
                      <w:numId w:val="67"/>
                    </w:numPr>
                    <w:tabs>
                      <w:tab w:pos="511" w:val="left" w:leader="none"/>
                    </w:tabs>
                    <w:spacing w:line="240" w:lineRule="auto" w:before="0" w:after="0"/>
                    <w:ind w:left="510" w:right="0" w:hanging="340"/>
                    <w:jc w:val="left"/>
                  </w:pPr>
                  <w:r>
                    <w:rPr>
                      <w:color w:val="58595B"/>
                    </w:rPr>
                    <w:t>Might regulation be pursued through the use of economic</w:t>
                  </w:r>
                  <w:r>
                    <w:rPr>
                      <w:color w:val="58595B"/>
                      <w:spacing w:val="42"/>
                    </w:rPr>
                    <w:t> </w:t>
                  </w:r>
                  <w:r>
                    <w:rPr>
                      <w:color w:val="58595B"/>
                    </w:rPr>
                    <w:t>measures?</w:t>
                  </w:r>
                </w:p>
                <w:p>
                  <w:pPr>
                    <w:pStyle w:val="BodyText"/>
                    <w:spacing w:line="280" w:lineRule="auto" w:before="40"/>
                    <w:ind w:left="170" w:right="277"/>
                    <w:rPr>
                      <w:sz w:val="11"/>
                    </w:rPr>
                  </w:pPr>
                  <w:r>
                    <w:rPr>
                      <w:color w:val="58595B"/>
                    </w:rPr>
                    <w:t>The EP Act enables the EPA to develop economic measures or incentives to avoid or minimise harm to the environment, including tradeable permit/emissions trading schemes.</w:t>
                  </w:r>
                  <w:r>
                    <w:rPr>
                      <w:color w:val="58595B"/>
                      <w:position w:val="7"/>
                      <w:sz w:val="11"/>
                    </w:rPr>
                    <w:t>23 </w:t>
                  </w:r>
                  <w:r>
                    <w:rPr>
                      <w:color w:val="58595B"/>
                    </w:rPr>
                    <w:t>The Victorian Government has ruled out a state-based emissions trading framework.</w:t>
                  </w:r>
                  <w:r>
                    <w:rPr>
                      <w:color w:val="58595B"/>
                      <w:position w:val="7"/>
                      <w:sz w:val="11"/>
                    </w:rPr>
                    <w:t>24</w:t>
                  </w:r>
                </w:p>
                <w:p>
                  <w:pPr>
                    <w:pStyle w:val="Heading1"/>
                    <w:numPr>
                      <w:ilvl w:val="0"/>
                      <w:numId w:val="67"/>
                    </w:numPr>
                    <w:tabs>
                      <w:tab w:pos="511" w:val="left" w:leader="none"/>
                    </w:tabs>
                    <w:spacing w:line="240" w:lineRule="auto" w:before="172" w:after="0"/>
                    <w:ind w:left="510" w:right="0" w:hanging="340"/>
                    <w:jc w:val="left"/>
                  </w:pPr>
                  <w:r>
                    <w:rPr>
                      <w:color w:val="58595B"/>
                    </w:rPr>
                    <w:t>Would flexibility be allowed in meeting regulatory</w:t>
                  </w:r>
                  <w:r>
                    <w:rPr>
                      <w:color w:val="58595B"/>
                      <w:spacing w:val="49"/>
                    </w:rPr>
                    <w:t> </w:t>
                  </w:r>
                  <w:r>
                    <w:rPr>
                      <w:color w:val="58595B"/>
                    </w:rPr>
                    <w:t>requirements?</w:t>
                  </w:r>
                </w:p>
                <w:p>
                  <w:pPr>
                    <w:pStyle w:val="BodyText"/>
                    <w:spacing w:line="280" w:lineRule="auto" w:before="40"/>
                    <w:ind w:left="169" w:right="575"/>
                    <w:jc w:val="both"/>
                  </w:pPr>
                  <w:r>
                    <w:rPr>
                      <w:color w:val="58595B"/>
                    </w:rPr>
                    <w:t>If power stations were subject to greenhouse gas emissions limits, the government might consider whether power station operators will have the flexibility to meet their obligations through, for example, purchasing offsets and, if so, what forms and sources of offsets will be acceptable.</w:t>
                  </w:r>
                </w:p>
              </w:txbxContent>
            </v:textbox>
            <w10:wrap type="none"/>
          </v:shape>
        </w:pict>
      </w:r>
      <w:r>
        <w:rPr/>
        <w:pict>
          <v:shape style="position:absolute;margin-left:.0pt;margin-top:44.090015pt;width:60.3pt;height:5.25pt;mso-position-horizontal-relative:page;mso-position-vertical-relative:page;z-index:-17632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629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6272" from="534.996094pt,45.840015pt" to="595.276001pt,45.840015pt" stroked="true" strokeweight="7pt" strokecolor="#0095a7">
            <w10:wrap type="none"/>
          </v:line>
        </w:pict>
      </w:r>
      <w:r>
        <w:rPr/>
        <w:pict>
          <v:rect style="position:absolute;margin-left:90.709pt;margin-top:107.717018pt;width:432.701pt;height:687.808pt;mso-position-horizontal-relative:page;mso-position-vertical-relative:page;z-index:-176248" filled="true" fillcolor="#e5e2ed" stroked="false">
            <v:fill type="solid"/>
            <w10:wrap type="none"/>
          </v:rect>
        </w:pict>
      </w:r>
      <w:r>
        <w:rPr/>
        <w:pict>
          <v:shape style="position:absolute;margin-left:230.600693pt;margin-top:40.902756pt;width:269.3pt;height:9.5pt;mso-position-horizontal-relative:page;mso-position-vertical-relative:page;z-index:-176224" type="#_x0000_t202" filled="false" stroked="false">
            <v:textbox inset="0,0,0,0">
              <w:txbxContent>
                <w:p>
                  <w:pPr>
                    <w:spacing w:before="1"/>
                    <w:ind w:left="20" w:right="0" w:firstLine="0"/>
                    <w:jc w:val="left"/>
                    <w:rPr>
                      <w:sz w:val="15"/>
                    </w:rPr>
                  </w:pPr>
                  <w:r>
                    <w:rPr>
                      <w:color w:val="58595B"/>
                      <w:sz w:val="15"/>
                    </w:rPr>
                    <w:t>CHAPTER 8    RESPONDING TO THE CHALLENGE OF CLIMATE CHANGE</w:t>
                  </w:r>
                </w:p>
              </w:txbxContent>
            </v:textbox>
            <w10:wrap type="none"/>
          </v:shape>
        </w:pict>
      </w:r>
      <w:r>
        <w:rPr/>
        <w:pict>
          <v:shape style="position:absolute;margin-left:510.831512pt;margin-top:40.902756pt;width:14.55pt;height:9.5pt;mso-position-horizontal-relative:page;mso-position-vertical-relative:page;z-index:-176200" type="#_x0000_t202" filled="false" stroked="false">
            <v:textbox inset="0,0,0,0">
              <w:txbxContent>
                <w:p>
                  <w:pPr>
                    <w:spacing w:before="1"/>
                    <w:ind w:left="20" w:right="0" w:firstLine="0"/>
                    <w:jc w:val="left"/>
                    <w:rPr>
                      <w:sz w:val="15"/>
                    </w:rPr>
                  </w:pPr>
                  <w:r>
                    <w:rPr>
                      <w:color w:val="58595B"/>
                      <w:sz w:val="15"/>
                    </w:rPr>
                    <w:t>165</w:t>
                  </w:r>
                </w:p>
              </w:txbxContent>
            </v:textbox>
            <w10:wrap type="none"/>
          </v:shape>
        </w:pict>
      </w:r>
      <w:r>
        <w:rPr/>
        <w:pict>
          <v:shape style="position:absolute;margin-left:90.709pt;margin-top:107.717018pt;width:432.75pt;height:687.85pt;mso-position-horizontal-relative:page;mso-position-vertical-relative:page;z-index:-176176" type="#_x0000_t202" filled="false" stroked="false">
            <v:textbox inset="0,0,0,0">
              <w:txbxContent>
                <w:p>
                  <w:pPr>
                    <w:spacing w:line="280" w:lineRule="auto" w:before="128"/>
                    <w:ind w:left="510" w:right="1112" w:hanging="341"/>
                    <w:jc w:val="left"/>
                    <w:rPr>
                      <w:b/>
                      <w:sz w:val="20"/>
                    </w:rPr>
                  </w:pPr>
                  <w:r>
                    <w:rPr>
                      <w:b/>
                      <w:color w:val="58595B"/>
                      <w:sz w:val="20"/>
                    </w:rPr>
                    <w:t>5) Could new regulatory provisions coexist with Commonwealth Government carbon policy?</w:t>
                  </w:r>
                </w:p>
                <w:p>
                  <w:pPr>
                    <w:pStyle w:val="BodyText"/>
                    <w:spacing w:line="280" w:lineRule="auto" w:before="2"/>
                    <w:ind w:left="170" w:right="482"/>
                  </w:pPr>
                  <w:r>
                    <w:rPr>
                      <w:color w:val="58595B"/>
                    </w:rPr>
                    <w:t>Climate change policy at the national level is subject to ongoing uncertainty. Within this context, the following points can be made about national and state policies:</w:t>
                  </w:r>
                </w:p>
                <w:p>
                  <w:pPr>
                    <w:pStyle w:val="ListParagraph"/>
                    <w:numPr>
                      <w:ilvl w:val="0"/>
                      <w:numId w:val="68"/>
                    </w:numPr>
                    <w:tabs>
                      <w:tab w:pos="341" w:val="left" w:leader="none"/>
                    </w:tabs>
                    <w:spacing w:line="280" w:lineRule="auto" w:before="115" w:after="0"/>
                    <w:ind w:left="340" w:right="211" w:hanging="170"/>
                    <w:jc w:val="left"/>
                    <w:rPr>
                      <w:sz w:val="20"/>
                    </w:rPr>
                  </w:pPr>
                  <w:r>
                    <w:rPr>
                      <w:color w:val="58595B"/>
                      <w:spacing w:val="-4"/>
                      <w:sz w:val="20"/>
                    </w:rPr>
                    <w:t>EPA </w:t>
                  </w:r>
                  <w:r>
                    <w:rPr>
                      <w:color w:val="58595B"/>
                      <w:sz w:val="20"/>
                    </w:rPr>
                    <w:t>regulation could coexist with the Commonwealth Government’s Emissions Reduction Fund. </w:t>
                  </w:r>
                  <w:r>
                    <w:rPr>
                      <w:color w:val="58595B"/>
                      <w:spacing w:val="-3"/>
                      <w:sz w:val="20"/>
                    </w:rPr>
                    <w:t>However, </w:t>
                  </w:r>
                  <w:r>
                    <w:rPr>
                      <w:color w:val="58595B"/>
                      <w:sz w:val="20"/>
                    </w:rPr>
                    <w:t>businesses subject to </w:t>
                  </w:r>
                  <w:r>
                    <w:rPr>
                      <w:color w:val="58595B"/>
                      <w:spacing w:val="-4"/>
                      <w:sz w:val="20"/>
                    </w:rPr>
                    <w:t>EPA </w:t>
                  </w:r>
                  <w:r>
                    <w:rPr>
                      <w:color w:val="58595B"/>
                      <w:sz w:val="20"/>
                    </w:rPr>
                    <w:t>regulations to reduce emissions could not apply for funds from the Emissions Reduction Fund for actions they are obliged by regulation</w:t>
                  </w:r>
                </w:p>
                <w:p>
                  <w:pPr>
                    <w:pStyle w:val="BodyText"/>
                    <w:spacing w:before="2"/>
                    <w:ind w:left="340" w:right="482"/>
                  </w:pPr>
                  <w:r>
                    <w:rPr>
                      <w:color w:val="58595B"/>
                    </w:rPr>
                    <w:t>to undertake.</w:t>
                  </w:r>
                </w:p>
                <w:p>
                  <w:pPr>
                    <w:pStyle w:val="ListParagraph"/>
                    <w:numPr>
                      <w:ilvl w:val="0"/>
                      <w:numId w:val="68"/>
                    </w:numPr>
                    <w:tabs>
                      <w:tab w:pos="341" w:val="left" w:leader="none"/>
                    </w:tabs>
                    <w:spacing w:line="240" w:lineRule="auto" w:before="153" w:after="0"/>
                    <w:ind w:left="340" w:right="0" w:hanging="170"/>
                    <w:jc w:val="left"/>
                    <w:rPr>
                      <w:sz w:val="20"/>
                    </w:rPr>
                  </w:pPr>
                  <w:r>
                    <w:rPr>
                      <w:color w:val="58595B"/>
                      <w:sz w:val="20"/>
                    </w:rPr>
                    <w:t>The Commonwealth Government intends to implement a Safeguard Mechanism</w:t>
                  </w:r>
                  <w:r>
                    <w:rPr>
                      <w:color w:val="58595B"/>
                      <w:spacing w:val="-3"/>
                      <w:sz w:val="20"/>
                    </w:rPr>
                    <w:t> </w:t>
                  </w:r>
                  <w:r>
                    <w:rPr>
                      <w:color w:val="58595B"/>
                      <w:sz w:val="20"/>
                    </w:rPr>
                    <w:t>from</w:t>
                  </w:r>
                </w:p>
                <w:p>
                  <w:pPr>
                    <w:pStyle w:val="BodyText"/>
                    <w:spacing w:line="280" w:lineRule="auto" w:before="40"/>
                    <w:ind w:left="340" w:right="199"/>
                  </w:pPr>
                  <w:r>
                    <w:rPr>
                      <w:color w:val="58595B"/>
                    </w:rPr>
                    <w:t>1 July 2016 that will require Australia’s largest emitters to keep emissions below baseline levels. For the electricity sector, the baseline level of emissions will be set at the highest level of the sector’s emissions over the period 2009–10 to 2013–14. Baselines for individual power stations will also be set at each facility’s highest annual emissions over that period. Individual baselines will come into effect if the sectoral baseline is exceeded. If baselines are exceeded, generators will have a number of options for meeting their obligations, including purchasing Australian Carbon Credit Units to offset emissions above the baseline; and multi-year monitoring to allow a generator to exceed baselines in one year provided average emissions over two or three years are below the baseline.</w:t>
                  </w:r>
                </w:p>
                <w:p>
                  <w:pPr>
                    <w:pStyle w:val="BodyText"/>
                    <w:spacing w:line="280" w:lineRule="auto" w:before="172"/>
                    <w:ind w:left="340" w:right="161"/>
                  </w:pPr>
                  <w:r>
                    <w:rPr>
                      <w:color w:val="58595B"/>
                    </w:rPr>
                    <w:t>EPA regulation of emissions could coexist with the Safeguard Mechanism. However, any limits or standards imposed by the EPA that required significant reductions in Victorian power stations’ emissions performance will likely override any limits imposed by the Safeguard Mechanism. It is widely regarded that the Safeguard Mechanism – </w:t>
                  </w:r>
                  <w:r>
                    <w:rPr>
                      <w:i/>
                      <w:color w:val="58595B"/>
                    </w:rPr>
                    <w:t>as currently framed </w:t>
                  </w:r>
                  <w:r>
                    <w:rPr>
                      <w:color w:val="58595B"/>
                    </w:rPr>
                    <w:t>– will have little effect on business operations because the baselines are set at the highest level of historical emissions over the four years to 2013–14.</w:t>
                  </w:r>
                </w:p>
                <w:p>
                  <w:pPr>
                    <w:pStyle w:val="ListParagraph"/>
                    <w:numPr>
                      <w:ilvl w:val="0"/>
                      <w:numId w:val="68"/>
                    </w:numPr>
                    <w:tabs>
                      <w:tab w:pos="341" w:val="left" w:leader="none"/>
                    </w:tabs>
                    <w:spacing w:line="280" w:lineRule="auto" w:before="115" w:after="0"/>
                    <w:ind w:left="340" w:right="427" w:hanging="170"/>
                    <w:jc w:val="left"/>
                    <w:rPr>
                      <w:sz w:val="20"/>
                    </w:rPr>
                  </w:pPr>
                  <w:r>
                    <w:rPr>
                      <w:color w:val="58595B"/>
                      <w:spacing w:val="-4"/>
                      <w:sz w:val="20"/>
                    </w:rPr>
                    <w:t>EPA </w:t>
                  </w:r>
                  <w:r>
                    <w:rPr>
                      <w:color w:val="58595B"/>
                      <w:sz w:val="20"/>
                    </w:rPr>
                    <w:t>regulation could coexist with national carbon pricing, irrespective of whether pricing was in the form of an emissions trading scheme or a carbon tax. The level of the carbon price and the stringency of the emissions limits or standards imposed by </w:t>
                  </w:r>
                  <w:r>
                    <w:rPr>
                      <w:color w:val="58595B"/>
                      <w:spacing w:val="-4"/>
                      <w:sz w:val="20"/>
                    </w:rPr>
                    <w:t>EPA </w:t>
                  </w:r>
                  <w:r>
                    <w:rPr>
                      <w:color w:val="58595B"/>
                      <w:sz w:val="20"/>
                    </w:rPr>
                    <w:t>regulations will influence which mechanism will be the overriding consideration for a power</w:t>
                  </w:r>
                  <w:r>
                    <w:rPr>
                      <w:color w:val="58595B"/>
                      <w:spacing w:val="18"/>
                      <w:sz w:val="20"/>
                    </w:rPr>
                    <w:t> </w:t>
                  </w:r>
                  <w:r>
                    <w:rPr>
                      <w:color w:val="58595B"/>
                      <w:sz w:val="20"/>
                    </w:rPr>
                    <w:t>station.</w:t>
                  </w:r>
                </w:p>
                <w:p>
                  <w:pPr>
                    <w:pStyle w:val="BodyText"/>
                    <w:spacing w:line="280" w:lineRule="auto" w:before="2"/>
                    <w:ind w:left="340" w:right="620"/>
                    <w:jc w:val="both"/>
                  </w:pPr>
                  <w:r>
                    <w:rPr>
                      <w:color w:val="58595B"/>
                    </w:rPr>
                    <w:t>There is a point at which an emissions intensity limit/standard will trigger the closure of a brown coal power station(s); there is also a carbon price level that would produce the same outcome.</w:t>
                  </w:r>
                </w:p>
                <w:p>
                  <w:pPr>
                    <w:pStyle w:val="BodyText"/>
                    <w:spacing w:line="254" w:lineRule="auto" w:before="172"/>
                    <w:ind w:left="340" w:right="161"/>
                  </w:pPr>
                  <w:r>
                    <w:rPr>
                      <w:color w:val="58595B"/>
                    </w:rPr>
                    <w:t>As discussed above, an emissions limit of less than 1.4 tonnes CO2-</w:t>
                  </w:r>
                  <w:r>
                    <w:rPr>
                      <w:color w:val="58595B"/>
                      <w:position w:val="-2"/>
                      <w:sz w:val="18"/>
                    </w:rPr>
                    <w:t>e</w:t>
                  </w:r>
                  <w:r>
                    <w:rPr>
                      <w:color w:val="58595B"/>
                    </w:rPr>
                    <w:t>/MWh may be sufficient for both the Hazelwood and Yallourn power stations to withdraw from operation;</w:t>
                  </w:r>
                </w:p>
                <w:p>
                  <w:pPr>
                    <w:pStyle w:val="BodyText"/>
                    <w:spacing w:line="276" w:lineRule="auto" w:before="26"/>
                    <w:ind w:left="340" w:right="161" w:hanging="1"/>
                  </w:pPr>
                  <w:r>
                    <w:rPr>
                      <w:color w:val="58595B"/>
                    </w:rPr>
                    <w:t>a limit of less than 1.2 tonnes CO2-</w:t>
                  </w:r>
                  <w:r>
                    <w:rPr>
                      <w:color w:val="58595B"/>
                      <w:position w:val="-2"/>
                      <w:sz w:val="18"/>
                    </w:rPr>
                    <w:t>e</w:t>
                  </w:r>
                  <w:r>
                    <w:rPr>
                      <w:color w:val="58595B"/>
                    </w:rPr>
                    <w:t>/MWh may cause both Loy Yang stations to withdraw.</w:t>
                  </w:r>
                  <w:r>
                    <w:rPr>
                      <w:color w:val="58595B"/>
                      <w:position w:val="7"/>
                      <w:sz w:val="11"/>
                    </w:rPr>
                    <w:t>25 </w:t>
                  </w:r>
                  <w:r>
                    <w:rPr>
                      <w:color w:val="58595B"/>
                    </w:rPr>
                    <w:t>Carbon pricing affects the relative competitiveness of different power stations. The more emissions intensive a power station is (for example, brown coal is more emissions intensive than black coal which is in turn more emissions intensive than gas-fired plant and all are more emissions intensive than renewables), the greater the increase in its operating costs will be if it is required to pay a carbon price. At a certain point, a carbon price will reach</w:t>
                  </w:r>
                </w:p>
                <w:p>
                  <w:pPr>
                    <w:pStyle w:val="BodyText"/>
                    <w:spacing w:line="280" w:lineRule="auto" w:before="6"/>
                    <w:ind w:left="340" w:right="161"/>
                  </w:pPr>
                  <w:r>
                    <w:rPr>
                      <w:color w:val="58595B"/>
                    </w:rPr>
                    <w:t>a level at which a power station can no longer compete in the market. The precise level at which this occurs will be influenced by a number of factors and will only become clear when a carbon price is in operation – estimates can be made via electricity market modelling.</w:t>
                  </w:r>
                </w:p>
                <w:p>
                  <w:pPr>
                    <w:pStyle w:val="BodyText"/>
                    <w:spacing w:line="280" w:lineRule="auto" w:before="172"/>
                    <w:ind w:left="170" w:right="193"/>
                  </w:pPr>
                  <w:r>
                    <w:rPr>
                      <w:color w:val="58595B"/>
                    </w:rPr>
                    <w:t>Even though national and state measures could coexist, Victorian policy measures should account for national policy settings. This approach is necessary to avoid costly duplication and minimise regulatory burden on business. If the Commonwealth Government introduces carbon policy measures consistent with Australia playing its full part in limiting global warming to well below 2°C, this may negate the need for Victorian</w:t>
                  </w:r>
                  <w:r>
                    <w:rPr>
                      <w:color w:val="58595B"/>
                      <w:spacing w:val="-2"/>
                    </w:rPr>
                    <w:t> </w:t>
                  </w:r>
                  <w:r>
                    <w:rPr>
                      <w:color w:val="58595B"/>
                    </w:rPr>
                    <w:t>measures.</w:t>
                  </w:r>
                </w:p>
              </w:txbxContent>
            </v:textbox>
            <w10:wrap type="none"/>
          </v:shape>
        </w:pict>
      </w:r>
      <w:r>
        <w:rPr/>
        <w:pict>
          <v:shape style="position:absolute;margin-left:534.996094pt;margin-top:44.090015pt;width:60.3pt;height:5.25pt;mso-position-horizontal-relative:page;mso-position-vertical-relative:page;z-index:-17615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612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6104" from=".0pt,45.840015pt" to="60.2791pt,45.840015pt" stroked="true" strokeweight="7pt" strokecolor="#0095a7">
            <w10:wrap type="none"/>
          </v:line>
        </w:pict>
      </w:r>
      <w:r>
        <w:rPr/>
        <w:pict>
          <v:rect style="position:absolute;margin-left:70.865997pt;margin-top:133.461014pt;width:432.701pt;height:56.957pt;mso-position-horizontal-relative:page;mso-position-vertical-relative:page;z-index:-176080" filled="true" fillcolor="#eff6f0" stroked="false">
            <v:fill type="solid"/>
            <w10:wrap type="none"/>
          </v:rect>
        </w:pict>
      </w:r>
      <w:r>
        <w:rPr/>
        <w:pict>
          <v:rect style="position:absolute;margin-left:70.865997pt;margin-top:201.757019pt;width:432.701pt;height:70.457pt;mso-position-horizontal-relative:page;mso-position-vertical-relative:page;z-index:-176056" filled="true" fillcolor="#eff6f0" stroked="false">
            <v:fill type="solid"/>
            <w10:wrap type="none"/>
          </v:rect>
        </w:pict>
      </w:r>
      <w:r>
        <w:rPr/>
        <w:pict>
          <v:shape style="position:absolute;margin-left:69.866096pt;margin-top:40.902756pt;width:14.6pt;height:9.5pt;mso-position-horizontal-relative:page;mso-position-vertical-relative:page;z-index:-176032" type="#_x0000_t202" filled="false" stroked="false">
            <v:textbox inset="0,0,0,0">
              <w:txbxContent>
                <w:p>
                  <w:pPr>
                    <w:spacing w:before="1"/>
                    <w:ind w:left="20" w:right="0" w:firstLine="0"/>
                    <w:jc w:val="left"/>
                    <w:rPr>
                      <w:sz w:val="15"/>
                    </w:rPr>
                  </w:pPr>
                  <w:r>
                    <w:rPr>
                      <w:color w:val="58595B"/>
                      <w:sz w:val="15"/>
                    </w:rPr>
                    <w:t>166</w:t>
                  </w:r>
                </w:p>
              </w:txbxContent>
            </v:textbox>
            <w10:wrap type="none"/>
          </v:shape>
        </w:pict>
      </w:r>
      <w:r>
        <w:rPr/>
        <w:pict>
          <v:shape style="position:absolute;margin-left:95.377899pt;margin-top:40.902756pt;width:147.75pt;height:9.5pt;mso-position-horizontal-relative:page;mso-position-vertical-relative:page;z-index:-176008"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72934pt;width:102.85pt;height:14pt;mso-position-horizontal-relative:page;mso-position-vertical-relative:page;z-index:-175984" type="#_x0000_t202" filled="false" stroked="false">
            <v:textbox inset="0,0,0,0">
              <w:txbxContent>
                <w:p>
                  <w:pPr>
                    <w:spacing w:line="265" w:lineRule="exact" w:before="0"/>
                    <w:ind w:left="20" w:right="0" w:firstLine="0"/>
                    <w:jc w:val="left"/>
                    <w:rPr>
                      <w:sz w:val="24"/>
                    </w:rPr>
                  </w:pPr>
                  <w:r>
                    <w:rPr>
                      <w:color w:val="0095A7"/>
                      <w:sz w:val="24"/>
                    </w:rPr>
                    <w:t>Recommendations</w:t>
                  </w:r>
                </w:p>
              </w:txbxContent>
            </v:textbox>
            <w10:wrap type="none"/>
          </v:shape>
        </w:pict>
      </w:r>
      <w:r>
        <w:rPr/>
        <w:pict>
          <v:shape style="position:absolute;margin-left:70.865997pt;margin-top:201.757019pt;width:432.7pt;height:70.5pt;mso-position-horizontal-relative:page;mso-position-vertical-relative:page;z-index:-175960" type="#_x0000_t202" filled="false" stroked="false">
            <v:textbox inset="0,0,0,0">
              <w:txbxContent>
                <w:p>
                  <w:pPr>
                    <w:spacing w:before="128"/>
                    <w:ind w:left="170" w:right="277" w:firstLine="0"/>
                    <w:jc w:val="left"/>
                    <w:rPr>
                      <w:b/>
                      <w:sz w:val="20"/>
                    </w:rPr>
                  </w:pPr>
                  <w:r>
                    <w:rPr>
                      <w:b/>
                      <w:color w:val="808285"/>
                      <w:sz w:val="20"/>
                    </w:rPr>
                    <w:t>RECOMMENDATION 8.2</w:t>
                  </w:r>
                </w:p>
                <w:p>
                  <w:pPr>
                    <w:pStyle w:val="BodyText"/>
                    <w:spacing w:line="280" w:lineRule="auto" w:before="153"/>
                    <w:ind w:left="170" w:right="243"/>
                  </w:pPr>
                  <w:r>
                    <w:rPr>
                      <w:color w:val="58595B"/>
                    </w:rPr>
                    <w:t>Ensure the EPA has the appropriate statutory instruments to give effect to its role in managing greenhouse gas emissions, as determined by government and informed by advice from the EPA.</w:t>
                  </w:r>
                </w:p>
              </w:txbxContent>
            </v:textbox>
            <w10:wrap type="none"/>
          </v:shape>
        </w:pict>
      </w:r>
      <w:r>
        <w:rPr/>
        <w:pict>
          <v:shape style="position:absolute;margin-left:70.865997pt;margin-top:133.461014pt;width:432.7pt;height:57pt;mso-position-horizontal-relative:page;mso-position-vertical-relative:page;z-index:-175936" type="#_x0000_t202" filled="false" stroked="false">
            <v:textbox inset="0,0,0,0">
              <w:txbxContent>
                <w:p>
                  <w:pPr>
                    <w:spacing w:before="128"/>
                    <w:ind w:left="170" w:right="277" w:firstLine="0"/>
                    <w:jc w:val="left"/>
                    <w:rPr>
                      <w:b/>
                      <w:sz w:val="20"/>
                    </w:rPr>
                  </w:pPr>
                  <w:r>
                    <w:rPr>
                      <w:b/>
                      <w:color w:val="808285"/>
                      <w:sz w:val="20"/>
                    </w:rPr>
                    <w:t>RECOMMENDATION 8.1</w:t>
                  </w:r>
                </w:p>
                <w:p>
                  <w:pPr>
                    <w:pStyle w:val="BodyText"/>
                    <w:spacing w:line="280" w:lineRule="auto" w:before="153"/>
                    <w:ind w:left="170" w:right="692"/>
                  </w:pPr>
                  <w:r>
                    <w:rPr>
                      <w:color w:val="58595B"/>
                    </w:rPr>
                    <w:t>Confirm the nature and extent of the EPA’s role in regulating greenhouse gas emissions within Victoria’s wider whole-of-government policy settings.</w:t>
                  </w:r>
                </w:p>
              </w:txbxContent>
            </v:textbox>
            <w10:wrap type="none"/>
          </v:shape>
        </w:pict>
      </w:r>
      <w:r>
        <w:rPr/>
        <w:pict>
          <v:shape style="position:absolute;margin-left:.0pt;margin-top:44.090015pt;width:60.3pt;height:5.25pt;mso-position-horizontal-relative:page;mso-position-vertical-relative:page;z-index:-17591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5888"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5864" from="534.996094pt,45.840015pt" to="595.276001pt,45.840015pt" stroked="true" strokeweight="7pt" strokecolor="#0095a7">
            <w10:wrap type="none"/>
          </v:line>
        </w:pict>
      </w:r>
      <w:r>
        <w:rPr/>
        <w:pict>
          <v:line style="position:absolute;mso-position-horizontal-relative:page;mso-position-vertical-relative:page;z-index:-175840" from="90.708603pt,103.331017pt" to="301.558603pt,103.331017pt" stroked="true" strokeweight=".5pt" strokecolor="#58595b">
            <w10:wrap type="none"/>
          </v:line>
        </w:pict>
      </w:r>
      <w:r>
        <w:rPr/>
        <w:pict>
          <v:shape style="position:absolute;margin-left:230.600693pt;margin-top:40.902756pt;width:269.3pt;height:9.5pt;mso-position-horizontal-relative:page;mso-position-vertical-relative:page;z-index:-175816" type="#_x0000_t202" filled="false" stroked="false">
            <v:textbox inset="0,0,0,0">
              <w:txbxContent>
                <w:p>
                  <w:pPr>
                    <w:spacing w:before="1"/>
                    <w:ind w:left="20" w:right="0" w:firstLine="0"/>
                    <w:jc w:val="left"/>
                    <w:rPr>
                      <w:sz w:val="15"/>
                    </w:rPr>
                  </w:pPr>
                  <w:r>
                    <w:rPr>
                      <w:color w:val="58595B"/>
                      <w:sz w:val="15"/>
                    </w:rPr>
                    <w:t>CHAPTER 8    RESPONDING TO THE CHALLENGE OF CLIMATE CHANGE</w:t>
                  </w:r>
                </w:p>
              </w:txbxContent>
            </v:textbox>
            <w10:wrap type="none"/>
          </v:shape>
        </w:pict>
      </w:r>
      <w:r>
        <w:rPr/>
        <w:pict>
          <v:shape style="position:absolute;margin-left:510.962799pt;margin-top:40.902756pt;width:14.4pt;height:9.5pt;mso-position-horizontal-relative:page;mso-position-vertical-relative:page;z-index:-175792" type="#_x0000_t202" filled="false" stroked="false">
            <v:textbox inset="0,0,0,0">
              <w:txbxContent>
                <w:p>
                  <w:pPr>
                    <w:spacing w:before="1"/>
                    <w:ind w:left="20" w:right="-3" w:firstLine="0"/>
                    <w:jc w:val="left"/>
                    <w:rPr>
                      <w:sz w:val="15"/>
                    </w:rPr>
                  </w:pPr>
                  <w:r>
                    <w:rPr>
                      <w:color w:val="58595B"/>
                      <w:sz w:val="15"/>
                    </w:rPr>
                    <w:t>167</w:t>
                  </w:r>
                </w:p>
              </w:txbxContent>
            </v:textbox>
            <w10:wrap type="none"/>
          </v:shape>
        </w:pict>
      </w:r>
      <w:r>
        <w:rPr/>
        <w:pict>
          <v:shape style="position:absolute;margin-left:89.708603pt;margin-top:106.22303pt;width:5.3pt;height:8pt;mso-position-horizontal-relative:page;mso-position-vertical-relative:page;z-index:-175768" type="#_x0000_t202" filled="false" stroked="false">
            <v:textbox inset="0,0,0,0">
              <w:txbxContent>
                <w:p>
                  <w:pPr>
                    <w:spacing w:before="4"/>
                    <w:ind w:left="20" w:right="0" w:firstLine="0"/>
                    <w:jc w:val="left"/>
                    <w:rPr>
                      <w:sz w:val="12"/>
                    </w:rPr>
                  </w:pPr>
                  <w:r>
                    <w:rPr>
                      <w:color w:val="58595B"/>
                      <w:sz w:val="12"/>
                    </w:rPr>
                    <w:t>1</w:t>
                  </w:r>
                </w:p>
              </w:txbxContent>
            </v:textbox>
            <w10:wrap type="none"/>
          </v:shape>
        </w:pict>
      </w:r>
      <w:r>
        <w:rPr/>
        <w:pict>
          <v:shape style="position:absolute;margin-left:103.868599pt;margin-top:106.22303pt;width:198.55pt;height:602.15pt;mso-position-horizontal-relative:page;mso-position-vertical-relative:page;z-index:-175744" type="#_x0000_t202" filled="false" stroked="false">
            <v:textbox inset="0,0,0,0">
              <w:txbxContent>
                <w:p>
                  <w:pPr>
                    <w:spacing w:line="242" w:lineRule="auto" w:before="4"/>
                    <w:ind w:left="20" w:right="115" w:firstLine="0"/>
                    <w:jc w:val="left"/>
                    <w:rPr>
                      <w:sz w:val="12"/>
                    </w:rPr>
                  </w:pPr>
                  <w:r>
                    <w:rPr>
                      <w:color w:val="58595B"/>
                      <w:sz w:val="12"/>
                    </w:rPr>
                    <w:t>Victorian Government 2015, </w:t>
                  </w:r>
                  <w:r>
                    <w:rPr>
                      <w:i/>
                      <w:color w:val="58595B"/>
                      <w:sz w:val="12"/>
                    </w:rPr>
                    <w:t>Response to The State of the Environment Report 2013</w:t>
                  </w:r>
                  <w:r>
                    <w:rPr>
                      <w:color w:val="58595B"/>
                      <w:sz w:val="12"/>
                    </w:rPr>
                    <w:t>, p. 7.</w:t>
                  </w:r>
                </w:p>
                <w:p>
                  <w:pPr>
                    <w:spacing w:line="242" w:lineRule="auto" w:before="29"/>
                    <w:ind w:left="20" w:right="399" w:firstLine="0"/>
                    <w:jc w:val="left"/>
                    <w:rPr>
                      <w:sz w:val="12"/>
                    </w:rPr>
                  </w:pPr>
                  <w:r>
                    <w:rPr>
                      <w:color w:val="58595B"/>
                      <w:sz w:val="12"/>
                    </w:rPr>
                    <w:t>Victorian Government 2015, </w:t>
                  </w:r>
                  <w:r>
                    <w:rPr>
                      <w:i/>
                      <w:color w:val="58595B"/>
                      <w:sz w:val="12"/>
                    </w:rPr>
                    <w:t>Independent Review of the Climate Change Act 2010</w:t>
                  </w:r>
                  <w:r>
                    <w:rPr>
                      <w:color w:val="58595B"/>
                      <w:sz w:val="12"/>
                    </w:rPr>
                    <w:t>, December.</w:t>
                  </w:r>
                </w:p>
                <w:p>
                  <w:pPr>
                    <w:spacing w:before="29"/>
                    <w:ind w:left="20" w:right="115" w:firstLine="0"/>
                    <w:jc w:val="left"/>
                    <w:rPr>
                      <w:sz w:val="12"/>
                    </w:rPr>
                  </w:pPr>
                  <w:r>
                    <w:rPr>
                      <w:color w:val="58595B"/>
                      <w:sz w:val="12"/>
                    </w:rPr>
                    <w:t>United Nations Framework Convention on Climate Change   2015,</w:t>
                  </w:r>
                </w:p>
                <w:p>
                  <w:pPr>
                    <w:spacing w:line="292" w:lineRule="auto" w:before="2"/>
                    <w:ind w:left="20" w:right="399" w:firstLine="0"/>
                    <w:jc w:val="left"/>
                    <w:rPr>
                      <w:sz w:val="12"/>
                    </w:rPr>
                  </w:pPr>
                  <w:r>
                    <w:rPr>
                      <w:i/>
                      <w:color w:val="58595B"/>
                      <w:sz w:val="12"/>
                    </w:rPr>
                    <w:t>Adoption of the Paris Agreement</w:t>
                  </w:r>
                  <w:r>
                    <w:rPr>
                      <w:color w:val="58595B"/>
                      <w:sz w:val="12"/>
                    </w:rPr>
                    <w:t>, 12 December, Paris, p. 1.  United Nations Framework Convention on Climate Change  </w:t>
                  </w:r>
                  <w:r>
                    <w:rPr>
                      <w:color w:val="58595B"/>
                      <w:spacing w:val="3"/>
                      <w:sz w:val="12"/>
                    </w:rPr>
                    <w:t> </w:t>
                  </w:r>
                  <w:r>
                    <w:rPr>
                      <w:color w:val="58595B"/>
                      <w:sz w:val="12"/>
                    </w:rPr>
                    <w:t>2015,</w:t>
                  </w:r>
                </w:p>
                <w:p>
                  <w:pPr>
                    <w:spacing w:line="111" w:lineRule="exact" w:before="0"/>
                    <w:ind w:left="20" w:right="115" w:firstLine="0"/>
                    <w:jc w:val="left"/>
                    <w:rPr>
                      <w:sz w:val="12"/>
                    </w:rPr>
                  </w:pPr>
                  <w:r>
                    <w:rPr>
                      <w:i/>
                      <w:color w:val="58595B"/>
                      <w:sz w:val="12"/>
                    </w:rPr>
                    <w:t>Adoption of the Paris Agreement</w:t>
                  </w:r>
                  <w:r>
                    <w:rPr>
                      <w:color w:val="58595B"/>
                      <w:sz w:val="12"/>
                    </w:rPr>
                    <w:t>, 12 December, Paris, p.  2.</w:t>
                  </w:r>
                </w:p>
                <w:p>
                  <w:pPr>
                    <w:spacing w:line="242" w:lineRule="auto" w:before="30"/>
                    <w:ind w:left="20" w:right="115" w:firstLine="0"/>
                    <w:jc w:val="left"/>
                    <w:rPr>
                      <w:sz w:val="12"/>
                    </w:rPr>
                  </w:pPr>
                  <w:r>
                    <w:rPr>
                      <w:color w:val="58595B"/>
                      <w:sz w:val="12"/>
                    </w:rPr>
                    <w:t>The Stern Review 2007, </w:t>
                  </w:r>
                  <w:r>
                    <w:rPr>
                      <w:i/>
                      <w:color w:val="58595B"/>
                      <w:sz w:val="12"/>
                    </w:rPr>
                    <w:t>The economics of climate change</w:t>
                  </w:r>
                  <w:r>
                    <w:rPr>
                      <w:color w:val="58595B"/>
                      <w:sz w:val="12"/>
                    </w:rPr>
                    <w:t>, Cambridge University Press, p.  286.</w:t>
                  </w:r>
                </w:p>
                <w:p>
                  <w:pPr>
                    <w:spacing w:line="242" w:lineRule="auto" w:before="29"/>
                    <w:ind w:left="20" w:right="399" w:firstLine="0"/>
                    <w:jc w:val="left"/>
                    <w:rPr>
                      <w:sz w:val="12"/>
                    </w:rPr>
                  </w:pPr>
                  <w:r>
                    <w:rPr>
                      <w:color w:val="58595B"/>
                      <w:sz w:val="12"/>
                    </w:rPr>
                    <w:t>Climate Change Authority 2007, </w:t>
                  </w:r>
                  <w:r>
                    <w:rPr>
                      <w:i/>
                      <w:color w:val="58595B"/>
                      <w:sz w:val="12"/>
                    </w:rPr>
                    <w:t>Targets and progress review</w:t>
                  </w:r>
                  <w:r>
                    <w:rPr>
                      <w:color w:val="58595B"/>
                      <w:sz w:val="12"/>
                    </w:rPr>
                    <w:t>, Australian Government, February, p.  44.</w:t>
                  </w:r>
                </w:p>
                <w:p>
                  <w:pPr>
                    <w:spacing w:line="242" w:lineRule="auto" w:before="29"/>
                    <w:ind w:left="20" w:right="230" w:firstLine="0"/>
                    <w:jc w:val="left"/>
                    <w:rPr>
                      <w:sz w:val="12"/>
                    </w:rPr>
                  </w:pPr>
                  <w:r>
                    <w:rPr>
                      <w:color w:val="58595B"/>
                      <w:sz w:val="12"/>
                    </w:rPr>
                    <w:t>The Climate Change Authority, for example, recommended that Australia reduce its emissions by 30 per cent below 2000 levels by 2025, with further reductions within a range of 40–60 per cent below 2000 levels by 2030 (</w:t>
                  </w:r>
                  <w:r>
                    <w:rPr>
                      <w:i/>
                      <w:color w:val="58595B"/>
                      <w:sz w:val="12"/>
                    </w:rPr>
                    <w:t>Final Report on Australia’s Future Emissions Reduction Targets</w:t>
                  </w:r>
                  <w:r>
                    <w:rPr>
                      <w:color w:val="58595B"/>
                      <w:sz w:val="12"/>
                    </w:rPr>
                    <w:t>, July 2015). Similarly, Australia’s outgoing Chief Scientist, Ian Chubb, stated ‘… the continuing process set up under the Paris international climate agreement, struck late last year, and Australia’s particular susceptibility to the effects</w:t>
                  </w:r>
                </w:p>
                <w:p>
                  <w:pPr>
                    <w:spacing w:line="242" w:lineRule="auto" w:before="0"/>
                    <w:ind w:left="20" w:right="230" w:firstLine="0"/>
                    <w:jc w:val="left"/>
                    <w:rPr>
                      <w:sz w:val="12"/>
                    </w:rPr>
                  </w:pPr>
                  <w:r>
                    <w:rPr>
                      <w:color w:val="58595B"/>
                      <w:sz w:val="12"/>
                    </w:rPr>
                    <w:t>of global warming, meant “we will have to reconsider our target, I cannot see how we could possibly not.”’ (</w:t>
                  </w:r>
                  <w:r>
                    <w:rPr>
                      <w:i/>
                      <w:color w:val="58595B"/>
                      <w:sz w:val="12"/>
                    </w:rPr>
                    <w:t>The Guardian (Australia)</w:t>
                  </w:r>
                  <w:r>
                    <w:rPr>
                      <w:color w:val="58595B"/>
                      <w:sz w:val="12"/>
                    </w:rPr>
                    <w:t>, interview with Lenore Taylor, 19 January 2016).</w:t>
                  </w:r>
                </w:p>
                <w:p>
                  <w:pPr>
                    <w:spacing w:line="242" w:lineRule="auto" w:before="29"/>
                    <w:ind w:left="20" w:right="399" w:firstLine="0"/>
                    <w:jc w:val="left"/>
                    <w:rPr>
                      <w:sz w:val="12"/>
                    </w:rPr>
                  </w:pPr>
                  <w:r>
                    <w:rPr>
                      <w:color w:val="58595B"/>
                      <w:sz w:val="12"/>
                    </w:rPr>
                    <w:t>Victorian Government 2015, </w:t>
                  </w:r>
                  <w:r>
                    <w:rPr>
                      <w:i/>
                      <w:color w:val="58595B"/>
                      <w:sz w:val="12"/>
                    </w:rPr>
                    <w:t>Independent Review of the Climate Change Act 2010</w:t>
                  </w:r>
                  <w:r>
                    <w:rPr>
                      <w:color w:val="58595B"/>
                      <w:sz w:val="12"/>
                    </w:rPr>
                    <w:t>, December, p. 107.</w:t>
                  </w:r>
                </w:p>
                <w:p>
                  <w:pPr>
                    <w:spacing w:line="242" w:lineRule="auto" w:before="29"/>
                    <w:ind w:left="20" w:right="115" w:firstLine="0"/>
                    <w:jc w:val="left"/>
                    <w:rPr>
                      <w:sz w:val="12"/>
                    </w:rPr>
                  </w:pPr>
                  <w:r>
                    <w:rPr>
                      <w:color w:val="58595B"/>
                      <w:sz w:val="12"/>
                    </w:rPr>
                    <w:t>Statutory policies include state environment protection policies and waste  management policies.</w:t>
                  </w:r>
                </w:p>
                <w:p>
                  <w:pPr>
                    <w:spacing w:before="29"/>
                    <w:ind w:left="20" w:right="115" w:firstLine="0"/>
                    <w:jc w:val="left"/>
                    <w:rPr>
                      <w:sz w:val="12"/>
                    </w:rPr>
                  </w:pPr>
                  <w:r>
                    <w:rPr>
                      <w:color w:val="58595B"/>
                      <w:sz w:val="12"/>
                    </w:rPr>
                    <w:t>Australian Greenhouse Emissions Information System,   2013.</w:t>
                  </w:r>
                </w:p>
                <w:p>
                  <w:pPr>
                    <w:spacing w:line="242" w:lineRule="auto" w:before="30"/>
                    <w:ind w:left="20" w:right="115" w:firstLine="0"/>
                    <w:jc w:val="left"/>
                    <w:rPr>
                      <w:sz w:val="12"/>
                    </w:rPr>
                  </w:pPr>
                  <w:r>
                    <w:rPr>
                      <w:color w:val="58595B"/>
                      <w:sz w:val="12"/>
                    </w:rPr>
                    <w:t>Greenhouse gas emissions include direct and indirect emissions. Direct emissions arise from activities such as fuel combustion or   chemical</w:t>
                  </w:r>
                </w:p>
                <w:p>
                  <w:pPr>
                    <w:spacing w:line="242" w:lineRule="auto" w:before="0"/>
                    <w:ind w:left="20" w:right="77" w:firstLine="0"/>
                    <w:jc w:val="left"/>
                    <w:rPr>
                      <w:sz w:val="12"/>
                    </w:rPr>
                  </w:pPr>
                  <w:r>
                    <w:rPr>
                      <w:color w:val="58595B"/>
                      <w:sz w:val="12"/>
                    </w:rPr>
                    <w:t>and other </w:t>
                  </w:r>
                  <w:r>
                    <w:rPr>
                      <w:color w:val="58595B"/>
                      <w:spacing w:val="2"/>
                      <w:sz w:val="12"/>
                    </w:rPr>
                    <w:t>processes </w:t>
                  </w:r>
                  <w:r>
                    <w:rPr>
                      <w:color w:val="58595B"/>
                      <w:sz w:val="12"/>
                    </w:rPr>
                    <w:t>that occur on site. These include, for example,    the combustion of brown coal in a power station to generate </w:t>
                  </w:r>
                  <w:r>
                    <w:rPr>
                      <w:color w:val="58595B"/>
                      <w:spacing w:val="2"/>
                      <w:sz w:val="12"/>
                    </w:rPr>
                    <w:t>electricity; </w:t>
                  </w:r>
                  <w:r>
                    <w:rPr>
                      <w:color w:val="58595B"/>
                      <w:sz w:val="12"/>
                    </w:rPr>
                    <w:t>combustion of gas in a manufacturing plant to generate heat; the emission of </w:t>
                  </w:r>
                  <w:r>
                    <w:rPr>
                      <w:color w:val="58595B"/>
                      <w:spacing w:val="2"/>
                      <w:sz w:val="12"/>
                    </w:rPr>
                    <w:t>perfluorocarbons </w:t>
                  </w:r>
                  <w:r>
                    <w:rPr>
                      <w:color w:val="58595B"/>
                      <w:sz w:val="12"/>
                    </w:rPr>
                    <w:t>in the </w:t>
                  </w:r>
                  <w:r>
                    <w:rPr>
                      <w:color w:val="58595B"/>
                      <w:spacing w:val="2"/>
                      <w:sz w:val="12"/>
                    </w:rPr>
                    <w:t>process </w:t>
                  </w:r>
                  <w:r>
                    <w:rPr>
                      <w:color w:val="58595B"/>
                      <w:sz w:val="12"/>
                    </w:rPr>
                    <w:t>of aluminium </w:t>
                  </w:r>
                  <w:r>
                    <w:rPr>
                      <w:color w:val="58595B"/>
                      <w:spacing w:val="26"/>
                      <w:sz w:val="12"/>
                    </w:rPr>
                    <w:t> </w:t>
                  </w:r>
                  <w:r>
                    <w:rPr>
                      <w:color w:val="58595B"/>
                      <w:sz w:val="12"/>
                    </w:rPr>
                    <w:t>smelting;</w:t>
                  </w:r>
                </w:p>
                <w:p>
                  <w:pPr>
                    <w:spacing w:line="242" w:lineRule="auto" w:before="0"/>
                    <w:ind w:left="20" w:right="77" w:firstLine="0"/>
                    <w:jc w:val="left"/>
                    <w:rPr>
                      <w:sz w:val="12"/>
                    </w:rPr>
                  </w:pPr>
                  <w:r>
                    <w:rPr>
                      <w:color w:val="58595B"/>
                      <w:sz w:val="12"/>
                    </w:rPr>
                    <w:t>methane emissions from intensive livestock management; and methane emissions from landfills and wastewater facilities. The main   form</w:t>
                  </w:r>
                </w:p>
                <w:p>
                  <w:pPr>
                    <w:spacing w:line="242" w:lineRule="auto" w:before="0"/>
                    <w:ind w:left="20" w:right="115" w:firstLine="0"/>
                    <w:jc w:val="left"/>
                    <w:rPr>
                      <w:sz w:val="12"/>
                    </w:rPr>
                  </w:pPr>
                  <w:r>
                    <w:rPr>
                      <w:color w:val="58595B"/>
                      <w:sz w:val="12"/>
                    </w:rPr>
                    <w:t>of indirect emissions relates to the consumption of electricity – for example, a manufacturing plant’s electricity use indirectly gives rise to greenhouse gas emissions at the site where the electricity is generated (for example, a power station in the Latrobe  Valley).</w:t>
                  </w:r>
                </w:p>
                <w:p>
                  <w:pPr>
                    <w:spacing w:line="242" w:lineRule="auto" w:before="29"/>
                    <w:ind w:left="20" w:right="115" w:firstLine="0"/>
                    <w:jc w:val="left"/>
                    <w:rPr>
                      <w:sz w:val="12"/>
                    </w:rPr>
                  </w:pPr>
                  <w:r>
                    <w:rPr>
                      <w:i/>
                      <w:color w:val="58595B"/>
                      <w:sz w:val="12"/>
                    </w:rPr>
                    <w:t>Dual Gas Pty Ltd v Environment Protection Authority </w:t>
                  </w:r>
                  <w:r>
                    <w:rPr>
                      <w:color w:val="58595B"/>
                      <w:sz w:val="12"/>
                    </w:rPr>
                    <w:t>2012, VCAT 308, para. 22.</w:t>
                  </w:r>
                </w:p>
                <w:p>
                  <w:pPr>
                    <w:spacing w:line="242" w:lineRule="auto" w:before="29"/>
                    <w:ind w:left="20" w:right="115" w:firstLine="0"/>
                    <w:jc w:val="left"/>
                    <w:rPr>
                      <w:sz w:val="12"/>
                    </w:rPr>
                  </w:pPr>
                  <w:r>
                    <w:rPr>
                      <w:i/>
                      <w:color w:val="58595B"/>
                      <w:sz w:val="12"/>
                    </w:rPr>
                    <w:t>Dual Gas Pty Ltd v Environment Protection Authority </w:t>
                  </w:r>
                  <w:r>
                    <w:rPr>
                      <w:color w:val="58595B"/>
                      <w:sz w:val="12"/>
                    </w:rPr>
                    <w:t>2012, VCAT 308, para. 15–6.</w:t>
                  </w:r>
                </w:p>
                <w:p>
                  <w:pPr>
                    <w:spacing w:before="29"/>
                    <w:ind w:left="20" w:right="115" w:firstLine="0"/>
                    <w:jc w:val="left"/>
                    <w:rPr>
                      <w:sz w:val="12"/>
                    </w:rPr>
                  </w:pPr>
                  <w:r>
                    <w:rPr>
                      <w:color w:val="58595B"/>
                      <w:sz w:val="12"/>
                    </w:rPr>
                    <w:t>Verbal advice from the EPA.</w:t>
                  </w:r>
                </w:p>
                <w:p>
                  <w:pPr>
                    <w:spacing w:line="242" w:lineRule="auto" w:before="30"/>
                    <w:ind w:left="20" w:right="68" w:firstLine="0"/>
                    <w:jc w:val="left"/>
                    <w:rPr>
                      <w:sz w:val="12"/>
                    </w:rPr>
                  </w:pPr>
                  <w:r>
                    <w:rPr>
                      <w:color w:val="58595B"/>
                      <w:sz w:val="12"/>
                    </w:rPr>
                    <w:t>The EREP program helped business reduce resource use and improve the bottom line. The program assisted businesses to identify and implement actions that were expected to save over 7000 terajoules of energy; over 7500 megalitres of water; over 100,000 tonnes of solid waste; and over $120 million per year</w:t>
                  </w:r>
                  <w:hyperlink r:id="rId46">
                    <w:r>
                      <w:rPr>
                        <w:color w:val="58595B"/>
                        <w:sz w:val="12"/>
                      </w:rPr>
                      <w:t>. http://www.epa.vic.gov.au/</w:t>
                    </w:r>
                  </w:hyperlink>
                  <w:r>
                    <w:rPr>
                      <w:color w:val="58595B"/>
                      <w:sz w:val="12"/>
                    </w:rPr>
                    <w:t> business-and-industry/lower-your-impact/ereps/erep-case-studies (accessed 28 October 2015).</w:t>
                  </w:r>
                </w:p>
                <w:p>
                  <w:pPr>
                    <w:spacing w:line="242" w:lineRule="auto" w:before="29"/>
                    <w:ind w:left="20" w:right="230" w:firstLine="0"/>
                    <w:jc w:val="left"/>
                    <w:rPr>
                      <w:sz w:val="12"/>
                    </w:rPr>
                  </w:pPr>
                  <w:r>
                    <w:rPr>
                      <w:color w:val="58595B"/>
                      <w:sz w:val="12"/>
                    </w:rPr>
                    <w:t>The </w:t>
                  </w:r>
                  <w:r>
                    <w:rPr>
                      <w:color w:val="58595B"/>
                      <w:spacing w:val="2"/>
                      <w:sz w:val="12"/>
                    </w:rPr>
                    <w:t>Victorian </w:t>
                  </w:r>
                  <w:r>
                    <w:rPr>
                      <w:color w:val="58595B"/>
                      <w:sz w:val="12"/>
                    </w:rPr>
                    <w:t>Government does, however, pursue improvements in energy </w:t>
                  </w:r>
                  <w:r>
                    <w:rPr>
                      <w:color w:val="58595B"/>
                      <w:spacing w:val="2"/>
                      <w:sz w:val="12"/>
                    </w:rPr>
                    <w:t>efficiency </w:t>
                  </w:r>
                  <w:r>
                    <w:rPr>
                      <w:color w:val="58595B"/>
                      <w:sz w:val="12"/>
                    </w:rPr>
                    <w:t>in the household and business sectors through programs including the </w:t>
                  </w:r>
                  <w:r>
                    <w:rPr>
                      <w:color w:val="58595B"/>
                      <w:spacing w:val="2"/>
                      <w:sz w:val="12"/>
                    </w:rPr>
                    <w:t>Victorian </w:t>
                  </w:r>
                  <w:r>
                    <w:rPr>
                      <w:color w:val="58595B"/>
                      <w:sz w:val="12"/>
                    </w:rPr>
                    <w:t>Energy </w:t>
                  </w:r>
                  <w:r>
                    <w:rPr>
                      <w:color w:val="58595B"/>
                      <w:spacing w:val="2"/>
                      <w:sz w:val="12"/>
                    </w:rPr>
                    <w:t>Efficiency </w:t>
                  </w:r>
                  <w:r>
                    <w:rPr>
                      <w:color w:val="58595B"/>
                      <w:sz w:val="12"/>
                    </w:rPr>
                    <w:t>Target scheme. Information on the Government’s energy </w:t>
                  </w:r>
                  <w:r>
                    <w:rPr>
                      <w:color w:val="58595B"/>
                      <w:spacing w:val="2"/>
                      <w:sz w:val="12"/>
                    </w:rPr>
                    <w:t>efficiency </w:t>
                  </w:r>
                  <w:r>
                    <w:rPr>
                      <w:color w:val="58595B"/>
                      <w:sz w:val="12"/>
                    </w:rPr>
                    <w:t>policy </w:t>
                  </w:r>
                  <w:r>
                    <w:rPr>
                      <w:color w:val="58595B"/>
                      <w:spacing w:val="2"/>
                      <w:sz w:val="12"/>
                    </w:rPr>
                    <w:t>and </w:t>
                  </w:r>
                  <w:r>
                    <w:rPr>
                      <w:color w:val="58595B"/>
                      <w:sz w:val="12"/>
                    </w:rPr>
                    <w:t>programs is available a</w:t>
                  </w:r>
                  <w:hyperlink r:id="rId47">
                    <w:r>
                      <w:rPr>
                        <w:color w:val="58595B"/>
                        <w:sz w:val="12"/>
                      </w:rPr>
                      <w:t>t http://www.energyandresources.vic.gov.au/</w:t>
                    </w:r>
                  </w:hyperlink>
                  <w:r>
                    <w:rPr>
                      <w:color w:val="58595B"/>
                      <w:sz w:val="12"/>
                    </w:rPr>
                    <w:t> </w:t>
                  </w:r>
                  <w:r>
                    <w:rPr>
                      <w:color w:val="58595B"/>
                      <w:spacing w:val="2"/>
                      <w:sz w:val="12"/>
                    </w:rPr>
                    <w:t>energy/environment-and-community/energy-efficiency  </w:t>
                  </w:r>
                  <w:r>
                    <w:rPr>
                      <w:color w:val="58595B"/>
                      <w:sz w:val="12"/>
                    </w:rPr>
                    <w:t>(accessed 10 November</w:t>
                  </w:r>
                  <w:r>
                    <w:rPr>
                      <w:color w:val="58595B"/>
                      <w:spacing w:val="9"/>
                      <w:sz w:val="12"/>
                    </w:rPr>
                    <w:t> </w:t>
                  </w:r>
                  <w:r>
                    <w:rPr>
                      <w:color w:val="58595B"/>
                      <w:sz w:val="12"/>
                    </w:rPr>
                    <w:t>2015).</w:t>
                  </w:r>
                </w:p>
                <w:p>
                  <w:pPr>
                    <w:spacing w:line="242" w:lineRule="auto" w:before="29"/>
                    <w:ind w:left="20" w:right="399" w:firstLine="0"/>
                    <w:jc w:val="left"/>
                    <w:rPr>
                      <w:i/>
                      <w:sz w:val="12"/>
                    </w:rPr>
                  </w:pPr>
                  <w:r>
                    <w:rPr>
                      <w:color w:val="58595B"/>
                      <w:sz w:val="12"/>
                    </w:rPr>
                    <w:t>Victorian Government 2015, </w:t>
                  </w:r>
                  <w:r>
                    <w:rPr>
                      <w:i/>
                      <w:color w:val="58595B"/>
                      <w:sz w:val="12"/>
                    </w:rPr>
                    <w:t>Independent Review of the Climate Change</w:t>
                  </w:r>
                </w:p>
                <w:p>
                  <w:pPr>
                    <w:spacing w:before="0"/>
                    <w:ind w:left="20" w:right="115" w:firstLine="0"/>
                    <w:jc w:val="left"/>
                    <w:rPr>
                      <w:sz w:val="12"/>
                    </w:rPr>
                  </w:pPr>
                  <w:r>
                    <w:rPr>
                      <w:i/>
                      <w:color w:val="58595B"/>
                      <w:sz w:val="12"/>
                    </w:rPr>
                    <w:t>Act 2010</w:t>
                  </w:r>
                  <w:r>
                    <w:rPr>
                      <w:color w:val="58595B"/>
                      <w:sz w:val="12"/>
                    </w:rPr>
                    <w:t>, December, p. 105.</w:t>
                  </w:r>
                </w:p>
                <w:p>
                  <w:pPr>
                    <w:spacing w:line="242" w:lineRule="auto" w:before="30"/>
                    <w:ind w:left="20" w:right="502" w:firstLine="0"/>
                    <w:jc w:val="left"/>
                    <w:rPr>
                      <w:sz w:val="12"/>
                    </w:rPr>
                  </w:pPr>
                  <w:r>
                    <w:rPr>
                      <w:color w:val="58595B"/>
                      <w:sz w:val="12"/>
                    </w:rPr>
                    <w:t>See the Department of Treasury and Finance’s </w:t>
                  </w:r>
                  <w:r>
                    <w:rPr>
                      <w:i/>
                      <w:color w:val="58595B"/>
                      <w:sz w:val="12"/>
                    </w:rPr>
                    <w:t>Victorian Guide to Regulation</w:t>
                  </w:r>
                  <w:r>
                    <w:rPr>
                      <w:color w:val="58595B"/>
                      <w:sz w:val="12"/>
                    </w:rPr>
                    <w:t>.</w:t>
                  </w:r>
                </w:p>
                <w:p>
                  <w:pPr>
                    <w:spacing w:line="242" w:lineRule="auto" w:before="29"/>
                    <w:ind w:left="20" w:right="399" w:firstLine="0"/>
                    <w:jc w:val="left"/>
                    <w:rPr>
                      <w:sz w:val="12"/>
                    </w:rPr>
                  </w:pPr>
                  <w:r>
                    <w:rPr>
                      <w:color w:val="58595B"/>
                      <w:sz w:val="12"/>
                    </w:rPr>
                    <w:t>Victorian Government 2015, </w:t>
                  </w:r>
                  <w:r>
                    <w:rPr>
                      <w:i/>
                      <w:color w:val="58595B"/>
                      <w:sz w:val="12"/>
                    </w:rPr>
                    <w:t>Independent Review of the Climate Change Act 2010</w:t>
                  </w:r>
                  <w:r>
                    <w:rPr>
                      <w:color w:val="58595B"/>
                      <w:sz w:val="12"/>
                    </w:rPr>
                    <w:t>, December, p. 105.</w:t>
                  </w:r>
                </w:p>
                <w:p>
                  <w:pPr>
                    <w:spacing w:before="29"/>
                    <w:ind w:left="20" w:right="115" w:firstLine="0"/>
                    <w:jc w:val="left"/>
                    <w:rPr>
                      <w:sz w:val="12"/>
                    </w:rPr>
                  </w:pPr>
                  <w:hyperlink r:id="rId48">
                    <w:r>
                      <w:rPr>
                        <w:color w:val="58595B"/>
                        <w:sz w:val="12"/>
                      </w:rPr>
                      <w:t>http://www.epa.gov/cleanpowerplan</w:t>
                    </w:r>
                  </w:hyperlink>
                  <w:r>
                    <w:rPr>
                      <w:color w:val="58595B"/>
                      <w:sz w:val="12"/>
                    </w:rPr>
                    <w:t>  (accessed  17  November 2015).</w:t>
                  </w:r>
                </w:p>
                <w:p>
                  <w:pPr>
                    <w:spacing w:line="242" w:lineRule="auto" w:before="30"/>
                    <w:ind w:left="20" w:right="115" w:firstLine="0"/>
                    <w:jc w:val="left"/>
                    <w:rPr>
                      <w:sz w:val="12"/>
                    </w:rPr>
                  </w:pPr>
                  <w:hyperlink r:id="rId49">
                    <w:r>
                      <w:rPr>
                        <w:color w:val="58595B"/>
                        <w:sz w:val="12"/>
                      </w:rPr>
                      <w:t>http://www.ec.gc.ca/lcpe-cepa/eng/regulations/detailReg.</w:t>
                    </w:r>
                  </w:hyperlink>
                  <w:r>
                    <w:rPr>
                      <w:color w:val="58595B"/>
                      <w:sz w:val="12"/>
                    </w:rPr>
                    <w:t> cfm?intReg=209 (accessed 17  November 2015).</w:t>
                  </w:r>
                </w:p>
                <w:p>
                  <w:pPr>
                    <w:spacing w:line="242" w:lineRule="auto" w:before="29"/>
                    <w:ind w:left="20" w:right="121" w:firstLine="0"/>
                    <w:jc w:val="left"/>
                    <w:rPr>
                      <w:sz w:val="12"/>
                    </w:rPr>
                  </w:pPr>
                  <w:r>
                    <w:rPr>
                      <w:color w:val="58595B"/>
                      <w:sz w:val="12"/>
                    </w:rPr>
                    <w:t>The age profiles in figure 8.2 are based on the commissioning date of the youngest units of the  plants.</w:t>
                  </w:r>
                </w:p>
                <w:p>
                  <w:pPr>
                    <w:spacing w:before="29"/>
                    <w:ind w:left="20" w:right="115" w:firstLine="0"/>
                    <w:jc w:val="left"/>
                    <w:rPr>
                      <w:sz w:val="12"/>
                    </w:rPr>
                  </w:pPr>
                  <w:r>
                    <w:rPr>
                      <w:color w:val="58595B"/>
                      <w:sz w:val="12"/>
                    </w:rPr>
                    <w:t>Division 1A of Part III, </w:t>
                  </w:r>
                  <w:r>
                    <w:rPr>
                      <w:i/>
                      <w:color w:val="58595B"/>
                      <w:sz w:val="12"/>
                    </w:rPr>
                    <w:t>Environment Protection Act  1970</w:t>
                  </w:r>
                  <w:r>
                    <w:rPr>
                      <w:color w:val="58595B"/>
                      <w:sz w:val="12"/>
                    </w:rPr>
                    <w:t>.</w:t>
                  </w:r>
                </w:p>
                <w:p>
                  <w:pPr>
                    <w:spacing w:line="242" w:lineRule="auto" w:before="30"/>
                    <w:ind w:left="20" w:right="115" w:firstLine="0"/>
                    <w:jc w:val="left"/>
                    <w:rPr>
                      <w:sz w:val="12"/>
                    </w:rPr>
                  </w:pPr>
                  <w:r>
                    <w:rPr>
                      <w:color w:val="58595B"/>
                      <w:sz w:val="12"/>
                    </w:rPr>
                    <w:t>Minister for Environment, Climate Change and Water 2016, ‘Climate Change Act Review Recommendations Tabled’, Media  Release,</w:t>
                  </w:r>
                </w:p>
                <w:p>
                  <w:pPr>
                    <w:spacing w:before="0"/>
                    <w:ind w:left="20" w:right="0" w:firstLine="0"/>
                    <w:jc w:val="left"/>
                    <w:rPr>
                      <w:sz w:val="12"/>
                    </w:rPr>
                  </w:pPr>
                  <w:r>
                    <w:rPr>
                      <w:color w:val="58595B"/>
                      <w:sz w:val="12"/>
                    </w:rPr>
                    <w:t>11   February</w:t>
                  </w:r>
                  <w:hyperlink r:id="rId50">
                    <w:r>
                      <w:rPr>
                        <w:color w:val="58595B"/>
                        <w:sz w:val="12"/>
                      </w:rPr>
                      <w:t>,  http://www.premier.vic.gov.au/climate-change-act-review-</w:t>
                    </w:r>
                  </w:hyperlink>
                </w:p>
                <w:p>
                  <w:pPr>
                    <w:spacing w:before="2"/>
                    <w:ind w:left="20" w:right="115" w:firstLine="0"/>
                    <w:jc w:val="left"/>
                    <w:rPr>
                      <w:sz w:val="12"/>
                    </w:rPr>
                  </w:pPr>
                  <w:r>
                    <w:rPr>
                      <w:color w:val="58595B"/>
                      <w:sz w:val="12"/>
                    </w:rPr>
                    <w:t>recommendations-tabled/(accessed  12  February 2016).</w:t>
                  </w:r>
                </w:p>
                <w:p>
                  <w:pPr>
                    <w:spacing w:line="242" w:lineRule="auto" w:before="30"/>
                    <w:ind w:left="20" w:right="255" w:firstLine="0"/>
                    <w:jc w:val="left"/>
                    <w:rPr>
                      <w:sz w:val="12"/>
                    </w:rPr>
                  </w:pPr>
                  <w:r>
                    <w:rPr>
                      <w:color w:val="58595B"/>
                      <w:sz w:val="12"/>
                    </w:rPr>
                    <w:t>This is subject to how the emissions limits operated, including  whether </w:t>
                  </w:r>
                  <w:r>
                    <w:rPr>
                      <w:color w:val="58595B"/>
                      <w:spacing w:val="2"/>
                      <w:sz w:val="12"/>
                    </w:rPr>
                    <w:t>flexibility </w:t>
                  </w:r>
                  <w:r>
                    <w:rPr>
                      <w:color w:val="58595B"/>
                      <w:sz w:val="12"/>
                    </w:rPr>
                    <w:t>mechanisms were provided; and assumes there is limited ability for the stations to </w:t>
                  </w:r>
                  <w:r>
                    <w:rPr>
                      <w:color w:val="58595B"/>
                      <w:spacing w:val="2"/>
                      <w:sz w:val="12"/>
                    </w:rPr>
                    <w:t>significantly </w:t>
                  </w:r>
                  <w:r>
                    <w:rPr>
                      <w:color w:val="58595B"/>
                      <w:sz w:val="12"/>
                    </w:rPr>
                    <w:t>improve their emissions </w:t>
                  </w:r>
                  <w:r>
                    <w:rPr>
                      <w:color w:val="58595B"/>
                      <w:spacing w:val="2"/>
                      <w:sz w:val="12"/>
                    </w:rPr>
                    <w:t>performance </w:t>
                  </w:r>
                  <w:r>
                    <w:rPr>
                      <w:color w:val="58595B"/>
                      <w:sz w:val="12"/>
                    </w:rPr>
                    <w:t>(for example, it assumes </w:t>
                  </w:r>
                  <w:r>
                    <w:rPr>
                      <w:color w:val="58595B"/>
                      <w:spacing w:val="2"/>
                      <w:sz w:val="12"/>
                    </w:rPr>
                    <w:t>retrofitting </w:t>
                  </w:r>
                  <w:r>
                    <w:rPr>
                      <w:color w:val="58595B"/>
                      <w:sz w:val="12"/>
                    </w:rPr>
                    <w:t>CCS is unlikely to be</w:t>
                  </w:r>
                  <w:r>
                    <w:rPr>
                      <w:color w:val="58595B"/>
                      <w:spacing w:val="8"/>
                      <w:sz w:val="12"/>
                    </w:rPr>
                    <w:t> </w:t>
                  </w:r>
                  <w:r>
                    <w:rPr>
                      <w:color w:val="58595B"/>
                      <w:sz w:val="12"/>
                    </w:rPr>
                    <w:t>viable).</w:t>
                  </w:r>
                </w:p>
              </w:txbxContent>
            </v:textbox>
            <w10:wrap type="none"/>
          </v:shape>
        </w:pict>
      </w:r>
      <w:r>
        <w:rPr/>
        <w:pict>
          <v:shape style="position:absolute;margin-left:89.702599pt;margin-top:121.643028pt;width:5.3pt;height:8pt;mso-position-horizontal-relative:page;mso-position-vertical-relative:page;z-index:-175720" type="#_x0000_t202" filled="false" stroked="false">
            <v:textbox inset="0,0,0,0">
              <w:txbxContent>
                <w:p>
                  <w:pPr>
                    <w:spacing w:before="4"/>
                    <w:ind w:left="20" w:right="0" w:firstLine="0"/>
                    <w:jc w:val="left"/>
                    <w:rPr>
                      <w:sz w:val="12"/>
                    </w:rPr>
                  </w:pPr>
                  <w:r>
                    <w:rPr>
                      <w:color w:val="58595B"/>
                      <w:sz w:val="12"/>
                    </w:rPr>
                    <w:t>2</w:t>
                  </w:r>
                </w:p>
              </w:txbxContent>
            </v:textbox>
            <w10:wrap type="none"/>
          </v:shape>
        </w:pict>
      </w:r>
      <w:r>
        <w:rPr/>
        <w:pict>
          <v:shape style="position:absolute;margin-left:89.702599pt;margin-top:137.063034pt;width:5.3pt;height:8pt;mso-position-horizontal-relative:page;mso-position-vertical-relative:page;z-index:-175696" type="#_x0000_t202" filled="false" stroked="false">
            <v:textbox inset="0,0,0,0">
              <w:txbxContent>
                <w:p>
                  <w:pPr>
                    <w:spacing w:before="4"/>
                    <w:ind w:left="20" w:right="0" w:firstLine="0"/>
                    <w:jc w:val="left"/>
                    <w:rPr>
                      <w:sz w:val="12"/>
                    </w:rPr>
                  </w:pPr>
                  <w:r>
                    <w:rPr>
                      <w:color w:val="58595B"/>
                      <w:sz w:val="12"/>
                    </w:rPr>
                    <w:t>3</w:t>
                  </w:r>
                </w:p>
              </w:txbxContent>
            </v:textbox>
            <w10:wrap type="none"/>
          </v:shape>
        </w:pict>
      </w:r>
      <w:r>
        <w:rPr/>
        <w:pict>
          <v:shape style="position:absolute;margin-left:89.702599pt;margin-top:152.483032pt;width:5.3pt;height:8pt;mso-position-horizontal-relative:page;mso-position-vertical-relative:page;z-index:-175672" type="#_x0000_t202" filled="false" stroked="false">
            <v:textbox inset="0,0,0,0">
              <w:txbxContent>
                <w:p>
                  <w:pPr>
                    <w:spacing w:before="4"/>
                    <w:ind w:left="20" w:right="0" w:firstLine="0"/>
                    <w:jc w:val="left"/>
                    <w:rPr>
                      <w:sz w:val="12"/>
                    </w:rPr>
                  </w:pPr>
                  <w:r>
                    <w:rPr>
                      <w:color w:val="58595B"/>
                      <w:sz w:val="12"/>
                    </w:rPr>
                    <w:t>4</w:t>
                  </w:r>
                </w:p>
              </w:txbxContent>
            </v:textbox>
            <w10:wrap type="none"/>
          </v:shape>
        </w:pict>
      </w:r>
      <w:r>
        <w:rPr/>
        <w:pict>
          <v:shape style="position:absolute;margin-left:89.702599pt;margin-top:167.90303pt;width:5.3pt;height:8pt;mso-position-horizontal-relative:page;mso-position-vertical-relative:page;z-index:-175648" type="#_x0000_t202" filled="false" stroked="false">
            <v:textbox inset="0,0,0,0">
              <w:txbxContent>
                <w:p>
                  <w:pPr>
                    <w:spacing w:before="4"/>
                    <w:ind w:left="20" w:right="0" w:firstLine="0"/>
                    <w:jc w:val="left"/>
                    <w:rPr>
                      <w:sz w:val="12"/>
                    </w:rPr>
                  </w:pPr>
                  <w:r>
                    <w:rPr>
                      <w:color w:val="58595B"/>
                      <w:sz w:val="12"/>
                    </w:rPr>
                    <w:t>5</w:t>
                  </w:r>
                </w:p>
              </w:txbxContent>
            </v:textbox>
            <w10:wrap type="none"/>
          </v:shape>
        </w:pict>
      </w:r>
      <w:r>
        <w:rPr/>
        <w:pict>
          <v:shape style="position:absolute;margin-left:89.702599pt;margin-top:183.323029pt;width:5.3pt;height:8pt;mso-position-horizontal-relative:page;mso-position-vertical-relative:page;z-index:-175624" type="#_x0000_t202" filled="false" stroked="false">
            <v:textbox inset="0,0,0,0">
              <w:txbxContent>
                <w:p>
                  <w:pPr>
                    <w:spacing w:before="4"/>
                    <w:ind w:left="20" w:right="0" w:firstLine="0"/>
                    <w:jc w:val="left"/>
                    <w:rPr>
                      <w:sz w:val="12"/>
                    </w:rPr>
                  </w:pPr>
                  <w:r>
                    <w:rPr>
                      <w:color w:val="58595B"/>
                      <w:sz w:val="12"/>
                    </w:rPr>
                    <w:t>6</w:t>
                  </w:r>
                </w:p>
              </w:txbxContent>
            </v:textbox>
            <w10:wrap type="none"/>
          </v:shape>
        </w:pict>
      </w:r>
      <w:r>
        <w:rPr/>
        <w:pict>
          <v:shape style="position:absolute;margin-left:89.702599pt;margin-top:198.743027pt;width:5.3pt;height:8pt;mso-position-horizontal-relative:page;mso-position-vertical-relative:page;z-index:-175600" type="#_x0000_t202" filled="false" stroked="false">
            <v:textbox inset="0,0,0,0">
              <w:txbxContent>
                <w:p>
                  <w:pPr>
                    <w:spacing w:before="4"/>
                    <w:ind w:left="20" w:right="0" w:firstLine="0"/>
                    <w:jc w:val="left"/>
                    <w:rPr>
                      <w:sz w:val="12"/>
                    </w:rPr>
                  </w:pPr>
                  <w:r>
                    <w:rPr>
                      <w:color w:val="58595B"/>
                      <w:sz w:val="12"/>
                    </w:rPr>
                    <w:t>7</w:t>
                  </w:r>
                </w:p>
              </w:txbxContent>
            </v:textbox>
            <w10:wrap type="none"/>
          </v:shape>
        </w:pict>
      </w:r>
      <w:r>
        <w:rPr/>
        <w:pict>
          <v:shape style="position:absolute;margin-left:89.702599pt;margin-top:277.181030pt;width:5.3pt;height:8pt;mso-position-horizontal-relative:page;mso-position-vertical-relative:page;z-index:-175576" type="#_x0000_t202" filled="false" stroked="false">
            <v:textbox inset="0,0,0,0">
              <w:txbxContent>
                <w:p>
                  <w:pPr>
                    <w:spacing w:before="4"/>
                    <w:ind w:left="20" w:right="0" w:firstLine="0"/>
                    <w:jc w:val="left"/>
                    <w:rPr>
                      <w:sz w:val="12"/>
                    </w:rPr>
                  </w:pPr>
                  <w:r>
                    <w:rPr>
                      <w:color w:val="58595B"/>
                      <w:sz w:val="12"/>
                    </w:rPr>
                    <w:t>8</w:t>
                  </w:r>
                </w:p>
              </w:txbxContent>
            </v:textbox>
            <w10:wrap type="none"/>
          </v:shape>
        </w:pict>
      </w:r>
      <w:r>
        <w:rPr/>
        <w:pict>
          <v:shape style="position:absolute;margin-left:89.702599pt;margin-top:292.601013pt;width:5.3pt;height:8pt;mso-position-horizontal-relative:page;mso-position-vertical-relative:page;z-index:-175552" type="#_x0000_t202" filled="false" stroked="false">
            <v:textbox inset="0,0,0,0">
              <w:txbxContent>
                <w:p>
                  <w:pPr>
                    <w:spacing w:before="4"/>
                    <w:ind w:left="20" w:right="0" w:firstLine="0"/>
                    <w:jc w:val="left"/>
                    <w:rPr>
                      <w:sz w:val="12"/>
                    </w:rPr>
                  </w:pPr>
                  <w:r>
                    <w:rPr>
                      <w:color w:val="58595B"/>
                      <w:sz w:val="12"/>
                    </w:rPr>
                    <w:t>9</w:t>
                  </w:r>
                </w:p>
              </w:txbxContent>
            </v:textbox>
            <w10:wrap type="none"/>
          </v:shape>
        </w:pict>
      </w:r>
      <w:r>
        <w:rPr/>
        <w:pict>
          <v:shape style="position:absolute;margin-left:89.702599pt;margin-top:308.021027pt;width:8.550pt;height:16.45pt;mso-position-horizontal-relative:page;mso-position-vertical-relative:page;z-index:-175528" type="#_x0000_t202" filled="false" stroked="false">
            <v:textbox inset="0,0,0,0">
              <w:txbxContent>
                <w:p>
                  <w:pPr>
                    <w:spacing w:before="4"/>
                    <w:ind w:left="20" w:right="-3" w:firstLine="0"/>
                    <w:jc w:val="left"/>
                    <w:rPr>
                      <w:sz w:val="12"/>
                    </w:rPr>
                  </w:pPr>
                  <w:r>
                    <w:rPr>
                      <w:color w:val="58595B"/>
                      <w:sz w:val="12"/>
                    </w:rPr>
                    <w:t>10</w:t>
                  </w:r>
                </w:p>
                <w:p>
                  <w:pPr>
                    <w:spacing w:before="30"/>
                    <w:ind w:left="20" w:right="-3" w:firstLine="0"/>
                    <w:jc w:val="left"/>
                    <w:rPr>
                      <w:sz w:val="12"/>
                    </w:rPr>
                  </w:pPr>
                  <w:r>
                    <w:rPr>
                      <w:color w:val="58595B"/>
                      <w:sz w:val="12"/>
                    </w:rPr>
                    <w:t>11</w:t>
                  </w:r>
                </w:p>
              </w:txbxContent>
            </v:textbox>
            <w10:wrap type="none"/>
          </v:shape>
        </w:pict>
      </w:r>
      <w:r>
        <w:rPr/>
        <w:pict>
          <v:shape style="position:absolute;margin-left:89.702599pt;margin-top:401.879028pt;width:8.4pt;height:8pt;mso-position-horizontal-relative:page;mso-position-vertical-relative:page;z-index:-175504" type="#_x0000_t202" filled="false" stroked="false">
            <v:textbox inset="0,0,0,0">
              <w:txbxContent>
                <w:p>
                  <w:pPr>
                    <w:spacing w:before="4"/>
                    <w:ind w:left="20" w:right="-6" w:firstLine="0"/>
                    <w:jc w:val="left"/>
                    <w:rPr>
                      <w:sz w:val="12"/>
                    </w:rPr>
                  </w:pPr>
                  <w:r>
                    <w:rPr>
                      <w:color w:val="58595B"/>
                      <w:sz w:val="12"/>
                    </w:rPr>
                    <w:t>12</w:t>
                  </w:r>
                </w:p>
              </w:txbxContent>
            </v:textbox>
            <w10:wrap type="none"/>
          </v:shape>
        </w:pict>
      </w:r>
      <w:r>
        <w:rPr/>
        <w:pict>
          <v:shape style="position:absolute;margin-left:89.702599pt;margin-top:417.299042pt;width:8.4pt;height:8pt;mso-position-horizontal-relative:page;mso-position-vertical-relative:page;z-index:-175480" type="#_x0000_t202" filled="false" stroked="false">
            <v:textbox inset="0,0,0,0">
              <w:txbxContent>
                <w:p>
                  <w:pPr>
                    <w:spacing w:before="4"/>
                    <w:ind w:left="20" w:right="-6" w:firstLine="0"/>
                    <w:jc w:val="left"/>
                    <w:rPr>
                      <w:sz w:val="12"/>
                    </w:rPr>
                  </w:pPr>
                  <w:r>
                    <w:rPr>
                      <w:color w:val="58595B"/>
                      <w:sz w:val="12"/>
                    </w:rPr>
                    <w:t>13</w:t>
                  </w:r>
                </w:p>
              </w:txbxContent>
            </v:textbox>
            <w10:wrap type="none"/>
          </v:shape>
        </w:pict>
      </w:r>
      <w:r>
        <w:rPr/>
        <w:pict>
          <v:shape style="position:absolute;margin-left:89.702599pt;margin-top:432.719025pt;width:8.450pt;height:16.45pt;mso-position-horizontal-relative:page;mso-position-vertical-relative:page;z-index:-175456" type="#_x0000_t202" filled="false" stroked="false">
            <v:textbox inset="0,0,0,0">
              <w:txbxContent>
                <w:p>
                  <w:pPr>
                    <w:spacing w:before="4"/>
                    <w:ind w:left="20" w:right="-5" w:firstLine="0"/>
                    <w:jc w:val="left"/>
                    <w:rPr>
                      <w:sz w:val="12"/>
                    </w:rPr>
                  </w:pPr>
                  <w:r>
                    <w:rPr>
                      <w:color w:val="58595B"/>
                      <w:sz w:val="12"/>
                    </w:rPr>
                    <w:t>14</w:t>
                  </w:r>
                </w:p>
                <w:p>
                  <w:pPr>
                    <w:spacing w:before="30"/>
                    <w:ind w:left="20" w:right="-5" w:firstLine="0"/>
                    <w:jc w:val="left"/>
                    <w:rPr>
                      <w:sz w:val="12"/>
                    </w:rPr>
                  </w:pPr>
                  <w:r>
                    <w:rPr>
                      <w:color w:val="58595B"/>
                      <w:sz w:val="12"/>
                    </w:rPr>
                    <w:t>15</w:t>
                  </w:r>
                </w:p>
              </w:txbxContent>
            </v:textbox>
            <w10:wrap type="none"/>
          </v:shape>
        </w:pict>
      </w:r>
      <w:r>
        <w:rPr/>
        <w:pict>
          <v:shape style="position:absolute;margin-left:89.696602pt;margin-top:491.567017pt;width:8.550pt;height:8pt;mso-position-horizontal-relative:page;mso-position-vertical-relative:page;z-index:-175432" type="#_x0000_t202" filled="false" stroked="false">
            <v:textbox inset="0,0,0,0">
              <w:txbxContent>
                <w:p>
                  <w:pPr>
                    <w:spacing w:before="4"/>
                    <w:ind w:left="20" w:right="-3" w:firstLine="0"/>
                    <w:jc w:val="left"/>
                    <w:rPr>
                      <w:sz w:val="12"/>
                    </w:rPr>
                  </w:pPr>
                  <w:r>
                    <w:rPr>
                      <w:color w:val="58595B"/>
                      <w:sz w:val="12"/>
                    </w:rPr>
                    <w:t>16</w:t>
                  </w:r>
                </w:p>
              </w:txbxContent>
            </v:textbox>
            <w10:wrap type="none"/>
          </v:shape>
        </w:pict>
      </w:r>
      <w:r>
        <w:rPr/>
        <w:pict>
          <v:shape style="position:absolute;margin-left:89.702599pt;margin-top:541.997009pt;width:8.25pt;height:8pt;mso-position-horizontal-relative:page;mso-position-vertical-relative:page;z-index:-175408" type="#_x0000_t202" filled="false" stroked="false">
            <v:textbox inset="0,0,0,0">
              <w:txbxContent>
                <w:p>
                  <w:pPr>
                    <w:spacing w:before="4"/>
                    <w:ind w:left="20" w:right="-9" w:firstLine="0"/>
                    <w:jc w:val="left"/>
                    <w:rPr>
                      <w:sz w:val="12"/>
                    </w:rPr>
                  </w:pPr>
                  <w:r>
                    <w:rPr>
                      <w:color w:val="58595B"/>
                      <w:sz w:val="12"/>
                    </w:rPr>
                    <w:t>17</w:t>
                  </w:r>
                </w:p>
              </w:txbxContent>
            </v:textbox>
            <w10:wrap type="none"/>
          </v:shape>
        </w:pict>
      </w:r>
      <w:r>
        <w:rPr/>
        <w:pict>
          <v:shape style="position:absolute;margin-left:89.696602pt;margin-top:564.419006pt;width:8.5pt;height:8pt;mso-position-horizontal-relative:page;mso-position-vertical-relative:page;z-index:-175384" type="#_x0000_t202" filled="false" stroked="false">
            <v:textbox inset="0,0,0,0">
              <w:txbxContent>
                <w:p>
                  <w:pPr>
                    <w:spacing w:before="4"/>
                    <w:ind w:left="20" w:right="-4" w:firstLine="0"/>
                    <w:jc w:val="left"/>
                    <w:rPr>
                      <w:sz w:val="12"/>
                    </w:rPr>
                  </w:pPr>
                  <w:r>
                    <w:rPr>
                      <w:color w:val="58595B"/>
                      <w:sz w:val="12"/>
                    </w:rPr>
                    <w:t>18</w:t>
                  </w:r>
                </w:p>
              </w:txbxContent>
            </v:textbox>
            <w10:wrap type="none"/>
          </v:shape>
        </w:pict>
      </w:r>
      <w:r>
        <w:rPr/>
        <w:pict>
          <v:shape style="position:absolute;margin-left:89.696602pt;margin-top:579.839050pt;width:8.5pt;height:8pt;mso-position-horizontal-relative:page;mso-position-vertical-relative:page;z-index:-175360" type="#_x0000_t202" filled="false" stroked="false">
            <v:textbox inset="0,0,0,0">
              <w:txbxContent>
                <w:p>
                  <w:pPr>
                    <w:spacing w:before="4"/>
                    <w:ind w:left="20" w:right="-4" w:firstLine="0"/>
                    <w:jc w:val="left"/>
                    <w:rPr>
                      <w:sz w:val="12"/>
                    </w:rPr>
                  </w:pPr>
                  <w:r>
                    <w:rPr>
                      <w:color w:val="58595B"/>
                      <w:sz w:val="12"/>
                    </w:rPr>
                    <w:t>19</w:t>
                  </w:r>
                </w:p>
              </w:txbxContent>
            </v:textbox>
            <w10:wrap type="none"/>
          </v:shape>
        </w:pict>
      </w:r>
      <w:r>
        <w:rPr/>
        <w:pict>
          <v:shape style="position:absolute;margin-left:89.696602pt;margin-top:595.259033pt;width:8.8pt;height:16.45pt;mso-position-horizontal-relative:page;mso-position-vertical-relative:page;z-index:-175336" type="#_x0000_t202" filled="false" stroked="false">
            <v:textbox inset="0,0,0,0">
              <w:txbxContent>
                <w:p>
                  <w:pPr>
                    <w:spacing w:before="4"/>
                    <w:ind w:left="20" w:right="0" w:firstLine="0"/>
                    <w:jc w:val="left"/>
                    <w:rPr>
                      <w:sz w:val="12"/>
                    </w:rPr>
                  </w:pPr>
                  <w:r>
                    <w:rPr>
                      <w:color w:val="58595B"/>
                      <w:sz w:val="12"/>
                    </w:rPr>
                    <w:t>20</w:t>
                  </w:r>
                </w:p>
                <w:p>
                  <w:pPr>
                    <w:spacing w:before="30"/>
                    <w:ind w:left="20" w:right="0" w:firstLine="0"/>
                    <w:jc w:val="left"/>
                    <w:rPr>
                      <w:sz w:val="12"/>
                    </w:rPr>
                  </w:pPr>
                  <w:r>
                    <w:rPr>
                      <w:color w:val="58595B"/>
                      <w:sz w:val="12"/>
                    </w:rPr>
                    <w:t>21</w:t>
                  </w:r>
                </w:p>
              </w:txbxContent>
            </v:textbox>
            <w10:wrap type="none"/>
          </v:shape>
        </w:pict>
      </w:r>
      <w:r>
        <w:rPr/>
        <w:pict>
          <v:shape style="position:absolute;margin-left:89.696602pt;margin-top:619.097046pt;width:8.85pt;height:8pt;mso-position-horizontal-relative:page;mso-position-vertical-relative:page;z-index:-175312" type="#_x0000_t202" filled="false" stroked="false">
            <v:textbox inset="0,0,0,0">
              <w:txbxContent>
                <w:p>
                  <w:pPr>
                    <w:spacing w:before="4"/>
                    <w:ind w:left="20" w:right="0" w:firstLine="0"/>
                    <w:jc w:val="left"/>
                    <w:rPr>
                      <w:sz w:val="12"/>
                    </w:rPr>
                  </w:pPr>
                  <w:r>
                    <w:rPr>
                      <w:color w:val="58595B"/>
                      <w:sz w:val="12"/>
                    </w:rPr>
                    <w:t>22</w:t>
                  </w:r>
                </w:p>
              </w:txbxContent>
            </v:textbox>
            <w10:wrap type="none"/>
          </v:shape>
        </w:pict>
      </w:r>
      <w:r>
        <w:rPr/>
        <w:pict>
          <v:shape style="position:absolute;margin-left:89.696602pt;margin-top:634.517029pt;width:8.8pt;height:16.45pt;mso-position-horizontal-relative:page;mso-position-vertical-relative:page;z-index:-175288" type="#_x0000_t202" filled="false" stroked="false">
            <v:textbox inset="0,0,0,0">
              <w:txbxContent>
                <w:p>
                  <w:pPr>
                    <w:spacing w:before="4"/>
                    <w:ind w:left="20" w:right="0" w:firstLine="0"/>
                    <w:jc w:val="left"/>
                    <w:rPr>
                      <w:sz w:val="12"/>
                    </w:rPr>
                  </w:pPr>
                  <w:r>
                    <w:rPr>
                      <w:color w:val="58595B"/>
                      <w:sz w:val="12"/>
                    </w:rPr>
                    <w:t>23</w:t>
                  </w:r>
                </w:p>
                <w:p>
                  <w:pPr>
                    <w:spacing w:before="30"/>
                    <w:ind w:left="20" w:right="0" w:firstLine="0"/>
                    <w:jc w:val="left"/>
                    <w:rPr>
                      <w:sz w:val="12"/>
                    </w:rPr>
                  </w:pPr>
                  <w:r>
                    <w:rPr>
                      <w:color w:val="58595B"/>
                      <w:sz w:val="12"/>
                    </w:rPr>
                    <w:t>24</w:t>
                  </w:r>
                </w:p>
              </w:txbxContent>
            </v:textbox>
            <w10:wrap type="none"/>
          </v:shape>
        </w:pict>
      </w:r>
      <w:r>
        <w:rPr/>
        <w:pict>
          <v:shape style="position:absolute;margin-left:89.696602pt;margin-top:672.359009pt;width:8.75pt;height:8pt;mso-position-horizontal-relative:page;mso-position-vertical-relative:page;z-index:-175264" type="#_x0000_t202" filled="false" stroked="false">
            <v:textbox inset="0,0,0,0">
              <w:txbxContent>
                <w:p>
                  <w:pPr>
                    <w:spacing w:before="4"/>
                    <w:ind w:left="20" w:right="0" w:firstLine="0"/>
                    <w:jc w:val="left"/>
                    <w:rPr>
                      <w:sz w:val="12"/>
                    </w:rPr>
                  </w:pPr>
                  <w:r>
                    <w:rPr>
                      <w:color w:val="58595B"/>
                      <w:sz w:val="12"/>
                    </w:rPr>
                    <w:t>25</w:t>
                  </w:r>
                </w:p>
              </w:txbxContent>
            </v:textbox>
            <w10:wrap type="none"/>
          </v:shape>
        </w:pict>
      </w:r>
      <w:r>
        <w:rPr/>
        <w:pict>
          <v:shape style="position:absolute;margin-left:534.996094pt;margin-top:44.090015pt;width:60.3pt;height:5.25pt;mso-position-horizontal-relative:page;mso-position-vertical-relative:page;z-index:-175240"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5216" type="#_x0000_t202" filled="false" stroked="false">
            <v:textbox inset="0,0,0,0">
              <w:txbxContent/>
            </v:textbox>
            <w10:wrap type="none"/>
          </v:shape>
        </w:pict>
      </w:r>
      <w:r>
        <w:rPr/>
        <w:pict>
          <v:shape style="position:absolute;margin-left:90.708603pt;margin-top:92.331017pt;width:210.85pt;height:12pt;mso-position-horizontal-relative:page;mso-position-vertical-relative:page;z-index:-175192" type="#_x0000_t202" filled="false" stroked="false">
            <v:textbox inset="0,0,0,0">
              <w:txbxContent>
                <w:p>
                  <w:pPr>
                    <w:pStyle w:val="BodyText"/>
                    <w:spacing w:before="4"/>
                    <w:ind w:left="40"/>
                    <w:rPr>
                      <w:rFonts w:ascii="Times New Roman"/>
                      <w:sz w:val="17"/>
                    </w:rPr>
                  </w:pPr>
                </w:p>
              </w:txbxContent>
            </v:textbox>
            <w10:wrap type="none"/>
          </v:shape>
        </w:pict>
      </w:r>
    </w:p>
    <w:p>
      <w:pPr>
        <w:spacing w:after="0"/>
        <w:rPr>
          <w:sz w:val="2"/>
          <w:szCs w:val="2"/>
        </w:rPr>
        <w:sectPr>
          <w:pgSz w:w="11910" w:h="16840"/>
          <w:pgMar w:top="800" w:bottom="280" w:left="1680" w:right="0"/>
        </w:sectPr>
      </w:pPr>
    </w:p>
    <w:p>
      <w:pPr>
        <w:rPr>
          <w:sz w:val="2"/>
          <w:szCs w:val="2"/>
        </w:rPr>
      </w:pPr>
      <w:r>
        <w:rPr/>
        <w:drawing>
          <wp:anchor distT="0" distB="0" distL="0" distR="0" allowOverlap="1" layoutInCell="1" locked="0" behindDoc="1" simplePos="0" relativeHeight="268260287">
            <wp:simplePos x="0" y="0"/>
            <wp:positionH relativeFrom="page">
              <wp:posOffset>0</wp:posOffset>
            </wp:positionH>
            <wp:positionV relativeFrom="page">
              <wp:posOffset>0</wp:posOffset>
            </wp:positionV>
            <wp:extent cx="7559999" cy="10692003"/>
            <wp:effectExtent l="0" t="0" r="0" b="0"/>
            <wp:wrapNone/>
            <wp:docPr id="13" name="image7.png" descr=""/>
            <wp:cNvGraphicFramePr>
              <a:graphicFrameLocks noChangeAspect="1"/>
            </wp:cNvGraphicFramePr>
            <a:graphic>
              <a:graphicData uri="http://schemas.openxmlformats.org/drawingml/2006/picture">
                <pic:pic>
                  <pic:nvPicPr>
                    <pic:cNvPr id="14" name="image7.png"/>
                    <pic:cNvPicPr/>
                  </pic:nvPicPr>
                  <pic:blipFill>
                    <a:blip r:embed="rId15" cstate="print"/>
                    <a:stretch>
                      <a:fillRect/>
                    </a:stretch>
                  </pic:blipFill>
                  <pic:spPr>
                    <a:xfrm>
                      <a:off x="0" y="0"/>
                      <a:ext cx="7559999" cy="10692003"/>
                    </a:xfrm>
                    <a:prstGeom prst="rect">
                      <a:avLst/>
                    </a:prstGeom>
                  </pic:spPr>
                </pic:pic>
              </a:graphicData>
            </a:graphic>
          </wp:anchor>
        </w:drawing>
      </w:r>
    </w:p>
    <w:p>
      <w:pPr>
        <w:spacing w:after="0"/>
        <w:rPr>
          <w:sz w:val="2"/>
          <w:szCs w:val="2"/>
        </w:rPr>
        <w:sectPr>
          <w:pgSz w:w="11910" w:h="16840"/>
          <w:pgMar w:top="1580" w:bottom="280" w:left="1680" w:right="1680"/>
        </w:sectPr>
      </w:pPr>
    </w:p>
    <w:p>
      <w:pPr>
        <w:rPr>
          <w:sz w:val="2"/>
          <w:szCs w:val="2"/>
        </w:rPr>
      </w:pPr>
      <w:r>
        <w:rPr/>
        <w:pict>
          <v:group style="position:absolute;margin-left:0pt;margin-top:.000244pt;width:598.8pt;height:841.9pt;mso-position-horizontal-relative:page;mso-position-vertical-relative:page;z-index:-175144" coordorigin="0,0" coordsize="11976,16838">
            <v:shape style="position:absolute;left:0;top:0;width:11906;height:16838" type="#_x0000_t75" stroked="false">
              <v:imagedata r:id="rId16" o:title=""/>
            </v:shape>
            <v:line style="position:absolute" from="10700,917" to="11906,917" stroked="true" strokeweight="7pt" strokecolor="#0095a7"/>
            <w10:wrap type="none"/>
          </v:group>
        </w:pict>
      </w:r>
      <w:r>
        <w:rPr/>
        <w:pict>
          <v:shape style="position:absolute;margin-left:510.812714pt;margin-top:40.902756pt;width:14.55pt;height:9.5pt;mso-position-horizontal-relative:page;mso-position-vertical-relative:page;z-index:-175120" type="#_x0000_t202" filled="false" stroked="false">
            <v:textbox inset="0,0,0,0">
              <w:txbxContent>
                <w:p>
                  <w:pPr>
                    <w:spacing w:before="1"/>
                    <w:ind w:left="20" w:right="0" w:firstLine="0"/>
                    <w:jc w:val="left"/>
                    <w:rPr>
                      <w:sz w:val="15"/>
                    </w:rPr>
                  </w:pPr>
                  <w:r>
                    <w:rPr>
                      <w:color w:val="58595B"/>
                      <w:sz w:val="15"/>
                    </w:rPr>
                    <w:t>169</w:t>
                  </w:r>
                </w:p>
              </w:txbxContent>
            </v:textbox>
            <w10:wrap type="none"/>
          </v:shape>
        </w:pict>
      </w:r>
      <w:r>
        <w:rPr/>
        <w:pict>
          <v:shape style="position:absolute;margin-left:89.708702pt;margin-top:105.893967pt;width:296.2pt;height:60.75pt;mso-position-horizontal-relative:page;mso-position-vertical-relative:page;z-index:-175096" type="#_x0000_t202" filled="false" stroked="false">
            <v:textbox inset="0,0,0,0">
              <w:txbxContent>
                <w:p>
                  <w:pPr>
                    <w:spacing w:line="224" w:lineRule="exact" w:before="0"/>
                    <w:ind w:left="20" w:right="0" w:firstLine="0"/>
                    <w:jc w:val="left"/>
                    <w:rPr>
                      <w:b/>
                      <w:sz w:val="20"/>
                    </w:rPr>
                  </w:pPr>
                  <w:r>
                    <w:rPr>
                      <w:b/>
                      <w:color w:val="0095A7"/>
                      <w:sz w:val="20"/>
                    </w:rPr>
                    <w:t>CHAPTER 9</w:t>
                  </w:r>
                </w:p>
                <w:p>
                  <w:pPr>
                    <w:spacing w:line="450" w:lineRule="exact" w:before="79"/>
                    <w:ind w:left="20" w:right="0" w:firstLine="0"/>
                    <w:jc w:val="left"/>
                    <w:rPr>
                      <w:sz w:val="40"/>
                    </w:rPr>
                  </w:pPr>
                  <w:r>
                    <w:rPr>
                      <w:color w:val="58595B"/>
                      <w:sz w:val="40"/>
                    </w:rPr>
                    <w:t>THE EPA’S ROLE</w:t>
                  </w:r>
                </w:p>
                <w:p>
                  <w:pPr>
                    <w:spacing w:line="450" w:lineRule="exact" w:before="0"/>
                    <w:ind w:left="20" w:right="0" w:firstLine="0"/>
                    <w:jc w:val="left"/>
                    <w:rPr>
                      <w:sz w:val="40"/>
                    </w:rPr>
                  </w:pPr>
                  <w:r>
                    <w:rPr>
                      <w:color w:val="58595B"/>
                      <w:spacing w:val="-4"/>
                      <w:sz w:val="40"/>
                    </w:rPr>
                    <w:t>IN </w:t>
                  </w:r>
                  <w:r>
                    <w:rPr>
                      <w:color w:val="58595B"/>
                      <w:spacing w:val="-10"/>
                      <w:sz w:val="40"/>
                    </w:rPr>
                    <w:t>EMERGENCY </w:t>
                  </w:r>
                  <w:r>
                    <w:rPr>
                      <w:color w:val="58595B"/>
                      <w:spacing w:val="-8"/>
                      <w:sz w:val="40"/>
                    </w:rPr>
                    <w:t>MANAGEMENT</w:t>
                  </w:r>
                </w:p>
              </w:txbxContent>
            </v:textbox>
            <w10:wrap type="none"/>
          </v:shape>
        </w:pict>
      </w:r>
      <w:r>
        <w:rPr/>
        <w:pict>
          <v:shape style="position:absolute;margin-left:534.996094pt;margin-top:44.090015pt;width:60.3pt;height:5.25pt;mso-position-horizontal-relative:page;mso-position-vertical-relative:page;z-index:-17507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5048" type="#_x0000_t202" filled="false" stroked="false">
            <v:textbox inset="0,0,0,0">
              <w:txbxContent/>
            </v:textbox>
            <w10:wrap type="none"/>
          </v:shape>
        </w:pict>
      </w:r>
    </w:p>
    <w:p>
      <w:pPr>
        <w:spacing w:after="0"/>
        <w:rPr>
          <w:sz w:val="2"/>
          <w:szCs w:val="2"/>
        </w:rPr>
        <w:sectPr>
          <w:pgSz w:w="11910" w:h="16840"/>
          <w:pgMar w:top="800" w:bottom="280" w:left="1680" w:right="1280"/>
        </w:sectPr>
      </w:pPr>
    </w:p>
    <w:p>
      <w:pPr>
        <w:rPr>
          <w:sz w:val="2"/>
          <w:szCs w:val="2"/>
        </w:rPr>
      </w:pPr>
      <w:r>
        <w:rPr/>
        <w:pict>
          <v:line style="position:absolute;mso-position-horizontal-relative:page;mso-position-vertical-relative:page;z-index:-175024" from=".0pt,45.840015pt" to="60.2791pt,45.840015pt" stroked="true" strokeweight="7pt" strokecolor="#0095a7">
            <w10:wrap type="none"/>
          </v:line>
        </w:pict>
      </w:r>
      <w:r>
        <w:rPr/>
        <w:pict>
          <v:rect style="position:absolute;margin-left:70.865997pt;margin-top:143.421021pt;width:432.701pt;height:141.465pt;mso-position-horizontal-relative:page;mso-position-vertical-relative:page;z-index:-175000" filled="true" fillcolor="#eff6f0" stroked="false">
            <v:fill type="solid"/>
            <w10:wrap type="none"/>
          </v:rect>
        </w:pict>
      </w:r>
      <w:r>
        <w:rPr/>
        <w:pict>
          <v:shape style="position:absolute;margin-left:69.866096pt;margin-top:40.902756pt;width:14.15pt;height:9.5pt;mso-position-horizontal-relative:page;mso-position-vertical-relative:page;z-index:-174976" type="#_x0000_t202" filled="false" stroked="false">
            <v:textbox inset="0,0,0,0">
              <w:txbxContent>
                <w:p>
                  <w:pPr>
                    <w:spacing w:before="1"/>
                    <w:ind w:left="20" w:right="-8" w:firstLine="0"/>
                    <w:jc w:val="left"/>
                    <w:rPr>
                      <w:sz w:val="15"/>
                    </w:rPr>
                  </w:pPr>
                  <w:r>
                    <w:rPr>
                      <w:color w:val="58595B"/>
                      <w:sz w:val="15"/>
                    </w:rPr>
                    <w:t>170</w:t>
                  </w:r>
                </w:p>
              </w:txbxContent>
            </v:textbox>
            <w10:wrap type="none"/>
          </v:shape>
        </w:pict>
      </w:r>
      <w:r>
        <w:rPr/>
        <w:pict>
          <v:shape style="position:absolute;margin-left:95.377899pt;margin-top:40.902756pt;width:147.75pt;height:9.5pt;mso-position-horizontal-relative:page;mso-position-vertical-relative:page;z-index:-17495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564812pt;width:328.6pt;height:16pt;mso-position-horizontal-relative:page;mso-position-vertical-relative:page;z-index:-174928" type="#_x0000_t202" filled="false" stroked="false">
            <v:textbox inset="0,0,0,0">
              <w:txbxContent>
                <w:p>
                  <w:pPr>
                    <w:spacing w:line="306" w:lineRule="exact" w:before="0"/>
                    <w:ind w:left="20" w:right="0" w:firstLine="0"/>
                    <w:jc w:val="left"/>
                    <w:rPr>
                      <w:sz w:val="28"/>
                    </w:rPr>
                  </w:pPr>
                  <w:r>
                    <w:rPr>
                      <w:color w:val="0095A7"/>
                      <w:sz w:val="28"/>
                    </w:rPr>
                    <w:t>THE </w:t>
                  </w:r>
                  <w:r>
                    <w:rPr>
                      <w:color w:val="0095A7"/>
                      <w:spacing w:val="-9"/>
                      <w:sz w:val="28"/>
                    </w:rPr>
                    <w:t>EPA’S </w:t>
                  </w:r>
                  <w:r>
                    <w:rPr>
                      <w:color w:val="0095A7"/>
                      <w:sz w:val="28"/>
                    </w:rPr>
                    <w:t>ROLE IN </w:t>
                  </w:r>
                  <w:r>
                    <w:rPr>
                      <w:color w:val="0095A7"/>
                      <w:spacing w:val="-3"/>
                      <w:sz w:val="28"/>
                    </w:rPr>
                    <w:t>EMERGENCY </w:t>
                  </w:r>
                  <w:r>
                    <w:rPr>
                      <w:color w:val="0095A7"/>
                      <w:sz w:val="28"/>
                    </w:rPr>
                    <w:t>MANAGEMENT</w:t>
                  </w:r>
                </w:p>
              </w:txbxContent>
            </v:textbox>
            <w10:wrap type="none"/>
          </v:shape>
        </w:pict>
      </w:r>
      <w:r>
        <w:rPr/>
        <w:pict>
          <v:shape style="position:absolute;margin-left:69.866096pt;margin-top:306.087738pt;width:406.55pt;height:86.8pt;mso-position-horizontal-relative:page;mso-position-vertical-relative:page;z-index:-174904" type="#_x0000_t202" filled="false" stroked="false">
            <v:textbox inset="0,0,0,0">
              <w:txbxContent>
                <w:p>
                  <w:pPr>
                    <w:spacing w:line="265" w:lineRule="exact" w:before="0"/>
                    <w:ind w:left="20" w:right="517" w:firstLine="0"/>
                    <w:jc w:val="left"/>
                    <w:rPr>
                      <w:sz w:val="24"/>
                    </w:rPr>
                  </w:pPr>
                  <w:r>
                    <w:rPr>
                      <w:color w:val="0095A7"/>
                      <w:sz w:val="24"/>
                    </w:rPr>
                    <w:t>9.1  Introduction</w:t>
                  </w:r>
                </w:p>
                <w:p>
                  <w:pPr>
                    <w:spacing w:line="280" w:lineRule="auto" w:before="145"/>
                    <w:ind w:left="586" w:right="517" w:firstLine="0"/>
                    <w:jc w:val="left"/>
                    <w:rPr>
                      <w:i/>
                      <w:sz w:val="20"/>
                    </w:rPr>
                  </w:pPr>
                  <w:r>
                    <w:rPr>
                      <w:i/>
                      <w:color w:val="231F20"/>
                      <w:sz w:val="20"/>
                    </w:rPr>
                    <w:t>While EPA’s primary role is that of an environmental regulator, it also performs a range of functions that extend well beyond this and which involve both the</w:t>
                  </w:r>
                </w:p>
                <w:p>
                  <w:pPr>
                    <w:spacing w:line="280" w:lineRule="auto" w:before="2"/>
                    <w:ind w:left="586" w:right="10" w:firstLine="0"/>
                    <w:jc w:val="left"/>
                    <w:rPr>
                      <w:sz w:val="20"/>
                    </w:rPr>
                  </w:pPr>
                  <w:r>
                    <w:rPr>
                      <w:i/>
                      <w:color w:val="231F20"/>
                      <w:sz w:val="20"/>
                    </w:rPr>
                    <w:t>emergency services and the broader emergency management sector before, during and after emergencies. As such, EPA is an important and valued partner in Victoria’s emergency management sector. </w:t>
                  </w:r>
                  <w:r>
                    <w:rPr>
                      <w:color w:val="231F20"/>
                      <w:sz w:val="20"/>
                    </w:rPr>
                    <w:t>(Emergency Management Victoria submission, p. 4)</w:t>
                  </w:r>
                </w:p>
              </w:txbxContent>
            </v:textbox>
            <w10:wrap type="none"/>
          </v:shape>
        </w:pict>
      </w:r>
      <w:r>
        <w:rPr/>
        <w:pict>
          <v:shape style="position:absolute;margin-left:69.865997pt;margin-top:402.877655pt;width:429.15pt;height:79.55pt;mso-position-horizontal-relative:page;mso-position-vertical-relative:page;z-index:-174880" type="#_x0000_t202" filled="false" stroked="false">
            <v:textbox inset="0,0,0,0">
              <w:txbxContent>
                <w:p>
                  <w:pPr>
                    <w:pStyle w:val="BodyText"/>
                    <w:spacing w:line="280" w:lineRule="auto"/>
                    <w:ind w:right="461"/>
                  </w:pPr>
                  <w:r>
                    <w:rPr>
                      <w:color w:val="58595B"/>
                    </w:rPr>
                    <w:t>The EPA has responsibilities under, and contributes to, Victoria’s coordinated ‘all hazards, all agencies’ approach to emergency events.</w:t>
                  </w:r>
                  <w:r>
                    <w:rPr>
                      <w:color w:val="58595B"/>
                      <w:position w:val="7"/>
                      <w:sz w:val="11"/>
                    </w:rPr>
                    <w:t>1  </w:t>
                  </w:r>
                  <w:r>
                    <w:rPr>
                      <w:color w:val="58595B"/>
                    </w:rPr>
                    <w:t>Over recent years it has become increasingly</w:t>
                  </w:r>
                </w:p>
                <w:p>
                  <w:pPr>
                    <w:pStyle w:val="BodyText"/>
                    <w:spacing w:line="280" w:lineRule="auto" w:before="2"/>
                    <w:ind w:right="17"/>
                  </w:pPr>
                  <w:r>
                    <w:rPr>
                      <w:color w:val="58595B"/>
                    </w:rPr>
                    <w:t>involved in emergency management events as the pollution and waste impacts of emergencies have been recognised. The Hazelwood mine fire highlighted that timely and decisive advice is needed to support government decision making – and management of risks – and to inform the community of potential health and other impacts.</w:t>
                  </w:r>
                </w:p>
              </w:txbxContent>
            </v:textbox>
            <w10:wrap type="none"/>
          </v:shape>
        </w:pict>
      </w:r>
      <w:r>
        <w:rPr/>
        <w:pict>
          <v:shape style="position:absolute;margin-left:69.865997pt;margin-top:492.381561pt;width:427.2pt;height:52.5pt;mso-position-horizontal-relative:page;mso-position-vertical-relative:page;z-index:-174856" type="#_x0000_t202" filled="false" stroked="false">
            <v:textbox inset="0,0,0,0">
              <w:txbxContent>
                <w:p>
                  <w:pPr>
                    <w:pStyle w:val="BodyText"/>
                    <w:spacing w:line="280" w:lineRule="auto"/>
                    <w:ind w:right="264"/>
                  </w:pPr>
                  <w:r>
                    <w:rPr>
                      <w:color w:val="58595B"/>
                    </w:rPr>
                    <w:t>The </w:t>
                  </w:r>
                  <w:r>
                    <w:rPr>
                      <w:color w:val="58595B"/>
                      <w:spacing w:val="-4"/>
                    </w:rPr>
                    <w:t>EPA </w:t>
                  </w:r>
                  <w:r>
                    <w:rPr>
                      <w:color w:val="58595B"/>
                    </w:rPr>
                    <w:t>has an important role as a source of expert advice on environmental conditions and risks, and in taking steps to prevent and mitigate risks and harms stemming from pollution and waste. We consider it is most effective and efficient that other agencies with the</w:t>
                  </w:r>
                  <w:r>
                    <w:rPr>
                      <w:color w:val="58595B"/>
                      <w:spacing w:val="7"/>
                    </w:rPr>
                    <w:t> </w:t>
                  </w:r>
                  <w:r>
                    <w:rPr>
                      <w:color w:val="58595B"/>
                    </w:rPr>
                    <w:t>relevant</w:t>
                  </w:r>
                </w:p>
                <w:p>
                  <w:pPr>
                    <w:pStyle w:val="BodyText"/>
                    <w:spacing w:before="2"/>
                    <w:ind w:right="20"/>
                  </w:pPr>
                  <w:r>
                    <w:rPr>
                      <w:color w:val="58595B"/>
                    </w:rPr>
                    <w:t>experience and capabilities should be left to manage other aspects of emergency management.</w:t>
                  </w:r>
                </w:p>
              </w:txbxContent>
            </v:textbox>
            <w10:wrap type="none"/>
          </v:shape>
        </w:pict>
      </w:r>
      <w:r>
        <w:rPr/>
        <w:pict>
          <v:shape style="position:absolute;margin-left:70.865997pt;margin-top:143.421021pt;width:432.7pt;height:141.5pt;mso-position-horizontal-relative:page;mso-position-vertical-relative:page;z-index:-174832" type="#_x0000_t202" filled="false" stroked="false">
            <v:textbox inset="0,0,0,0">
              <w:txbxContent>
                <w:p>
                  <w:pPr>
                    <w:spacing w:before="128"/>
                    <w:ind w:left="170" w:right="0" w:firstLine="0"/>
                    <w:jc w:val="both"/>
                    <w:rPr>
                      <w:b/>
                      <w:sz w:val="20"/>
                    </w:rPr>
                  </w:pPr>
                  <w:r>
                    <w:rPr>
                      <w:b/>
                      <w:color w:val="0095A7"/>
                      <w:sz w:val="20"/>
                    </w:rPr>
                    <w:t>KEY MESSAGES</w:t>
                  </w:r>
                </w:p>
                <w:p>
                  <w:pPr>
                    <w:pStyle w:val="BodyText"/>
                    <w:spacing w:line="280" w:lineRule="auto" w:before="153"/>
                    <w:ind w:left="170" w:right="277"/>
                  </w:pPr>
                  <w:r>
                    <w:rPr>
                      <w:color w:val="58595B"/>
                    </w:rPr>
                    <w:t>Emergency events have a devastating effect on the Victorian community and the environment. They can trigger major pollution and environmental hazards.</w:t>
                  </w:r>
                </w:p>
                <w:p>
                  <w:pPr>
                    <w:pStyle w:val="BodyText"/>
                    <w:spacing w:line="280" w:lineRule="auto" w:before="172"/>
                    <w:ind w:left="170" w:right="602"/>
                    <w:jc w:val="both"/>
                  </w:pPr>
                  <w:r>
                    <w:rPr>
                      <w:color w:val="58595B"/>
                    </w:rPr>
                    <w:t>The EPA has a critical role in supporting Victoria’s emergency management response by providing expert advice about pollution and waste impacts to the agencies controlling the emergency response and to the Chief Health Officer.</w:t>
                  </w:r>
                </w:p>
                <w:p>
                  <w:pPr>
                    <w:pStyle w:val="BodyText"/>
                    <w:spacing w:line="280" w:lineRule="auto" w:before="172"/>
                    <w:ind w:left="170" w:right="511"/>
                    <w:jc w:val="both"/>
                  </w:pPr>
                  <w:r>
                    <w:rPr>
                      <w:color w:val="58595B"/>
                    </w:rPr>
                    <w:t>Consistent with a focus on prevention and resilience, the EPA has a role in identifying and mitigating risks as part of the State Emergency Response Plan.</w:t>
                  </w:r>
                </w:p>
              </w:txbxContent>
            </v:textbox>
            <w10:wrap type="none"/>
          </v:shape>
        </w:pict>
      </w:r>
      <w:r>
        <w:rPr/>
        <w:pict>
          <v:shape style="position:absolute;margin-left:.0pt;margin-top:44.090015pt;width:60.3pt;height:5.25pt;mso-position-horizontal-relative:page;mso-position-vertical-relative:page;z-index:-174808"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4784"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4760" from="534.996094pt,45.840015pt" to="595.276001pt,45.840015pt" stroked="true" strokeweight="7pt" strokecolor="#0095a7">
            <w10:wrap type="none"/>
          </v:line>
        </w:pict>
      </w:r>
      <w:r>
        <w:rPr/>
        <w:pict>
          <v:shape style="position:absolute;margin-left:264.43399pt;margin-top:40.902756pt;width:235.45pt;height:9.5pt;mso-position-horizontal-relative:page;mso-position-vertical-relative:page;z-index:-174736" type="#_x0000_t202" filled="false" stroked="false">
            <v:textbox inset="0,0,0,0">
              <w:txbxContent>
                <w:p>
                  <w:pPr>
                    <w:spacing w:before="1"/>
                    <w:ind w:left="20" w:right="0" w:firstLine="0"/>
                    <w:jc w:val="left"/>
                    <w:rPr>
                      <w:sz w:val="15"/>
                    </w:rPr>
                  </w:pPr>
                  <w:r>
                    <w:rPr>
                      <w:color w:val="58595B"/>
                      <w:sz w:val="15"/>
                    </w:rPr>
                    <w:t>CHAPTER 9    THE EPA’S ROLE IN EMERGENCY MANAGEMENT</w:t>
                  </w:r>
                </w:p>
              </w:txbxContent>
            </v:textbox>
            <w10:wrap type="none"/>
          </v:shape>
        </w:pict>
      </w:r>
      <w:r>
        <w:rPr/>
        <w:pict>
          <v:shape style="position:absolute;margin-left:511.498993pt;margin-top:40.902756pt;width:13.9pt;height:9.5pt;mso-position-horizontal-relative:page;mso-position-vertical-relative:page;z-index:-174712" type="#_x0000_t202" filled="false" stroked="false">
            <v:textbox inset="0,0,0,0">
              <w:txbxContent>
                <w:p>
                  <w:pPr>
                    <w:spacing w:before="1"/>
                    <w:ind w:left="20" w:right="-13" w:firstLine="0"/>
                    <w:jc w:val="left"/>
                    <w:rPr>
                      <w:sz w:val="15"/>
                    </w:rPr>
                  </w:pPr>
                  <w:r>
                    <w:rPr>
                      <w:color w:val="58595B"/>
                      <w:sz w:val="15"/>
                    </w:rPr>
                    <w:t>171</w:t>
                  </w:r>
                </w:p>
              </w:txbxContent>
            </v:textbox>
            <w10:wrap type="none"/>
          </v:shape>
        </w:pict>
      </w:r>
      <w:r>
        <w:rPr/>
        <w:pict>
          <v:shape style="position:absolute;margin-left:89.708603pt;margin-top:105.72934pt;width:417.35pt;height:59.8pt;mso-position-horizontal-relative:page;mso-position-vertical-relative:page;z-index:-174688" type="#_x0000_t202" filled="false" stroked="false">
            <v:textbox inset="0,0,0,0">
              <w:txbxContent>
                <w:p>
                  <w:pPr>
                    <w:spacing w:line="265" w:lineRule="exact" w:before="0"/>
                    <w:ind w:left="20" w:right="0" w:firstLine="0"/>
                    <w:jc w:val="left"/>
                    <w:rPr>
                      <w:sz w:val="24"/>
                    </w:rPr>
                  </w:pPr>
                  <w:r>
                    <w:rPr>
                      <w:color w:val="0095A7"/>
                      <w:sz w:val="24"/>
                    </w:rPr>
                    <w:t>9.2  Victoria’s ‘all hazards, all agencies’ approach to emergency management</w:t>
                  </w:r>
                </w:p>
                <w:p>
                  <w:pPr>
                    <w:spacing w:line="280" w:lineRule="auto" w:before="145"/>
                    <w:ind w:left="586" w:right="426" w:firstLine="0"/>
                    <w:jc w:val="left"/>
                    <w:rPr>
                      <w:sz w:val="11"/>
                    </w:rPr>
                  </w:pPr>
                  <w:r>
                    <w:rPr>
                      <w:i/>
                      <w:color w:val="58595B"/>
                      <w:sz w:val="20"/>
                    </w:rPr>
                    <w:t>For Victoria, Australia and the world, the Black Saturday bushfires remain etched in our minds because of the death of loved ones, the destruction and displacement of communities and the ongoing lessons we learned as a State out of the</w:t>
                  </w:r>
                  <w:r>
                    <w:rPr>
                      <w:i/>
                      <w:color w:val="58595B"/>
                      <w:spacing w:val="-15"/>
                      <w:sz w:val="20"/>
                    </w:rPr>
                    <w:t> </w:t>
                  </w:r>
                  <w:r>
                    <w:rPr>
                      <w:i/>
                      <w:color w:val="58595B"/>
                      <w:sz w:val="20"/>
                    </w:rPr>
                    <w:t>disaster.</w:t>
                  </w:r>
                  <w:r>
                    <w:rPr>
                      <w:color w:val="58595B"/>
                      <w:position w:val="7"/>
                      <w:sz w:val="11"/>
                    </w:rPr>
                    <w:t>2</w:t>
                  </w:r>
                </w:p>
              </w:txbxContent>
            </v:textbox>
            <w10:wrap type="none"/>
          </v:shape>
        </w:pict>
      </w:r>
      <w:r>
        <w:rPr/>
        <w:pict>
          <v:shape style="position:absolute;margin-left:89.708603pt;margin-top:175.523163pt;width:403.8pt;height:25.5pt;mso-position-horizontal-relative:page;mso-position-vertical-relative:page;z-index:-174664" type="#_x0000_t202" filled="false" stroked="false">
            <v:textbox inset="0,0,0,0">
              <w:txbxContent>
                <w:p>
                  <w:pPr>
                    <w:pStyle w:val="BodyText"/>
                    <w:spacing w:line="280" w:lineRule="auto"/>
                    <w:rPr>
                      <w:sz w:val="11"/>
                    </w:rPr>
                  </w:pPr>
                  <w:r>
                    <w:rPr>
                      <w:color w:val="58595B"/>
                    </w:rPr>
                    <w:t>The Black Saturday bushfires of 2009 highlighted Victoria’s extreme vulnerability to natural disasters and the ongoing and critical importance of emergency management.</w:t>
                  </w:r>
                  <w:r>
                    <w:rPr>
                      <w:color w:val="58595B"/>
                      <w:position w:val="7"/>
                      <w:sz w:val="11"/>
                    </w:rPr>
                    <w:t>3</w:t>
                  </w:r>
                </w:p>
              </w:txbxContent>
            </v:textbox>
            <w10:wrap type="none"/>
          </v:shape>
        </w:pict>
      </w:r>
      <w:r>
        <w:rPr/>
        <w:pict>
          <v:shape style="position:absolute;margin-left:89.708603pt;margin-top:215.279068pt;width:407.7pt;height:44.7pt;mso-position-horizontal-relative:page;mso-position-vertical-relative:page;z-index:-174640" type="#_x0000_t202" filled="false" stroked="false">
            <v:textbox inset="0,0,0,0">
              <w:txbxContent>
                <w:p>
                  <w:pPr>
                    <w:pStyle w:val="BodyText"/>
                    <w:spacing w:line="224" w:lineRule="exact"/>
                  </w:pPr>
                  <w:r>
                    <w:rPr>
                      <w:color w:val="0095A7"/>
                    </w:rPr>
                    <w:t>9.2.1  Shared responsibility</w:t>
                  </w:r>
                </w:p>
                <w:p>
                  <w:pPr>
                    <w:pStyle w:val="BodyText"/>
                    <w:spacing w:line="280" w:lineRule="auto" w:before="153"/>
                  </w:pPr>
                  <w:r>
                    <w:rPr>
                      <w:color w:val="58595B"/>
                    </w:rPr>
                    <w:t>The 2010 Victorian Bushfires Royal Commission emphasised the importance of sharing the responsibility for protecting lives during disaster events:</w:t>
                  </w:r>
                </w:p>
              </w:txbxContent>
            </v:textbox>
            <w10:wrap type="none"/>
          </v:shape>
        </w:pict>
      </w:r>
      <w:r>
        <w:rPr/>
        <w:pict>
          <v:shape style="position:absolute;margin-left:118.068604pt;margin-top:269.949066pt;width:372.7pt;height:79.5pt;mso-position-horizontal-relative:page;mso-position-vertical-relative:page;z-index:-174616" type="#_x0000_t202" filled="false" stroked="false">
            <v:textbox inset="0,0,0,0">
              <w:txbxContent>
                <w:p>
                  <w:pPr>
                    <w:spacing w:line="280" w:lineRule="auto" w:before="0"/>
                    <w:ind w:left="20" w:right="0" w:firstLine="0"/>
                    <w:jc w:val="left"/>
                    <w:rPr>
                      <w:i/>
                      <w:sz w:val="20"/>
                    </w:rPr>
                  </w:pPr>
                  <w:r>
                    <w:rPr>
                      <w:i/>
                      <w:color w:val="231F20"/>
                      <w:sz w:val="20"/>
                    </w:rPr>
                    <w:t>Government’s primary objective should be to maximise the safety and wellbeing of the citizens it represents... In addition, no single group can ensure that communities are safe from the ravages of bushfires in all circumstances: this responsibility</w:t>
                  </w:r>
                </w:p>
                <w:p>
                  <w:pPr>
                    <w:spacing w:line="280" w:lineRule="auto" w:before="2"/>
                    <w:ind w:left="20" w:right="0" w:firstLine="0"/>
                    <w:jc w:val="left"/>
                    <w:rPr>
                      <w:sz w:val="11"/>
                    </w:rPr>
                  </w:pPr>
                  <w:r>
                    <w:rPr>
                      <w:i/>
                      <w:color w:val="231F20"/>
                      <w:sz w:val="20"/>
                    </w:rPr>
                    <w:t>is shared by all levels of government and by fire agencies, communities and individuals, all of whom need to be very well informed and do more to prepare for and respond to fire in their environment.</w:t>
                  </w:r>
                  <w:r>
                    <w:rPr>
                      <w:color w:val="231F20"/>
                      <w:position w:val="7"/>
                      <w:sz w:val="11"/>
                    </w:rPr>
                    <w:t>4</w:t>
                  </w:r>
                </w:p>
              </w:txbxContent>
            </v:textbox>
            <w10:wrap type="none"/>
          </v:shape>
        </w:pict>
      </w:r>
      <w:r>
        <w:rPr/>
        <w:pict>
          <v:shape style="position:absolute;margin-left:89.707397pt;margin-top:359.456268pt;width:435.7pt;height:93pt;mso-position-horizontal-relative:page;mso-position-vertical-relative:page;z-index:-174592" type="#_x0000_t202" filled="false" stroked="false">
            <v:textbox inset="0,0,0,0">
              <w:txbxContent>
                <w:p>
                  <w:pPr>
                    <w:pStyle w:val="BodyText"/>
                    <w:spacing w:line="280" w:lineRule="auto"/>
                    <w:ind w:right="475"/>
                  </w:pPr>
                  <w:r>
                    <w:rPr>
                      <w:color w:val="58595B"/>
                    </w:rPr>
                    <w:t>In response, the Victorian Government strengthened its ‘all hazards, all agencies’ approach to emergency management, to ensure relevant agencies support each other during major emergencies.</w:t>
                  </w:r>
                  <w:r>
                    <w:rPr>
                      <w:color w:val="58595B"/>
                      <w:position w:val="7"/>
                      <w:sz w:val="11"/>
                    </w:rPr>
                    <w:t>5  </w:t>
                  </w:r>
                  <w:r>
                    <w:rPr>
                      <w:color w:val="58595B"/>
                    </w:rPr>
                    <w:t>Under the </w:t>
                  </w:r>
                  <w:r>
                    <w:rPr>
                      <w:i/>
                      <w:color w:val="58595B"/>
                    </w:rPr>
                    <w:t>Emergency Management Act 2013</w:t>
                  </w:r>
                  <w:r>
                    <w:rPr>
                      <w:color w:val="58595B"/>
                    </w:rPr>
                    <w:t>, the Emergency Management</w:t>
                  </w:r>
                </w:p>
                <w:p>
                  <w:pPr>
                    <w:pStyle w:val="BodyText"/>
                    <w:spacing w:line="280" w:lineRule="auto" w:before="2"/>
                    <w:ind w:right="17"/>
                    <w:jc w:val="both"/>
                  </w:pPr>
                  <w:r>
                    <w:rPr>
                      <w:color w:val="58595B"/>
                    </w:rPr>
                    <w:t>Commissioner coordinates emergency response, supported by Emergency Management Victoria (EMV).</w:t>
                  </w:r>
                  <w:r>
                    <w:rPr>
                      <w:color w:val="58595B"/>
                      <w:position w:val="7"/>
                      <w:sz w:val="11"/>
                    </w:rPr>
                    <w:t>6 </w:t>
                  </w:r>
                  <w:r>
                    <w:rPr>
                      <w:color w:val="58595B"/>
                    </w:rPr>
                    <w:t>Agencies with specialist skills, such as the EPA, support ‘traditional’ emergency services, as required, across all three phases of emergency: preparedness and prevention, response</w:t>
                  </w:r>
                </w:p>
                <w:p>
                  <w:pPr>
                    <w:pStyle w:val="BodyText"/>
                    <w:spacing w:before="2"/>
                    <w:ind w:right="13"/>
                  </w:pPr>
                  <w:r>
                    <w:rPr>
                      <w:color w:val="58595B"/>
                    </w:rPr>
                    <w:t>and recovery.</w:t>
                  </w:r>
                </w:p>
              </w:txbxContent>
            </v:textbox>
            <w10:wrap type="none"/>
          </v:shape>
        </w:pict>
      </w:r>
      <w:r>
        <w:rPr/>
        <w:pict>
          <v:shape style="position:absolute;margin-left:118.047401pt;margin-top:462.456268pt;width:373.75pt;height:66pt;mso-position-horizontal-relative:page;mso-position-vertical-relative:page;z-index:-174568" type="#_x0000_t202" filled="false" stroked="false">
            <v:textbox inset="0,0,0,0">
              <w:txbxContent>
                <w:p>
                  <w:pPr>
                    <w:spacing w:line="280" w:lineRule="auto" w:before="0"/>
                    <w:ind w:left="20" w:right="0" w:firstLine="0"/>
                    <w:jc w:val="left"/>
                    <w:rPr>
                      <w:sz w:val="20"/>
                    </w:rPr>
                  </w:pPr>
                  <w:r>
                    <w:rPr>
                      <w:i/>
                      <w:color w:val="231F20"/>
                      <w:sz w:val="20"/>
                    </w:rPr>
                    <w:t>Our vision is for the development of safer and more resilient communities across Victoria. To achieve this EMV works in conjunction with communities, government, agencies and business in pursuit of a shared goal. That goal is a sustainable and efficient emergency management system that reduces the likelihood, effect and consequences of emergencies. </w:t>
                  </w:r>
                  <w:r>
                    <w:rPr>
                      <w:color w:val="231F20"/>
                      <w:sz w:val="20"/>
                    </w:rPr>
                    <w:t>(Emergency Management Victoria submission, p. 3)</w:t>
                  </w:r>
                </w:p>
              </w:txbxContent>
            </v:textbox>
            <w10:wrap type="none"/>
          </v:shape>
        </w:pict>
      </w:r>
      <w:r>
        <w:rPr/>
        <w:pict>
          <v:shape style="position:absolute;margin-left:89.707397pt;margin-top:538.456238pt;width:434.75pt;height:66pt;mso-position-horizontal-relative:page;mso-position-vertical-relative:page;z-index:-174544" type="#_x0000_t202" filled="false" stroked="false">
            <v:textbox inset="0,0,0,0">
              <w:txbxContent>
                <w:p>
                  <w:pPr>
                    <w:pStyle w:val="BodyText"/>
                    <w:spacing w:line="280" w:lineRule="auto"/>
                    <w:ind w:right="12"/>
                  </w:pPr>
                  <w:r>
                    <w:rPr>
                      <w:color w:val="58595B"/>
                    </w:rPr>
                    <w:t>In the future, the need to work together will grow as environmental risks are projected to increase. Climate change will, among other things, increase the intensity and frequency of extreme events</w:t>
                  </w:r>
                </w:p>
                <w:p>
                  <w:pPr>
                    <w:pStyle w:val="BodyText"/>
                    <w:spacing w:line="280" w:lineRule="auto" w:before="2"/>
                    <w:ind w:right="12"/>
                  </w:pPr>
                  <w:r>
                    <w:rPr>
                      <w:color w:val="58595B"/>
                    </w:rPr>
                    <w:t>– floods, heatwaves and droughts – and increase bushfire risks. With a growing population, more people will be exposed to these risks, and to the environmental impacts of other emergency events (such as stockpile fires or chemical spills).</w:t>
                  </w:r>
                </w:p>
              </w:txbxContent>
            </v:textbox>
            <w10:wrap type="none"/>
          </v:shape>
        </w:pict>
      </w:r>
      <w:r>
        <w:rPr/>
        <w:pict>
          <v:shape style="position:absolute;margin-left:89.707397pt;margin-top:614.456238pt;width:407.65pt;height:52.5pt;mso-position-horizontal-relative:page;mso-position-vertical-relative:page;z-index:-174520" type="#_x0000_t202" filled="false" stroked="false">
            <v:textbox inset="0,0,0,0">
              <w:txbxContent>
                <w:p>
                  <w:pPr>
                    <w:pStyle w:val="BodyText"/>
                    <w:spacing w:line="280" w:lineRule="auto"/>
                    <w:ind w:right="8"/>
                  </w:pPr>
                  <w:r>
                    <w:rPr>
                      <w:color w:val="58595B"/>
                    </w:rPr>
                    <w:t>The EPA will have an important role, as a key technical advisor, to support Victoria’s State Emergency Management Plan. Agencies will need the EPA’s expert advice on pollution and waste issues – and the environmental health implications of emergency events – across all emergency management phases.</w:t>
                  </w:r>
                </w:p>
              </w:txbxContent>
            </v:textbox>
            <w10:wrap type="none"/>
          </v:shape>
        </w:pict>
      </w:r>
      <w:r>
        <w:rPr/>
        <w:pict>
          <v:shape style="position:absolute;margin-left:89.707397pt;margin-top:676.956238pt;width:433.85pt;height:79.5pt;mso-position-horizontal-relative:page;mso-position-vertical-relative:page;z-index:-174496" type="#_x0000_t202" filled="false" stroked="false">
            <v:textbox inset="0,0,0,0">
              <w:txbxContent>
                <w:p>
                  <w:pPr>
                    <w:pStyle w:val="BodyText"/>
                    <w:spacing w:line="280" w:lineRule="auto"/>
                    <w:ind w:right="17"/>
                  </w:pPr>
                  <w:r>
                    <w:rPr>
                      <w:color w:val="58595B"/>
                    </w:rPr>
                    <w:t>Figure </w:t>
                  </w:r>
                  <w:r>
                    <w:rPr>
                      <w:color w:val="58595B"/>
                      <w:spacing w:val="-7"/>
                    </w:rPr>
                    <w:t>9.1 </w:t>
                  </w:r>
                  <w:r>
                    <w:rPr>
                      <w:color w:val="58595B"/>
                    </w:rPr>
                    <w:t>illustrates the </w:t>
                  </w:r>
                  <w:r>
                    <w:rPr>
                      <w:color w:val="58595B"/>
                      <w:spacing w:val="-7"/>
                    </w:rPr>
                    <w:t>EPA’s </w:t>
                  </w:r>
                  <w:r>
                    <w:rPr>
                      <w:color w:val="58595B"/>
                    </w:rPr>
                    <w:t>advisory role, alongside other </w:t>
                  </w:r>
                  <w:r>
                    <w:rPr>
                      <w:color w:val="58595B"/>
                      <w:spacing w:val="-3"/>
                    </w:rPr>
                    <w:t>key </w:t>
                  </w:r>
                  <w:r>
                    <w:rPr>
                      <w:color w:val="58595B"/>
                    </w:rPr>
                    <w:t>agencies involved in the ‘all hazards all agencies’ approach, including: ‘traditional’ emergency services (police, fire and the State Emergency Service), DHHS (epidemics, water contamination and relief and recovery), DELWP (some fires, dam safety) and the Department of Economic Development, Jobs, Transport and Resources (animal health and pest outbreaks). Responsibilities for emergencies are allocated according to control and support agency roles (discussed further in the next</w:t>
                  </w:r>
                  <w:r>
                    <w:rPr>
                      <w:color w:val="58595B"/>
                      <w:spacing w:val="18"/>
                    </w:rPr>
                    <w:t> </w:t>
                  </w:r>
                  <w:r>
                    <w:rPr>
                      <w:color w:val="58595B"/>
                    </w:rPr>
                    <w:t>section).</w:t>
                  </w:r>
                </w:p>
              </w:txbxContent>
            </v:textbox>
            <w10:wrap type="none"/>
          </v:shape>
        </w:pict>
      </w:r>
      <w:r>
        <w:rPr/>
        <w:pict>
          <v:shape style="position:absolute;margin-left:534.996094pt;margin-top:44.090015pt;width:60.3pt;height:5.25pt;mso-position-horizontal-relative:page;mso-position-vertical-relative:page;z-index:-17447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444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4424" from=".0pt,45.840015pt" to="60.2791pt,45.840015pt" stroked="true" strokeweight="7pt" strokecolor="#0095a7">
            <w10:wrap type="none"/>
          </v:line>
        </w:pict>
      </w:r>
      <w:r>
        <w:rPr/>
        <w:drawing>
          <wp:anchor distT="0" distB="0" distL="0" distR="0" allowOverlap="1" layoutInCell="1" locked="0" behindDoc="1" simplePos="0" relativeHeight="268261055">
            <wp:simplePos x="0" y="0"/>
            <wp:positionH relativeFrom="page">
              <wp:posOffset>899998</wp:posOffset>
            </wp:positionH>
            <wp:positionV relativeFrom="page">
              <wp:posOffset>1665859</wp:posOffset>
            </wp:positionV>
            <wp:extent cx="5508002" cy="4324197"/>
            <wp:effectExtent l="0" t="0" r="0" b="0"/>
            <wp:wrapNone/>
            <wp:docPr id="15" name="image14.jpeg" descr=""/>
            <wp:cNvGraphicFramePr>
              <a:graphicFrameLocks noChangeAspect="1"/>
            </wp:cNvGraphicFramePr>
            <a:graphic>
              <a:graphicData uri="http://schemas.openxmlformats.org/drawingml/2006/picture">
                <pic:pic>
                  <pic:nvPicPr>
                    <pic:cNvPr id="16" name="image14.jpeg"/>
                    <pic:cNvPicPr/>
                  </pic:nvPicPr>
                  <pic:blipFill>
                    <a:blip r:embed="rId51" cstate="print"/>
                    <a:stretch>
                      <a:fillRect/>
                    </a:stretch>
                  </pic:blipFill>
                  <pic:spPr>
                    <a:xfrm>
                      <a:off x="0" y="0"/>
                      <a:ext cx="5508002" cy="4324197"/>
                    </a:xfrm>
                    <a:prstGeom prst="rect">
                      <a:avLst/>
                    </a:prstGeom>
                  </pic:spPr>
                </pic:pic>
              </a:graphicData>
            </a:graphic>
          </wp:anchor>
        </w:drawing>
      </w:r>
      <w:r>
        <w:rPr/>
        <w:pict>
          <v:shape style="position:absolute;margin-left:69.866096pt;margin-top:40.902756pt;width:14.2pt;height:9.5pt;mso-position-horizontal-relative:page;mso-position-vertical-relative:page;z-index:-174376" type="#_x0000_t202" filled="false" stroked="false">
            <v:textbox inset="0,0,0,0">
              <w:txbxContent>
                <w:p>
                  <w:pPr>
                    <w:spacing w:before="1"/>
                    <w:ind w:left="20" w:right="-7" w:firstLine="0"/>
                    <w:jc w:val="left"/>
                    <w:rPr>
                      <w:sz w:val="15"/>
                    </w:rPr>
                  </w:pPr>
                  <w:r>
                    <w:rPr>
                      <w:color w:val="58595B"/>
                      <w:sz w:val="15"/>
                    </w:rPr>
                    <w:t>172</w:t>
                  </w:r>
                </w:p>
              </w:txbxContent>
            </v:textbox>
            <w10:wrap type="none"/>
          </v:shape>
        </w:pict>
      </w:r>
      <w:r>
        <w:rPr/>
        <w:pict>
          <v:shape style="position:absolute;margin-left:95.377899pt;margin-top:40.902756pt;width:147.75pt;height:9.5pt;mso-position-horizontal-relative:page;mso-position-vertical-relative:page;z-index:-17435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347.65pt;height:12pt;mso-position-horizontal-relative:page;mso-position-vertical-relative:page;z-index:-174328" type="#_x0000_t202" filled="false" stroked="false">
            <v:textbox inset="0,0,0,0">
              <w:txbxContent>
                <w:p>
                  <w:pPr>
                    <w:pStyle w:val="BodyText"/>
                    <w:spacing w:line="224" w:lineRule="exact"/>
                  </w:pPr>
                  <w:r>
                    <w:rPr>
                      <w:b/>
                      <w:color w:val="0095A7"/>
                    </w:rPr>
                    <w:t>FIGURE </w:t>
                  </w:r>
                  <w:r>
                    <w:rPr>
                      <w:b/>
                      <w:color w:val="0095A7"/>
                      <w:spacing w:val="-8"/>
                    </w:rPr>
                    <w:t>9.1 </w:t>
                  </w:r>
                  <w:r>
                    <w:rPr>
                      <w:color w:val="0095A7"/>
                    </w:rPr>
                    <w:t>THE </w:t>
                  </w:r>
                  <w:r>
                    <w:rPr>
                      <w:color w:val="0095A7"/>
                      <w:spacing w:val="-6"/>
                    </w:rPr>
                    <w:t>EPA’S </w:t>
                  </w:r>
                  <w:r>
                    <w:rPr>
                      <w:color w:val="0095A7"/>
                    </w:rPr>
                    <w:t>ROLE SUPPORTING </w:t>
                  </w:r>
                  <w:r>
                    <w:rPr>
                      <w:color w:val="0095A7"/>
                      <w:spacing w:val="-3"/>
                    </w:rPr>
                    <w:t>EMERGENCY </w:t>
                  </w:r>
                  <w:r>
                    <w:rPr>
                      <w:color w:val="0095A7"/>
                    </w:rPr>
                    <w:t>MANAGEMENT</w:t>
                  </w:r>
                </w:p>
              </w:txbxContent>
            </v:textbox>
            <w10:wrap type="none"/>
          </v:shape>
        </w:pict>
      </w:r>
      <w:r>
        <w:rPr/>
        <w:pict>
          <v:shape style="position:absolute;margin-left:69.866096pt;margin-top:496.558472pt;width:421.15pt;height:66pt;mso-position-horizontal-relative:page;mso-position-vertical-relative:page;z-index:-174304" type="#_x0000_t202" filled="false" stroked="false">
            <v:textbox inset="0,0,0,0">
              <w:txbxContent>
                <w:p>
                  <w:pPr>
                    <w:pStyle w:val="BodyText"/>
                    <w:spacing w:line="280" w:lineRule="auto"/>
                    <w:ind w:right="-10"/>
                  </w:pPr>
                  <w:r>
                    <w:rPr>
                      <w:color w:val="58595B"/>
                    </w:rPr>
                    <w:t>The EPA’s advice in emergencies must be timely. This was highlighted by the Hazelwood Mine Fire Inquiry, which concluded that the EPA’s monitoring and advice on air quality during the initial phases of the mine fire could have been quicker. To this end, the Inquiry affirmed the government’s ‘intention to clarify future expectations of incident air monitoring and scenarios’.</w:t>
                  </w:r>
                  <w:r>
                    <w:rPr>
                      <w:color w:val="58595B"/>
                      <w:position w:val="7"/>
                      <w:sz w:val="11"/>
                    </w:rPr>
                    <w:t>7 </w:t>
                  </w:r>
                  <w:r>
                    <w:rPr>
                      <w:color w:val="58595B"/>
                    </w:rPr>
                    <w:t>Role clarity is essential for the EPA to be an effective advisor to other agencies.</w:t>
                  </w:r>
                </w:p>
              </w:txbxContent>
            </v:textbox>
            <w10:wrap type="none"/>
          </v:shape>
        </w:pict>
      </w:r>
      <w:r>
        <w:rPr/>
        <w:pict>
          <v:shape style="position:absolute;margin-left:69.866096pt;margin-top:575.193726pt;width:405.45pt;height:46.3pt;mso-position-horizontal-relative:page;mso-position-vertical-relative:page;z-index:-174280" type="#_x0000_t202" filled="false" stroked="false">
            <v:textbox inset="0,0,0,0">
              <w:txbxContent>
                <w:p>
                  <w:pPr>
                    <w:spacing w:line="265" w:lineRule="exact" w:before="0"/>
                    <w:ind w:left="20" w:right="0" w:firstLine="0"/>
                    <w:jc w:val="left"/>
                    <w:rPr>
                      <w:sz w:val="24"/>
                    </w:rPr>
                  </w:pPr>
                  <w:r>
                    <w:rPr>
                      <w:color w:val="0095A7"/>
                      <w:sz w:val="24"/>
                    </w:rPr>
                    <w:t>9.3  Problems with EPA’s current role</w:t>
                  </w:r>
                </w:p>
                <w:p>
                  <w:pPr>
                    <w:spacing w:line="280" w:lineRule="auto" w:before="145"/>
                    <w:ind w:left="586" w:right="0" w:firstLine="0"/>
                    <w:jc w:val="left"/>
                    <w:rPr>
                      <w:sz w:val="11"/>
                    </w:rPr>
                  </w:pPr>
                  <w:r>
                    <w:rPr>
                      <w:i/>
                      <w:color w:val="231F20"/>
                      <w:spacing w:val="-3"/>
                      <w:sz w:val="20"/>
                    </w:rPr>
                    <w:t>Many </w:t>
                  </w:r>
                  <w:r>
                    <w:rPr>
                      <w:i/>
                      <w:color w:val="231F20"/>
                      <w:sz w:val="20"/>
                    </w:rPr>
                    <w:t>organisations </w:t>
                  </w:r>
                  <w:r>
                    <w:rPr>
                      <w:i/>
                      <w:color w:val="231F20"/>
                      <w:spacing w:val="-4"/>
                      <w:sz w:val="20"/>
                    </w:rPr>
                    <w:t>have </w:t>
                  </w:r>
                  <w:r>
                    <w:rPr>
                      <w:i/>
                      <w:color w:val="231F20"/>
                      <w:sz w:val="20"/>
                    </w:rPr>
                    <w:t>a role in </w:t>
                  </w:r>
                  <w:r>
                    <w:rPr>
                      <w:i/>
                      <w:color w:val="231F20"/>
                      <w:spacing w:val="-3"/>
                      <w:sz w:val="20"/>
                    </w:rPr>
                    <w:t>emergency management </w:t>
                  </w:r>
                  <w:r>
                    <w:rPr>
                      <w:i/>
                      <w:color w:val="231F20"/>
                      <w:sz w:val="20"/>
                    </w:rPr>
                    <w:t>in Victoria. Collaboration and</w:t>
                  </w:r>
                  <w:r>
                    <w:rPr>
                      <w:i/>
                      <w:color w:val="231F20"/>
                      <w:spacing w:val="-11"/>
                      <w:sz w:val="20"/>
                    </w:rPr>
                    <w:t> </w:t>
                  </w:r>
                  <w:r>
                    <w:rPr>
                      <w:i/>
                      <w:color w:val="231F20"/>
                      <w:sz w:val="20"/>
                    </w:rPr>
                    <w:t>clarity</w:t>
                  </w:r>
                  <w:r>
                    <w:rPr>
                      <w:i/>
                      <w:color w:val="231F20"/>
                      <w:spacing w:val="-11"/>
                      <w:sz w:val="20"/>
                    </w:rPr>
                    <w:t> </w:t>
                  </w:r>
                  <w:r>
                    <w:rPr>
                      <w:i/>
                      <w:color w:val="231F20"/>
                      <w:sz w:val="20"/>
                    </w:rPr>
                    <w:t>of</w:t>
                  </w:r>
                  <w:r>
                    <w:rPr>
                      <w:i/>
                      <w:color w:val="231F20"/>
                      <w:spacing w:val="-11"/>
                      <w:sz w:val="20"/>
                    </w:rPr>
                    <w:t> </w:t>
                  </w:r>
                  <w:r>
                    <w:rPr>
                      <w:i/>
                      <w:color w:val="231F20"/>
                      <w:sz w:val="20"/>
                    </w:rPr>
                    <w:t>roles</w:t>
                  </w:r>
                  <w:r>
                    <w:rPr>
                      <w:i/>
                      <w:color w:val="231F20"/>
                      <w:spacing w:val="-11"/>
                      <w:sz w:val="20"/>
                    </w:rPr>
                    <w:t> </w:t>
                  </w:r>
                  <w:r>
                    <w:rPr>
                      <w:i/>
                      <w:color w:val="231F20"/>
                      <w:sz w:val="20"/>
                    </w:rPr>
                    <w:t>and</w:t>
                  </w:r>
                  <w:r>
                    <w:rPr>
                      <w:i/>
                      <w:color w:val="231F20"/>
                      <w:spacing w:val="-11"/>
                      <w:sz w:val="20"/>
                    </w:rPr>
                    <w:t> </w:t>
                  </w:r>
                  <w:r>
                    <w:rPr>
                      <w:i/>
                      <w:color w:val="231F20"/>
                      <w:sz w:val="20"/>
                    </w:rPr>
                    <w:t>responsibilities</w:t>
                  </w:r>
                  <w:r>
                    <w:rPr>
                      <w:i/>
                      <w:color w:val="231F20"/>
                      <w:spacing w:val="-11"/>
                      <w:sz w:val="20"/>
                    </w:rPr>
                    <w:t> </w:t>
                  </w:r>
                  <w:r>
                    <w:rPr>
                      <w:i/>
                      <w:color w:val="231F20"/>
                      <w:sz w:val="20"/>
                    </w:rPr>
                    <w:t>between</w:t>
                  </w:r>
                  <w:r>
                    <w:rPr>
                      <w:i/>
                      <w:color w:val="231F20"/>
                      <w:spacing w:val="-11"/>
                      <w:sz w:val="20"/>
                    </w:rPr>
                    <w:t> </w:t>
                  </w:r>
                  <w:r>
                    <w:rPr>
                      <w:i/>
                      <w:color w:val="231F20"/>
                      <w:sz w:val="20"/>
                    </w:rPr>
                    <w:t>all</w:t>
                  </w:r>
                  <w:r>
                    <w:rPr>
                      <w:i/>
                      <w:color w:val="231F20"/>
                      <w:spacing w:val="-11"/>
                      <w:sz w:val="20"/>
                    </w:rPr>
                    <w:t> </w:t>
                  </w:r>
                  <w:r>
                    <w:rPr>
                      <w:i/>
                      <w:color w:val="231F20"/>
                      <w:sz w:val="20"/>
                    </w:rPr>
                    <w:t>organisations</w:t>
                  </w:r>
                  <w:r>
                    <w:rPr>
                      <w:i/>
                      <w:color w:val="231F20"/>
                      <w:spacing w:val="-11"/>
                      <w:sz w:val="20"/>
                    </w:rPr>
                    <w:t> </w:t>
                  </w:r>
                  <w:r>
                    <w:rPr>
                      <w:i/>
                      <w:color w:val="231F20"/>
                      <w:spacing w:val="-3"/>
                      <w:sz w:val="20"/>
                    </w:rPr>
                    <w:t>involved</w:t>
                  </w:r>
                  <w:r>
                    <w:rPr>
                      <w:i/>
                      <w:color w:val="231F20"/>
                      <w:spacing w:val="-11"/>
                      <w:sz w:val="20"/>
                    </w:rPr>
                    <w:t> </w:t>
                  </w:r>
                  <w:r>
                    <w:rPr>
                      <w:i/>
                      <w:color w:val="231F20"/>
                      <w:sz w:val="20"/>
                    </w:rPr>
                    <w:t>is</w:t>
                  </w:r>
                  <w:r>
                    <w:rPr>
                      <w:i/>
                      <w:color w:val="231F20"/>
                      <w:spacing w:val="-11"/>
                      <w:sz w:val="20"/>
                    </w:rPr>
                    <w:t> </w:t>
                  </w:r>
                  <w:r>
                    <w:rPr>
                      <w:i/>
                      <w:color w:val="231F20"/>
                      <w:spacing w:val="-3"/>
                      <w:sz w:val="20"/>
                    </w:rPr>
                    <w:t>essential.</w:t>
                  </w:r>
                  <w:r>
                    <w:rPr>
                      <w:color w:val="231F20"/>
                      <w:spacing w:val="-3"/>
                      <w:position w:val="7"/>
                      <w:sz w:val="11"/>
                    </w:rPr>
                    <w:t>8</w:t>
                  </w:r>
                </w:p>
              </w:txbxContent>
            </v:textbox>
            <w10:wrap type="none"/>
          </v:shape>
        </w:pict>
      </w:r>
      <w:r>
        <w:rPr/>
        <w:pict>
          <v:shape style="position:absolute;margin-left:98.212601pt;margin-top:631.487549pt;width:372.7pt;height:66pt;mso-position-horizontal-relative:page;mso-position-vertical-relative:page;z-index:-174256" type="#_x0000_t202" filled="false" stroked="false">
            <v:textbox inset="0,0,0,0">
              <w:txbxContent>
                <w:p>
                  <w:pPr>
                    <w:spacing w:line="280" w:lineRule="auto" w:before="0"/>
                    <w:ind w:left="20" w:right="0" w:firstLine="0"/>
                    <w:jc w:val="left"/>
                    <w:rPr>
                      <w:sz w:val="20"/>
                    </w:rPr>
                  </w:pPr>
                  <w:r>
                    <w:rPr>
                      <w:i/>
                      <w:color w:val="231F20"/>
                      <w:sz w:val="20"/>
                    </w:rPr>
                    <w:t>The EPA is not an emergency management agency. It contains skills that are important in the response to some (but not all) emergencies, and it has a regulatory role if the emergency is a [breach] of the Act or licence. However, the role and resources of the EPA must be appropriately scoped in this area, based on risk... </w:t>
                  </w:r>
                  <w:r>
                    <w:rPr>
                      <w:color w:val="231F20"/>
                      <w:sz w:val="20"/>
                    </w:rPr>
                    <w:t>(Municipal Association of Victoria submission, p. 22)</w:t>
                  </w:r>
                </w:p>
              </w:txbxContent>
            </v:textbox>
            <w10:wrap type="none"/>
          </v:shape>
        </w:pict>
      </w:r>
      <w:r>
        <w:rPr/>
        <w:pict>
          <v:shape style="position:absolute;margin-left:69.862602pt;margin-top:707.487549pt;width:421.35pt;height:39pt;mso-position-horizontal-relative:page;mso-position-vertical-relative:page;z-index:-174232" type="#_x0000_t202" filled="false" stroked="false">
            <v:textbox inset="0,0,0,0">
              <w:txbxContent>
                <w:p>
                  <w:pPr>
                    <w:pStyle w:val="BodyText"/>
                    <w:spacing w:line="280" w:lineRule="auto"/>
                    <w:ind w:right="4"/>
                  </w:pPr>
                  <w:r>
                    <w:rPr>
                      <w:color w:val="58595B"/>
                    </w:rPr>
                    <w:t>Sharing responsibility during an emergency cannot be at the expense of role clarity. The EPA’s specialist skills can be critically important during an emergency, but its role should not be confused with other aspects of emergency response, which are beyond its expertise.</w:t>
                  </w:r>
                </w:p>
              </w:txbxContent>
            </v:textbox>
            <w10:wrap type="none"/>
          </v:shape>
        </w:pict>
      </w:r>
      <w:r>
        <w:rPr/>
        <w:pict>
          <v:shape style="position:absolute;margin-left:69.862602pt;margin-top:756.487549pt;width:411pt;height:25.5pt;mso-position-horizontal-relative:page;mso-position-vertical-relative:page;z-index:-174208" type="#_x0000_t202" filled="false" stroked="false">
            <v:textbox inset="0,0,0,0">
              <w:txbxContent>
                <w:p>
                  <w:pPr>
                    <w:pStyle w:val="BodyText"/>
                    <w:spacing w:line="280" w:lineRule="auto"/>
                    <w:ind w:right="17"/>
                  </w:pPr>
                  <w:r>
                    <w:rPr>
                      <w:color w:val="58595B"/>
                    </w:rPr>
                    <w:t>The EPA has defined responsibilities in the Emergency Management Manual Victoria, which includes both ‘control’ and ‘support’ roles (box 9.1).</w:t>
                  </w:r>
                </w:p>
              </w:txbxContent>
            </v:textbox>
            <w10:wrap type="none"/>
          </v:shape>
        </w:pict>
      </w:r>
      <w:r>
        <w:rPr/>
        <w:pict>
          <v:shape style="position:absolute;margin-left:.0pt;margin-top:44.090015pt;width:60.3pt;height:5.25pt;mso-position-horizontal-relative:page;mso-position-vertical-relative:page;z-index:-174184"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4160"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4136" from="534.996094pt,45.840015pt" to="595.276001pt,45.840015pt" stroked="true" strokeweight="7pt" strokecolor="#0095a7">
            <w10:wrap type="none"/>
          </v:line>
        </w:pict>
      </w:r>
      <w:r>
        <w:rPr/>
        <w:pict>
          <v:rect style="position:absolute;margin-left:90.709pt;margin-top:107.717018pt;width:432.701pt;height:205.387pt;mso-position-horizontal-relative:page;mso-position-vertical-relative:page;z-index:-174112" filled="true" fillcolor="#eaf2f3" stroked="false">
            <v:fill type="solid"/>
            <w10:wrap type="none"/>
          </v:rect>
        </w:pict>
      </w:r>
      <w:r>
        <w:rPr/>
        <w:pict>
          <v:shape style="position:absolute;margin-left:264.430206pt;margin-top:40.902756pt;width:45.55pt;height:9.5pt;mso-position-horizontal-relative:page;mso-position-vertical-relative:page;z-index:-174088" type="#_x0000_t202" filled="false" stroked="false">
            <v:textbox inset="0,0,0,0">
              <w:txbxContent>
                <w:p>
                  <w:pPr>
                    <w:spacing w:before="1"/>
                    <w:ind w:left="20" w:right="0" w:firstLine="0"/>
                    <w:jc w:val="left"/>
                    <w:rPr>
                      <w:sz w:val="15"/>
                    </w:rPr>
                  </w:pPr>
                  <w:r>
                    <w:rPr>
                      <w:color w:val="58595B"/>
                      <w:sz w:val="15"/>
                    </w:rPr>
                    <w:t>CHAPTER 9</w:t>
                  </w:r>
                </w:p>
              </w:txbxContent>
            </v:textbox>
            <w10:wrap type="none"/>
          </v:shape>
        </w:pict>
      </w:r>
      <w:r>
        <w:rPr/>
        <w:pict>
          <v:shape style="position:absolute;margin-left:315.662689pt;margin-top:40.902756pt;width:184.2pt;height:9.5pt;mso-position-horizontal-relative:page;mso-position-vertical-relative:page;z-index:-174064" type="#_x0000_t202" filled="false" stroked="false">
            <v:textbox inset="0,0,0,0">
              <w:txbxContent>
                <w:p>
                  <w:pPr>
                    <w:spacing w:before="1"/>
                    <w:ind w:left="20" w:right="0" w:firstLine="0"/>
                    <w:jc w:val="left"/>
                    <w:rPr>
                      <w:sz w:val="15"/>
                    </w:rPr>
                  </w:pPr>
                  <w:r>
                    <w:rPr>
                      <w:color w:val="58595B"/>
                      <w:sz w:val="15"/>
                    </w:rPr>
                    <w:t>THE EPA’S ROLE IN EMERGENCY MANAGEMENT</w:t>
                  </w:r>
                </w:p>
              </w:txbxContent>
            </v:textbox>
            <w10:wrap type="none"/>
          </v:shape>
        </w:pict>
      </w:r>
      <w:r>
        <w:rPr/>
        <w:pict>
          <v:shape style="position:absolute;margin-left:511.180206pt;margin-top:40.902756pt;width:14.2pt;height:9.5pt;mso-position-horizontal-relative:page;mso-position-vertical-relative:page;z-index:-174040" type="#_x0000_t202" filled="false" stroked="false">
            <v:textbox inset="0,0,0,0">
              <w:txbxContent>
                <w:p>
                  <w:pPr>
                    <w:spacing w:before="1"/>
                    <w:ind w:left="20" w:right="-7" w:firstLine="0"/>
                    <w:jc w:val="left"/>
                    <w:rPr>
                      <w:sz w:val="15"/>
                    </w:rPr>
                  </w:pPr>
                  <w:r>
                    <w:rPr>
                      <w:color w:val="58595B"/>
                      <w:sz w:val="15"/>
                    </w:rPr>
                    <w:t>173</w:t>
                  </w:r>
                </w:p>
              </w:txbxContent>
            </v:textbox>
            <w10:wrap type="none"/>
          </v:shape>
        </w:pict>
      </w:r>
      <w:r>
        <w:rPr/>
        <w:pict>
          <v:shape style="position:absolute;margin-left:89.712601pt;margin-top:331.669769pt;width:433.8pt;height:79.5pt;mso-position-horizontal-relative:page;mso-position-vertical-relative:page;z-index:-174016" type="#_x0000_t202" filled="false" stroked="false">
            <v:textbox inset="0,0,0,0">
              <w:txbxContent>
                <w:p>
                  <w:pPr>
                    <w:pStyle w:val="BodyText"/>
                    <w:spacing w:line="280" w:lineRule="auto"/>
                    <w:ind w:right="27"/>
                  </w:pPr>
                  <w:r>
                    <w:rPr>
                      <w:color w:val="58595B"/>
                    </w:rPr>
                    <w:t>The </w:t>
                  </w:r>
                  <w:r>
                    <w:rPr>
                      <w:color w:val="58595B"/>
                      <w:spacing w:val="-7"/>
                    </w:rPr>
                    <w:t>EPA’s </w:t>
                  </w:r>
                  <w:r>
                    <w:rPr>
                      <w:color w:val="58595B"/>
                    </w:rPr>
                    <w:t>current control agency role relates to pollution of inland waters (such as spills and illegal discharges and fish deaths). </w:t>
                  </w:r>
                  <w:r>
                    <w:rPr>
                      <w:color w:val="58595B"/>
                      <w:spacing w:val="-3"/>
                    </w:rPr>
                    <w:t>Key </w:t>
                  </w:r>
                  <w:r>
                    <w:rPr>
                      <w:color w:val="58595B"/>
                    </w:rPr>
                    <w:t>support agency roles for the </w:t>
                  </w:r>
                  <w:r>
                    <w:rPr>
                      <w:color w:val="58595B"/>
                      <w:spacing w:val="-4"/>
                    </w:rPr>
                    <w:t>EPA </w:t>
                  </w:r>
                  <w:r>
                    <w:rPr>
                      <w:color w:val="58595B"/>
                    </w:rPr>
                    <w:t>include those in relation </w:t>
                  </w:r>
                  <w:r>
                    <w:rPr>
                      <w:color w:val="58595B"/>
                      <w:spacing w:val="-3"/>
                    </w:rPr>
                    <w:t>to: </w:t>
                  </w:r>
                  <w:r>
                    <w:rPr>
                      <w:color w:val="58595B"/>
                    </w:rPr>
                    <w:t>hazardous materials spills and leaks, marine pollution and hazardous substances fires. The </w:t>
                  </w:r>
                  <w:r>
                    <w:rPr>
                      <w:color w:val="58595B"/>
                      <w:spacing w:val="-4"/>
                    </w:rPr>
                    <w:t>EPA </w:t>
                  </w:r>
                  <w:r>
                    <w:rPr>
                      <w:color w:val="58595B"/>
                    </w:rPr>
                    <w:t>may also provide further support during response (such as undertaking environmental impact assessments or air monitoring) and recovery (such as advising on waste disposal and clean up</w:t>
                  </w:r>
                  <w:r>
                    <w:rPr>
                      <w:color w:val="58595B"/>
                      <w:spacing w:val="-7"/>
                    </w:rPr>
                    <w:t> </w:t>
                  </w:r>
                  <w:r>
                    <w:rPr>
                      <w:color w:val="58595B"/>
                    </w:rPr>
                    <w:t>activities).</w:t>
                  </w:r>
                </w:p>
              </w:txbxContent>
            </v:textbox>
            <w10:wrap type="none"/>
          </v:shape>
        </w:pict>
      </w:r>
      <w:r>
        <w:rPr/>
        <w:pict>
          <v:shape style="position:absolute;margin-left:89.712601pt;margin-top:421.169769pt;width:432.9pt;height:106.5pt;mso-position-horizontal-relative:page;mso-position-vertical-relative:page;z-index:-173992" type="#_x0000_t202" filled="false" stroked="false">
            <v:textbox inset="0,0,0,0">
              <w:txbxContent>
                <w:p>
                  <w:pPr>
                    <w:pStyle w:val="BodyText"/>
                    <w:spacing w:line="280" w:lineRule="auto"/>
                    <w:ind w:right="8"/>
                  </w:pPr>
                  <w:r>
                    <w:rPr>
                      <w:color w:val="58595B"/>
                    </w:rPr>
                    <w:t>We consider the EPA’s current control agency role demonstrates a mismatch between tasks and expertise. First, in the rare instance an inland pollution event requires an emergency response, the EPA is often hampered by distance and the lack of onsite equipment to respond. Often, another local agency – fire services, DELWP, State Emergency Service, port authorities or local government – responds instead. Second, nearly all fish death events are from natural causes, which do not require an emergency response. Making the EPA the control agency for these events therefore creates confusion within government and the community about who will respond for no clear benefit.</w:t>
                  </w:r>
                </w:p>
              </w:txbxContent>
            </v:textbox>
            <w10:wrap type="none"/>
          </v:shape>
        </w:pict>
      </w:r>
      <w:r>
        <w:rPr/>
        <w:pict>
          <v:shape style="position:absolute;margin-left:89.712601pt;margin-top:537.669739pt;width:431.35pt;height:106.5pt;mso-position-horizontal-relative:page;mso-position-vertical-relative:page;z-index:-173968" type="#_x0000_t202" filled="false" stroked="false">
            <v:textbox inset="0,0,0,0">
              <w:txbxContent>
                <w:p>
                  <w:pPr>
                    <w:pStyle w:val="BodyText"/>
                    <w:spacing w:line="280" w:lineRule="auto"/>
                    <w:ind w:right="17"/>
                  </w:pPr>
                  <w:r>
                    <w:rPr>
                      <w:color w:val="58595B"/>
                    </w:rPr>
                    <w:t>We also consider there is confusion about the </w:t>
                  </w:r>
                  <w:r>
                    <w:rPr>
                      <w:color w:val="58595B"/>
                      <w:spacing w:val="-7"/>
                    </w:rPr>
                    <w:t>EPA’s </w:t>
                  </w:r>
                  <w:r>
                    <w:rPr>
                      <w:color w:val="58595B"/>
                    </w:rPr>
                    <w:t>support roles during emergency events, especially with its involvement in incident management and on-the-ground services it is not suited or geared to support. During the Wye River bushfire in December </w:t>
                  </w:r>
                  <w:r>
                    <w:rPr>
                      <w:color w:val="58595B"/>
                      <w:spacing w:val="-3"/>
                    </w:rPr>
                    <w:t>2015, </w:t>
                  </w:r>
                  <w:r>
                    <w:rPr>
                      <w:color w:val="58595B"/>
                    </w:rPr>
                    <w:t>for example, the </w:t>
                  </w:r>
                  <w:r>
                    <w:rPr>
                      <w:color w:val="58595B"/>
                      <w:spacing w:val="-4"/>
                    </w:rPr>
                    <w:t>EPA </w:t>
                  </w:r>
                  <w:r>
                    <w:rPr>
                      <w:color w:val="58595B"/>
                    </w:rPr>
                    <w:t>committed significant resources to post-fire incident control, on-ground support for recovery efforts, as well as other activities (such as the local management of risks associated with asbestos and septic tanks). These roles are better managed by emergency response or other locally-based agencies that have the necessary incident management systems, shift rostering arrangements, equipment and local</w:t>
                  </w:r>
                  <w:r>
                    <w:rPr>
                      <w:color w:val="58595B"/>
                      <w:spacing w:val="3"/>
                    </w:rPr>
                    <w:t> </w:t>
                  </w:r>
                  <w:r>
                    <w:rPr>
                      <w:color w:val="58595B"/>
                    </w:rPr>
                    <w:t>presence.</w:t>
                  </w:r>
                </w:p>
              </w:txbxContent>
            </v:textbox>
            <w10:wrap type="none"/>
          </v:shape>
        </w:pict>
      </w:r>
      <w:r>
        <w:rPr/>
        <w:pict>
          <v:shape style="position:absolute;margin-left:89.712601pt;margin-top:654.169739pt;width:394.65pt;height:25.5pt;mso-position-horizontal-relative:page;mso-position-vertical-relative:page;z-index:-173944" type="#_x0000_t202" filled="false" stroked="false">
            <v:textbox inset="0,0,0,0">
              <w:txbxContent>
                <w:p>
                  <w:pPr>
                    <w:pStyle w:val="BodyText"/>
                    <w:spacing w:line="280" w:lineRule="auto"/>
                    <w:ind w:right="-7"/>
                  </w:pPr>
                  <w:r>
                    <w:rPr>
                      <w:color w:val="58595B"/>
                    </w:rPr>
                    <w:t>The EPA’s involvement in these events is often an inefficient use of resources and it may jeopardise how well it performs its core advisory task.</w:t>
                  </w:r>
                </w:p>
              </w:txbxContent>
            </v:textbox>
            <w10:wrap type="none"/>
          </v:shape>
        </w:pict>
      </w:r>
      <w:r>
        <w:rPr/>
        <w:pict>
          <v:shape style="position:absolute;margin-left:90.709pt;margin-top:107.717018pt;width:432.75pt;height:205.4pt;mso-position-horizontal-relative:page;mso-position-vertical-relative:page;z-index:-173920" type="#_x0000_t202" filled="false" stroked="false">
            <v:textbox inset="0,0,0,0">
              <w:txbxContent>
                <w:p>
                  <w:pPr>
                    <w:spacing w:before="128"/>
                    <w:ind w:left="170" w:right="482" w:firstLine="0"/>
                    <w:jc w:val="left"/>
                    <w:rPr>
                      <w:sz w:val="11"/>
                    </w:rPr>
                  </w:pPr>
                  <w:r>
                    <w:rPr>
                      <w:b/>
                      <w:color w:val="0095A7"/>
                      <w:sz w:val="20"/>
                    </w:rPr>
                    <w:t>BOX 9.1  </w:t>
                  </w:r>
                  <w:r>
                    <w:rPr>
                      <w:color w:val="0095A7"/>
                      <w:sz w:val="20"/>
                    </w:rPr>
                    <w:t>EMERGENCY RESPONSE AGENCY ROLES</w:t>
                  </w:r>
                  <w:r>
                    <w:rPr>
                      <w:color w:val="0095A7"/>
                      <w:position w:val="7"/>
                      <w:sz w:val="11"/>
                    </w:rPr>
                    <w:t>9</w:t>
                  </w:r>
                </w:p>
                <w:p>
                  <w:pPr>
                    <w:pStyle w:val="BodyText"/>
                    <w:spacing w:line="280" w:lineRule="auto" w:before="125"/>
                    <w:ind w:left="170" w:right="900"/>
                  </w:pPr>
                  <w:r>
                    <w:rPr>
                      <w:color w:val="58595B"/>
                    </w:rPr>
                    <w:t>The Emergency Management Manual Victoria defines control and support agencies as follows:</w:t>
                  </w:r>
                </w:p>
                <w:p>
                  <w:pPr>
                    <w:pStyle w:val="ListParagraph"/>
                    <w:numPr>
                      <w:ilvl w:val="0"/>
                      <w:numId w:val="69"/>
                    </w:numPr>
                    <w:tabs>
                      <w:tab w:pos="341" w:val="left" w:leader="none"/>
                    </w:tabs>
                    <w:spacing w:line="280" w:lineRule="auto" w:before="115" w:after="0"/>
                    <w:ind w:left="340" w:right="534" w:hanging="170"/>
                    <w:jc w:val="left"/>
                    <w:rPr>
                      <w:sz w:val="20"/>
                    </w:rPr>
                  </w:pPr>
                  <w:r>
                    <w:rPr>
                      <w:color w:val="58595B"/>
                      <w:sz w:val="20"/>
                    </w:rPr>
                    <w:t>A </w:t>
                  </w:r>
                  <w:r>
                    <w:rPr>
                      <w:b/>
                      <w:color w:val="58595B"/>
                      <w:sz w:val="20"/>
                    </w:rPr>
                    <w:t>control agency </w:t>
                  </w:r>
                  <w:r>
                    <w:rPr>
                      <w:color w:val="58595B"/>
                      <w:sz w:val="20"/>
                    </w:rPr>
                    <w:t>is assigned to control the response activities to a specified type of emergency. The control agency may change as the emergency response progresses or is</w:t>
                  </w:r>
                  <w:r>
                    <w:rPr>
                      <w:color w:val="58595B"/>
                      <w:spacing w:val="8"/>
                      <w:sz w:val="20"/>
                    </w:rPr>
                    <w:t> </w:t>
                  </w:r>
                  <w:r>
                    <w:rPr>
                      <w:color w:val="58595B"/>
                      <w:sz w:val="20"/>
                    </w:rPr>
                    <w:t>clarified.</w:t>
                  </w:r>
                </w:p>
                <w:p>
                  <w:pPr>
                    <w:pStyle w:val="ListParagraph"/>
                    <w:numPr>
                      <w:ilvl w:val="0"/>
                      <w:numId w:val="69"/>
                    </w:numPr>
                    <w:tabs>
                      <w:tab w:pos="341" w:val="left" w:leader="none"/>
                    </w:tabs>
                    <w:spacing w:line="280" w:lineRule="auto" w:before="115" w:after="0"/>
                    <w:ind w:left="340" w:right="447" w:hanging="170"/>
                    <w:jc w:val="left"/>
                    <w:rPr>
                      <w:sz w:val="20"/>
                    </w:rPr>
                  </w:pPr>
                  <w:r>
                    <w:rPr>
                      <w:color w:val="58595B"/>
                      <w:sz w:val="20"/>
                    </w:rPr>
                    <w:t>A </w:t>
                  </w:r>
                  <w:r>
                    <w:rPr>
                      <w:b/>
                      <w:color w:val="58595B"/>
                      <w:sz w:val="20"/>
                    </w:rPr>
                    <w:t>support agency </w:t>
                  </w:r>
                  <w:r>
                    <w:rPr>
                      <w:color w:val="58595B"/>
                      <w:sz w:val="20"/>
                    </w:rPr>
                    <w:t>provides essential services, personnel, or material to support or assist a control agency or affected persons. A </w:t>
                  </w:r>
                  <w:r>
                    <w:rPr>
                      <w:color w:val="58595B"/>
                      <w:spacing w:val="-3"/>
                      <w:sz w:val="20"/>
                    </w:rPr>
                    <w:t>key </w:t>
                  </w:r>
                  <w:r>
                    <w:rPr>
                      <w:color w:val="58595B"/>
                      <w:sz w:val="20"/>
                    </w:rPr>
                    <w:t>support agency has specific skills and resources to support response for a particular type of</w:t>
                  </w:r>
                  <w:r>
                    <w:rPr>
                      <w:color w:val="58595B"/>
                      <w:spacing w:val="17"/>
                      <w:sz w:val="20"/>
                    </w:rPr>
                    <w:t> </w:t>
                  </w:r>
                  <w:r>
                    <w:rPr>
                      <w:color w:val="58595B"/>
                      <w:sz w:val="20"/>
                    </w:rPr>
                    <w:t>emergency.</w:t>
                  </w:r>
                </w:p>
                <w:p>
                  <w:pPr>
                    <w:pStyle w:val="BodyText"/>
                    <w:spacing w:line="280" w:lineRule="auto" w:before="172"/>
                    <w:ind w:left="170" w:right="416"/>
                  </w:pPr>
                  <w:r>
                    <w:rPr>
                      <w:color w:val="58595B"/>
                    </w:rPr>
                    <w:t>Any agency might be asked to assist in any emergency if it has skills or resources that may contribute to the response.</w:t>
                  </w:r>
                </w:p>
                <w:p>
                  <w:pPr>
                    <w:pStyle w:val="BodyText"/>
                    <w:spacing w:before="172"/>
                    <w:ind w:left="170" w:right="482"/>
                  </w:pPr>
                  <w:r>
                    <w:rPr>
                      <w:color w:val="58595B"/>
                    </w:rPr>
                    <w:t>Roles may change during the lifecycle of an emergency event.</w:t>
                  </w:r>
                </w:p>
              </w:txbxContent>
            </v:textbox>
            <w10:wrap type="none"/>
          </v:shape>
        </w:pict>
      </w:r>
      <w:r>
        <w:rPr/>
        <w:pict>
          <v:shape style="position:absolute;margin-left:534.996094pt;margin-top:44.090015pt;width:60.3pt;height:5.25pt;mso-position-horizontal-relative:page;mso-position-vertical-relative:page;z-index:-17389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3872"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3848" from=".0pt,45.840015pt" to="60.2791pt,45.840015pt" stroked="true" strokeweight="7pt" strokecolor="#0095a7">
            <w10:wrap type="none"/>
          </v:line>
        </w:pict>
      </w:r>
      <w:r>
        <w:rPr/>
        <w:pict>
          <v:shape style="position:absolute;margin-left:69.866096pt;margin-top:40.902756pt;width:173.3pt;height:9.5pt;mso-position-horizontal-relative:page;mso-position-vertical-relative:page;z-index:-173824" type="#_x0000_t202" filled="false" stroked="false">
            <v:textbox inset="0,0,0,0">
              <w:txbxContent>
                <w:p>
                  <w:pPr>
                    <w:tabs>
                      <w:tab w:pos="530" w:val="left" w:leader="none"/>
                    </w:tabs>
                    <w:spacing w:before="1"/>
                    <w:ind w:left="20" w:right="0" w:firstLine="0"/>
                    <w:jc w:val="left"/>
                    <w:rPr>
                      <w:sz w:val="15"/>
                    </w:rPr>
                  </w:pPr>
                  <w:r>
                    <w:rPr>
                      <w:color w:val="58595B"/>
                      <w:spacing w:val="-6"/>
                      <w:sz w:val="15"/>
                    </w:rPr>
                    <w:t>174</w:t>
                    <w:tab/>
                  </w:r>
                  <w:r>
                    <w:rPr>
                      <w:color w:val="58595B"/>
                      <w:spacing w:val="3"/>
                      <w:sz w:val="15"/>
                    </w:rPr>
                    <w:t>INDEPENDENT </w:t>
                  </w:r>
                  <w:r>
                    <w:rPr>
                      <w:color w:val="58595B"/>
                      <w:spacing w:val="2"/>
                      <w:sz w:val="15"/>
                    </w:rPr>
                    <w:t>INQUIRY </w:t>
                  </w:r>
                  <w:r>
                    <w:rPr>
                      <w:color w:val="58595B"/>
                      <w:sz w:val="15"/>
                    </w:rPr>
                    <w:t>INTO </w:t>
                  </w:r>
                  <w:r>
                    <w:rPr>
                      <w:color w:val="58595B"/>
                      <w:spacing w:val="3"/>
                      <w:sz w:val="15"/>
                    </w:rPr>
                    <w:t>THE</w:t>
                  </w:r>
                  <w:r>
                    <w:rPr>
                      <w:color w:val="58595B"/>
                      <w:spacing w:val="17"/>
                      <w:sz w:val="15"/>
                    </w:rPr>
                    <w:t> </w:t>
                  </w:r>
                  <w:r>
                    <w:rPr>
                      <w:color w:val="58595B"/>
                      <w:sz w:val="15"/>
                    </w:rPr>
                    <w:t>EPA</w:t>
                  </w:r>
                </w:p>
              </w:txbxContent>
            </v:textbox>
            <w10:wrap type="none"/>
          </v:shape>
        </w:pict>
      </w:r>
      <w:r>
        <w:rPr/>
        <w:pict>
          <v:shape style="position:absolute;margin-left:69.866096pt;margin-top:105.72934pt;width:394.05pt;height:59.8pt;mso-position-horizontal-relative:page;mso-position-vertical-relative:page;z-index:-173800" type="#_x0000_t202" filled="false" stroked="false">
            <v:textbox inset="0,0,0,0">
              <w:txbxContent>
                <w:p>
                  <w:pPr>
                    <w:spacing w:line="265" w:lineRule="exact" w:before="0"/>
                    <w:ind w:left="20" w:right="14" w:firstLine="0"/>
                    <w:jc w:val="left"/>
                    <w:rPr>
                      <w:sz w:val="24"/>
                    </w:rPr>
                  </w:pPr>
                  <w:r>
                    <w:rPr>
                      <w:color w:val="0095A7"/>
                      <w:sz w:val="24"/>
                    </w:rPr>
                    <w:t>9.4  A refocused role for the EPA</w:t>
                  </w:r>
                </w:p>
                <w:p>
                  <w:pPr>
                    <w:spacing w:line="280" w:lineRule="auto" w:before="145"/>
                    <w:ind w:left="586" w:right="14" w:firstLine="0"/>
                    <w:jc w:val="left"/>
                    <w:rPr>
                      <w:sz w:val="20"/>
                    </w:rPr>
                  </w:pPr>
                  <w:r>
                    <w:rPr>
                      <w:i/>
                      <w:color w:val="231F20"/>
                      <w:sz w:val="20"/>
                    </w:rPr>
                    <w:t>The critical role of EPA in the role of the provision of expert advice, information and data during all phases of emergency management cannot be underestimated. </w:t>
                  </w:r>
                  <w:r>
                    <w:rPr>
                      <w:color w:val="231F20"/>
                      <w:sz w:val="20"/>
                    </w:rPr>
                    <w:t>(Emergency Management Victoria submission, p. 6)</w:t>
                  </w:r>
                </w:p>
              </w:txbxContent>
            </v:textbox>
            <w10:wrap type="none"/>
          </v:shape>
        </w:pict>
      </w:r>
      <w:r>
        <w:rPr/>
        <w:pict>
          <v:shape style="position:absolute;margin-left:69.872597pt;margin-top:175.519272pt;width:426.95pt;height:93pt;mso-position-horizontal-relative:page;mso-position-vertical-relative:page;z-index:-173776" type="#_x0000_t202" filled="false" stroked="false">
            <v:textbox inset="0,0,0,0">
              <w:txbxContent>
                <w:p>
                  <w:pPr>
                    <w:pStyle w:val="BodyText"/>
                    <w:spacing w:line="280" w:lineRule="auto"/>
                    <w:ind w:right="357"/>
                  </w:pPr>
                  <w:r>
                    <w:rPr>
                      <w:color w:val="58595B"/>
                    </w:rPr>
                    <w:t>We consider that the EPA most effectively contributes to emergency management through its specialist technical expertise and that this should be the basis of its role as part of the ‘all</w:t>
                  </w:r>
                </w:p>
                <w:p>
                  <w:pPr>
                    <w:pStyle w:val="BodyText"/>
                    <w:spacing w:line="280" w:lineRule="auto" w:before="2"/>
                    <w:ind w:right="5"/>
                  </w:pPr>
                  <w:r>
                    <w:rPr>
                      <w:color w:val="58595B"/>
                    </w:rPr>
                    <w:t>hazards, all agencies’ approach of the State Emergency Management Plan. The EPA’s advisory role should take account of the relative significance of the pollution and waste risk, noting that there will be minor incidents such as spills from vehicle rollovers that can be addressed by local agencies. This approach allows the EPA to focus on dealing with the most challenging and highest pollution and waste risks across all phases of the emergency lifecycle.</w:t>
                  </w:r>
                </w:p>
              </w:txbxContent>
            </v:textbox>
            <w10:wrap type="none"/>
          </v:shape>
        </w:pict>
      </w:r>
      <w:r>
        <w:rPr/>
        <w:pict>
          <v:shape style="position:absolute;margin-left:69.872597pt;margin-top:278.519257pt;width:433.9pt;height:66pt;mso-position-horizontal-relative:page;mso-position-vertical-relative:page;z-index:-173752" type="#_x0000_t202" filled="false" stroked="false">
            <v:textbox inset="0,0,0,0">
              <w:txbxContent>
                <w:p>
                  <w:pPr>
                    <w:pStyle w:val="BodyText"/>
                    <w:spacing w:line="280" w:lineRule="auto"/>
                  </w:pPr>
                  <w:r>
                    <w:rPr>
                      <w:color w:val="58595B"/>
                    </w:rPr>
                    <w:t>Specifically, we recommend reviewing and reallocating the control agency response role for pollution of inland waters. The responsible agencies should have on-the-ground presence in the relevant local area and expertise in incident management. The EPA should continue to advise on pollution impacts and risks if they are present, and take subsequent regulatory action/intervention as relevant.</w:t>
                  </w:r>
                </w:p>
              </w:txbxContent>
            </v:textbox>
            <w10:wrap type="none"/>
          </v:shape>
        </w:pict>
      </w:r>
      <w:r>
        <w:rPr/>
        <w:pict>
          <v:shape style="position:absolute;margin-left:69.872597pt;margin-top:354.519257pt;width:433.3pt;height:106.5pt;mso-position-horizontal-relative:page;mso-position-vertical-relative:page;z-index:-173728" type="#_x0000_t202" filled="false" stroked="false">
            <v:textbox inset="0,0,0,0">
              <w:txbxContent>
                <w:p>
                  <w:pPr>
                    <w:pStyle w:val="BodyText"/>
                    <w:spacing w:line="280" w:lineRule="auto"/>
                    <w:ind w:right="17"/>
                  </w:pPr>
                  <w:r>
                    <w:rPr>
                      <w:color w:val="58595B"/>
                    </w:rPr>
                    <w:t>We also recommend limiting the </w:t>
                  </w:r>
                  <w:r>
                    <w:rPr>
                      <w:color w:val="58595B"/>
                      <w:spacing w:val="-7"/>
                    </w:rPr>
                    <w:t>EPA’s </w:t>
                  </w:r>
                  <w:r>
                    <w:rPr>
                      <w:color w:val="58595B"/>
                    </w:rPr>
                    <w:t>support role for emergencies to primarily an advisory   role, including in relation to the appropriate monitoring regime to assess risks. An advisory role best uses the tools and capabilities we envisage for the </w:t>
                  </w:r>
                  <w:r>
                    <w:rPr>
                      <w:color w:val="58595B"/>
                      <w:spacing w:val="-4"/>
                    </w:rPr>
                    <w:t>EPA </w:t>
                  </w:r>
                  <w:r>
                    <w:rPr>
                      <w:color w:val="58595B"/>
                    </w:rPr>
                    <w:t>of the future to prevent or minimise impacts and risks to public health and the environment. The </w:t>
                  </w:r>
                  <w:r>
                    <w:rPr>
                      <w:color w:val="58595B"/>
                      <w:spacing w:val="-4"/>
                    </w:rPr>
                    <w:t>EPA </w:t>
                  </w:r>
                  <w:r>
                    <w:rPr>
                      <w:color w:val="58595B"/>
                    </w:rPr>
                    <w:t>will still need a round-the-clock capability to provide offsite technical support, but it may not necessarily have a long or any onsite presence. With adequate technology and equipment, the </w:t>
                  </w:r>
                  <w:r>
                    <w:rPr>
                      <w:color w:val="58595B"/>
                      <w:spacing w:val="-4"/>
                    </w:rPr>
                    <w:t>EPA </w:t>
                  </w:r>
                  <w:r>
                    <w:rPr>
                      <w:color w:val="58595B"/>
                    </w:rPr>
                    <w:t>could receive information remotely from an incident site, send this to experts for analysis, and then communicate its advice on risks back to the State Control Centre and/or incident control at site (figure</w:t>
                  </w:r>
                  <w:r>
                    <w:rPr>
                      <w:color w:val="58595B"/>
                      <w:spacing w:val="-4"/>
                    </w:rPr>
                    <w:t> </w:t>
                  </w:r>
                  <w:r>
                    <w:rPr>
                      <w:color w:val="58595B"/>
                    </w:rPr>
                    <w:t>9.2).</w:t>
                  </w:r>
                </w:p>
              </w:txbxContent>
            </v:textbox>
            <w10:wrap type="none"/>
          </v:shape>
        </w:pict>
      </w:r>
      <w:r>
        <w:rPr/>
        <w:pict>
          <v:shape style="position:absolute;margin-left:69.872597pt;margin-top:471.019257pt;width:433.85pt;height:161.85pt;mso-position-horizontal-relative:page;mso-position-vertical-relative:page;z-index:-173704" type="#_x0000_t202" filled="false" stroked="false">
            <v:textbox inset="0,0,0,0">
              <w:txbxContent>
                <w:p>
                  <w:pPr>
                    <w:pStyle w:val="BodyText"/>
                    <w:spacing w:line="224" w:lineRule="exact"/>
                    <w:ind w:right="17"/>
                  </w:pPr>
                  <w:r>
                    <w:rPr>
                      <w:color w:val="58595B"/>
                    </w:rPr>
                    <w:t>To be effective in this refocused role, the EPA will need:</w:t>
                  </w:r>
                </w:p>
                <w:p>
                  <w:pPr>
                    <w:pStyle w:val="ListParagraph"/>
                    <w:numPr>
                      <w:ilvl w:val="0"/>
                      <w:numId w:val="70"/>
                    </w:numPr>
                    <w:tabs>
                      <w:tab w:pos="190" w:val="left" w:leader="none"/>
                    </w:tabs>
                    <w:spacing w:line="280" w:lineRule="auto" w:before="153" w:after="0"/>
                    <w:ind w:left="190" w:right="347" w:hanging="170"/>
                    <w:jc w:val="left"/>
                    <w:rPr>
                      <w:sz w:val="20"/>
                    </w:rPr>
                  </w:pPr>
                  <w:r>
                    <w:rPr>
                      <w:color w:val="58595B"/>
                      <w:sz w:val="20"/>
                    </w:rPr>
                    <w:t>appropriate technology and protocols to collect and transmit data, including portable air and other monitoring equipment, remote delivery equipment such as drones, high speed data access, and agreed and interoperable data</w:t>
                  </w:r>
                  <w:r>
                    <w:rPr>
                      <w:color w:val="58595B"/>
                      <w:spacing w:val="4"/>
                      <w:sz w:val="20"/>
                    </w:rPr>
                    <w:t> </w:t>
                  </w:r>
                  <w:r>
                    <w:rPr>
                      <w:color w:val="58595B"/>
                      <w:sz w:val="20"/>
                    </w:rPr>
                    <w:t>standards</w:t>
                  </w:r>
                </w:p>
                <w:p>
                  <w:pPr>
                    <w:pStyle w:val="ListParagraph"/>
                    <w:numPr>
                      <w:ilvl w:val="0"/>
                      <w:numId w:val="70"/>
                    </w:numPr>
                    <w:tabs>
                      <w:tab w:pos="190" w:val="left" w:leader="none"/>
                    </w:tabs>
                    <w:spacing w:line="240" w:lineRule="auto" w:before="115" w:after="0"/>
                    <w:ind w:left="190" w:right="0" w:hanging="170"/>
                    <w:jc w:val="left"/>
                    <w:rPr>
                      <w:sz w:val="20"/>
                    </w:rPr>
                  </w:pPr>
                  <w:r>
                    <w:rPr>
                      <w:color w:val="58595B"/>
                      <w:sz w:val="20"/>
                    </w:rPr>
                    <w:t>to balance timeliness and the robustness of</w:t>
                  </w:r>
                  <w:r>
                    <w:rPr>
                      <w:color w:val="58595B"/>
                      <w:spacing w:val="10"/>
                      <w:sz w:val="20"/>
                    </w:rPr>
                    <w:t> </w:t>
                  </w:r>
                  <w:r>
                    <w:rPr>
                      <w:color w:val="58595B"/>
                      <w:sz w:val="20"/>
                    </w:rPr>
                    <w:t>findings</w:t>
                  </w:r>
                </w:p>
                <w:p>
                  <w:pPr>
                    <w:pStyle w:val="ListParagraph"/>
                    <w:numPr>
                      <w:ilvl w:val="0"/>
                      <w:numId w:val="70"/>
                    </w:numPr>
                    <w:tabs>
                      <w:tab w:pos="190" w:val="left" w:leader="none"/>
                    </w:tabs>
                    <w:spacing w:line="240" w:lineRule="auto" w:before="153" w:after="0"/>
                    <w:ind w:left="190" w:right="0" w:hanging="170"/>
                    <w:jc w:val="left"/>
                    <w:rPr>
                      <w:sz w:val="20"/>
                    </w:rPr>
                  </w:pPr>
                  <w:r>
                    <w:rPr>
                      <w:color w:val="58595B"/>
                      <w:sz w:val="20"/>
                    </w:rPr>
                    <w:t>to collaborate with other scientific and academic peers and networks for specialist</w:t>
                  </w:r>
                  <w:r>
                    <w:rPr>
                      <w:color w:val="58595B"/>
                      <w:spacing w:val="20"/>
                      <w:sz w:val="20"/>
                    </w:rPr>
                    <w:t> </w:t>
                  </w:r>
                  <w:r>
                    <w:rPr>
                      <w:color w:val="58595B"/>
                      <w:sz w:val="20"/>
                    </w:rPr>
                    <w:t>input</w:t>
                  </w:r>
                </w:p>
                <w:p>
                  <w:pPr>
                    <w:pStyle w:val="ListParagraph"/>
                    <w:numPr>
                      <w:ilvl w:val="0"/>
                      <w:numId w:val="70"/>
                    </w:numPr>
                    <w:tabs>
                      <w:tab w:pos="190" w:val="left" w:leader="none"/>
                    </w:tabs>
                    <w:spacing w:line="280" w:lineRule="auto" w:before="153" w:after="0"/>
                    <w:ind w:left="190" w:right="17" w:hanging="170"/>
                    <w:jc w:val="left"/>
                    <w:rPr>
                      <w:sz w:val="20"/>
                    </w:rPr>
                  </w:pPr>
                  <w:r>
                    <w:rPr>
                      <w:color w:val="58595B"/>
                      <w:sz w:val="20"/>
                    </w:rPr>
                    <w:t>strong working relationships with emergency services and other important parts of government, such as the Chief Health</w:t>
                  </w:r>
                  <w:r>
                    <w:rPr>
                      <w:color w:val="58595B"/>
                      <w:spacing w:val="3"/>
                      <w:sz w:val="20"/>
                    </w:rPr>
                    <w:t> </w:t>
                  </w:r>
                  <w:r>
                    <w:rPr>
                      <w:color w:val="58595B"/>
                      <w:spacing w:val="2"/>
                      <w:sz w:val="20"/>
                    </w:rPr>
                    <w:t>Officer</w:t>
                  </w:r>
                </w:p>
                <w:p>
                  <w:pPr>
                    <w:pStyle w:val="ListParagraph"/>
                    <w:numPr>
                      <w:ilvl w:val="0"/>
                      <w:numId w:val="70"/>
                    </w:numPr>
                    <w:tabs>
                      <w:tab w:pos="190" w:val="left" w:leader="none"/>
                    </w:tabs>
                    <w:spacing w:line="280" w:lineRule="auto" w:before="115" w:after="0"/>
                    <w:ind w:left="190" w:right="524" w:hanging="170"/>
                    <w:jc w:val="left"/>
                    <w:rPr>
                      <w:sz w:val="20"/>
                    </w:rPr>
                  </w:pPr>
                  <w:r>
                    <w:rPr>
                      <w:color w:val="58595B"/>
                      <w:sz w:val="20"/>
                    </w:rPr>
                    <w:t>to make full use of its in-house expertise, such as the new proposed environmental health group and the Chief Environmental</w:t>
                  </w:r>
                  <w:r>
                    <w:rPr>
                      <w:color w:val="58595B"/>
                      <w:spacing w:val="-5"/>
                      <w:sz w:val="20"/>
                    </w:rPr>
                    <w:t> </w:t>
                  </w:r>
                  <w:r>
                    <w:rPr>
                      <w:color w:val="58595B"/>
                      <w:sz w:val="20"/>
                    </w:rPr>
                    <w:t>Scientist.</w:t>
                  </w:r>
                </w:p>
              </w:txbxContent>
            </v:textbox>
            <w10:wrap type="none"/>
          </v:shape>
        </w:pict>
      </w:r>
      <w:r>
        <w:rPr/>
        <w:pict>
          <v:shape style="position:absolute;margin-left:.0pt;margin-top:44.090015pt;width:60.3pt;height:5.25pt;mso-position-horizontal-relative:page;mso-position-vertical-relative:page;z-index:-17368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365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3632" from="534.996094pt,45.840015pt" to="595.276001pt,45.840015pt" stroked="true" strokeweight="7pt" strokecolor="#0095a7">
            <w10:wrap type="none"/>
          </v:line>
        </w:pict>
      </w:r>
      <w:r>
        <w:rPr/>
        <w:drawing>
          <wp:anchor distT="0" distB="0" distL="0" distR="0" allowOverlap="1" layoutInCell="1" locked="0" behindDoc="1" simplePos="0" relativeHeight="268261847">
            <wp:simplePos x="0" y="0"/>
            <wp:positionH relativeFrom="page">
              <wp:posOffset>1151991</wp:posOffset>
            </wp:positionH>
            <wp:positionV relativeFrom="page">
              <wp:posOffset>1837309</wp:posOffset>
            </wp:positionV>
            <wp:extent cx="5508002" cy="5187746"/>
            <wp:effectExtent l="0" t="0" r="0" b="0"/>
            <wp:wrapNone/>
            <wp:docPr id="17" name="image15.jpeg" descr=""/>
            <wp:cNvGraphicFramePr>
              <a:graphicFrameLocks noChangeAspect="1"/>
            </wp:cNvGraphicFramePr>
            <a:graphic>
              <a:graphicData uri="http://schemas.openxmlformats.org/drawingml/2006/picture">
                <pic:pic>
                  <pic:nvPicPr>
                    <pic:cNvPr id="18" name="image15.jpeg"/>
                    <pic:cNvPicPr/>
                  </pic:nvPicPr>
                  <pic:blipFill>
                    <a:blip r:embed="rId52" cstate="print"/>
                    <a:stretch>
                      <a:fillRect/>
                    </a:stretch>
                  </pic:blipFill>
                  <pic:spPr>
                    <a:xfrm>
                      <a:off x="0" y="0"/>
                      <a:ext cx="5508002" cy="5187746"/>
                    </a:xfrm>
                    <a:prstGeom prst="rect">
                      <a:avLst/>
                    </a:prstGeom>
                  </pic:spPr>
                </pic:pic>
              </a:graphicData>
            </a:graphic>
          </wp:anchor>
        </w:drawing>
      </w:r>
      <w:r>
        <w:rPr/>
        <w:pict>
          <v:shape style="position:absolute;margin-left:264.433289pt;margin-top:40.902756pt;width:235.45pt;height:9.5pt;mso-position-horizontal-relative:page;mso-position-vertical-relative:page;z-index:-173584" type="#_x0000_t202" filled="false" stroked="false">
            <v:textbox inset="0,0,0,0">
              <w:txbxContent>
                <w:p>
                  <w:pPr>
                    <w:spacing w:before="1"/>
                    <w:ind w:left="20" w:right="0" w:firstLine="0"/>
                    <w:jc w:val="left"/>
                    <w:rPr>
                      <w:sz w:val="15"/>
                    </w:rPr>
                  </w:pPr>
                  <w:r>
                    <w:rPr>
                      <w:color w:val="58595B"/>
                      <w:sz w:val="15"/>
                    </w:rPr>
                    <w:t>CHAPTER 9    THE EPA’S ROLE IN EMERGENCY MANAGEMENT</w:t>
                  </w:r>
                </w:p>
              </w:txbxContent>
            </v:textbox>
            <w10:wrap type="none"/>
          </v:shape>
        </w:pict>
      </w:r>
      <w:r>
        <w:rPr/>
        <w:pict>
          <v:shape style="position:absolute;margin-left:511.280792pt;margin-top:40.902756pt;width:14.1pt;height:9.5pt;mso-position-horizontal-relative:page;mso-position-vertical-relative:page;z-index:-173560" type="#_x0000_t202" filled="false" stroked="false">
            <v:textbox inset="0,0,0,0">
              <w:txbxContent>
                <w:p>
                  <w:pPr>
                    <w:spacing w:before="1"/>
                    <w:ind w:left="20" w:right="-9" w:firstLine="0"/>
                    <w:jc w:val="left"/>
                    <w:rPr>
                      <w:sz w:val="15"/>
                    </w:rPr>
                  </w:pPr>
                  <w:r>
                    <w:rPr>
                      <w:color w:val="58595B"/>
                      <w:sz w:val="15"/>
                    </w:rPr>
                    <w:t>175</w:t>
                  </w:r>
                </w:p>
              </w:txbxContent>
            </v:textbox>
            <w10:wrap type="none"/>
          </v:shape>
        </w:pict>
      </w:r>
      <w:r>
        <w:rPr/>
        <w:pict>
          <v:shape style="position:absolute;margin-left:89.708603pt;margin-top:105.893967pt;width:406.55pt;height:25.5pt;mso-position-horizontal-relative:page;mso-position-vertical-relative:page;z-index:-173536" type="#_x0000_t202" filled="false" stroked="false">
            <v:textbox inset="0,0,0,0">
              <w:txbxContent>
                <w:p>
                  <w:pPr>
                    <w:pStyle w:val="BodyText"/>
                    <w:spacing w:line="280" w:lineRule="auto"/>
                    <w:ind w:right="3"/>
                  </w:pPr>
                  <w:r>
                    <w:rPr>
                      <w:b/>
                      <w:color w:val="0095A7"/>
                    </w:rPr>
                    <w:t>FIGURE 9.2 </w:t>
                  </w:r>
                  <w:r>
                    <w:rPr>
                      <w:color w:val="0095A7"/>
                    </w:rPr>
                    <w:t>THE </w:t>
                  </w:r>
                  <w:r>
                    <w:rPr>
                      <w:color w:val="0095A7"/>
                      <w:spacing w:val="-5"/>
                    </w:rPr>
                    <w:t>EPA </w:t>
                  </w:r>
                  <w:r>
                    <w:rPr>
                      <w:color w:val="0095A7"/>
                    </w:rPr>
                    <w:t>USING </w:t>
                  </w:r>
                  <w:r>
                    <w:rPr>
                      <w:color w:val="0095A7"/>
                      <w:spacing w:val="-3"/>
                    </w:rPr>
                    <w:t>TECHNOLOGY </w:t>
                  </w:r>
                  <w:r>
                    <w:rPr>
                      <w:color w:val="0095A7"/>
                      <w:spacing w:val="-4"/>
                    </w:rPr>
                    <w:t>TO </w:t>
                  </w:r>
                  <w:r>
                    <w:rPr>
                      <w:color w:val="0095A7"/>
                    </w:rPr>
                    <w:t>DELIVER </w:t>
                  </w:r>
                  <w:r>
                    <w:rPr>
                      <w:color w:val="0095A7"/>
                      <w:spacing w:val="-3"/>
                    </w:rPr>
                    <w:t>TARGETED </w:t>
                  </w:r>
                  <w:r>
                    <w:rPr>
                      <w:color w:val="0095A7"/>
                    </w:rPr>
                    <w:t>ADVICE DURING AN </w:t>
                  </w:r>
                  <w:r>
                    <w:rPr>
                      <w:color w:val="0095A7"/>
                      <w:spacing w:val="-3"/>
                    </w:rPr>
                    <w:t>EMERGENCY</w:t>
                  </w:r>
                </w:p>
              </w:txbxContent>
            </v:textbox>
            <w10:wrap type="none"/>
          </v:shape>
        </w:pict>
      </w:r>
      <w:r>
        <w:rPr/>
        <w:pict>
          <v:shape style="position:absolute;margin-left:89.706398pt;margin-top:566.054565pt;width:414.9pt;height:39pt;mso-position-horizontal-relative:page;mso-position-vertical-relative:page;z-index:-173512" type="#_x0000_t202" filled="false" stroked="false">
            <v:textbox inset="0,0,0,0">
              <w:txbxContent>
                <w:p>
                  <w:pPr>
                    <w:pStyle w:val="BodyText"/>
                    <w:spacing w:line="280" w:lineRule="auto"/>
                    <w:ind w:right="17"/>
                    <w:jc w:val="both"/>
                  </w:pPr>
                  <w:r>
                    <w:rPr>
                      <w:color w:val="58595B"/>
                    </w:rPr>
                    <w:t>We also envisage the EPA of the future playing a stronger role in emergency prevention,</w:t>
                  </w:r>
                  <w:r>
                    <w:rPr>
                      <w:color w:val="58595B"/>
                      <w:position w:val="7"/>
                      <w:sz w:val="11"/>
                    </w:rPr>
                    <w:t>10 </w:t>
                  </w:r>
                  <w:r>
                    <w:rPr>
                      <w:color w:val="58595B"/>
                    </w:rPr>
                    <w:t>as part of its transformation from a post-harm to a pre-harm regulator. This harm prevention and preparedness focus should be reflected across all of the EPA’s activities.</w:t>
                  </w:r>
                </w:p>
              </w:txbxContent>
            </v:textbox>
            <w10:wrap type="none"/>
          </v:shape>
        </w:pict>
      </w:r>
      <w:r>
        <w:rPr/>
        <w:pict>
          <v:shape style="position:absolute;margin-left:118.056396pt;margin-top:615.054565pt;width:373.15pt;height:66pt;mso-position-horizontal-relative:page;mso-position-vertical-relative:page;z-index:-173488" type="#_x0000_t202" filled="false" stroked="false">
            <v:textbox inset="0,0,0,0">
              <w:txbxContent>
                <w:p>
                  <w:pPr>
                    <w:spacing w:line="280" w:lineRule="auto" w:before="0"/>
                    <w:ind w:left="20" w:right="528" w:firstLine="0"/>
                    <w:jc w:val="left"/>
                    <w:rPr>
                      <w:i/>
                      <w:sz w:val="20"/>
                    </w:rPr>
                  </w:pPr>
                  <w:r>
                    <w:rPr>
                      <w:i/>
                      <w:color w:val="231F20"/>
                      <w:sz w:val="20"/>
                    </w:rPr>
                    <w:t>The state has a duty to plan and prepare </w:t>
                  </w:r>
                  <w:r>
                    <w:rPr>
                      <w:i/>
                      <w:color w:val="231F20"/>
                      <w:spacing w:val="-3"/>
                      <w:sz w:val="20"/>
                    </w:rPr>
                    <w:t>for, </w:t>
                  </w:r>
                  <w:r>
                    <w:rPr>
                      <w:i/>
                      <w:color w:val="231F20"/>
                      <w:sz w:val="20"/>
                    </w:rPr>
                    <w:t>mitigate, prevent, respond to  and support recovery from emergencies. Government, across a wide range</w:t>
                  </w:r>
                  <w:r>
                    <w:rPr>
                      <w:i/>
                      <w:color w:val="231F20"/>
                      <w:spacing w:val="13"/>
                      <w:sz w:val="20"/>
                    </w:rPr>
                    <w:t> </w:t>
                  </w:r>
                  <w:r>
                    <w:rPr>
                      <w:i/>
                      <w:color w:val="231F20"/>
                      <w:sz w:val="20"/>
                    </w:rPr>
                    <w:t>of</w:t>
                  </w:r>
                </w:p>
                <w:p>
                  <w:pPr>
                    <w:spacing w:line="280" w:lineRule="auto" w:before="2"/>
                    <w:ind w:left="20" w:right="0" w:firstLine="0"/>
                    <w:jc w:val="left"/>
                    <w:rPr>
                      <w:sz w:val="11"/>
                    </w:rPr>
                  </w:pPr>
                  <w:r>
                    <w:rPr>
                      <w:i/>
                      <w:color w:val="231F20"/>
                      <w:sz w:val="20"/>
                    </w:rPr>
                    <w:t>Ministerial portfolios, develops legislation, plans and implements risk reduction programs. [including] programs that reduce the instance, severity and consequence of emergencies.</w:t>
                  </w:r>
                  <w:r>
                    <w:rPr>
                      <w:color w:val="231F20"/>
                      <w:position w:val="7"/>
                      <w:sz w:val="11"/>
                    </w:rPr>
                    <w:t>11</w:t>
                  </w:r>
                </w:p>
              </w:txbxContent>
            </v:textbox>
            <w10:wrap type="none"/>
          </v:shape>
        </w:pict>
      </w:r>
      <w:r>
        <w:rPr/>
        <w:pict>
          <v:shape style="position:absolute;margin-left:89.708603pt;margin-top:691.062378pt;width:434.6pt;height:12pt;mso-position-horizontal-relative:page;mso-position-vertical-relative:page;z-index:-173464" type="#_x0000_t202" filled="false" stroked="false">
            <v:textbox inset="0,0,0,0">
              <w:txbxContent>
                <w:p>
                  <w:pPr>
                    <w:pStyle w:val="BodyText"/>
                    <w:spacing w:line="224" w:lineRule="exact"/>
                  </w:pPr>
                  <w:r>
                    <w:rPr>
                      <w:color w:val="58595B"/>
                      <w:spacing w:val="-6"/>
                    </w:rPr>
                    <w:t>Table</w:t>
                  </w:r>
                  <w:r>
                    <w:rPr>
                      <w:color w:val="58595B"/>
                      <w:spacing w:val="-8"/>
                    </w:rPr>
                    <w:t> </w:t>
                  </w:r>
                  <w:r>
                    <w:rPr>
                      <w:color w:val="58595B"/>
                      <w:spacing w:val="-9"/>
                    </w:rPr>
                    <w:t>9.1</w:t>
                  </w:r>
                  <w:r>
                    <w:rPr>
                      <w:color w:val="58595B"/>
                      <w:spacing w:val="-8"/>
                    </w:rPr>
                    <w:t> </w:t>
                  </w:r>
                  <w:r>
                    <w:rPr>
                      <w:color w:val="58595B"/>
                      <w:spacing w:val="-3"/>
                    </w:rPr>
                    <w:t>summarises</w:t>
                  </w:r>
                  <w:r>
                    <w:rPr>
                      <w:color w:val="58595B"/>
                      <w:spacing w:val="-8"/>
                    </w:rPr>
                    <w:t> </w:t>
                  </w:r>
                  <w:r>
                    <w:rPr>
                      <w:color w:val="58595B"/>
                    </w:rPr>
                    <w:t>the</w:t>
                  </w:r>
                  <w:r>
                    <w:rPr>
                      <w:color w:val="58595B"/>
                      <w:spacing w:val="-8"/>
                    </w:rPr>
                    <w:t> </w:t>
                  </w:r>
                  <w:r>
                    <w:rPr>
                      <w:color w:val="58595B"/>
                      <w:spacing w:val="-3"/>
                    </w:rPr>
                    <w:t>emergency</w:t>
                  </w:r>
                  <w:r>
                    <w:rPr>
                      <w:color w:val="58595B"/>
                      <w:spacing w:val="-8"/>
                    </w:rPr>
                    <w:t> </w:t>
                  </w:r>
                  <w:r>
                    <w:rPr>
                      <w:color w:val="58595B"/>
                      <w:spacing w:val="-3"/>
                    </w:rPr>
                    <w:t>management</w:t>
                  </w:r>
                  <w:r>
                    <w:rPr>
                      <w:color w:val="58595B"/>
                      <w:spacing w:val="-8"/>
                    </w:rPr>
                    <w:t> </w:t>
                  </w:r>
                  <w:r>
                    <w:rPr>
                      <w:color w:val="58595B"/>
                    </w:rPr>
                    <w:t>support</w:t>
                  </w:r>
                  <w:r>
                    <w:rPr>
                      <w:color w:val="58595B"/>
                      <w:spacing w:val="-8"/>
                    </w:rPr>
                    <w:t> </w:t>
                  </w:r>
                  <w:r>
                    <w:rPr>
                      <w:color w:val="58595B"/>
                    </w:rPr>
                    <w:t>roles</w:t>
                  </w:r>
                  <w:r>
                    <w:rPr>
                      <w:color w:val="58595B"/>
                      <w:spacing w:val="-8"/>
                    </w:rPr>
                    <w:t> </w:t>
                  </w:r>
                  <w:r>
                    <w:rPr>
                      <w:color w:val="58595B"/>
                    </w:rPr>
                    <w:t>for</w:t>
                  </w:r>
                  <w:r>
                    <w:rPr>
                      <w:color w:val="58595B"/>
                      <w:spacing w:val="-8"/>
                    </w:rPr>
                    <w:t> </w:t>
                  </w:r>
                  <w:r>
                    <w:rPr>
                      <w:color w:val="58595B"/>
                      <w:spacing w:val="-3"/>
                    </w:rPr>
                    <w:t>our</w:t>
                  </w:r>
                  <w:r>
                    <w:rPr>
                      <w:color w:val="58595B"/>
                      <w:spacing w:val="-8"/>
                    </w:rPr>
                    <w:t> </w:t>
                  </w:r>
                  <w:r>
                    <w:rPr>
                      <w:color w:val="58595B"/>
                      <w:spacing w:val="-3"/>
                    </w:rPr>
                    <w:t>proposed</w:t>
                  </w:r>
                  <w:r>
                    <w:rPr>
                      <w:color w:val="58595B"/>
                      <w:spacing w:val="-8"/>
                    </w:rPr>
                    <w:t> </w:t>
                  </w:r>
                  <w:r>
                    <w:rPr>
                      <w:color w:val="58595B"/>
                      <w:spacing w:val="-6"/>
                    </w:rPr>
                    <w:t>EPA</w:t>
                  </w:r>
                  <w:r>
                    <w:rPr>
                      <w:color w:val="58595B"/>
                      <w:spacing w:val="-8"/>
                    </w:rPr>
                    <w:t> </w:t>
                  </w:r>
                  <w:r>
                    <w:rPr>
                      <w:color w:val="58595B"/>
                    </w:rPr>
                    <w:t>of</w:t>
                  </w:r>
                  <w:r>
                    <w:rPr>
                      <w:color w:val="58595B"/>
                      <w:spacing w:val="-8"/>
                    </w:rPr>
                    <w:t> </w:t>
                  </w:r>
                  <w:r>
                    <w:rPr>
                      <w:color w:val="58595B"/>
                    </w:rPr>
                    <w:t>the</w:t>
                  </w:r>
                  <w:r>
                    <w:rPr>
                      <w:color w:val="58595B"/>
                      <w:spacing w:val="-8"/>
                    </w:rPr>
                    <w:t> </w:t>
                  </w:r>
                  <w:r>
                    <w:rPr>
                      <w:color w:val="58595B"/>
                      <w:spacing w:val="-3"/>
                    </w:rPr>
                    <w:t>future.</w:t>
                  </w:r>
                </w:p>
              </w:txbxContent>
            </v:textbox>
            <w10:wrap type="none"/>
          </v:shape>
        </w:pict>
      </w:r>
      <w:r>
        <w:rPr/>
        <w:pict>
          <v:shape style="position:absolute;margin-left:89.708603pt;margin-top:713.062378pt;width:430.2pt;height:66pt;mso-position-horizontal-relative:page;mso-position-vertical-relative:page;z-index:-173440" type="#_x0000_t202" filled="false" stroked="false">
            <v:textbox inset="0,0,0,0">
              <w:txbxContent>
                <w:p>
                  <w:pPr>
                    <w:pStyle w:val="BodyText"/>
                    <w:spacing w:line="280" w:lineRule="auto"/>
                    <w:ind w:right="-8"/>
                  </w:pPr>
                  <w:r>
                    <w:rPr>
                      <w:color w:val="58595B"/>
                    </w:rPr>
                    <w:t>Even with these changes, we expect the EPA’s emergency management role will be greater than its traditional role. This increased role is unfunded, and will place pressure on the EPA’s ground staff and applied science resources. To be effective, the EPA will need sufficient resources and equipment to deploy or have others deploy on its behalf. Funding for the EPA is considered in more detail in chapter 21.</w:t>
                  </w:r>
                </w:p>
              </w:txbxContent>
            </v:textbox>
            <w10:wrap type="none"/>
          </v:shape>
        </w:pict>
      </w:r>
      <w:r>
        <w:rPr/>
        <w:pict>
          <v:shape style="position:absolute;margin-left:534.996094pt;margin-top:44.090015pt;width:60.3pt;height:5.25pt;mso-position-horizontal-relative:page;mso-position-vertical-relative:page;z-index:-17341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3392"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3368" from=".0pt,45.840015pt" to="60.2791pt,45.840015pt" stroked="true" strokeweight="7pt" strokecolor="#0095a7">
            <w10:wrap type="none"/>
          </v:line>
        </w:pict>
      </w:r>
      <w:r>
        <w:rPr/>
        <w:pict>
          <v:shape style="position:absolute;margin-left:70.866005pt;margin-top:132.004974pt;width:433.75pt;height:17.9pt;mso-position-horizontal-relative:page;mso-position-vertical-relative:page;z-index:-173344" coordorigin="1417,2640" coordsize="8675,358" path="m10091,2640l3232,2640,1417,2640,1417,2998,3232,2998,10091,2998,10091,2640e" filled="true" fillcolor="#89bfcb" stroked="false">
            <v:path arrowok="t"/>
            <v:fill type="solid"/>
            <w10:wrap type="none"/>
          </v:shape>
        </w:pict>
      </w:r>
      <w:r>
        <w:rPr/>
        <w:pict>
          <v:line style="position:absolute;mso-position-horizontal-relative:page;mso-position-vertical-relative:page;z-index:-173320" from="161.574799pt,221.582916pt" to="504.566799pt,221.582916pt" stroked="true" strokeweight=".25pt" strokecolor="#939598">
            <w10:wrap type="none"/>
          </v:line>
        </w:pict>
      </w:r>
      <w:r>
        <w:rPr/>
        <w:pict>
          <v:line style="position:absolute;mso-position-horizontal-relative:page;mso-position-vertical-relative:page;z-index:-173296" from="161.574799pt,413.654816pt" to="504.566799pt,413.654816pt" stroked="true" strokeweight=".25pt" strokecolor="#939598">
            <w10:wrap type="none"/>
          </v:line>
        </w:pict>
      </w:r>
      <w:r>
        <w:rPr/>
        <w:pict>
          <v:group style="position:absolute;margin-left:70.741096pt;margin-top:439.586029pt;width:433.95pt;height:.25pt;mso-position-horizontal-relative:page;mso-position-vertical-relative:page;z-index:-173272" coordorigin="1415,8792" coordsize="8679,5">
            <v:line style="position:absolute" from="1417,8794" to="3232,8794" stroked="true" strokeweight=".25pt" strokecolor="#939598"/>
            <v:line style="position:absolute" from="3231,8794" to="10091,8794" stroked="true" strokeweight=".25pt" strokecolor="#939598"/>
            <w10:wrap type="none"/>
          </v:group>
        </w:pict>
      </w:r>
      <w:r>
        <w:rPr/>
        <w:pict>
          <v:line style="position:absolute;mso-position-horizontal-relative:page;mso-position-vertical-relative:page;z-index:-173248" from="161.574799pt,570.775024pt" to="504.566799pt,570.775024pt" stroked="true" strokeweight=".25pt" strokecolor="#939598">
            <w10:wrap type="none"/>
          </v:line>
        </w:pict>
      </w:r>
      <w:r>
        <w:rPr/>
        <w:pict>
          <v:line style="position:absolute;mso-position-horizontal-relative:page;mso-position-vertical-relative:page;z-index:-173224" from="161.574799pt,596.831238pt" to="504.566799pt,596.831238pt" stroked="true" strokeweight=".25pt" strokecolor="#939598">
            <w10:wrap type="none"/>
          </v:line>
        </w:pict>
      </w:r>
      <w:r>
        <w:rPr/>
        <w:pict>
          <v:line style="position:absolute;mso-position-horizontal-relative:page;mso-position-vertical-relative:page;z-index:-173200" from="161.574799pt,622.88739pt" to="504.566799pt,622.88739pt" stroked="true" strokeweight=".25pt" strokecolor="#939598">
            <w10:wrap type="none"/>
          </v:line>
        </w:pict>
      </w:r>
      <w:r>
        <w:rPr/>
        <w:pict>
          <v:group style="position:absolute;margin-left:70.741096pt;margin-top:637.818604pt;width:433.95pt;height:.25pt;mso-position-horizontal-relative:page;mso-position-vertical-relative:page;z-index:-173176" coordorigin="1415,12756" coordsize="8679,5">
            <v:line style="position:absolute" from="1417,12759" to="3232,12759" stroked="true" strokeweight=".25pt" strokecolor="#939598"/>
            <v:line style="position:absolute" from="3231,12759" to="10091,12759" stroked="true" strokeweight=".25pt" strokecolor="#939598"/>
            <w10:wrap type="none"/>
          </v:group>
        </w:pict>
      </w:r>
      <w:r>
        <w:rPr/>
        <w:pict>
          <v:line style="position:absolute;mso-position-horizontal-relative:page;mso-position-vertical-relative:page;z-index:-173152" from="161.574799pt,674.999695pt" to="504.566799pt,674.999695pt" stroked="true" strokeweight=".25pt" strokecolor="#939598">
            <w10:wrap type="none"/>
          </v:line>
        </w:pict>
      </w:r>
      <w:r>
        <w:rPr/>
        <w:pict>
          <v:line style="position:absolute;mso-position-horizontal-relative:page;mso-position-vertical-relative:page;z-index:-173128" from="161.574799pt,756.05603pt" to="504.566799pt,756.05603pt" stroked="true" strokeweight=".25pt" strokecolor="#939598">
            <w10:wrap type="none"/>
          </v:line>
        </w:pict>
      </w:r>
      <w:r>
        <w:rPr/>
        <w:pict>
          <v:group style="position:absolute;margin-left:70.741096pt;margin-top:781.987122pt;width:433.95pt;height:.25pt;mso-position-horizontal-relative:page;mso-position-vertical-relative:page;z-index:-173104" coordorigin="1415,15640" coordsize="8679,5">
            <v:line style="position:absolute" from="1417,15642" to="3232,15642" stroked="true" strokeweight=".25pt" strokecolor="#939598"/>
            <v:line style="position:absolute" from="3231,15642" to="10091,15642" stroked="true" strokeweight=".25pt" strokecolor="#939598"/>
            <w10:wrap type="none"/>
          </v:group>
        </w:pict>
      </w:r>
      <w:r>
        <w:rPr/>
        <w:pict>
          <v:shape style="position:absolute;margin-left:69.866096pt;margin-top:40.902756pt;width:14.15pt;height:9.5pt;mso-position-horizontal-relative:page;mso-position-vertical-relative:page;z-index:-173080" type="#_x0000_t202" filled="false" stroked="false">
            <v:textbox inset="0,0,0,0">
              <w:txbxContent>
                <w:p>
                  <w:pPr>
                    <w:spacing w:before="1"/>
                    <w:ind w:left="20" w:right="-8" w:firstLine="0"/>
                    <w:jc w:val="left"/>
                    <w:rPr>
                      <w:sz w:val="15"/>
                    </w:rPr>
                  </w:pPr>
                  <w:r>
                    <w:rPr>
                      <w:color w:val="58595B"/>
                      <w:sz w:val="15"/>
                    </w:rPr>
                    <w:t>176</w:t>
                  </w:r>
                </w:p>
              </w:txbxContent>
            </v:textbox>
            <w10:wrap type="none"/>
          </v:shape>
        </w:pict>
      </w:r>
      <w:r>
        <w:rPr/>
        <w:pict>
          <v:shape style="position:absolute;margin-left:95.377899pt;margin-top:40.902756pt;width:147.75pt;height:9.5pt;mso-position-horizontal-relative:page;mso-position-vertical-relative:page;z-index:-173056"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371.95pt;height:12pt;mso-position-horizontal-relative:page;mso-position-vertical-relative:page;z-index:-173032" type="#_x0000_t202" filled="false" stroked="false">
            <v:textbox inset="0,0,0,0">
              <w:txbxContent>
                <w:p>
                  <w:pPr>
                    <w:pStyle w:val="BodyText"/>
                    <w:spacing w:line="224" w:lineRule="exact"/>
                  </w:pPr>
                  <w:r>
                    <w:rPr>
                      <w:b/>
                      <w:color w:val="0095A7"/>
                      <w:spacing w:val="-4"/>
                    </w:rPr>
                    <w:t>TABLE </w:t>
                  </w:r>
                  <w:r>
                    <w:rPr>
                      <w:b/>
                      <w:color w:val="0095A7"/>
                      <w:spacing w:val="-8"/>
                    </w:rPr>
                    <w:t>9.1 </w:t>
                  </w:r>
                  <w:r>
                    <w:rPr>
                      <w:color w:val="0095A7"/>
                    </w:rPr>
                    <w:t>PROPOSED </w:t>
                  </w:r>
                  <w:r>
                    <w:rPr>
                      <w:color w:val="0095A7"/>
                      <w:spacing w:val="-5"/>
                    </w:rPr>
                    <w:t>EPA </w:t>
                  </w:r>
                  <w:r>
                    <w:rPr>
                      <w:color w:val="0095A7"/>
                    </w:rPr>
                    <w:t>SUPPORT </w:t>
                  </w:r>
                  <w:r>
                    <w:rPr>
                      <w:color w:val="0095A7"/>
                      <w:spacing w:val="-3"/>
                    </w:rPr>
                    <w:t>ROLES </w:t>
                  </w:r>
                  <w:r>
                    <w:rPr>
                      <w:color w:val="0095A7"/>
                    </w:rPr>
                    <w:t>IN </w:t>
                  </w:r>
                  <w:r>
                    <w:rPr>
                      <w:color w:val="0095A7"/>
                      <w:spacing w:val="-3"/>
                    </w:rPr>
                    <w:t>EMERGENCY </w:t>
                  </w:r>
                  <w:r>
                    <w:rPr>
                      <w:color w:val="0095A7"/>
                    </w:rPr>
                    <w:t>MANAGEMENT</w:t>
                  </w:r>
                </w:p>
              </w:txbxContent>
            </v:textbox>
            <w10:wrap type="none"/>
          </v:shape>
        </w:pict>
      </w:r>
      <w:r>
        <w:rPr/>
        <w:pict>
          <v:shape style="position:absolute;margin-left:72.700798pt;margin-top:156.534683pt;width:81.55pt;height:22pt;mso-position-horizontal-relative:page;mso-position-vertical-relative:page;z-index:-173008" type="#_x0000_t202" filled="false" stroked="false">
            <v:textbox inset="0,0,0,0">
              <w:txbxContent>
                <w:p>
                  <w:pPr>
                    <w:spacing w:line="254" w:lineRule="auto" w:before="0"/>
                    <w:ind w:left="20" w:right="0" w:firstLine="0"/>
                    <w:jc w:val="left"/>
                    <w:rPr>
                      <w:b/>
                      <w:sz w:val="18"/>
                    </w:rPr>
                  </w:pPr>
                  <w:r>
                    <w:rPr>
                      <w:b/>
                      <w:color w:val="58595B"/>
                      <w:sz w:val="18"/>
                    </w:rPr>
                    <w:t>Preparedness and prevention</w:t>
                  </w:r>
                </w:p>
              </w:txbxContent>
            </v:textbox>
            <w10:wrap type="none"/>
          </v:shape>
        </w:pict>
      </w:r>
      <w:r>
        <w:rPr/>
        <w:pict>
          <v:shape style="position:absolute;margin-left:163.411804pt;margin-top:156.534683pt;width:336.1pt;height:33pt;mso-position-horizontal-relative:page;mso-position-vertical-relative:page;z-index:-172984" type="#_x0000_t202" filled="false" stroked="false">
            <v:textbox inset="0,0,0,0">
              <w:txbxContent>
                <w:p>
                  <w:pPr>
                    <w:spacing w:line="254" w:lineRule="auto" w:before="0"/>
                    <w:ind w:left="20" w:right="0" w:firstLine="0"/>
                    <w:jc w:val="left"/>
                    <w:rPr>
                      <w:sz w:val="18"/>
                    </w:rPr>
                  </w:pPr>
                  <w:r>
                    <w:rPr>
                      <w:b/>
                      <w:color w:val="58595B"/>
                      <w:sz w:val="18"/>
                    </w:rPr>
                    <w:t>Regulatory activity: </w:t>
                  </w:r>
                  <w:r>
                    <w:rPr>
                      <w:color w:val="58595B"/>
                      <w:sz w:val="18"/>
                    </w:rPr>
                    <w:t>Working with, and taking compliance and enforcement action against, duty holders for breach of licence conditions or failure to take reasonable steps to prevent pollution.</w:t>
                  </w:r>
                </w:p>
              </w:txbxContent>
            </v:textbox>
            <w10:wrap type="none"/>
          </v:shape>
        </w:pict>
      </w:r>
      <w:r>
        <w:rPr/>
        <w:pict>
          <v:shape style="position:absolute;margin-left:163.411804pt;margin-top:198.033676pt;width:324.4pt;height:22pt;mso-position-horizontal-relative:page;mso-position-vertical-relative:page;z-index:-172960" type="#_x0000_t202" filled="false" stroked="false">
            <v:textbox inset="0,0,0,0">
              <w:txbxContent>
                <w:p>
                  <w:pPr>
                    <w:spacing w:line="254" w:lineRule="auto" w:before="0"/>
                    <w:ind w:left="20" w:right="0" w:firstLine="0"/>
                    <w:jc w:val="left"/>
                    <w:rPr>
                      <w:sz w:val="18"/>
                    </w:rPr>
                  </w:pPr>
                  <w:r>
                    <w:rPr>
                      <w:color w:val="58595B"/>
                      <w:sz w:val="18"/>
                    </w:rPr>
                    <w:t>Chapter 12 proposes recommendations on strengthening licence conditions and introducing a general duty.</w:t>
                  </w:r>
                </w:p>
              </w:txbxContent>
            </v:textbox>
            <w10:wrap type="none"/>
          </v:shape>
        </w:pict>
      </w:r>
      <w:r>
        <w:rPr/>
        <w:pict>
          <v:shape style="position:absolute;margin-left:163.411804pt;margin-top:224.088684pt;width:173.7pt;height:11pt;mso-position-horizontal-relative:page;mso-position-vertical-relative:page;z-index:-172936" type="#_x0000_t202" filled="false" stroked="false">
            <v:textbox inset="0,0,0,0">
              <w:txbxContent>
                <w:p>
                  <w:pPr>
                    <w:spacing w:line="204" w:lineRule="exact" w:before="0"/>
                    <w:ind w:left="20" w:right="0" w:firstLine="0"/>
                    <w:jc w:val="left"/>
                    <w:rPr>
                      <w:b/>
                      <w:sz w:val="18"/>
                    </w:rPr>
                  </w:pPr>
                  <w:r>
                    <w:rPr>
                      <w:b/>
                      <w:color w:val="58595B"/>
                      <w:sz w:val="18"/>
                    </w:rPr>
                    <w:t>Input into other preventative processes</w:t>
                  </w:r>
                </w:p>
              </w:txbxContent>
            </v:textbox>
            <w10:wrap type="none"/>
          </v:shape>
        </w:pict>
      </w:r>
      <w:r>
        <w:rPr/>
        <w:pict>
          <v:shape style="position:absolute;margin-left:163.411804pt;margin-top:243.59169pt;width:113.35pt;height:11pt;mso-position-horizontal-relative:page;mso-position-vertical-relative:page;z-index:-172912" type="#_x0000_t202" filled="false" stroked="false">
            <v:textbox inset="0,0,0,0">
              <w:txbxContent>
                <w:p>
                  <w:pPr>
                    <w:spacing w:line="204" w:lineRule="exact" w:before="0"/>
                    <w:ind w:left="20" w:right="0" w:firstLine="0"/>
                    <w:jc w:val="left"/>
                    <w:rPr>
                      <w:sz w:val="18"/>
                    </w:rPr>
                  </w:pPr>
                  <w:r>
                    <w:rPr>
                      <w:color w:val="58595B"/>
                      <w:sz w:val="18"/>
                    </w:rPr>
                    <w:t>These include, for example:</w:t>
                  </w:r>
                </w:p>
              </w:txbxContent>
            </v:textbox>
            <w10:wrap type="none"/>
          </v:shape>
        </w:pict>
      </w:r>
      <w:r>
        <w:rPr/>
        <w:pict>
          <v:shape style="position:absolute;margin-left:163.411804pt;margin-top:263.094696pt;width:316.4pt;height:33pt;mso-position-horizontal-relative:page;mso-position-vertical-relative:page;z-index:-172888" type="#_x0000_t202" filled="false" stroked="false">
            <v:textbox inset="0,0,0,0">
              <w:txbxContent>
                <w:p>
                  <w:pPr>
                    <w:spacing w:line="254" w:lineRule="auto" w:before="0"/>
                    <w:ind w:left="20" w:right="0" w:firstLine="0"/>
                    <w:jc w:val="left"/>
                    <w:rPr>
                      <w:sz w:val="18"/>
                    </w:rPr>
                  </w:pPr>
                  <w:r>
                    <w:rPr>
                      <w:b/>
                      <w:color w:val="58595B"/>
                      <w:sz w:val="18"/>
                    </w:rPr>
                    <w:t>Emergency management: </w:t>
                  </w:r>
                  <w:r>
                    <w:rPr>
                      <w:color w:val="58595B"/>
                      <w:sz w:val="18"/>
                    </w:rPr>
                    <w:t>The EPA provides input into regional planning through Regional Risk Assessment processes run under Regional Emergency Management Committees.</w:t>
                  </w:r>
                </w:p>
              </w:txbxContent>
            </v:textbox>
            <w10:wrap type="none"/>
          </v:shape>
        </w:pict>
      </w:r>
      <w:r>
        <w:rPr/>
        <w:pict>
          <v:shape style="position:absolute;margin-left:163.411804pt;margin-top:304.593689pt;width:320.850pt;height:44pt;mso-position-horizontal-relative:page;mso-position-vertical-relative:page;z-index:-172864" type="#_x0000_t202" filled="false" stroked="false">
            <v:textbox inset="0,0,0,0">
              <w:txbxContent>
                <w:p>
                  <w:pPr>
                    <w:spacing w:line="254" w:lineRule="auto" w:before="0"/>
                    <w:ind w:left="20" w:right="0" w:firstLine="0"/>
                    <w:jc w:val="left"/>
                    <w:rPr>
                      <w:sz w:val="18"/>
                    </w:rPr>
                  </w:pPr>
                  <w:r>
                    <w:rPr>
                      <w:b/>
                      <w:color w:val="58595B"/>
                      <w:sz w:val="18"/>
                    </w:rPr>
                    <w:t>Major Hazard Facilities: </w:t>
                  </w:r>
                  <w:r>
                    <w:rPr>
                      <w:color w:val="58595B"/>
                      <w:sz w:val="18"/>
                    </w:rPr>
                    <w:t>The EPA has been consulted as part of a current advisory committee process considering land use buffers around Major Hazard Facilities.12 The EPA’s role in managing buffer distances is considered in chapter 10.</w:t>
                  </w:r>
                </w:p>
              </w:txbxContent>
            </v:textbox>
            <w10:wrap type="none"/>
          </v:shape>
        </w:pict>
      </w:r>
      <w:r>
        <w:rPr/>
        <w:pict>
          <v:shape style="position:absolute;margin-left:163.420807pt;margin-top:357.090668pt;width:338.3pt;height:55pt;mso-position-horizontal-relative:page;mso-position-vertical-relative:page;z-index:-172840" type="#_x0000_t202" filled="false" stroked="false">
            <v:textbox inset="0,0,0,0">
              <w:txbxContent>
                <w:p>
                  <w:pPr>
                    <w:spacing w:line="254" w:lineRule="auto" w:before="0"/>
                    <w:ind w:left="20" w:right="0" w:firstLine="0"/>
                    <w:jc w:val="left"/>
                    <w:rPr>
                      <w:sz w:val="18"/>
                    </w:rPr>
                  </w:pPr>
                  <w:r>
                    <w:rPr>
                      <w:b/>
                      <w:color w:val="58595B"/>
                      <w:sz w:val="18"/>
                    </w:rPr>
                    <w:t>Coal Mine Emergency Management Taskforce for the Latrobe Valley: </w:t>
                  </w:r>
                  <w:r>
                    <w:rPr>
                      <w:color w:val="58595B"/>
                      <w:sz w:val="18"/>
                    </w:rPr>
                    <w:t>The EPA is a member of the taskforce, which aims to ensure that relevant agencies</w:t>
                  </w:r>
                </w:p>
                <w:p>
                  <w:pPr>
                    <w:spacing w:line="254" w:lineRule="auto" w:before="1"/>
                    <w:ind w:left="20" w:right="0" w:firstLine="0"/>
                    <w:jc w:val="left"/>
                    <w:rPr>
                      <w:sz w:val="18"/>
                    </w:rPr>
                  </w:pPr>
                  <w:r>
                    <w:rPr>
                      <w:color w:val="58595B"/>
                      <w:sz w:val="18"/>
                    </w:rPr>
                    <w:t>and operators ‘discharge their responsibilities and have appropriate plans and processes in place to prevent, prepare for, and respond to, any threat of fire in and around the mine area’.13</w:t>
                  </w:r>
                </w:p>
              </w:txbxContent>
            </v:textbox>
            <w10:wrap type="none"/>
          </v:shape>
        </w:pict>
      </w:r>
      <w:r>
        <w:rPr/>
        <w:pict>
          <v:shape style="position:absolute;margin-left:163.420807pt;margin-top:416.139679pt;width:333pt;height:22pt;mso-position-horizontal-relative:page;mso-position-vertical-relative:page;z-index:-172816" type="#_x0000_t202" filled="false" stroked="false">
            <v:textbox inset="0,0,0,0">
              <w:txbxContent>
                <w:p>
                  <w:pPr>
                    <w:spacing w:line="254" w:lineRule="auto" w:before="0"/>
                    <w:ind w:left="20" w:right="0" w:firstLine="0"/>
                    <w:jc w:val="left"/>
                    <w:rPr>
                      <w:sz w:val="18"/>
                    </w:rPr>
                  </w:pPr>
                  <w:r>
                    <w:rPr>
                      <w:b/>
                      <w:color w:val="58595B"/>
                      <w:sz w:val="18"/>
                    </w:rPr>
                    <w:t>Working with EMV and other agencies </w:t>
                  </w:r>
                  <w:r>
                    <w:rPr>
                      <w:color w:val="58595B"/>
                      <w:sz w:val="18"/>
                    </w:rPr>
                    <w:t>to help inform and identify potential risks and preparations.</w:t>
                  </w:r>
                </w:p>
              </w:txbxContent>
            </v:textbox>
            <w10:wrap type="none"/>
          </v:shape>
        </w:pict>
      </w:r>
      <w:r>
        <w:rPr/>
        <w:pict>
          <v:shape style="position:absolute;margin-left:72.709801pt;margin-top:442.194672pt;width:45.7pt;height:11pt;mso-position-horizontal-relative:page;mso-position-vertical-relative:page;z-index:-172792" type="#_x0000_t202" filled="false" stroked="false">
            <v:textbox inset="0,0,0,0">
              <w:txbxContent>
                <w:p>
                  <w:pPr>
                    <w:spacing w:line="204" w:lineRule="exact" w:before="0"/>
                    <w:ind w:left="20" w:right="0" w:firstLine="0"/>
                    <w:jc w:val="left"/>
                    <w:rPr>
                      <w:b/>
                      <w:sz w:val="18"/>
                    </w:rPr>
                  </w:pPr>
                  <w:r>
                    <w:rPr>
                      <w:b/>
                      <w:color w:val="58595B"/>
                      <w:sz w:val="18"/>
                    </w:rPr>
                    <w:t>Response</w:t>
                  </w:r>
                </w:p>
              </w:txbxContent>
            </v:textbox>
            <w10:wrap type="none"/>
          </v:shape>
        </w:pict>
      </w:r>
      <w:r>
        <w:rPr/>
        <w:pict>
          <v:shape style="position:absolute;margin-left:163.420807pt;margin-top:442.194672pt;width:325.75pt;height:33pt;mso-position-horizontal-relative:page;mso-position-vertical-relative:page;z-index:-172768" type="#_x0000_t202" filled="false" stroked="false">
            <v:textbox inset="0,0,0,0">
              <w:txbxContent>
                <w:p>
                  <w:pPr>
                    <w:spacing w:line="254" w:lineRule="auto" w:before="0"/>
                    <w:ind w:left="20" w:right="0" w:firstLine="0"/>
                    <w:jc w:val="left"/>
                    <w:rPr>
                      <w:sz w:val="18"/>
                    </w:rPr>
                  </w:pPr>
                  <w:r>
                    <w:rPr>
                      <w:b/>
                      <w:color w:val="58595B"/>
                      <w:sz w:val="18"/>
                    </w:rPr>
                    <w:t>Offsite monitoring </w:t>
                  </w:r>
                  <w:r>
                    <w:rPr>
                      <w:color w:val="58595B"/>
                      <w:sz w:val="18"/>
                    </w:rPr>
                    <w:t>if intensity, composition or time impact of effects are serious enough (for example, caused by a fire with a long duration or concerning toxic substances). This requires remote monitoring and data capabilities.</w:t>
                  </w:r>
                </w:p>
              </w:txbxContent>
            </v:textbox>
            <w10:wrap type="none"/>
          </v:shape>
        </w:pict>
      </w:r>
      <w:r>
        <w:rPr/>
        <w:pict>
          <v:shape style="position:absolute;margin-left:163.420807pt;margin-top:483.693695pt;width:331.95pt;height:44pt;mso-position-horizontal-relative:page;mso-position-vertical-relative:page;z-index:-172744" type="#_x0000_t202" filled="false" stroked="false">
            <v:textbox inset="0,0,0,0">
              <w:txbxContent>
                <w:p>
                  <w:pPr>
                    <w:spacing w:line="254" w:lineRule="auto" w:before="0"/>
                    <w:ind w:left="20" w:right="17" w:firstLine="0"/>
                    <w:jc w:val="both"/>
                    <w:rPr>
                      <w:sz w:val="18"/>
                    </w:rPr>
                  </w:pPr>
                  <w:r>
                    <w:rPr>
                      <w:color w:val="58595B"/>
                      <w:sz w:val="18"/>
                    </w:rPr>
                    <w:t>As part of this, </w:t>
                  </w:r>
                  <w:r>
                    <w:rPr>
                      <w:b/>
                      <w:color w:val="58595B"/>
                      <w:sz w:val="18"/>
                    </w:rPr>
                    <w:t>building capability within emergency services </w:t>
                  </w:r>
                  <w:r>
                    <w:rPr>
                      <w:color w:val="58595B"/>
                      <w:sz w:val="18"/>
                    </w:rPr>
                    <w:t>to conduct basic monitoring tasks (like the Metropolitan Fire Board’s increased internal expertise in dealing with chemical fires).14 The EPA could analyse the data remotely, to assist with onsite management.</w:t>
                  </w:r>
                </w:p>
              </w:txbxContent>
            </v:textbox>
            <w10:wrap type="none"/>
          </v:shape>
        </w:pict>
      </w:r>
      <w:r>
        <w:rPr/>
        <w:pict>
          <v:shape style="position:absolute;margin-left:163.420807pt;margin-top:536.190674pt;width:329.8pt;height:33pt;mso-position-horizontal-relative:page;mso-position-vertical-relative:page;z-index:-172720" type="#_x0000_t202" filled="false" stroked="false">
            <v:textbox inset="0,0,0,0">
              <w:txbxContent>
                <w:p>
                  <w:pPr>
                    <w:spacing w:line="254" w:lineRule="auto" w:before="0"/>
                    <w:ind w:left="20" w:right="0" w:firstLine="0"/>
                    <w:jc w:val="left"/>
                    <w:rPr>
                      <w:sz w:val="18"/>
                    </w:rPr>
                  </w:pPr>
                  <w:r>
                    <w:rPr>
                      <w:color w:val="58595B"/>
                      <w:sz w:val="18"/>
                    </w:rPr>
                    <w:t>Engaging third party experts to monitor the environment during emergencies, against standards set by EPA, if cost effective to do so and funding arrangements have been agreed.</w:t>
                  </w:r>
                </w:p>
              </w:txbxContent>
            </v:textbox>
            <w10:wrap type="none"/>
          </v:shape>
        </w:pict>
      </w:r>
      <w:r>
        <w:rPr/>
        <w:pict>
          <v:shape style="position:absolute;margin-left:163.420807pt;margin-top:573.243652pt;width:312.75pt;height:22pt;mso-position-horizontal-relative:page;mso-position-vertical-relative:page;z-index:-172696" type="#_x0000_t202" filled="false" stroked="false">
            <v:textbox inset="0,0,0,0">
              <w:txbxContent>
                <w:p>
                  <w:pPr>
                    <w:spacing w:line="254" w:lineRule="auto" w:before="0"/>
                    <w:ind w:left="20" w:right="0" w:firstLine="0"/>
                    <w:jc w:val="left"/>
                    <w:rPr>
                      <w:sz w:val="18"/>
                    </w:rPr>
                  </w:pPr>
                  <w:r>
                    <w:rPr>
                      <w:b/>
                      <w:color w:val="58595B"/>
                      <w:sz w:val="18"/>
                    </w:rPr>
                    <w:t>Maintaining onsite presence </w:t>
                  </w:r>
                  <w:r>
                    <w:rPr>
                      <w:color w:val="58595B"/>
                      <w:sz w:val="18"/>
                    </w:rPr>
                    <w:t>for serious events until risks are identified and adequately managed.</w:t>
                  </w:r>
                </w:p>
              </w:txbxContent>
            </v:textbox>
            <w10:wrap type="none"/>
          </v:shape>
        </w:pict>
      </w:r>
      <w:r>
        <w:rPr/>
        <w:pict>
          <v:shape style="position:absolute;margin-left:163.420807pt;margin-top:599.298706pt;width:326.95pt;height:22pt;mso-position-horizontal-relative:page;mso-position-vertical-relative:page;z-index:-172672" type="#_x0000_t202" filled="false" stroked="false">
            <v:textbox inset="0,0,0,0">
              <w:txbxContent>
                <w:p>
                  <w:pPr>
                    <w:spacing w:line="254" w:lineRule="auto" w:before="0"/>
                    <w:ind w:left="20" w:right="0" w:firstLine="0"/>
                    <w:jc w:val="left"/>
                    <w:rPr>
                      <w:sz w:val="18"/>
                    </w:rPr>
                  </w:pPr>
                  <w:r>
                    <w:rPr>
                      <w:color w:val="58595B"/>
                      <w:sz w:val="18"/>
                    </w:rPr>
                    <w:t>The </w:t>
                  </w:r>
                  <w:r>
                    <w:rPr>
                      <w:b/>
                      <w:color w:val="58595B"/>
                      <w:sz w:val="18"/>
                    </w:rPr>
                    <w:t>Chief Environmental Scientist </w:t>
                  </w:r>
                  <w:r>
                    <w:rPr>
                      <w:color w:val="58595B"/>
                      <w:sz w:val="18"/>
                    </w:rPr>
                    <w:t>advises the Chief Health Officer and others as required.</w:t>
                  </w:r>
                </w:p>
              </w:txbxContent>
            </v:textbox>
            <w10:wrap type="none"/>
          </v:shape>
        </w:pict>
      </w:r>
      <w:r>
        <w:rPr/>
        <w:pict>
          <v:shape style="position:absolute;margin-left:163.420807pt;margin-top:625.353699pt;width:339.3pt;height:11pt;mso-position-horizontal-relative:page;mso-position-vertical-relative:page;z-index:-172648" type="#_x0000_t202" filled="false" stroked="false">
            <v:textbox inset="0,0,0,0">
              <w:txbxContent>
                <w:p>
                  <w:pPr>
                    <w:spacing w:line="204" w:lineRule="exact" w:before="0"/>
                    <w:ind w:left="20" w:right="0" w:firstLine="0"/>
                    <w:jc w:val="left"/>
                    <w:rPr>
                      <w:b/>
                      <w:sz w:val="18"/>
                    </w:rPr>
                  </w:pPr>
                  <w:r>
                    <w:rPr>
                      <w:b/>
                      <w:color w:val="58595B"/>
                      <w:sz w:val="18"/>
                    </w:rPr>
                    <w:t>Increased presence and input if an incident relates to EPA-licensed  premises.</w:t>
                  </w:r>
                </w:p>
              </w:txbxContent>
            </v:textbox>
            <w10:wrap type="none"/>
          </v:shape>
        </w:pict>
      </w:r>
      <w:r>
        <w:rPr/>
        <w:pict>
          <v:shape style="position:absolute;margin-left:72.709801pt;margin-top:640.410706pt;width:43.25pt;height:11pt;mso-position-horizontal-relative:page;mso-position-vertical-relative:page;z-index:-172624" type="#_x0000_t202" filled="false" stroked="false">
            <v:textbox inset="0,0,0,0">
              <w:txbxContent>
                <w:p>
                  <w:pPr>
                    <w:spacing w:line="204" w:lineRule="exact" w:before="0"/>
                    <w:ind w:left="20" w:right="0" w:firstLine="0"/>
                    <w:jc w:val="left"/>
                    <w:rPr>
                      <w:b/>
                      <w:sz w:val="18"/>
                    </w:rPr>
                  </w:pPr>
                  <w:r>
                    <w:rPr>
                      <w:b/>
                      <w:color w:val="58595B"/>
                      <w:sz w:val="18"/>
                    </w:rPr>
                    <w:t>Recovery</w:t>
                  </w:r>
                </w:p>
              </w:txbxContent>
            </v:textbox>
            <w10:wrap type="none"/>
          </v:shape>
        </w:pict>
      </w:r>
      <w:r>
        <w:rPr/>
        <w:pict>
          <v:shape style="position:absolute;margin-left:163.420807pt;margin-top:640.410706pt;width:314.75pt;height:33pt;mso-position-horizontal-relative:page;mso-position-vertical-relative:page;z-index:-172600" type="#_x0000_t202" filled="false" stroked="false">
            <v:textbox inset="0,0,0,0">
              <w:txbxContent>
                <w:p>
                  <w:pPr>
                    <w:spacing w:line="254" w:lineRule="auto" w:before="0"/>
                    <w:ind w:left="20" w:right="0" w:firstLine="0"/>
                    <w:jc w:val="left"/>
                    <w:rPr>
                      <w:sz w:val="18"/>
                    </w:rPr>
                  </w:pPr>
                  <w:r>
                    <w:rPr>
                      <w:b/>
                      <w:color w:val="58595B"/>
                      <w:sz w:val="18"/>
                    </w:rPr>
                    <w:t>Building capability within local governments </w:t>
                  </w:r>
                  <w:r>
                    <w:rPr>
                      <w:color w:val="58595B"/>
                      <w:sz w:val="18"/>
                    </w:rPr>
                    <w:t>to perform onsite testing and assessment. This could include, for example, inspections of septic tanks and asbestos risks.</w:t>
                  </w:r>
                </w:p>
              </w:txbxContent>
            </v:textbox>
            <w10:wrap type="none"/>
          </v:shape>
        </w:pict>
      </w:r>
      <w:r>
        <w:rPr/>
        <w:pict>
          <v:shape style="position:absolute;margin-left:163.420807pt;margin-top:677.463684pt;width:334.05pt;height:77pt;mso-position-horizontal-relative:page;mso-position-vertical-relative:page;z-index:-172576" type="#_x0000_t202" filled="false" stroked="false">
            <v:textbox inset="0,0,0,0">
              <w:txbxContent>
                <w:p>
                  <w:pPr>
                    <w:spacing w:line="254" w:lineRule="auto" w:before="0"/>
                    <w:ind w:left="20" w:right="0" w:firstLine="0"/>
                    <w:jc w:val="left"/>
                    <w:rPr>
                      <w:sz w:val="18"/>
                    </w:rPr>
                  </w:pPr>
                  <w:r>
                    <w:rPr>
                      <w:b/>
                      <w:color w:val="58595B"/>
                      <w:sz w:val="18"/>
                    </w:rPr>
                    <w:t>Advising DHHS </w:t>
                  </w:r>
                  <w:r>
                    <w:rPr>
                      <w:color w:val="58595B"/>
                      <w:sz w:val="18"/>
                    </w:rPr>
                    <w:t>on recovery efforts and guidelines as required. For example, this might include working together to advise government on the general health risks of asbestos and the appropriate regime for assessing and monitoring such risks. The proposed environmental health group (chapter 6) could assist with such advice.</w:t>
                  </w:r>
                </w:p>
                <w:p>
                  <w:pPr>
                    <w:spacing w:line="254" w:lineRule="auto" w:before="1"/>
                    <w:ind w:left="20" w:right="350" w:firstLine="0"/>
                    <w:jc w:val="both"/>
                    <w:rPr>
                      <w:sz w:val="18"/>
                    </w:rPr>
                  </w:pPr>
                  <w:r>
                    <w:rPr>
                      <w:color w:val="58595B"/>
                      <w:sz w:val="18"/>
                    </w:rPr>
                    <w:t>More localised agencies such as local governments are best placed to provide specific on-the-ground advice on such matters, unless the issue is particularly complex or high risk.</w:t>
                  </w:r>
                </w:p>
              </w:txbxContent>
            </v:textbox>
            <w10:wrap type="none"/>
          </v:shape>
        </w:pict>
      </w:r>
      <w:r>
        <w:rPr/>
        <w:pict>
          <v:shape style="position:absolute;margin-left:163.420807pt;margin-top:758.508667pt;width:317.55pt;height:22pt;mso-position-horizontal-relative:page;mso-position-vertical-relative:page;z-index:-172552" type="#_x0000_t202" filled="false" stroked="false">
            <v:textbox inset="0,0,0,0">
              <w:txbxContent>
                <w:p>
                  <w:pPr>
                    <w:spacing w:line="254" w:lineRule="auto" w:before="0"/>
                    <w:ind w:left="20" w:right="0" w:firstLine="0"/>
                    <w:jc w:val="left"/>
                    <w:rPr>
                      <w:sz w:val="18"/>
                    </w:rPr>
                  </w:pPr>
                  <w:r>
                    <w:rPr>
                      <w:b/>
                      <w:color w:val="58595B"/>
                      <w:sz w:val="18"/>
                    </w:rPr>
                    <w:t>Undertaking post-event data collection</w:t>
                  </w:r>
                  <w:r>
                    <w:rPr>
                      <w:color w:val="58595B"/>
                      <w:sz w:val="18"/>
                    </w:rPr>
                    <w:t>, including advising on study design, interpretation and data gaps.</w:t>
                  </w:r>
                </w:p>
              </w:txbxContent>
            </v:textbox>
            <w10:wrap type="none"/>
          </v:shape>
        </w:pict>
      </w:r>
      <w:r>
        <w:rPr/>
        <w:pict>
          <v:shape style="position:absolute;margin-left:70.865997pt;margin-top:132.00502pt;width:433.7pt;height:17.9pt;mso-position-horizontal-relative:page;mso-position-vertical-relative:page;z-index:-172528" type="#_x0000_t202" filled="false" stroked="false">
            <v:textbox inset="0,0,0,0">
              <w:txbxContent>
                <w:p>
                  <w:pPr>
                    <w:tabs>
                      <w:tab w:pos="1870" w:val="left" w:leader="none"/>
                    </w:tabs>
                    <w:spacing w:before="75"/>
                    <w:ind w:left="56" w:right="631" w:firstLine="0"/>
                    <w:jc w:val="left"/>
                    <w:rPr>
                      <w:sz w:val="18"/>
                    </w:rPr>
                  </w:pPr>
                  <w:r>
                    <w:rPr>
                      <w:color w:val="FFFFFF"/>
                      <w:sz w:val="18"/>
                    </w:rPr>
                    <w:t>Stage</w:t>
                    <w:tab/>
                    <w:t>Role</w:t>
                  </w:r>
                </w:p>
              </w:txbxContent>
            </v:textbox>
            <w10:wrap type="none"/>
          </v:shape>
        </w:pict>
      </w:r>
      <w:r>
        <w:rPr/>
        <w:pict>
          <v:shape style="position:absolute;margin-left:.0pt;margin-top:44.090015pt;width:60.3pt;height:5.25pt;mso-position-horizontal-relative:page;mso-position-vertical-relative:page;z-index:-172504"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2480" type="#_x0000_t202" filled="false" stroked="false">
            <v:textbox inset="0,0,0,0">
              <w:txbxContent/>
            </v:textbox>
            <w10:wrap type="none"/>
          </v:shape>
        </w:pict>
      </w:r>
      <w:r>
        <w:rPr/>
        <w:pict>
          <v:shape style="position:absolute;margin-left:161.574799pt;margin-top:210.582916pt;width:343pt;height:12pt;mso-position-horizontal-relative:page;mso-position-vertical-relative:page;z-index:-172456"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161.574799pt;margin-top:402.654816pt;width:343pt;height:12pt;mso-position-horizontal-relative:page;mso-position-vertical-relative:page;z-index:-172432"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428.711029pt;width:433.7pt;height:12pt;mso-position-horizontal-relative:page;mso-position-vertical-relative:page;z-index:-172408"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161.574799pt;margin-top:559.775024pt;width:343pt;height:12pt;mso-position-horizontal-relative:page;mso-position-vertical-relative:page;z-index:-172384"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161.574799pt;margin-top:585.831238pt;width:343pt;height:12pt;mso-position-horizontal-relative:page;mso-position-vertical-relative:page;z-index:-172360"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161.574799pt;margin-top:611.88739pt;width:343pt;height:12pt;mso-position-horizontal-relative:page;mso-position-vertical-relative:page;z-index:-172336"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626.943604pt;width:433.7pt;height:12pt;mso-position-horizontal-relative:page;mso-position-vertical-relative:page;z-index:-172312"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161.574799pt;margin-top:663.999695pt;width:343pt;height:12pt;mso-position-horizontal-relative:page;mso-position-vertical-relative:page;z-index:-172288"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161.574799pt;margin-top:745.05603pt;width:343pt;height:12pt;mso-position-horizontal-relative:page;mso-position-vertical-relative:page;z-index:-172264" type="#_x0000_t202" filled="false" stroked="false">
            <v:textbox inset="0,0,0,0">
              <w:txbxContent>
                <w:p>
                  <w:pPr>
                    <w:pStyle w:val="BodyText"/>
                    <w:spacing w:before="4"/>
                    <w:ind w:left="40"/>
                    <w:rPr>
                      <w:rFonts w:ascii="Times New Roman"/>
                      <w:sz w:val="17"/>
                    </w:rPr>
                  </w:pPr>
                </w:p>
              </w:txbxContent>
            </v:textbox>
            <w10:wrap type="none"/>
          </v:shape>
        </w:pict>
      </w:r>
      <w:r>
        <w:rPr/>
        <w:pict>
          <v:shape style="position:absolute;margin-left:70.866096pt;margin-top:771.112122pt;width:433.7pt;height:12pt;mso-position-horizontal-relative:page;mso-position-vertical-relative:page;z-index:-172240" type="#_x0000_t202" filled="false" stroked="false">
            <v:textbox inset="0,0,0,0">
              <w:txbxContent>
                <w:p>
                  <w:pPr>
                    <w:pStyle w:val="BodyText"/>
                    <w:spacing w:before="4"/>
                    <w:ind w:left="40"/>
                    <w:rPr>
                      <w:rFonts w:ascii="Times New Roman"/>
                      <w:sz w:val="17"/>
                    </w:rPr>
                  </w:pPr>
                </w:p>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2216" from="534.996094pt,45.840015pt" to="595.276001pt,45.840015pt" stroked="true" strokeweight="7pt" strokecolor="#0095a7">
            <w10:wrap type="none"/>
          </v:line>
        </w:pict>
      </w:r>
      <w:r>
        <w:rPr/>
        <w:pict>
          <v:rect style="position:absolute;margin-left:90.709pt;margin-top:133.461014pt;width:432.701pt;height:56.957pt;mso-position-horizontal-relative:page;mso-position-vertical-relative:page;z-index:-172192" filled="true" fillcolor="#eff6f0" stroked="false">
            <v:fill type="solid"/>
            <w10:wrap type="none"/>
          </v:rect>
        </w:pict>
      </w:r>
      <w:r>
        <w:rPr/>
        <w:pict>
          <v:rect style="position:absolute;margin-left:90.709pt;margin-top:201.757019pt;width:432.701pt;height:56.957pt;mso-position-horizontal-relative:page;mso-position-vertical-relative:page;z-index:-172168" filled="true" fillcolor="#eff6f0" stroked="false">
            <v:fill type="solid"/>
            <w10:wrap type="none"/>
          </v:rect>
        </w:pict>
      </w:r>
      <w:r>
        <w:rPr/>
        <w:pict>
          <v:shape style="position:absolute;margin-left:264.431793pt;margin-top:40.902756pt;width:235.45pt;height:9.5pt;mso-position-horizontal-relative:page;mso-position-vertical-relative:page;z-index:-172144" type="#_x0000_t202" filled="false" stroked="false">
            <v:textbox inset="0,0,0,0">
              <w:txbxContent>
                <w:p>
                  <w:pPr>
                    <w:spacing w:before="1"/>
                    <w:ind w:left="20" w:right="0" w:firstLine="0"/>
                    <w:jc w:val="left"/>
                    <w:rPr>
                      <w:sz w:val="15"/>
                    </w:rPr>
                  </w:pPr>
                  <w:r>
                    <w:rPr>
                      <w:color w:val="58595B"/>
                      <w:sz w:val="15"/>
                    </w:rPr>
                    <w:t>CHAPTER 9    THE EPA’S ROLE IN EMERGENCY MANAGEMENT</w:t>
                  </w:r>
                </w:p>
              </w:txbxContent>
            </v:textbox>
            <w10:wrap type="none"/>
          </v:shape>
        </w:pict>
      </w:r>
      <w:r>
        <w:rPr/>
        <w:pict>
          <v:shape style="position:absolute;margin-left:511.061798pt;margin-top:40.902756pt;width:14.3pt;height:9.5pt;mso-position-horizontal-relative:page;mso-position-vertical-relative:page;z-index:-172120" type="#_x0000_t202" filled="false" stroked="false">
            <v:textbox inset="0,0,0,0">
              <w:txbxContent>
                <w:p>
                  <w:pPr>
                    <w:spacing w:before="1"/>
                    <w:ind w:left="20" w:right="-5" w:firstLine="0"/>
                    <w:jc w:val="left"/>
                    <w:rPr>
                      <w:sz w:val="15"/>
                    </w:rPr>
                  </w:pPr>
                  <w:r>
                    <w:rPr>
                      <w:color w:val="58595B"/>
                      <w:sz w:val="15"/>
                    </w:rPr>
                    <w:t>177</w:t>
                  </w:r>
                </w:p>
              </w:txbxContent>
            </v:textbox>
            <w10:wrap type="none"/>
          </v:shape>
        </w:pict>
      </w:r>
      <w:r>
        <w:rPr/>
        <w:pict>
          <v:shape style="position:absolute;margin-left:89.708603pt;margin-top:105.72934pt;width:102.85pt;height:14pt;mso-position-horizontal-relative:page;mso-position-vertical-relative:page;z-index:-172096" type="#_x0000_t202" filled="false" stroked="false">
            <v:textbox inset="0,0,0,0">
              <w:txbxContent>
                <w:p>
                  <w:pPr>
                    <w:spacing w:line="265" w:lineRule="exact" w:before="0"/>
                    <w:ind w:left="20" w:right="0" w:firstLine="0"/>
                    <w:jc w:val="left"/>
                    <w:rPr>
                      <w:sz w:val="24"/>
                    </w:rPr>
                  </w:pPr>
                  <w:r>
                    <w:rPr>
                      <w:color w:val="0095A7"/>
                      <w:sz w:val="24"/>
                    </w:rPr>
                    <w:t>Recommendations</w:t>
                  </w:r>
                </w:p>
              </w:txbxContent>
            </v:textbox>
            <w10:wrap type="none"/>
          </v:shape>
        </w:pict>
      </w:r>
      <w:r>
        <w:rPr/>
        <w:pict>
          <v:shape style="position:absolute;margin-left:90.709pt;margin-top:201.757019pt;width:432.75pt;height:57pt;mso-position-horizontal-relative:page;mso-position-vertical-relative:page;z-index:-172072" type="#_x0000_t202" filled="false" stroked="false">
            <v:textbox inset="0,0,0,0">
              <w:txbxContent>
                <w:p>
                  <w:pPr>
                    <w:spacing w:before="128"/>
                    <w:ind w:left="170" w:right="482" w:firstLine="0"/>
                    <w:jc w:val="left"/>
                    <w:rPr>
                      <w:b/>
                      <w:sz w:val="20"/>
                    </w:rPr>
                  </w:pPr>
                  <w:r>
                    <w:rPr>
                      <w:b/>
                      <w:color w:val="808285"/>
                      <w:sz w:val="20"/>
                    </w:rPr>
                    <w:t>RECOMMENDATION 9.2</w:t>
                  </w:r>
                </w:p>
                <w:p>
                  <w:pPr>
                    <w:pStyle w:val="BodyText"/>
                    <w:spacing w:line="280" w:lineRule="auto" w:before="153"/>
                    <w:ind w:left="170" w:right="171"/>
                  </w:pPr>
                  <w:r>
                    <w:rPr>
                      <w:color w:val="58595B"/>
                    </w:rPr>
                    <w:t>Remove the EPA as the control agency responsible for pollution of inland waters, and transfer these responsibilities to appropriate first responders.</w:t>
                  </w:r>
                </w:p>
              </w:txbxContent>
            </v:textbox>
            <w10:wrap type="none"/>
          </v:shape>
        </w:pict>
      </w:r>
      <w:r>
        <w:rPr/>
        <w:pict>
          <v:shape style="position:absolute;margin-left:90.709pt;margin-top:133.461014pt;width:432.75pt;height:57pt;mso-position-horizontal-relative:page;mso-position-vertical-relative:page;z-index:-172048" type="#_x0000_t202" filled="false" stroked="false">
            <v:textbox inset="0,0,0,0">
              <w:txbxContent>
                <w:p>
                  <w:pPr>
                    <w:spacing w:before="128"/>
                    <w:ind w:left="170" w:right="482" w:firstLine="0"/>
                    <w:jc w:val="left"/>
                    <w:rPr>
                      <w:b/>
                      <w:sz w:val="20"/>
                    </w:rPr>
                  </w:pPr>
                  <w:r>
                    <w:rPr>
                      <w:b/>
                      <w:color w:val="808285"/>
                      <w:sz w:val="20"/>
                    </w:rPr>
                    <w:t>RECOMMENDATION 9.1</w:t>
                  </w:r>
                </w:p>
                <w:p>
                  <w:pPr>
                    <w:pStyle w:val="BodyText"/>
                    <w:spacing w:line="280" w:lineRule="auto" w:before="153"/>
                    <w:ind w:left="170" w:right="361"/>
                  </w:pPr>
                  <w:r>
                    <w:rPr>
                      <w:color w:val="58595B"/>
                    </w:rPr>
                    <w:t>Confirm the EPA’s role as a technical advisor across the continuum of the State Emergency Response Plan – prevention, response and recovery.</w:t>
                  </w:r>
                </w:p>
              </w:txbxContent>
            </v:textbox>
            <w10:wrap type="none"/>
          </v:shape>
        </w:pict>
      </w:r>
      <w:r>
        <w:rPr/>
        <w:pict>
          <v:shape style="position:absolute;margin-left:534.996094pt;margin-top:44.090015pt;width:60.3pt;height:5.25pt;mso-position-horizontal-relative:page;mso-position-vertical-relative:page;z-index:-17202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2000"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1976" from=".0pt,45.840015pt" to="60.2791pt,45.840015pt" stroked="true" strokeweight="7pt" strokecolor="#0095a7">
            <w10:wrap type="none"/>
          </v:line>
        </w:pict>
      </w:r>
      <w:r>
        <w:rPr/>
        <w:pict>
          <v:line style="position:absolute;mso-position-horizontal-relative:page;mso-position-vertical-relative:page;z-index:-171952" from="70.866096pt,103.331017pt" to="281.716096pt,103.331017pt" stroked="true" strokeweight=".5pt" strokecolor="#58595b">
            <w10:wrap type="none"/>
          </v:line>
        </w:pict>
      </w:r>
      <w:r>
        <w:rPr/>
        <w:pict>
          <v:shape style="position:absolute;margin-left:69.866096pt;margin-top:40.902756pt;width:14.15pt;height:9.5pt;mso-position-horizontal-relative:page;mso-position-vertical-relative:page;z-index:-171928" type="#_x0000_t202" filled="false" stroked="false">
            <v:textbox inset="0,0,0,0">
              <w:txbxContent>
                <w:p>
                  <w:pPr>
                    <w:spacing w:before="1"/>
                    <w:ind w:left="20" w:right="-8" w:firstLine="0"/>
                    <w:jc w:val="left"/>
                    <w:rPr>
                      <w:sz w:val="15"/>
                    </w:rPr>
                  </w:pPr>
                  <w:r>
                    <w:rPr>
                      <w:color w:val="58595B"/>
                      <w:sz w:val="15"/>
                    </w:rPr>
                    <w:t>178</w:t>
                  </w:r>
                </w:p>
              </w:txbxContent>
            </v:textbox>
            <w10:wrap type="none"/>
          </v:shape>
        </w:pict>
      </w:r>
      <w:r>
        <w:rPr/>
        <w:pict>
          <v:shape style="position:absolute;margin-left:95.377899pt;margin-top:40.902756pt;width:147.75pt;height:9.5pt;mso-position-horizontal-relative:page;mso-position-vertical-relative:page;z-index:-171904"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6.22303pt;width:5.3pt;height:8pt;mso-position-horizontal-relative:page;mso-position-vertical-relative:page;z-index:-171880" type="#_x0000_t202" filled="false" stroked="false">
            <v:textbox inset="0,0,0,0">
              <w:txbxContent>
                <w:p>
                  <w:pPr>
                    <w:spacing w:before="4"/>
                    <w:ind w:left="20" w:right="0" w:firstLine="0"/>
                    <w:jc w:val="left"/>
                    <w:rPr>
                      <w:sz w:val="12"/>
                    </w:rPr>
                  </w:pPr>
                  <w:r>
                    <w:rPr>
                      <w:color w:val="58595B"/>
                      <w:sz w:val="12"/>
                    </w:rPr>
                    <w:t>1</w:t>
                  </w:r>
                </w:p>
              </w:txbxContent>
            </v:textbox>
            <w10:wrap type="none"/>
          </v:shape>
        </w:pict>
      </w:r>
      <w:r>
        <w:rPr/>
        <w:pict>
          <v:shape style="position:absolute;margin-left:84.032097pt;margin-top:106.22303pt;width:197.5pt;height:292.5pt;mso-position-horizontal-relative:page;mso-position-vertical-relative:page;z-index:-171856" type="#_x0000_t202" filled="false" stroked="false">
            <v:textbox inset="0,0,0,0">
              <w:txbxContent>
                <w:p>
                  <w:pPr>
                    <w:spacing w:line="242" w:lineRule="auto" w:before="4"/>
                    <w:ind w:left="20" w:right="76" w:firstLine="0"/>
                    <w:jc w:val="left"/>
                    <w:rPr>
                      <w:sz w:val="12"/>
                    </w:rPr>
                  </w:pPr>
                  <w:r>
                    <w:rPr>
                      <w:color w:val="58595B"/>
                      <w:sz w:val="12"/>
                    </w:rPr>
                    <w:t>Emergency Management Victoria website, https://</w:t>
                  </w:r>
                  <w:hyperlink r:id="rId53">
                    <w:r>
                      <w:rPr>
                        <w:color w:val="58595B"/>
                        <w:sz w:val="12"/>
                      </w:rPr>
                      <w:t>www.emv.vic.gov.au/</w:t>
                    </w:r>
                  </w:hyperlink>
                  <w:r>
                    <w:rPr>
                      <w:color w:val="58595B"/>
                      <w:sz w:val="12"/>
                    </w:rPr>
                    <w:t> (accessed 10 March 2016).</w:t>
                  </w:r>
                </w:p>
                <w:p>
                  <w:pPr>
                    <w:spacing w:line="242" w:lineRule="auto" w:before="29"/>
                    <w:ind w:left="20" w:right="29" w:firstLine="0"/>
                    <w:jc w:val="both"/>
                    <w:rPr>
                      <w:sz w:val="12"/>
                    </w:rPr>
                  </w:pPr>
                  <w:r>
                    <w:rPr>
                      <w:color w:val="58595B"/>
                      <w:sz w:val="12"/>
                    </w:rPr>
                    <w:t>Emergency Management Victoria 2016, </w:t>
                  </w:r>
                  <w:r>
                    <w:rPr>
                      <w:i/>
                      <w:color w:val="58595B"/>
                      <w:sz w:val="12"/>
                    </w:rPr>
                    <w:t>Anniversary of Black Saturday</w:t>
                  </w:r>
                  <w:r>
                    <w:rPr>
                      <w:color w:val="58595B"/>
                      <w:sz w:val="12"/>
                    </w:rPr>
                    <w:t>, https://</w:t>
                  </w:r>
                  <w:hyperlink r:id="rId54">
                    <w:r>
                      <w:rPr>
                        <w:color w:val="58595B"/>
                        <w:sz w:val="12"/>
                      </w:rPr>
                      <w:t>www.emv.vic.gov.au/latest-news/anniversary-of-black-saturday/</w:t>
                    </w:r>
                  </w:hyperlink>
                  <w:r>
                    <w:rPr>
                      <w:color w:val="58595B"/>
                      <w:sz w:val="12"/>
                    </w:rPr>
                    <w:t> (accessed 10 March 2016).</w:t>
                  </w:r>
                </w:p>
                <w:p>
                  <w:pPr>
                    <w:spacing w:line="242" w:lineRule="auto" w:before="29"/>
                    <w:ind w:left="20" w:right="151" w:firstLine="0"/>
                    <w:jc w:val="left"/>
                    <w:rPr>
                      <w:sz w:val="12"/>
                    </w:rPr>
                  </w:pPr>
                  <w:r>
                    <w:rPr>
                      <w:color w:val="58595B"/>
                      <w:sz w:val="12"/>
                    </w:rPr>
                    <w:t>The </w:t>
                  </w:r>
                  <w:r>
                    <w:rPr>
                      <w:color w:val="58595B"/>
                      <w:spacing w:val="2"/>
                      <w:sz w:val="12"/>
                    </w:rPr>
                    <w:t>Victorian Bushfires </w:t>
                  </w:r>
                  <w:r>
                    <w:rPr>
                      <w:color w:val="58595B"/>
                      <w:sz w:val="12"/>
                    </w:rPr>
                    <w:t>Royal Commission noted: ‘On the basis of  the evidence presented, the Commission </w:t>
                  </w:r>
                  <w:r>
                    <w:rPr>
                      <w:color w:val="58595B"/>
                      <w:spacing w:val="2"/>
                      <w:sz w:val="12"/>
                    </w:rPr>
                    <w:t>concluded </w:t>
                  </w:r>
                  <w:r>
                    <w:rPr>
                      <w:color w:val="58595B"/>
                      <w:sz w:val="12"/>
                    </w:rPr>
                    <w:t>that </w:t>
                  </w:r>
                  <w:r>
                    <w:rPr>
                      <w:color w:val="58595B"/>
                      <w:spacing w:val="2"/>
                      <w:sz w:val="12"/>
                    </w:rPr>
                    <w:t>Victoria </w:t>
                  </w:r>
                  <w:r>
                    <w:rPr>
                      <w:color w:val="58595B"/>
                      <w:spacing w:val="30"/>
                      <w:sz w:val="12"/>
                    </w:rPr>
                    <w:t> </w:t>
                  </w:r>
                  <w:r>
                    <w:rPr>
                      <w:color w:val="58595B"/>
                      <w:sz w:val="12"/>
                    </w:rPr>
                    <w:t>has</w:t>
                  </w:r>
                </w:p>
                <w:p>
                  <w:pPr>
                    <w:spacing w:line="242" w:lineRule="auto" w:before="0"/>
                    <w:ind w:left="20" w:right="151" w:firstLine="0"/>
                    <w:jc w:val="left"/>
                    <w:rPr>
                      <w:sz w:val="12"/>
                    </w:rPr>
                  </w:pPr>
                  <w:r>
                    <w:rPr>
                      <w:color w:val="58595B"/>
                      <w:sz w:val="12"/>
                    </w:rPr>
                    <w:t>a range of characteristics that predispose it to bushfires generally and to the occasional ferocious bushfire in particular. There are few other locations in the world with similar characteristics’. Victorian Bushfires Royal Commission 2010, </w:t>
                  </w:r>
                  <w:r>
                    <w:rPr>
                      <w:i/>
                      <w:color w:val="58595B"/>
                      <w:sz w:val="12"/>
                    </w:rPr>
                    <w:t>The fires and the fire-related deaths</w:t>
                  </w:r>
                  <w:r>
                    <w:rPr>
                      <w:color w:val="58595B"/>
                      <w:sz w:val="12"/>
                    </w:rPr>
                    <w:t>, Final report, Volume I, p. xxiv.</w:t>
                  </w:r>
                </w:p>
                <w:p>
                  <w:pPr>
                    <w:spacing w:line="242" w:lineRule="auto" w:before="29"/>
                    <w:ind w:left="20" w:right="76" w:firstLine="0"/>
                    <w:jc w:val="left"/>
                    <w:rPr>
                      <w:sz w:val="12"/>
                    </w:rPr>
                  </w:pPr>
                  <w:r>
                    <w:rPr>
                      <w:color w:val="58595B"/>
                      <w:sz w:val="12"/>
                    </w:rPr>
                    <w:t>Victorian Bushfires Royal Commission 2010, </w:t>
                  </w:r>
                  <w:r>
                    <w:rPr>
                      <w:i/>
                      <w:color w:val="58595B"/>
                      <w:sz w:val="12"/>
                    </w:rPr>
                    <w:t>The fires and the fire- related deaths</w:t>
                  </w:r>
                  <w:r>
                    <w:rPr>
                      <w:color w:val="58595B"/>
                      <w:sz w:val="12"/>
                    </w:rPr>
                    <w:t>, Final report, Volume I, p.  xxvii.</w:t>
                  </w:r>
                </w:p>
                <w:p>
                  <w:pPr>
                    <w:spacing w:line="242" w:lineRule="auto" w:before="29"/>
                    <w:ind w:left="20" w:right="76" w:firstLine="0"/>
                    <w:jc w:val="left"/>
                    <w:rPr>
                      <w:sz w:val="12"/>
                    </w:rPr>
                  </w:pPr>
                  <w:r>
                    <w:rPr>
                      <w:color w:val="58595B"/>
                      <w:sz w:val="12"/>
                    </w:rPr>
                    <w:t>Victorian  Government  2012,  </w:t>
                  </w:r>
                  <w:r>
                    <w:rPr>
                      <w:i/>
                      <w:color w:val="58595B"/>
                      <w:sz w:val="12"/>
                    </w:rPr>
                    <w:t>Victorian  Emergency  Management Reform White Paper 2012</w:t>
                  </w:r>
                  <w:hyperlink r:id="rId55">
                    <w:r>
                      <w:rPr>
                        <w:color w:val="58595B"/>
                        <w:sz w:val="12"/>
                      </w:rPr>
                      <w:t>, http://www.dpc.vic.gov.au/images/images/</w:t>
                    </w:r>
                  </w:hyperlink>
                  <w:r>
                    <w:rPr>
                      <w:color w:val="58595B"/>
                      <w:sz w:val="12"/>
                    </w:rPr>
                    <w:t> featured_dpc/victorian_emergency_management_reform_white_ paper_dec2012_web.pdf (accessed 10 March 2016), December, p.  14.</w:t>
                  </w:r>
                </w:p>
                <w:p>
                  <w:pPr>
                    <w:spacing w:line="242" w:lineRule="auto" w:before="29"/>
                    <w:ind w:left="20" w:right="76" w:firstLine="0"/>
                    <w:jc w:val="left"/>
                    <w:rPr>
                      <w:sz w:val="12"/>
                    </w:rPr>
                  </w:pPr>
                  <w:r>
                    <w:rPr>
                      <w:color w:val="58595B"/>
                      <w:sz w:val="12"/>
                    </w:rPr>
                    <w:t>For more information see the Emergency Management Victoria website https://</w:t>
                  </w:r>
                  <w:hyperlink r:id="rId53">
                    <w:r>
                      <w:rPr>
                        <w:color w:val="58595B"/>
                        <w:sz w:val="12"/>
                      </w:rPr>
                      <w:t>www.emv.vic.gov.au/.</w:t>
                    </w:r>
                  </w:hyperlink>
                </w:p>
                <w:p>
                  <w:pPr>
                    <w:spacing w:line="242" w:lineRule="auto" w:before="29"/>
                    <w:ind w:left="20" w:right="76" w:firstLine="0"/>
                    <w:jc w:val="left"/>
                    <w:rPr>
                      <w:sz w:val="12"/>
                    </w:rPr>
                  </w:pPr>
                  <w:r>
                    <w:rPr>
                      <w:color w:val="58595B"/>
                      <w:sz w:val="12"/>
                    </w:rPr>
                    <w:t>Hazelwood Mine Fire Inquiry Report 2015-2016, </w:t>
                  </w:r>
                  <w:r>
                    <w:rPr>
                      <w:i/>
                      <w:color w:val="58595B"/>
                      <w:sz w:val="12"/>
                    </w:rPr>
                    <w:t>Health and wellbeing</w:t>
                  </w:r>
                  <w:r>
                    <w:rPr>
                      <w:color w:val="58595B"/>
                      <w:sz w:val="12"/>
                    </w:rPr>
                    <w:t>, Volume IV, Melbourne, p. 291.</w:t>
                  </w:r>
                </w:p>
                <w:p>
                  <w:pPr>
                    <w:spacing w:line="242" w:lineRule="auto" w:before="29"/>
                    <w:ind w:left="20" w:right="76" w:firstLine="0"/>
                    <w:jc w:val="left"/>
                    <w:rPr>
                      <w:sz w:val="12"/>
                    </w:rPr>
                  </w:pPr>
                  <w:r>
                    <w:rPr>
                      <w:color w:val="58595B"/>
                      <w:spacing w:val="2"/>
                      <w:sz w:val="12"/>
                    </w:rPr>
                    <w:t>Victorian </w:t>
                  </w:r>
                  <w:r>
                    <w:rPr>
                      <w:color w:val="58595B"/>
                      <w:sz w:val="12"/>
                    </w:rPr>
                    <w:t>Government 2012, </w:t>
                  </w:r>
                  <w:r>
                    <w:rPr>
                      <w:i/>
                      <w:color w:val="58595B"/>
                      <w:sz w:val="12"/>
                    </w:rPr>
                    <w:t>Victorian Emergency Management   Reform White Paper 2012</w:t>
                  </w:r>
                  <w:hyperlink r:id="rId55">
                    <w:r>
                      <w:rPr>
                        <w:color w:val="58595B"/>
                        <w:sz w:val="12"/>
                      </w:rPr>
                      <w:t>, http://www.dpc.vic.gov.au/images/images/</w:t>
                    </w:r>
                  </w:hyperlink>
                  <w:r>
                    <w:rPr>
                      <w:color w:val="58595B"/>
                      <w:sz w:val="12"/>
                    </w:rPr>
                    <w:t> </w:t>
                  </w:r>
                  <w:r>
                    <w:rPr>
                      <w:color w:val="58595B"/>
                      <w:spacing w:val="2"/>
                      <w:sz w:val="12"/>
                    </w:rPr>
                    <w:t>featured_dpc/victorian_emergency_management_reform_white_ </w:t>
                  </w:r>
                  <w:r>
                    <w:rPr>
                      <w:color w:val="58595B"/>
                      <w:sz w:val="12"/>
                    </w:rPr>
                    <w:t>paper_dec2012_web.pdf (accessed 10 March 2016), December, p. </w:t>
                  </w:r>
                  <w:r>
                    <w:rPr>
                      <w:color w:val="58595B"/>
                      <w:spacing w:val="27"/>
                      <w:sz w:val="12"/>
                    </w:rPr>
                    <w:t> </w:t>
                  </w:r>
                  <w:r>
                    <w:rPr>
                      <w:color w:val="58595B"/>
                      <w:sz w:val="12"/>
                    </w:rPr>
                    <w:t>13.</w:t>
                  </w:r>
                </w:p>
                <w:p>
                  <w:pPr>
                    <w:spacing w:line="242" w:lineRule="auto" w:before="29"/>
                    <w:ind w:left="20" w:right="76" w:firstLine="0"/>
                    <w:jc w:val="left"/>
                    <w:rPr>
                      <w:sz w:val="12"/>
                    </w:rPr>
                  </w:pPr>
                  <w:r>
                    <w:rPr>
                      <w:color w:val="58595B"/>
                      <w:sz w:val="12"/>
                    </w:rPr>
                    <w:t>Emergency Management Agency 2015, </w:t>
                  </w:r>
                  <w:r>
                    <w:rPr>
                      <w:i/>
                      <w:color w:val="58595B"/>
                      <w:sz w:val="12"/>
                    </w:rPr>
                    <w:t>Emergency Management Manual Victoria</w:t>
                  </w:r>
                  <w:r>
                    <w:rPr>
                      <w:color w:val="58595B"/>
                      <w:sz w:val="12"/>
                    </w:rPr>
                    <w:t>, Part 7,  7-1.</w:t>
                  </w:r>
                </w:p>
                <w:p>
                  <w:pPr>
                    <w:spacing w:line="242" w:lineRule="auto" w:before="29"/>
                    <w:ind w:left="20" w:right="76" w:firstLine="0"/>
                    <w:jc w:val="left"/>
                    <w:rPr>
                      <w:sz w:val="12"/>
                    </w:rPr>
                  </w:pPr>
                  <w:r>
                    <w:rPr>
                      <w:color w:val="58595B"/>
                      <w:sz w:val="12"/>
                    </w:rPr>
                    <w:t>EMV notes the importance of the EPA in preventing emergencies (Emergency Management Victoria submission, p.  7).</w:t>
                  </w:r>
                </w:p>
                <w:p>
                  <w:pPr>
                    <w:spacing w:line="242" w:lineRule="auto" w:before="29"/>
                    <w:ind w:left="20" w:right="76" w:firstLine="0"/>
                    <w:jc w:val="left"/>
                    <w:rPr>
                      <w:sz w:val="12"/>
                    </w:rPr>
                  </w:pPr>
                  <w:r>
                    <w:rPr>
                      <w:color w:val="58595B"/>
                      <w:sz w:val="12"/>
                    </w:rPr>
                    <w:t>Emergency Management Victoria 2015, </w:t>
                  </w:r>
                  <w:r>
                    <w:rPr>
                      <w:i/>
                      <w:color w:val="58595B"/>
                      <w:sz w:val="12"/>
                    </w:rPr>
                    <w:t>Fundamentals of Emergency Management (Class 1 Emergencies)</w:t>
                  </w:r>
                  <w:r>
                    <w:rPr>
                      <w:color w:val="58595B"/>
                      <w:sz w:val="12"/>
                    </w:rPr>
                    <w:t>, Edition 1, February, p.  11.</w:t>
                  </w:r>
                </w:p>
                <w:p>
                  <w:pPr>
                    <w:spacing w:line="242" w:lineRule="auto" w:before="29"/>
                    <w:ind w:left="20" w:right="1282" w:firstLine="0"/>
                    <w:jc w:val="left"/>
                    <w:rPr>
                      <w:sz w:val="12"/>
                    </w:rPr>
                  </w:pPr>
                  <w:hyperlink r:id="rId56">
                    <w:r>
                      <w:rPr>
                        <w:color w:val="58595B"/>
                        <w:sz w:val="12"/>
                      </w:rPr>
                      <w:t>http://www.dtpli.vic.gov.au/planning/panels-and-</w:t>
                    </w:r>
                  </w:hyperlink>
                  <w:r>
                    <w:rPr>
                      <w:color w:val="58595B"/>
                      <w:sz w:val="12"/>
                    </w:rPr>
                    <w:t> committees/current-panels-and-committees/ major-hazard-facilities-advisory-committee.</w:t>
                  </w:r>
                </w:p>
                <w:p>
                  <w:pPr>
                    <w:spacing w:line="242" w:lineRule="auto" w:before="29"/>
                    <w:ind w:left="20" w:right="298" w:firstLine="0"/>
                    <w:jc w:val="left"/>
                    <w:rPr>
                      <w:sz w:val="12"/>
                    </w:rPr>
                  </w:pPr>
                  <w:r>
                    <w:rPr>
                      <w:color w:val="58595B"/>
                      <w:sz w:val="12"/>
                    </w:rPr>
                    <w:t>Emergency Management Victoria 2016, https://</w:t>
                  </w:r>
                  <w:hyperlink r:id="rId57">
                    <w:r>
                      <w:rPr>
                        <w:color w:val="58595B"/>
                        <w:sz w:val="12"/>
                      </w:rPr>
                      <w:t>www.emv.vic.gov.</w:t>
                    </w:r>
                  </w:hyperlink>
                  <w:r>
                    <w:rPr>
                      <w:color w:val="58595B"/>
                      <w:sz w:val="12"/>
                    </w:rPr>
                    <w:t> au/our-work/current-projects/coal-mine-emergency-management- taskforce/(accessed 10 March 2016).</w:t>
                  </w:r>
                </w:p>
                <w:p>
                  <w:pPr>
                    <w:spacing w:before="29"/>
                    <w:ind w:left="20" w:right="76" w:firstLine="0"/>
                    <w:jc w:val="left"/>
                    <w:rPr>
                      <w:sz w:val="12"/>
                    </w:rPr>
                  </w:pPr>
                  <w:r>
                    <w:rPr>
                      <w:color w:val="58595B"/>
                      <w:sz w:val="12"/>
                    </w:rPr>
                    <w:t>Metropolitan Fire Board submission, pp.  2–3.</w:t>
                  </w:r>
                </w:p>
              </w:txbxContent>
            </v:textbox>
            <w10:wrap type="none"/>
          </v:shape>
        </w:pict>
      </w:r>
      <w:r>
        <w:rPr/>
        <w:pict>
          <v:shape style="position:absolute;margin-left:69.866096pt;margin-top:121.643028pt;width:5.3pt;height:8pt;mso-position-horizontal-relative:page;mso-position-vertical-relative:page;z-index:-171832" type="#_x0000_t202" filled="false" stroked="false">
            <v:textbox inset="0,0,0,0">
              <w:txbxContent>
                <w:p>
                  <w:pPr>
                    <w:spacing w:before="4"/>
                    <w:ind w:left="20" w:right="0" w:firstLine="0"/>
                    <w:jc w:val="left"/>
                    <w:rPr>
                      <w:sz w:val="12"/>
                    </w:rPr>
                  </w:pPr>
                  <w:r>
                    <w:rPr>
                      <w:color w:val="58595B"/>
                      <w:sz w:val="12"/>
                    </w:rPr>
                    <w:t>2</w:t>
                  </w:r>
                </w:p>
              </w:txbxContent>
            </v:textbox>
            <w10:wrap type="none"/>
          </v:shape>
        </w:pict>
      </w:r>
      <w:r>
        <w:rPr/>
        <w:pict>
          <v:shape style="position:absolute;margin-left:69.866096pt;margin-top:144.065033pt;width:5.3pt;height:8pt;mso-position-horizontal-relative:page;mso-position-vertical-relative:page;z-index:-171808" type="#_x0000_t202" filled="false" stroked="false">
            <v:textbox inset="0,0,0,0">
              <w:txbxContent>
                <w:p>
                  <w:pPr>
                    <w:spacing w:before="4"/>
                    <w:ind w:left="20" w:right="0" w:firstLine="0"/>
                    <w:jc w:val="left"/>
                    <w:rPr>
                      <w:sz w:val="12"/>
                    </w:rPr>
                  </w:pPr>
                  <w:r>
                    <w:rPr>
                      <w:color w:val="58595B"/>
                      <w:sz w:val="12"/>
                    </w:rPr>
                    <w:t>3</w:t>
                  </w:r>
                </w:p>
              </w:txbxContent>
            </v:textbox>
            <w10:wrap type="none"/>
          </v:shape>
        </w:pict>
      </w:r>
      <w:r>
        <w:rPr/>
        <w:pict>
          <v:shape style="position:absolute;margin-left:69.866096pt;margin-top:194.495026pt;width:5.3pt;height:8pt;mso-position-horizontal-relative:page;mso-position-vertical-relative:page;z-index:-171784" type="#_x0000_t202" filled="false" stroked="false">
            <v:textbox inset="0,0,0,0">
              <w:txbxContent>
                <w:p>
                  <w:pPr>
                    <w:spacing w:before="4"/>
                    <w:ind w:left="20" w:right="0" w:firstLine="0"/>
                    <w:jc w:val="left"/>
                    <w:rPr>
                      <w:sz w:val="12"/>
                    </w:rPr>
                  </w:pPr>
                  <w:r>
                    <w:rPr>
                      <w:color w:val="58595B"/>
                      <w:sz w:val="12"/>
                    </w:rPr>
                    <w:t>4</w:t>
                  </w:r>
                </w:p>
              </w:txbxContent>
            </v:textbox>
            <w10:wrap type="none"/>
          </v:shape>
        </w:pict>
      </w:r>
      <w:r>
        <w:rPr/>
        <w:pict>
          <v:shape style="position:absolute;margin-left:69.866096pt;margin-top:209.915024pt;width:5.3pt;height:8pt;mso-position-horizontal-relative:page;mso-position-vertical-relative:page;z-index:-171760" type="#_x0000_t202" filled="false" stroked="false">
            <v:textbox inset="0,0,0,0">
              <w:txbxContent>
                <w:p>
                  <w:pPr>
                    <w:spacing w:before="4"/>
                    <w:ind w:left="20" w:right="0" w:firstLine="0"/>
                    <w:jc w:val="left"/>
                    <w:rPr>
                      <w:sz w:val="12"/>
                    </w:rPr>
                  </w:pPr>
                  <w:r>
                    <w:rPr>
                      <w:color w:val="58595B"/>
                      <w:sz w:val="12"/>
                    </w:rPr>
                    <w:t>5</w:t>
                  </w:r>
                </w:p>
              </w:txbxContent>
            </v:textbox>
            <w10:wrap type="none"/>
          </v:shape>
        </w:pict>
      </w:r>
      <w:r>
        <w:rPr/>
        <w:pict>
          <v:shape style="position:absolute;margin-left:69.866096pt;margin-top:239.33902pt;width:5.3pt;height:8pt;mso-position-horizontal-relative:page;mso-position-vertical-relative:page;z-index:-171736" type="#_x0000_t202" filled="false" stroked="false">
            <v:textbox inset="0,0,0,0">
              <w:txbxContent>
                <w:p>
                  <w:pPr>
                    <w:spacing w:before="4"/>
                    <w:ind w:left="20" w:right="0" w:firstLine="0"/>
                    <w:jc w:val="left"/>
                    <w:rPr>
                      <w:sz w:val="12"/>
                    </w:rPr>
                  </w:pPr>
                  <w:r>
                    <w:rPr>
                      <w:color w:val="58595B"/>
                      <w:sz w:val="12"/>
                    </w:rPr>
                    <w:t>6</w:t>
                  </w:r>
                </w:p>
              </w:txbxContent>
            </v:textbox>
            <w10:wrap type="none"/>
          </v:shape>
        </w:pict>
      </w:r>
      <w:r>
        <w:rPr/>
        <w:pict>
          <v:shape style="position:absolute;margin-left:69.866096pt;margin-top:254.759033pt;width:5.3pt;height:8pt;mso-position-horizontal-relative:page;mso-position-vertical-relative:page;z-index:-171712" type="#_x0000_t202" filled="false" stroked="false">
            <v:textbox inset="0,0,0,0">
              <w:txbxContent>
                <w:p>
                  <w:pPr>
                    <w:spacing w:before="4"/>
                    <w:ind w:left="20" w:right="0" w:firstLine="0"/>
                    <w:jc w:val="left"/>
                    <w:rPr>
                      <w:sz w:val="12"/>
                    </w:rPr>
                  </w:pPr>
                  <w:r>
                    <w:rPr>
                      <w:color w:val="58595B"/>
                      <w:sz w:val="12"/>
                    </w:rPr>
                    <w:t>7</w:t>
                  </w:r>
                </w:p>
              </w:txbxContent>
            </v:textbox>
            <w10:wrap type="none"/>
          </v:shape>
        </w:pict>
      </w:r>
      <w:r>
        <w:rPr/>
        <w:pict>
          <v:shape style="position:absolute;margin-left:69.866096pt;margin-top:270.179016pt;width:5.3pt;height:8pt;mso-position-horizontal-relative:page;mso-position-vertical-relative:page;z-index:-171688" type="#_x0000_t202" filled="false" stroked="false">
            <v:textbox inset="0,0,0,0">
              <w:txbxContent>
                <w:p>
                  <w:pPr>
                    <w:spacing w:before="4"/>
                    <w:ind w:left="20" w:right="0" w:firstLine="0"/>
                    <w:jc w:val="left"/>
                    <w:rPr>
                      <w:sz w:val="12"/>
                    </w:rPr>
                  </w:pPr>
                  <w:r>
                    <w:rPr>
                      <w:color w:val="58595B"/>
                      <w:sz w:val="12"/>
                    </w:rPr>
                    <w:t>8</w:t>
                  </w:r>
                </w:p>
              </w:txbxContent>
            </v:textbox>
            <w10:wrap type="none"/>
          </v:shape>
        </w:pict>
      </w:r>
      <w:r>
        <w:rPr/>
        <w:pict>
          <v:shape style="position:absolute;margin-left:69.8601pt;margin-top:299.603027pt;width:5.3pt;height:8pt;mso-position-horizontal-relative:page;mso-position-vertical-relative:page;z-index:-171664" type="#_x0000_t202" filled="false" stroked="false">
            <v:textbox inset="0,0,0,0">
              <w:txbxContent>
                <w:p>
                  <w:pPr>
                    <w:spacing w:before="4"/>
                    <w:ind w:left="20" w:right="0" w:firstLine="0"/>
                    <w:jc w:val="left"/>
                    <w:rPr>
                      <w:sz w:val="12"/>
                    </w:rPr>
                  </w:pPr>
                  <w:r>
                    <w:rPr>
                      <w:color w:val="58595B"/>
                      <w:sz w:val="12"/>
                    </w:rPr>
                    <w:t>9</w:t>
                  </w:r>
                </w:p>
              </w:txbxContent>
            </v:textbox>
            <w10:wrap type="none"/>
          </v:shape>
        </w:pict>
      </w:r>
      <w:r>
        <w:rPr/>
        <w:pict>
          <v:shape style="position:absolute;margin-left:69.8601pt;margin-top:315.023041pt;width:8.550pt;height:8pt;mso-position-horizontal-relative:page;mso-position-vertical-relative:page;z-index:-171640" type="#_x0000_t202" filled="false" stroked="false">
            <v:textbox inset="0,0,0,0">
              <w:txbxContent>
                <w:p>
                  <w:pPr>
                    <w:spacing w:before="4"/>
                    <w:ind w:left="20" w:right="-3" w:firstLine="0"/>
                    <w:jc w:val="left"/>
                    <w:rPr>
                      <w:sz w:val="12"/>
                    </w:rPr>
                  </w:pPr>
                  <w:r>
                    <w:rPr>
                      <w:color w:val="58595B"/>
                      <w:sz w:val="12"/>
                    </w:rPr>
                    <w:t>10</w:t>
                  </w:r>
                </w:p>
              </w:txbxContent>
            </v:textbox>
            <w10:wrap type="none"/>
          </v:shape>
        </w:pict>
      </w:r>
      <w:r>
        <w:rPr/>
        <w:pict>
          <v:shape style="position:absolute;margin-left:69.8601pt;margin-top:330.443024pt;width:7.9pt;height:8pt;mso-position-horizontal-relative:page;mso-position-vertical-relative:page;z-index:-171616" type="#_x0000_t202" filled="false" stroked="false">
            <v:textbox inset="0,0,0,0">
              <w:txbxContent>
                <w:p>
                  <w:pPr>
                    <w:spacing w:before="4"/>
                    <w:ind w:left="20" w:right="-16" w:firstLine="0"/>
                    <w:jc w:val="left"/>
                    <w:rPr>
                      <w:sz w:val="12"/>
                    </w:rPr>
                  </w:pPr>
                  <w:r>
                    <w:rPr>
                      <w:color w:val="58595B"/>
                      <w:sz w:val="12"/>
                    </w:rPr>
                    <w:t>11</w:t>
                  </w:r>
                </w:p>
              </w:txbxContent>
            </v:textbox>
            <w10:wrap type="none"/>
          </v:shape>
        </w:pict>
      </w:r>
      <w:r>
        <w:rPr/>
        <w:pict>
          <v:shape style="position:absolute;margin-left:69.8601pt;margin-top:345.863037pt;width:8.4pt;height:8pt;mso-position-horizontal-relative:page;mso-position-vertical-relative:page;z-index:-171592" type="#_x0000_t202" filled="false" stroked="false">
            <v:textbox inset="0,0,0,0">
              <w:txbxContent>
                <w:p>
                  <w:pPr>
                    <w:spacing w:before="4"/>
                    <w:ind w:left="20" w:right="-6" w:firstLine="0"/>
                    <w:jc w:val="left"/>
                    <w:rPr>
                      <w:sz w:val="12"/>
                    </w:rPr>
                  </w:pPr>
                  <w:r>
                    <w:rPr>
                      <w:color w:val="58595B"/>
                      <w:sz w:val="12"/>
                    </w:rPr>
                    <w:t>12</w:t>
                  </w:r>
                </w:p>
              </w:txbxContent>
            </v:textbox>
            <w10:wrap type="none"/>
          </v:shape>
        </w:pict>
      </w:r>
      <w:r>
        <w:rPr/>
        <w:pict>
          <v:shape style="position:absolute;margin-left:69.8601pt;margin-top:368.285034pt;width:8.4pt;height:8pt;mso-position-horizontal-relative:page;mso-position-vertical-relative:page;z-index:-171568" type="#_x0000_t202" filled="false" stroked="false">
            <v:textbox inset="0,0,0,0">
              <w:txbxContent>
                <w:p>
                  <w:pPr>
                    <w:spacing w:before="4"/>
                    <w:ind w:left="20" w:right="-6" w:firstLine="0"/>
                    <w:jc w:val="left"/>
                    <w:rPr>
                      <w:sz w:val="12"/>
                    </w:rPr>
                  </w:pPr>
                  <w:r>
                    <w:rPr>
                      <w:color w:val="58595B"/>
                      <w:sz w:val="12"/>
                    </w:rPr>
                    <w:t>13</w:t>
                  </w:r>
                </w:p>
              </w:txbxContent>
            </v:textbox>
            <w10:wrap type="none"/>
          </v:shape>
        </w:pict>
      </w:r>
      <w:r>
        <w:rPr/>
        <w:pict>
          <v:shape style="position:absolute;margin-left:69.8601pt;margin-top:390.707031pt;width:8.450pt;height:8pt;mso-position-horizontal-relative:page;mso-position-vertical-relative:page;z-index:-171544" type="#_x0000_t202" filled="false" stroked="false">
            <v:textbox inset="0,0,0,0">
              <w:txbxContent>
                <w:p>
                  <w:pPr>
                    <w:spacing w:before="4"/>
                    <w:ind w:left="20" w:right="-5" w:firstLine="0"/>
                    <w:jc w:val="left"/>
                    <w:rPr>
                      <w:sz w:val="12"/>
                    </w:rPr>
                  </w:pPr>
                  <w:r>
                    <w:rPr>
                      <w:color w:val="58595B"/>
                      <w:sz w:val="12"/>
                    </w:rPr>
                    <w:t>14</w:t>
                  </w:r>
                </w:p>
              </w:txbxContent>
            </v:textbox>
            <w10:wrap type="none"/>
          </v:shape>
        </w:pict>
      </w:r>
      <w:r>
        <w:rPr/>
        <w:pict>
          <v:shape style="position:absolute;margin-left:.0pt;margin-top:44.090015pt;width:60.3pt;height:5.25pt;mso-position-horizontal-relative:page;mso-position-vertical-relative:page;z-index:-17152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1496" type="#_x0000_t202" filled="false" stroked="false">
            <v:textbox inset="0,0,0,0">
              <w:txbxContent/>
            </v:textbox>
            <w10:wrap type="none"/>
          </v:shape>
        </w:pict>
      </w:r>
      <w:r>
        <w:rPr/>
        <w:pict>
          <v:shape style="position:absolute;margin-left:70.866096pt;margin-top:92.331017pt;width:210.85pt;height:12pt;mso-position-horizontal-relative:page;mso-position-vertical-relative:page;z-index:-171472" type="#_x0000_t202" filled="false" stroked="false">
            <v:textbox inset="0,0,0,0">
              <w:txbxContent>
                <w:p>
                  <w:pPr>
                    <w:pStyle w:val="BodyText"/>
                    <w:spacing w:before="4"/>
                    <w:ind w:left="40"/>
                    <w:rPr>
                      <w:rFonts w:ascii="Times New Roman"/>
                      <w:sz w:val="17"/>
                    </w:rPr>
                  </w:pPr>
                </w:p>
              </w:txbxContent>
            </v:textbox>
            <w10:wrap type="none"/>
          </v:shape>
        </w:pict>
      </w:r>
    </w:p>
    <w:p>
      <w:pPr>
        <w:spacing w:after="0"/>
        <w:rPr>
          <w:sz w:val="2"/>
          <w:szCs w:val="2"/>
        </w:rPr>
        <w:sectPr>
          <w:pgSz w:w="11910" w:h="16840"/>
          <w:pgMar w:top="800" w:bottom="280" w:left="0" w:right="1680"/>
        </w:sectPr>
      </w:pPr>
    </w:p>
    <w:p>
      <w:pPr>
        <w:rPr>
          <w:sz w:val="2"/>
          <w:szCs w:val="2"/>
        </w:rPr>
      </w:pPr>
      <w:r>
        <w:rPr/>
        <w:pict>
          <v:group style="position:absolute;margin-left:.038pt;margin-top:.000015pt;width:598.75pt;height:841.9pt;mso-position-horizontal-relative:page;mso-position-vertical-relative:page;z-index:-171448" coordorigin="1,0" coordsize="11975,16838">
            <v:shape style="position:absolute;left:1;top:0;width:11904;height:16838" type="#_x0000_t75" stroked="false">
              <v:imagedata r:id="rId58" o:title=""/>
            </v:shape>
            <v:line style="position:absolute" from="10700,917" to="11906,917" stroked="true" strokeweight="7pt" strokecolor="#0095a7"/>
            <w10:wrap type="none"/>
          </v:group>
        </w:pict>
      </w:r>
      <w:r>
        <w:rPr/>
        <w:pict>
          <v:shape style="position:absolute;margin-left:264.431pt;margin-top:40.902756pt;width:235.45pt;height:9.5pt;mso-position-horizontal-relative:page;mso-position-vertical-relative:page;z-index:-171424" type="#_x0000_t202" filled="false" stroked="false">
            <v:textbox inset="0,0,0,0">
              <w:txbxContent>
                <w:p>
                  <w:pPr>
                    <w:spacing w:before="1"/>
                    <w:ind w:left="20" w:right="0" w:firstLine="0"/>
                    <w:jc w:val="left"/>
                    <w:rPr>
                      <w:sz w:val="15"/>
                    </w:rPr>
                  </w:pPr>
                  <w:r>
                    <w:rPr>
                      <w:color w:val="58595B"/>
                      <w:sz w:val="15"/>
                    </w:rPr>
                    <w:t>CHAPTER 9    THE EPA’S ROLE IN EMERGENCY MANAGEMENT</w:t>
                  </w:r>
                </w:p>
              </w:txbxContent>
            </v:textbox>
            <w10:wrap type="none"/>
          </v:shape>
        </w:pict>
      </w:r>
      <w:r>
        <w:rPr/>
        <w:pict>
          <v:shape style="position:absolute;margin-left:511.173492pt;margin-top:40.902756pt;width:14.2pt;height:9.5pt;mso-position-horizontal-relative:page;mso-position-vertical-relative:page;z-index:-171400" type="#_x0000_t202" filled="false" stroked="false">
            <v:textbox inset="0,0,0,0">
              <w:txbxContent>
                <w:p>
                  <w:pPr>
                    <w:spacing w:before="1"/>
                    <w:ind w:left="20" w:right="-7" w:firstLine="0"/>
                    <w:jc w:val="left"/>
                    <w:rPr>
                      <w:sz w:val="15"/>
                    </w:rPr>
                  </w:pPr>
                  <w:r>
                    <w:rPr>
                      <w:color w:val="58595B"/>
                      <w:sz w:val="15"/>
                    </w:rPr>
                    <w:t>179</w:t>
                  </w:r>
                </w:p>
              </w:txbxContent>
            </v:textbox>
            <w10:wrap type="none"/>
          </v:shape>
        </w:pict>
      </w:r>
      <w:r>
        <w:rPr/>
        <w:pict>
          <v:shape style="position:absolute;margin-left:534.996094pt;margin-top:44.090015pt;width:60.3pt;height:5.25pt;mso-position-horizontal-relative:page;mso-position-vertical-relative:page;z-index:-17137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1352" type="#_x0000_t202" filled="false" stroked="false">
            <v:textbox inset="0,0,0,0">
              <w:txbxContent/>
            </v:textbox>
            <w10:wrap type="none"/>
          </v:shape>
        </w:pict>
      </w:r>
    </w:p>
    <w:p>
      <w:pPr>
        <w:spacing w:after="0"/>
        <w:rPr>
          <w:sz w:val="2"/>
          <w:szCs w:val="2"/>
        </w:rPr>
        <w:sectPr>
          <w:pgSz w:w="11910" w:h="16840"/>
          <w:pgMar w:top="800" w:bottom="280" w:left="1680" w:right="1280"/>
        </w:sectPr>
      </w:pPr>
    </w:p>
    <w:p>
      <w:pPr>
        <w:rPr>
          <w:sz w:val="2"/>
          <w:szCs w:val="2"/>
        </w:rPr>
      </w:pPr>
      <w:r>
        <w:rPr/>
        <w:drawing>
          <wp:anchor distT="0" distB="0" distL="0" distR="0" allowOverlap="1" layoutInCell="1" locked="0" behindDoc="1" simplePos="0" relativeHeight="268264127">
            <wp:simplePos x="0" y="0"/>
            <wp:positionH relativeFrom="page">
              <wp:posOffset>0</wp:posOffset>
            </wp:positionH>
            <wp:positionV relativeFrom="page">
              <wp:posOffset>3</wp:posOffset>
            </wp:positionV>
            <wp:extent cx="7559039" cy="10692000"/>
            <wp:effectExtent l="0" t="0" r="0" b="0"/>
            <wp:wrapNone/>
            <wp:docPr id="19" name="image3.jpeg" descr=""/>
            <wp:cNvGraphicFramePr>
              <a:graphicFrameLocks noChangeAspect="1"/>
            </wp:cNvGraphicFramePr>
            <a:graphic>
              <a:graphicData uri="http://schemas.openxmlformats.org/drawingml/2006/picture">
                <pic:pic>
                  <pic:nvPicPr>
                    <pic:cNvPr id="20" name="image3.jpeg"/>
                    <pic:cNvPicPr/>
                  </pic:nvPicPr>
                  <pic:blipFill>
                    <a:blip r:embed="rId7" cstate="print"/>
                    <a:stretch>
                      <a:fillRect/>
                    </a:stretch>
                  </pic:blipFill>
                  <pic:spPr>
                    <a:xfrm>
                      <a:off x="0" y="0"/>
                      <a:ext cx="7559039" cy="10692000"/>
                    </a:xfrm>
                    <a:prstGeom prst="rect">
                      <a:avLst/>
                    </a:prstGeom>
                  </pic:spPr>
                </pic:pic>
              </a:graphicData>
            </a:graphic>
          </wp:anchor>
        </w:drawing>
      </w:r>
    </w:p>
    <w:p>
      <w:pPr>
        <w:spacing w:after="0"/>
        <w:rPr>
          <w:sz w:val="2"/>
          <w:szCs w:val="2"/>
        </w:rPr>
        <w:sectPr>
          <w:pgSz w:w="11910" w:h="16840"/>
          <w:pgMar w:top="1580" w:bottom="280" w:left="1680" w:right="1680"/>
        </w:sectPr>
      </w:pPr>
    </w:p>
    <w:p>
      <w:pPr>
        <w:rPr>
          <w:sz w:val="2"/>
          <w:szCs w:val="2"/>
        </w:rPr>
      </w:pPr>
      <w:r>
        <w:rPr/>
        <w:pict>
          <v:group style="position:absolute;margin-left:.076pt;margin-top:.000244pt;width:598.7pt;height:841.9pt;mso-position-horizontal-relative:page;mso-position-vertical-relative:page;z-index:-171304" coordorigin="2,0" coordsize="11974,16838">
            <v:shape style="position:absolute;left:2;top:0;width:11904;height:16838" type="#_x0000_t75" stroked="false">
              <v:imagedata r:id="rId8" o:title=""/>
            </v:shape>
            <v:line style="position:absolute" from="10700,917" to="11906,917" stroked="true" strokeweight="7pt" strokecolor="#0095a7"/>
            <w10:wrap type="none"/>
          </v:group>
        </w:pict>
      </w:r>
      <w:r>
        <w:rPr/>
        <w:pict>
          <v:shape style="position:absolute;margin-left:511.205688pt;margin-top:40.902756pt;width:14.2pt;height:9.5pt;mso-position-horizontal-relative:page;mso-position-vertical-relative:page;z-index:-171280" type="#_x0000_t202" filled="false" stroked="false">
            <v:textbox inset="0,0,0,0">
              <w:txbxContent>
                <w:p>
                  <w:pPr>
                    <w:spacing w:before="1"/>
                    <w:ind w:left="20" w:right="-7" w:firstLine="0"/>
                    <w:jc w:val="left"/>
                    <w:rPr>
                      <w:sz w:val="15"/>
                    </w:rPr>
                  </w:pPr>
                  <w:r>
                    <w:rPr>
                      <w:color w:val="58595B"/>
                      <w:sz w:val="15"/>
                    </w:rPr>
                    <w:t>181</w:t>
                  </w:r>
                </w:p>
              </w:txbxContent>
            </v:textbox>
            <w10:wrap type="none"/>
          </v:shape>
        </w:pict>
      </w:r>
      <w:r>
        <w:rPr/>
        <w:pict>
          <v:shape style="position:absolute;margin-left:89.708702pt;margin-top:105.893967pt;width:319.2pt;height:60.75pt;mso-position-horizontal-relative:page;mso-position-vertical-relative:page;z-index:-171256" type="#_x0000_t202" filled="false" stroked="false">
            <v:textbox inset="0,0,0,0">
              <w:txbxContent>
                <w:p>
                  <w:pPr>
                    <w:spacing w:line="224" w:lineRule="exact" w:before="0"/>
                    <w:ind w:left="20" w:right="3" w:firstLine="0"/>
                    <w:jc w:val="left"/>
                    <w:rPr>
                      <w:b/>
                      <w:sz w:val="20"/>
                    </w:rPr>
                  </w:pPr>
                  <w:r>
                    <w:rPr>
                      <w:b/>
                      <w:color w:val="0095A7"/>
                      <w:sz w:val="20"/>
                    </w:rPr>
                    <w:t>CHAPTER 10</w:t>
                  </w:r>
                </w:p>
                <w:p>
                  <w:pPr>
                    <w:spacing w:line="440" w:lineRule="exact" w:before="102"/>
                    <w:ind w:left="20" w:right="3" w:firstLine="0"/>
                    <w:jc w:val="left"/>
                    <w:rPr>
                      <w:sz w:val="40"/>
                    </w:rPr>
                  </w:pPr>
                  <w:r>
                    <w:rPr>
                      <w:color w:val="58595B"/>
                      <w:spacing w:val="-11"/>
                      <w:sz w:val="40"/>
                    </w:rPr>
                    <w:t>TAKING </w:t>
                  </w:r>
                  <w:r>
                    <w:rPr>
                      <w:color w:val="58595B"/>
                      <w:sz w:val="40"/>
                    </w:rPr>
                    <w:t>A </w:t>
                  </w:r>
                  <w:r>
                    <w:rPr>
                      <w:color w:val="58595B"/>
                      <w:spacing w:val="-11"/>
                      <w:sz w:val="40"/>
                    </w:rPr>
                    <w:t>STRATEGIC </w:t>
                  </w:r>
                  <w:r>
                    <w:rPr>
                      <w:color w:val="58595B"/>
                      <w:spacing w:val="-12"/>
                      <w:sz w:val="40"/>
                    </w:rPr>
                    <w:t>APPROACH </w:t>
                  </w:r>
                  <w:r>
                    <w:rPr>
                      <w:color w:val="58595B"/>
                      <w:spacing w:val="-10"/>
                      <w:sz w:val="40"/>
                    </w:rPr>
                    <w:t>TO </w:t>
                  </w:r>
                  <w:r>
                    <w:rPr>
                      <w:color w:val="58595B"/>
                      <w:sz w:val="40"/>
                    </w:rPr>
                    <w:t>LAND </w:t>
                  </w:r>
                  <w:r>
                    <w:rPr>
                      <w:color w:val="58595B"/>
                      <w:spacing w:val="-6"/>
                      <w:sz w:val="40"/>
                    </w:rPr>
                    <w:t>USE </w:t>
                  </w:r>
                  <w:r>
                    <w:rPr>
                      <w:color w:val="58595B"/>
                      <w:spacing w:val="-5"/>
                      <w:sz w:val="40"/>
                    </w:rPr>
                    <w:t>PLANNING</w:t>
                  </w:r>
                </w:p>
              </w:txbxContent>
            </v:textbox>
            <w10:wrap type="none"/>
          </v:shape>
        </w:pict>
      </w:r>
      <w:r>
        <w:rPr/>
        <w:pict>
          <v:shape style="position:absolute;margin-left:534.996094pt;margin-top:44.090015pt;width:60.3pt;height:5.25pt;mso-position-horizontal-relative:page;mso-position-vertical-relative:page;z-index:-17123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1208" type="#_x0000_t202" filled="false" stroked="false">
            <v:textbox inset="0,0,0,0">
              <w:txbxContent/>
            </v:textbox>
            <w10:wrap type="none"/>
          </v:shape>
        </w:pict>
      </w:r>
    </w:p>
    <w:p>
      <w:pPr>
        <w:spacing w:after="0"/>
        <w:rPr>
          <w:sz w:val="2"/>
          <w:szCs w:val="2"/>
        </w:rPr>
        <w:sectPr>
          <w:pgSz w:w="11910" w:h="16840"/>
          <w:pgMar w:top="800" w:bottom="280" w:left="1680" w:right="1280"/>
        </w:sectPr>
      </w:pPr>
    </w:p>
    <w:p>
      <w:pPr>
        <w:rPr>
          <w:sz w:val="2"/>
          <w:szCs w:val="2"/>
        </w:rPr>
      </w:pPr>
      <w:r>
        <w:rPr/>
        <w:pict>
          <v:line style="position:absolute;mso-position-horizontal-relative:page;mso-position-vertical-relative:page;z-index:-171184" from=".0pt,45.840015pt" to="60.2791pt,45.840015pt" stroked="true" strokeweight="7pt" strokecolor="#0095a7">
            <w10:wrap type="none"/>
          </v:line>
        </w:pict>
      </w:r>
      <w:r>
        <w:rPr/>
        <w:pict>
          <v:rect style="position:absolute;margin-left:70.865997pt;margin-top:143.421021pt;width:432.701pt;height:266.473pt;mso-position-horizontal-relative:page;mso-position-vertical-relative:page;z-index:-171160" filled="true" fillcolor="#eff6f0" stroked="false">
            <v:fill type="solid"/>
            <w10:wrap type="none"/>
          </v:rect>
        </w:pict>
      </w:r>
      <w:r>
        <w:rPr/>
        <w:pict>
          <v:shape style="position:absolute;margin-left:69.866096pt;margin-top:40.902756pt;width:14.45pt;height:9.5pt;mso-position-horizontal-relative:page;mso-position-vertical-relative:page;z-index:-171136" type="#_x0000_t202" filled="false" stroked="false">
            <v:textbox inset="0,0,0,0">
              <w:txbxContent>
                <w:p>
                  <w:pPr>
                    <w:spacing w:before="1"/>
                    <w:ind w:left="20" w:right="-2" w:firstLine="0"/>
                    <w:jc w:val="left"/>
                    <w:rPr>
                      <w:sz w:val="15"/>
                    </w:rPr>
                  </w:pPr>
                  <w:r>
                    <w:rPr>
                      <w:color w:val="58595B"/>
                      <w:sz w:val="15"/>
                    </w:rPr>
                    <w:t>182</w:t>
                  </w:r>
                </w:p>
              </w:txbxContent>
            </v:textbox>
            <w10:wrap type="none"/>
          </v:shape>
        </w:pict>
      </w:r>
      <w:r>
        <w:rPr/>
        <w:pict>
          <v:shape style="position:absolute;margin-left:95.377899pt;margin-top:40.902756pt;width:147.75pt;height:9.5pt;mso-position-horizontal-relative:page;mso-position-vertical-relative:page;z-index:-17111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564812pt;width:402.9pt;height:16pt;mso-position-horizontal-relative:page;mso-position-vertical-relative:page;z-index:-171088" type="#_x0000_t202" filled="false" stroked="false">
            <v:textbox inset="0,0,0,0">
              <w:txbxContent>
                <w:p>
                  <w:pPr>
                    <w:spacing w:line="306" w:lineRule="exact" w:before="0"/>
                    <w:ind w:left="20" w:right="0" w:firstLine="0"/>
                    <w:jc w:val="left"/>
                    <w:rPr>
                      <w:sz w:val="28"/>
                    </w:rPr>
                  </w:pPr>
                  <w:r>
                    <w:rPr>
                      <w:color w:val="0095A7"/>
                      <w:spacing w:val="-4"/>
                      <w:sz w:val="28"/>
                    </w:rPr>
                    <w:t>TAKING </w:t>
                  </w:r>
                  <w:r>
                    <w:rPr>
                      <w:color w:val="0095A7"/>
                      <w:sz w:val="28"/>
                    </w:rPr>
                    <w:t>A </w:t>
                  </w:r>
                  <w:r>
                    <w:rPr>
                      <w:color w:val="0095A7"/>
                      <w:spacing w:val="-4"/>
                      <w:sz w:val="28"/>
                    </w:rPr>
                    <w:t>STRATEGIC APPROACH </w:t>
                  </w:r>
                  <w:r>
                    <w:rPr>
                      <w:color w:val="0095A7"/>
                      <w:spacing w:val="-5"/>
                      <w:sz w:val="28"/>
                    </w:rPr>
                    <w:t>TO </w:t>
                  </w:r>
                  <w:r>
                    <w:rPr>
                      <w:color w:val="0095A7"/>
                      <w:spacing w:val="2"/>
                      <w:sz w:val="28"/>
                    </w:rPr>
                    <w:t>LAND </w:t>
                  </w:r>
                  <w:r>
                    <w:rPr>
                      <w:color w:val="0095A7"/>
                      <w:sz w:val="28"/>
                    </w:rPr>
                    <w:t>USE PLANNING</w:t>
                  </w:r>
                </w:p>
              </w:txbxContent>
            </v:textbox>
            <w10:wrap type="none"/>
          </v:shape>
        </w:pict>
      </w:r>
      <w:r>
        <w:rPr/>
        <w:pict>
          <v:shape style="position:absolute;margin-left:69.866096pt;margin-top:431.095642pt;width:430.25pt;height:73.3pt;mso-position-horizontal-relative:page;mso-position-vertical-relative:page;z-index:-171064" type="#_x0000_t202" filled="false" stroked="false">
            <v:textbox inset="0,0,0,0">
              <w:txbxContent>
                <w:p>
                  <w:pPr>
                    <w:spacing w:line="265" w:lineRule="exact" w:before="0"/>
                    <w:ind w:left="20" w:right="384" w:firstLine="0"/>
                    <w:jc w:val="left"/>
                    <w:rPr>
                      <w:sz w:val="24"/>
                    </w:rPr>
                  </w:pPr>
                  <w:r>
                    <w:rPr>
                      <w:color w:val="0095A7"/>
                      <w:sz w:val="24"/>
                    </w:rPr>
                    <w:t>10.1  Introduction</w:t>
                  </w:r>
                </w:p>
                <w:p>
                  <w:pPr>
                    <w:pStyle w:val="BodyText"/>
                    <w:spacing w:line="280" w:lineRule="auto" w:before="145"/>
                    <w:ind w:right="384"/>
                  </w:pPr>
                  <w:r>
                    <w:rPr>
                      <w:color w:val="58595B"/>
                    </w:rPr>
                    <w:t>Strong population growth is one of the key trends influencing the EPA’s task today and into the future. It is driving strategic planning activity across government, particularly through the</w:t>
                  </w:r>
                </w:p>
                <w:p>
                  <w:pPr>
                    <w:pStyle w:val="BodyText"/>
                    <w:spacing w:line="280" w:lineRule="auto" w:before="2"/>
                  </w:pPr>
                  <w:r>
                    <w:rPr>
                      <w:color w:val="58595B"/>
                    </w:rPr>
                    <w:t>Metropolitan Planning Authority (MPA, which will soon become the Victorian Planning Authority), the Plan Melbourne Refresh process,</w:t>
                  </w:r>
                  <w:r>
                    <w:rPr>
                      <w:color w:val="58595B"/>
                      <w:position w:val="7"/>
                      <w:sz w:val="11"/>
                    </w:rPr>
                    <w:t>1  </w:t>
                  </w:r>
                  <w:r>
                    <w:rPr>
                      <w:color w:val="58595B"/>
                    </w:rPr>
                    <w:t>and Infrastructure Victoria.</w:t>
                  </w:r>
                </w:p>
              </w:txbxContent>
            </v:textbox>
            <w10:wrap type="none"/>
          </v:shape>
        </w:pict>
      </w:r>
      <w:r>
        <w:rPr/>
        <w:pict>
          <v:shape style="position:absolute;margin-left:69.865402pt;margin-top:514.385559pt;width:433.7pt;height:66pt;mso-position-horizontal-relative:page;mso-position-vertical-relative:page;z-index:-171040" type="#_x0000_t202" filled="false" stroked="false">
            <v:textbox inset="0,0,0,0">
              <w:txbxContent>
                <w:p>
                  <w:pPr>
                    <w:pStyle w:val="BodyText"/>
                    <w:spacing w:line="280" w:lineRule="auto"/>
                  </w:pPr>
                  <w:r>
                    <w:rPr>
                      <w:color w:val="58595B"/>
                    </w:rPr>
                    <w:t>Population growth will have wide ranging implications for how we, as a community, manage activities</w:t>
                  </w:r>
                  <w:r>
                    <w:rPr>
                      <w:color w:val="58595B"/>
                      <w:spacing w:val="-6"/>
                    </w:rPr>
                    <w:t> </w:t>
                  </w:r>
                  <w:r>
                    <w:rPr>
                      <w:color w:val="58595B"/>
                    </w:rPr>
                    <w:t>and</w:t>
                  </w:r>
                  <w:r>
                    <w:rPr>
                      <w:color w:val="58595B"/>
                      <w:spacing w:val="-9"/>
                    </w:rPr>
                    <w:t> </w:t>
                  </w:r>
                  <w:r>
                    <w:rPr>
                      <w:color w:val="58595B"/>
                    </w:rPr>
                    <w:t>their</w:t>
                  </w:r>
                  <w:r>
                    <w:rPr>
                      <w:color w:val="58595B"/>
                      <w:spacing w:val="-9"/>
                    </w:rPr>
                    <w:t> </w:t>
                  </w:r>
                  <w:r>
                    <w:rPr>
                      <w:color w:val="58595B"/>
                    </w:rPr>
                    <w:t>potential</w:t>
                  </w:r>
                  <w:r>
                    <w:rPr>
                      <w:color w:val="58595B"/>
                      <w:spacing w:val="-9"/>
                    </w:rPr>
                    <w:t> </w:t>
                  </w:r>
                  <w:r>
                    <w:rPr>
                      <w:color w:val="58595B"/>
                    </w:rPr>
                    <w:t>impacts</w:t>
                  </w:r>
                  <w:r>
                    <w:rPr>
                      <w:color w:val="58595B"/>
                      <w:spacing w:val="-9"/>
                    </w:rPr>
                    <w:t> </w:t>
                  </w:r>
                  <w:r>
                    <w:rPr>
                      <w:color w:val="58595B"/>
                    </w:rPr>
                    <w:t>on</w:t>
                  </w:r>
                  <w:r>
                    <w:rPr>
                      <w:color w:val="58595B"/>
                      <w:spacing w:val="-9"/>
                    </w:rPr>
                    <w:t> </w:t>
                  </w:r>
                  <w:r>
                    <w:rPr>
                      <w:color w:val="58595B"/>
                      <w:spacing w:val="-3"/>
                    </w:rPr>
                    <w:t>amenity,</w:t>
                  </w:r>
                  <w:r>
                    <w:rPr>
                      <w:color w:val="58595B"/>
                      <w:spacing w:val="-9"/>
                    </w:rPr>
                    <w:t> </w:t>
                  </w:r>
                  <w:r>
                    <w:rPr>
                      <w:color w:val="58595B"/>
                    </w:rPr>
                    <w:t>public</w:t>
                  </w:r>
                  <w:r>
                    <w:rPr>
                      <w:color w:val="58595B"/>
                      <w:spacing w:val="-9"/>
                    </w:rPr>
                    <w:t> </w:t>
                  </w:r>
                  <w:r>
                    <w:rPr>
                      <w:color w:val="58595B"/>
                    </w:rPr>
                    <w:t>health</w:t>
                  </w:r>
                  <w:r>
                    <w:rPr>
                      <w:color w:val="58595B"/>
                      <w:spacing w:val="-9"/>
                    </w:rPr>
                    <w:t> </w:t>
                  </w:r>
                  <w:r>
                    <w:rPr>
                      <w:color w:val="58595B"/>
                    </w:rPr>
                    <w:t>and</w:t>
                  </w:r>
                  <w:r>
                    <w:rPr>
                      <w:color w:val="58595B"/>
                      <w:spacing w:val="-9"/>
                    </w:rPr>
                    <w:t> </w:t>
                  </w:r>
                  <w:r>
                    <w:rPr>
                      <w:color w:val="58595B"/>
                    </w:rPr>
                    <w:t>the</w:t>
                  </w:r>
                  <w:r>
                    <w:rPr>
                      <w:color w:val="58595B"/>
                      <w:spacing w:val="-9"/>
                    </w:rPr>
                    <w:t> </w:t>
                  </w:r>
                  <w:r>
                    <w:rPr>
                      <w:color w:val="58595B"/>
                      <w:spacing w:val="-3"/>
                    </w:rPr>
                    <w:t>environment</w:t>
                  </w:r>
                  <w:r>
                    <w:rPr>
                      <w:color w:val="58595B"/>
                      <w:spacing w:val="-9"/>
                    </w:rPr>
                    <w:t> </w:t>
                  </w:r>
                  <w:r>
                    <w:rPr>
                      <w:color w:val="58595B"/>
                    </w:rPr>
                    <w:t>across</w:t>
                  </w:r>
                  <w:r>
                    <w:rPr>
                      <w:color w:val="58595B"/>
                      <w:spacing w:val="-9"/>
                    </w:rPr>
                    <w:t> </w:t>
                  </w:r>
                  <w:r>
                    <w:rPr>
                      <w:color w:val="58595B"/>
                    </w:rPr>
                    <w:t>Victoria. Figure </w:t>
                  </w:r>
                  <w:r>
                    <w:rPr>
                      <w:color w:val="58595B"/>
                      <w:spacing w:val="-9"/>
                    </w:rPr>
                    <w:t>10.1 </w:t>
                  </w:r>
                  <w:r>
                    <w:rPr>
                      <w:color w:val="58595B"/>
                    </w:rPr>
                    <w:t>outlines some of the challenges and opportunities identified through the Plan Melbourne Refresh process. That process highlights the important role of land use planning – but also notes the intersections with other areas of government, including environment</w:t>
                  </w:r>
                  <w:r>
                    <w:rPr>
                      <w:color w:val="58595B"/>
                      <w:spacing w:val="-4"/>
                    </w:rPr>
                    <w:t> </w:t>
                  </w:r>
                  <w:r>
                    <w:rPr>
                      <w:color w:val="58595B"/>
                    </w:rPr>
                    <w:t>protection.</w:t>
                  </w:r>
                </w:p>
              </w:txbxContent>
            </v:textbox>
            <w10:wrap type="none"/>
          </v:shape>
        </w:pict>
      </w:r>
      <w:r>
        <w:rPr/>
        <w:pict>
          <v:shape style="position:absolute;margin-left:69.865402pt;margin-top:590.385559pt;width:418.2pt;height:52.5pt;mso-position-horizontal-relative:page;mso-position-vertical-relative:page;z-index:-171016" type="#_x0000_t202" filled="false" stroked="false">
            <v:textbox inset="0,0,0,0">
              <w:txbxContent>
                <w:p>
                  <w:pPr>
                    <w:pStyle w:val="BodyText"/>
                    <w:spacing w:line="280" w:lineRule="auto"/>
                  </w:pPr>
                  <w:r>
                    <w:rPr>
                      <w:color w:val="58595B"/>
                    </w:rPr>
                    <w:t>While the Plan Melbourne Refresh focuses on Melbourne, rural and regional Victoria is also experiencing challenges, including managing the potential for conflicts arising from population growth on the fringe of regional centres, changing agricultural practices and changing expectations with more ‘non-farming’ or hobby farm residents living in farming zones:</w:t>
                  </w:r>
                </w:p>
              </w:txbxContent>
            </v:textbox>
            <w10:wrap type="none"/>
          </v:shape>
        </w:pict>
      </w:r>
      <w:r>
        <w:rPr/>
        <w:pict>
          <v:shape style="position:absolute;margin-left:98.215401pt;margin-top:652.885559pt;width:368.05pt;height:93pt;mso-position-horizontal-relative:page;mso-position-vertical-relative:page;z-index:-170992" type="#_x0000_t202" filled="false" stroked="false">
            <v:textbox inset="0,0,0,0">
              <w:txbxContent>
                <w:p>
                  <w:pPr>
                    <w:spacing w:line="280" w:lineRule="auto" w:before="0"/>
                    <w:ind w:left="20" w:right="0" w:firstLine="0"/>
                    <w:jc w:val="left"/>
                    <w:rPr>
                      <w:sz w:val="20"/>
                    </w:rPr>
                  </w:pPr>
                  <w:r>
                    <w:rPr>
                      <w:i/>
                      <w:color w:val="231F20"/>
                      <w:sz w:val="20"/>
                    </w:rPr>
                    <w:t>Living in rural environment – odour, noise complaints (dairy effluent, scare guns, poultry manure; travelling irrigation systems of wastewater, spray drift), disposal of dead stock, growing development of intensive poultry production, cattle feeding, hydroponic sheds and associated noise – these issues require better planning consideration when lots are subdivided. People purchasing these small lots expect different standards than rural living (that is, city/residential standards). </w:t>
                  </w:r>
                  <w:r>
                    <w:rPr>
                      <w:color w:val="231F20"/>
                      <w:sz w:val="20"/>
                    </w:rPr>
                    <w:t>(Baw Baw Shire Council submission, p. 2)</w:t>
                  </w:r>
                </w:p>
              </w:txbxContent>
            </v:textbox>
            <w10:wrap type="none"/>
          </v:shape>
        </w:pict>
      </w:r>
      <w:r>
        <w:rPr/>
        <w:pict>
          <v:shape style="position:absolute;margin-left:70.865997pt;margin-top:143.421021pt;width:432.7pt;height:266.5pt;mso-position-horizontal-relative:page;mso-position-vertical-relative:page;z-index:-170968" type="#_x0000_t202" filled="false" stroked="false">
            <v:textbox inset="0,0,0,0">
              <w:txbxContent>
                <w:p>
                  <w:pPr>
                    <w:spacing w:before="128"/>
                    <w:ind w:left="170" w:right="277" w:firstLine="0"/>
                    <w:jc w:val="left"/>
                    <w:rPr>
                      <w:b/>
                      <w:sz w:val="20"/>
                    </w:rPr>
                  </w:pPr>
                  <w:r>
                    <w:rPr>
                      <w:b/>
                      <w:color w:val="0095A7"/>
                      <w:sz w:val="20"/>
                    </w:rPr>
                    <w:t>KEY MESSAGES</w:t>
                  </w:r>
                </w:p>
                <w:p>
                  <w:pPr>
                    <w:pStyle w:val="BodyText"/>
                    <w:spacing w:line="280" w:lineRule="auto" w:before="153"/>
                    <w:ind w:left="170" w:right="277"/>
                  </w:pPr>
                  <w:r>
                    <w:rPr>
                      <w:color w:val="58595B"/>
                    </w:rPr>
                    <w:t>Currently, the EPA has limited opportunity to influence strategic land use planning decisions but deals with large numbers of complaints about amenity and health impacts that have resulted from poor planning decisions.</w:t>
                  </w:r>
                </w:p>
                <w:p>
                  <w:pPr>
                    <w:pStyle w:val="BodyText"/>
                    <w:spacing w:line="280" w:lineRule="auto" w:before="172"/>
                    <w:ind w:left="170" w:right="539"/>
                    <w:jc w:val="both"/>
                  </w:pPr>
                  <w:r>
                    <w:rPr>
                      <w:color w:val="58595B"/>
                    </w:rPr>
                    <w:t>Population growth and more intensive land use will create increasing pressures, making it even more important to have more effective ways of avoiding and managing impacts from conflicting land uses in the future.</w:t>
                  </w:r>
                </w:p>
                <w:p>
                  <w:pPr>
                    <w:pStyle w:val="BodyText"/>
                    <w:spacing w:line="280" w:lineRule="auto" w:before="172"/>
                    <w:ind w:left="170" w:right="382"/>
                    <w:jc w:val="both"/>
                  </w:pPr>
                  <w:r>
                    <w:rPr>
                      <w:color w:val="58595B"/>
                    </w:rPr>
                    <w:t>Well-informed, strategic land use planning is a key tool to avoid future conflicts and impacts on Victorians and to protect industry from encroachment – supporting health, liveability and a prosperous Victorian economy.</w:t>
                  </w:r>
                </w:p>
                <w:p>
                  <w:pPr>
                    <w:pStyle w:val="BodyText"/>
                    <w:spacing w:line="280" w:lineRule="auto" w:before="172"/>
                    <w:ind w:left="169" w:right="189"/>
                  </w:pPr>
                  <w:r>
                    <w:rPr>
                      <w:color w:val="58595B"/>
                    </w:rPr>
                    <w:t>The EPA must work closely with the Metropolitan Planning Authority and others responsible for strategic land use planning processes, where there is potential for significant public health and liveability impacts arising from pollution.</w:t>
                  </w:r>
                </w:p>
                <w:p>
                  <w:pPr>
                    <w:pStyle w:val="BodyText"/>
                    <w:spacing w:line="280" w:lineRule="auto" w:before="172"/>
                    <w:ind w:left="169" w:right="626"/>
                  </w:pPr>
                  <w:r>
                    <w:rPr>
                      <w:color w:val="58595B"/>
                    </w:rPr>
                    <w:t>Consistent with a more strategic approach, the EPA must work with the Department of Environment, Land, Water and Planning to ensure that standards and guidance are easy to understand and practical for land use planners to apply.</w:t>
                  </w:r>
                </w:p>
              </w:txbxContent>
            </v:textbox>
            <w10:wrap type="none"/>
          </v:shape>
        </w:pict>
      </w:r>
      <w:r>
        <w:rPr/>
        <w:pict>
          <v:shape style="position:absolute;margin-left:.0pt;margin-top:44.090015pt;width:60.3pt;height:5.25pt;mso-position-horizontal-relative:page;mso-position-vertical-relative:page;z-index:-170944"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0920"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0896" from="534.996094pt,45.840015pt" to="595.276001pt,45.840015pt" stroked="true" strokeweight="7pt" strokecolor="#0095a7">
            <w10:wrap type="none"/>
          </v:line>
        </w:pict>
      </w:r>
      <w:r>
        <w:rPr/>
        <w:pict>
          <v:group style="position:absolute;margin-left:90.708pt;margin-top:131.170013pt;width:433.75pt;height:324.2pt;mso-position-horizontal-relative:page;mso-position-vertical-relative:page;z-index:-170872" coordorigin="1814,2623" coordsize="8675,6484">
            <v:rect style="position:absolute;left:1814;top:2623;width:8674;height:6484" filled="true" fillcolor="#ededee" stroked="false">
              <v:fill type="solid"/>
            </v:rect>
            <v:shape style="position:absolute;left:1814;top:2623;width:8674;height:6484" type="#_x0000_t75" stroked="false">
              <v:imagedata r:id="rId59" o:title=""/>
            </v:shape>
            <w10:wrap type="none"/>
          </v:group>
        </w:pict>
      </w:r>
      <w:r>
        <w:rPr/>
        <w:pict>
          <v:shape style="position:absolute;margin-left:217.741592pt;margin-top:40.902756pt;width:282.150pt;height:9.5pt;mso-position-horizontal-relative:page;mso-position-vertical-relative:page;z-index:-170848" type="#_x0000_t202" filled="false" stroked="false">
            <v:textbox inset="0,0,0,0">
              <w:txbxContent>
                <w:p>
                  <w:pPr>
                    <w:spacing w:before="1"/>
                    <w:ind w:left="20" w:right="0" w:firstLine="0"/>
                    <w:jc w:val="left"/>
                    <w:rPr>
                      <w:sz w:val="15"/>
                    </w:rPr>
                  </w:pPr>
                  <w:r>
                    <w:rPr>
                      <w:color w:val="58595B"/>
                      <w:sz w:val="15"/>
                    </w:rPr>
                    <w:t>CHAPTER 10    TAKING A STRATEGIC APPROACH TO LAND USE  PLANNING</w:t>
                  </w:r>
                </w:p>
              </w:txbxContent>
            </v:textbox>
            <w10:wrap type="none"/>
          </v:shape>
        </w:pict>
      </w:r>
      <w:r>
        <w:rPr/>
        <w:pict>
          <v:shape style="position:absolute;margin-left:510.868988pt;margin-top:40.902756pt;width:14.5pt;height:9.5pt;mso-position-horizontal-relative:page;mso-position-vertical-relative:page;z-index:-170824" type="#_x0000_t202" filled="false" stroked="false">
            <v:textbox inset="0,0,0,0">
              <w:txbxContent>
                <w:p>
                  <w:pPr>
                    <w:spacing w:before="1"/>
                    <w:ind w:left="20" w:right="-1" w:firstLine="0"/>
                    <w:jc w:val="left"/>
                    <w:rPr>
                      <w:sz w:val="15"/>
                    </w:rPr>
                  </w:pPr>
                  <w:r>
                    <w:rPr>
                      <w:color w:val="58595B"/>
                      <w:sz w:val="15"/>
                    </w:rPr>
                    <w:t>183</w:t>
                  </w:r>
                </w:p>
              </w:txbxContent>
            </v:textbox>
            <w10:wrap type="none"/>
          </v:shape>
        </w:pict>
      </w:r>
      <w:r>
        <w:rPr/>
        <w:pict>
          <v:shape style="position:absolute;margin-left:89.708603pt;margin-top:105.893967pt;width:328.1pt;height:12pt;mso-position-horizontal-relative:page;mso-position-vertical-relative:page;z-index:-170800" type="#_x0000_t202" filled="false" stroked="false">
            <v:textbox inset="0,0,0,0">
              <w:txbxContent>
                <w:p>
                  <w:pPr>
                    <w:spacing w:line="224" w:lineRule="exact" w:before="0"/>
                    <w:ind w:left="20" w:right="-7" w:firstLine="0"/>
                    <w:jc w:val="left"/>
                    <w:rPr>
                      <w:sz w:val="20"/>
                    </w:rPr>
                  </w:pPr>
                  <w:r>
                    <w:rPr>
                      <w:b/>
                      <w:color w:val="0095A7"/>
                      <w:sz w:val="20"/>
                    </w:rPr>
                    <w:t>FIGURE </w:t>
                  </w:r>
                  <w:r>
                    <w:rPr>
                      <w:b/>
                      <w:color w:val="0095A7"/>
                      <w:spacing w:val="-8"/>
                      <w:sz w:val="20"/>
                    </w:rPr>
                    <w:t>10.1 </w:t>
                  </w:r>
                  <w:r>
                    <w:rPr>
                      <w:color w:val="0095A7"/>
                      <w:sz w:val="20"/>
                    </w:rPr>
                    <w:t>CHALLENGES AND OPPORTUNITIES FOR MELBOURNE</w:t>
                  </w:r>
                </w:p>
              </w:txbxContent>
            </v:textbox>
            <w10:wrap type="none"/>
          </v:shape>
        </w:pict>
      </w:r>
      <w:r>
        <w:rPr/>
        <w:pict>
          <v:shape style="position:absolute;margin-left:89.708603pt;margin-top:468.259277pt;width:433.4pt;height:93pt;mso-position-horizontal-relative:page;mso-position-vertical-relative:page;z-index:-170776" type="#_x0000_t202" filled="false" stroked="false">
            <v:textbox inset="0,0,0,0">
              <w:txbxContent>
                <w:p>
                  <w:pPr>
                    <w:pStyle w:val="BodyText"/>
                    <w:spacing w:line="280" w:lineRule="auto"/>
                    <w:ind w:right="20"/>
                  </w:pPr>
                  <w:r>
                    <w:rPr>
                      <w:color w:val="58595B"/>
                    </w:rPr>
                    <w:t>The Plan Melbourne Refresh also identifies the importance of strategic planning and investment to keep Melbourne ‘prosperous, liveable and sustainable for everyone.’</w:t>
                  </w:r>
                  <w:r>
                    <w:rPr>
                      <w:color w:val="58595B"/>
                      <w:position w:val="7"/>
                      <w:sz w:val="11"/>
                    </w:rPr>
                    <w:t>2 </w:t>
                  </w:r>
                  <w:r>
                    <w:rPr>
                      <w:color w:val="58595B"/>
                    </w:rPr>
                    <w:t>A </w:t>
                  </w:r>
                  <w:r>
                    <w:rPr>
                      <w:color w:val="58595B"/>
                      <w:spacing w:val="-3"/>
                    </w:rPr>
                    <w:t>key </w:t>
                  </w:r>
                  <w:r>
                    <w:rPr>
                      <w:color w:val="58595B"/>
                    </w:rPr>
                    <w:t>consideration in managing growth pressures throughout Victoria will be ensuring that future land use planning accounts for the potential for amenity and health impacts. This is particularly important for decisions about changing land use patterns and increasing urban densities. For the EPA, there are critical questions about how it can act to reduce impacts in the future, including by influencing decisions made by others, such as the </w:t>
                  </w:r>
                  <w:r>
                    <w:rPr>
                      <w:color w:val="58595B"/>
                      <w:spacing w:val="-6"/>
                    </w:rPr>
                    <w:t>MPA’s </w:t>
                  </w:r>
                  <w:r>
                    <w:rPr>
                      <w:color w:val="58595B"/>
                    </w:rPr>
                    <w:t>planning for future growth</w:t>
                  </w:r>
                  <w:r>
                    <w:rPr>
                      <w:color w:val="58595B"/>
                      <w:spacing w:val="11"/>
                    </w:rPr>
                    <w:t> </w:t>
                  </w:r>
                  <w:r>
                    <w:rPr>
                      <w:color w:val="58595B"/>
                    </w:rPr>
                    <w:t>areas.</w:t>
                  </w:r>
                </w:p>
              </w:txbxContent>
            </v:textbox>
            <w10:wrap type="none"/>
          </v:shape>
        </w:pict>
      </w:r>
      <w:r>
        <w:rPr/>
        <w:pict>
          <v:shape style="position:absolute;margin-left:89.710403pt;margin-top:571.259277pt;width:435.65pt;height:93pt;mso-position-horizontal-relative:page;mso-position-vertical-relative:page;z-index:-170752" type="#_x0000_t202" filled="false" stroked="false">
            <v:textbox inset="0,0,0,0">
              <w:txbxContent>
                <w:p>
                  <w:pPr>
                    <w:pStyle w:val="BodyText"/>
                    <w:spacing w:line="280" w:lineRule="auto"/>
                    <w:ind w:right="17"/>
                  </w:pPr>
                  <w:r>
                    <w:rPr>
                      <w:color w:val="58595B"/>
                    </w:rPr>
                    <w:t>Decisions about future housing and transport infrastructure will be critically important, and will involve greater consolidation of housing within established areas and expansion at the urban fringe. These decision may give rise to land use conflicts, which in turn, may affect amenity, and in some cases human health. Given its important role in managing risks to human health, the  </w:t>
                  </w:r>
                  <w:r>
                    <w:rPr>
                      <w:color w:val="58595B"/>
                      <w:spacing w:val="-4"/>
                    </w:rPr>
                    <w:t>EPA </w:t>
                  </w:r>
                  <w:r>
                    <w:rPr>
                      <w:color w:val="58595B"/>
                    </w:rPr>
                    <w:t>should be an important source of advice on these issues. We have identified the need for stronger whole-of-government processes to consider these high level strategic issues, and for the </w:t>
                  </w:r>
                  <w:r>
                    <w:rPr>
                      <w:color w:val="58595B"/>
                      <w:spacing w:val="-4"/>
                    </w:rPr>
                    <w:t>EPA </w:t>
                  </w:r>
                  <w:r>
                    <w:rPr>
                      <w:color w:val="58595B"/>
                    </w:rPr>
                    <w:t>to be</w:t>
                  </w:r>
                  <w:r>
                    <w:rPr>
                      <w:color w:val="58595B"/>
                      <w:spacing w:val="-6"/>
                    </w:rPr>
                    <w:t> </w:t>
                  </w:r>
                  <w:r>
                    <w:rPr>
                      <w:color w:val="58595B"/>
                    </w:rPr>
                    <w:t>involved.</w:t>
                  </w:r>
                </w:p>
              </w:txbxContent>
            </v:textbox>
            <w10:wrap type="none"/>
          </v:shape>
        </w:pict>
      </w:r>
      <w:r>
        <w:rPr/>
        <w:pict>
          <v:shape style="position:absolute;margin-left:89.710403pt;margin-top:674.259277pt;width:429.45pt;height:93pt;mso-position-horizontal-relative:page;mso-position-vertical-relative:page;z-index:-170728" type="#_x0000_t202" filled="false" stroked="false">
            <v:textbox inset="0,0,0,0">
              <w:txbxContent>
                <w:p>
                  <w:pPr>
                    <w:pStyle w:val="BodyText"/>
                    <w:spacing w:line="280" w:lineRule="auto"/>
                  </w:pPr>
                  <w:r>
                    <w:rPr>
                      <w:color w:val="58595B"/>
                    </w:rPr>
                    <w:t>We have also considered how the EPA can play a more effective role in strategic land use planning processes to ensure that environmental issues – in particular potential amenity impacts</w:t>
                  </w:r>
                </w:p>
                <w:p>
                  <w:pPr>
                    <w:pStyle w:val="BodyText"/>
                    <w:spacing w:line="280" w:lineRule="auto" w:before="2"/>
                  </w:pPr>
                  <w:r>
                    <w:rPr>
                      <w:color w:val="58595B"/>
                    </w:rPr>
                    <w:t>– are appropriately considered and at an early stage. While amenity is an issue that is primarily dealt with through the planning system, the EPA holds primary responsibility for regulating noise and odour and is the key source of expertise on these matters. It also has extensive practical experience of the impacts on communities and the difficulties of managing entrenched land use conflicts. As such, makes an important contribution to decision making processes.</w:t>
                  </w:r>
                </w:p>
              </w:txbxContent>
            </v:textbox>
            <w10:wrap type="none"/>
          </v:shape>
        </w:pict>
      </w:r>
      <w:r>
        <w:rPr/>
        <w:pict>
          <v:shape style="position:absolute;margin-left:534.996094pt;margin-top:44.090015pt;width:60.3pt;height:5.25pt;mso-position-horizontal-relative:page;mso-position-vertical-relative:page;z-index:-17070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0680"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0656" from=".0pt,45.840015pt" to="60.2791pt,45.840015pt" stroked="true" strokeweight="7pt" strokecolor="#0095a7">
            <w10:wrap type="none"/>
          </v:line>
        </w:pict>
      </w:r>
      <w:r>
        <w:rPr/>
        <w:pict>
          <v:shape style="position:absolute;margin-left:69.866096pt;margin-top:40.902756pt;width:14.6pt;height:9.5pt;mso-position-horizontal-relative:page;mso-position-vertical-relative:page;z-index:-170632" type="#_x0000_t202" filled="false" stroked="false">
            <v:textbox inset="0,0,0,0">
              <w:txbxContent>
                <w:p>
                  <w:pPr>
                    <w:spacing w:before="1"/>
                    <w:ind w:left="20" w:right="0" w:firstLine="0"/>
                    <w:jc w:val="left"/>
                    <w:rPr>
                      <w:sz w:val="15"/>
                    </w:rPr>
                  </w:pPr>
                  <w:r>
                    <w:rPr>
                      <w:color w:val="58595B"/>
                      <w:sz w:val="15"/>
                    </w:rPr>
                    <w:t>184</w:t>
                  </w:r>
                </w:p>
              </w:txbxContent>
            </v:textbox>
            <w10:wrap type="none"/>
          </v:shape>
        </w:pict>
      </w:r>
      <w:r>
        <w:rPr/>
        <w:pict>
          <v:shape style="position:absolute;margin-left:95.377899pt;margin-top:40.902756pt;width:147.75pt;height:9.5pt;mso-position-horizontal-relative:page;mso-position-vertical-relative:page;z-index:-170608"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22.1pt;height:79.5pt;mso-position-horizontal-relative:page;mso-position-vertical-relative:page;z-index:-170584" type="#_x0000_t202" filled="false" stroked="false">
            <v:textbox inset="0,0,0,0">
              <w:txbxContent>
                <w:p>
                  <w:pPr>
                    <w:pStyle w:val="BodyText"/>
                    <w:spacing w:line="280" w:lineRule="auto"/>
                    <w:ind w:right="-14"/>
                  </w:pPr>
                  <w:r>
                    <w:rPr>
                      <w:color w:val="58595B"/>
                    </w:rPr>
                    <w:t>Given the important interaction between land use planning and environment protection, key statutory instruments and guidance must be easy for land use planners to understand and interpret. The EPA’s regulatory framework provides local government planners with valuable tools, such as statutory environmental audits, that can provide assurance of risk assessment and remediation for environmental hazards. But EPA guidance on standards and tools must be accessible and user friendly, so that planners can confidently apply them:</w:t>
                  </w:r>
                </w:p>
              </w:txbxContent>
            </v:textbox>
            <w10:wrap type="none"/>
          </v:shape>
        </w:pict>
      </w:r>
      <w:r>
        <w:rPr/>
        <w:pict>
          <v:shape style="position:absolute;margin-left:98.216103pt;margin-top:195.393967pt;width:371.65pt;height:52.5pt;mso-position-horizontal-relative:page;mso-position-vertical-relative:page;z-index:-170560" type="#_x0000_t202" filled="false" stroked="false">
            <v:textbox inset="0,0,0,0">
              <w:txbxContent>
                <w:p>
                  <w:pPr>
                    <w:spacing w:line="280" w:lineRule="auto" w:before="0"/>
                    <w:ind w:left="20" w:right="20" w:firstLine="0"/>
                    <w:jc w:val="left"/>
                    <w:rPr>
                      <w:sz w:val="20"/>
                    </w:rPr>
                  </w:pPr>
                  <w:r>
                    <w:rPr>
                      <w:i/>
                      <w:color w:val="231F20"/>
                      <w:sz w:val="20"/>
                    </w:rPr>
                    <w:t>By reviewing legislation, policy, regulation and tools we believe the EPA can remove complexity, inconsistency and duplication with other regulations to promote compliance and best practice in a more effective </w:t>
                  </w:r>
                  <w:r>
                    <w:rPr>
                      <w:i/>
                      <w:color w:val="231F20"/>
                      <w:spacing w:val="-2"/>
                      <w:sz w:val="20"/>
                    </w:rPr>
                    <w:t>way </w:t>
                  </w:r>
                  <w:r>
                    <w:rPr>
                      <w:i/>
                      <w:color w:val="231F20"/>
                      <w:spacing w:val="-3"/>
                      <w:sz w:val="20"/>
                    </w:rPr>
                    <w:t>(e.g. </w:t>
                  </w:r>
                  <w:r>
                    <w:rPr>
                      <w:i/>
                      <w:color w:val="231F20"/>
                      <w:sz w:val="20"/>
                    </w:rPr>
                    <w:t>emissions standards are inconsistent between EPA and DHS). </w:t>
                  </w:r>
                  <w:r>
                    <w:rPr>
                      <w:color w:val="231F20"/>
                      <w:sz w:val="20"/>
                    </w:rPr>
                    <w:t>(City of Greater Bendigo submission,</w:t>
                  </w:r>
                  <w:r>
                    <w:rPr>
                      <w:color w:val="231F20"/>
                      <w:spacing w:val="-12"/>
                      <w:sz w:val="20"/>
                    </w:rPr>
                    <w:t> </w:t>
                  </w:r>
                  <w:r>
                    <w:rPr>
                      <w:color w:val="231F20"/>
                      <w:spacing w:val="-4"/>
                      <w:sz w:val="20"/>
                    </w:rPr>
                    <w:t>p.4)</w:t>
                  </w:r>
                </w:p>
              </w:txbxContent>
            </v:textbox>
            <w10:wrap type="none"/>
          </v:shape>
        </w:pict>
      </w:r>
      <w:r>
        <w:rPr/>
        <w:pict>
          <v:shape style="position:absolute;margin-left:69.876099pt;margin-top:257.893982pt;width:430.25pt;height:79.5pt;mso-position-horizontal-relative:page;mso-position-vertical-relative:page;z-index:-170536" type="#_x0000_t202" filled="false" stroked="false">
            <v:textbox inset="0,0,0,0">
              <w:txbxContent>
                <w:p>
                  <w:pPr>
                    <w:pStyle w:val="BodyText"/>
                    <w:spacing w:line="280" w:lineRule="auto"/>
                    <w:ind w:right="384"/>
                  </w:pPr>
                  <w:r>
                    <w:rPr>
                      <w:color w:val="58595B"/>
                    </w:rPr>
                    <w:t>The </w:t>
                  </w:r>
                  <w:r>
                    <w:rPr>
                      <w:color w:val="58595B"/>
                      <w:spacing w:val="-4"/>
                    </w:rPr>
                    <w:t>EPA </w:t>
                  </w:r>
                  <w:r>
                    <w:rPr>
                      <w:color w:val="58595B"/>
                    </w:rPr>
                    <w:t>must also be pragmatic about where it directs its attention and advisory capacity,  to maximise its influence as an expert advisor. We recognise the </w:t>
                  </w:r>
                  <w:r>
                    <w:rPr>
                      <w:color w:val="58595B"/>
                      <w:spacing w:val="-4"/>
                    </w:rPr>
                    <w:t>EPA </w:t>
                  </w:r>
                  <w:r>
                    <w:rPr>
                      <w:color w:val="58595B"/>
                    </w:rPr>
                    <w:t>has shifted its focus from advising on statutory planning matters to identifying fewer but more significant points</w:t>
                  </w:r>
                  <w:r>
                    <w:rPr>
                      <w:color w:val="58595B"/>
                      <w:spacing w:val="17"/>
                    </w:rPr>
                    <w:t> </w:t>
                  </w:r>
                  <w:r>
                    <w:rPr>
                      <w:color w:val="58595B"/>
                    </w:rPr>
                    <w:t>of</w:t>
                  </w:r>
                </w:p>
                <w:p>
                  <w:pPr>
                    <w:pStyle w:val="BodyText"/>
                    <w:spacing w:line="280" w:lineRule="auto" w:before="2"/>
                  </w:pPr>
                  <w:r>
                    <w:rPr>
                      <w:color w:val="58595B"/>
                    </w:rPr>
                    <w:t>intervention and advice, including mechanisms that rely less on referrals. This approach must be the key focus for the future. And this task of influencing must be backed with skilled specialists and consistent authorisation from within the organisation.</w:t>
                  </w:r>
                </w:p>
              </w:txbxContent>
            </v:textbox>
            <w10:wrap type="none"/>
          </v:shape>
        </w:pict>
      </w:r>
      <w:r>
        <w:rPr/>
        <w:pict>
          <v:shape style="position:absolute;margin-left:69.866096pt;margin-top:350.037048pt;width:434.35pt;height:73.3pt;mso-position-horizontal-relative:page;mso-position-vertical-relative:page;z-index:-170512" type="#_x0000_t202" filled="false" stroked="false">
            <v:textbox inset="0,0,0,0">
              <w:txbxContent>
                <w:p>
                  <w:pPr>
                    <w:spacing w:line="265" w:lineRule="exact" w:before="0"/>
                    <w:ind w:left="20" w:right="0" w:firstLine="0"/>
                    <w:jc w:val="left"/>
                    <w:rPr>
                      <w:sz w:val="24"/>
                    </w:rPr>
                  </w:pPr>
                  <w:r>
                    <w:rPr>
                      <w:color w:val="0095A7"/>
                      <w:sz w:val="24"/>
                    </w:rPr>
                    <w:t>10.2  Key challenges – now and into the future</w:t>
                  </w:r>
                </w:p>
                <w:p>
                  <w:pPr>
                    <w:pStyle w:val="BodyText"/>
                    <w:spacing w:line="280" w:lineRule="auto" w:before="145"/>
                  </w:pPr>
                  <w:r>
                    <w:rPr>
                      <w:color w:val="58595B"/>
                    </w:rPr>
                    <w:t>We heard from many Victorians about ongoing problems with odour, noise and dust that arise when residential development occurs in close proximity to industrial activity or landfills. Dealing with these entrenched problems, arising from poor land use planning decisions or practices in the past, forms a large part of the EPA’s daily business:</w:t>
                  </w:r>
                </w:p>
              </w:txbxContent>
            </v:textbox>
            <w10:wrap type="none"/>
          </v:shape>
        </w:pict>
      </w:r>
      <w:r>
        <w:rPr/>
        <w:pict>
          <v:shape style="position:absolute;margin-left:98.216103pt;margin-top:433.326965pt;width:360.75pt;height:39pt;mso-position-horizontal-relative:page;mso-position-vertical-relative:page;z-index:-170488" type="#_x0000_t202" filled="false" stroked="false">
            <v:textbox inset="0,0,0,0">
              <w:txbxContent>
                <w:p>
                  <w:pPr>
                    <w:spacing w:line="280" w:lineRule="auto" w:before="0"/>
                    <w:ind w:left="20" w:right="17" w:firstLine="0"/>
                    <w:jc w:val="both"/>
                    <w:rPr>
                      <w:sz w:val="20"/>
                    </w:rPr>
                  </w:pPr>
                  <w:r>
                    <w:rPr>
                      <w:i/>
                      <w:color w:val="231F20"/>
                      <w:sz w:val="20"/>
                    </w:rPr>
                    <w:t>For years the people of Bulla complained to the EPA about the stench, litter, dust and smoke that is emitted from the landfill at 500 Sunbury Road, Bulla. </w:t>
                  </w:r>
                  <w:r>
                    <w:rPr>
                      <w:color w:val="231F20"/>
                      <w:sz w:val="20"/>
                    </w:rPr>
                    <w:t>(Stop the Bulla Dust submission, p. 1)</w:t>
                  </w:r>
                </w:p>
              </w:txbxContent>
            </v:textbox>
            <w10:wrap type="none"/>
          </v:shape>
        </w:pict>
      </w:r>
      <w:r>
        <w:rPr/>
        <w:pict>
          <v:shape style="position:absolute;margin-left:98.216103pt;margin-top:482.326965pt;width:339.15pt;height:25.5pt;mso-position-horizontal-relative:page;mso-position-vertical-relative:page;z-index:-170464" type="#_x0000_t202" filled="false" stroked="false">
            <v:textbox inset="0,0,0,0">
              <w:txbxContent>
                <w:p>
                  <w:pPr>
                    <w:spacing w:line="224" w:lineRule="exact" w:before="0"/>
                    <w:ind w:left="20" w:right="0" w:firstLine="0"/>
                    <w:jc w:val="left"/>
                    <w:rPr>
                      <w:i/>
                      <w:sz w:val="20"/>
                    </w:rPr>
                  </w:pPr>
                  <w:r>
                    <w:rPr>
                      <w:i/>
                      <w:color w:val="231F20"/>
                      <w:sz w:val="20"/>
                    </w:rPr>
                    <w:t>Dust in Brooklyn is a major health and safety issue to the local community…</w:t>
                  </w:r>
                </w:p>
                <w:p>
                  <w:pPr>
                    <w:pStyle w:val="BodyText"/>
                    <w:spacing w:before="40"/>
                  </w:pPr>
                  <w:r>
                    <w:rPr>
                      <w:color w:val="231F20"/>
                    </w:rPr>
                    <w:t>(Brooklyn Residents Action Group submission, p. 4)</w:t>
                  </w:r>
                </w:p>
              </w:txbxContent>
            </v:textbox>
            <w10:wrap type="none"/>
          </v:shape>
        </w:pict>
      </w:r>
      <w:r>
        <w:rPr/>
        <w:pict>
          <v:shape style="position:absolute;margin-left:98.216103pt;margin-top:517.826965pt;width:367.35pt;height:39pt;mso-position-horizontal-relative:page;mso-position-vertical-relative:page;z-index:-170440" type="#_x0000_t202" filled="false" stroked="false">
            <v:textbox inset="0,0,0,0">
              <w:txbxContent>
                <w:p>
                  <w:pPr>
                    <w:spacing w:line="280" w:lineRule="auto" w:before="0"/>
                    <w:ind w:left="20" w:right="13" w:firstLine="0"/>
                    <w:jc w:val="left"/>
                    <w:rPr>
                      <w:sz w:val="20"/>
                    </w:rPr>
                  </w:pPr>
                  <w:r>
                    <w:rPr>
                      <w:i/>
                      <w:color w:val="231F20"/>
                      <w:sz w:val="20"/>
                    </w:rPr>
                    <w:t>Here are just some of the concerns of residents in Dandenong and Casey, ranging from dust odours and sickness to contaminated vegetable gardens and irrigation bores… </w:t>
                  </w:r>
                  <w:r>
                    <w:rPr>
                      <w:color w:val="231F20"/>
                      <w:sz w:val="20"/>
                    </w:rPr>
                    <w:t>(Residents Against Toxic Waste In the South East, submission, p. 1)</w:t>
                  </w:r>
                </w:p>
              </w:txbxContent>
            </v:textbox>
            <w10:wrap type="none"/>
          </v:shape>
        </w:pict>
      </w:r>
      <w:r>
        <w:rPr/>
        <w:pict>
          <v:shape style="position:absolute;margin-left:69.865799pt;margin-top:566.826965pt;width:426.7pt;height:93.05pt;mso-position-horizontal-relative:page;mso-position-vertical-relative:page;z-index:-170416" type="#_x0000_t202" filled="false" stroked="false">
            <v:textbox inset="0,0,0,0">
              <w:txbxContent>
                <w:p>
                  <w:pPr>
                    <w:pStyle w:val="BodyText"/>
                    <w:spacing w:line="280" w:lineRule="auto"/>
                  </w:pPr>
                  <w:r>
                    <w:rPr>
                      <w:color w:val="58595B"/>
                    </w:rPr>
                    <w:t>Currently, the EPA responds to a range of environmental, health and amenity impacts on residents, many of which can be attributed to previous land use planning decisions. Odour and noise represented over 50 per cent of the pollution reports that the EPA received in 2014–15 (figure 10.2).</w:t>
                  </w:r>
                  <w:r>
                    <w:rPr>
                      <w:color w:val="58595B"/>
                      <w:position w:val="7"/>
                      <w:sz w:val="11"/>
                    </w:rPr>
                    <w:t>3 </w:t>
                  </w:r>
                  <w:r>
                    <w:rPr>
                      <w:color w:val="58595B"/>
                    </w:rPr>
                    <w:t>These reports are often the result of residents living close to existing landfills, industries or intensive agricultural facilities. In many instances, these problems could have been avoided or more effectively managed had land use planning decisions properly considered potential environmental impacts:</w:t>
                  </w:r>
                </w:p>
              </w:txbxContent>
            </v:textbox>
            <w10:wrap type="none"/>
          </v:shape>
        </w:pict>
      </w:r>
      <w:r>
        <w:rPr/>
        <w:pict>
          <v:shape style="position:absolute;margin-left:98.215797pt;margin-top:669.842773pt;width:371.2pt;height:79.5pt;mso-position-horizontal-relative:page;mso-position-vertical-relative:page;z-index:-170392" type="#_x0000_t202" filled="false" stroked="false">
            <v:textbox inset="0,0,0,0">
              <w:txbxContent>
                <w:p>
                  <w:pPr>
                    <w:spacing w:line="280" w:lineRule="auto" w:before="0"/>
                    <w:ind w:left="20" w:right="17" w:firstLine="0"/>
                    <w:jc w:val="left"/>
                    <w:rPr>
                      <w:sz w:val="20"/>
                    </w:rPr>
                  </w:pPr>
                  <w:r>
                    <w:rPr>
                      <w:i/>
                      <w:color w:val="231F20"/>
                      <w:sz w:val="20"/>
                    </w:rPr>
                    <w:t>The whole question of planning has been highlighted in recent years, particularly the lack of contextual planning (that is, the consideration of EPA recommendations/ guidelines forming parts of planning laws). Many past planning decisions that have led to significant environmental conflicts between industry and community can be slated home [to] ignoring EPA recommendations for buffer distances etc. </w:t>
                  </w:r>
                  <w:r>
                    <w:rPr>
                      <w:color w:val="231F20"/>
                      <w:sz w:val="20"/>
                    </w:rPr>
                    <w:t>(Victorian Waste Management Association submission, p. 2)</w:t>
                  </w:r>
                </w:p>
              </w:txbxContent>
            </v:textbox>
            <w10:wrap type="none"/>
          </v:shape>
        </w:pict>
      </w:r>
      <w:r>
        <w:rPr/>
        <w:pict>
          <v:shape style="position:absolute;margin-left:.0pt;margin-top:44.090015pt;width:60.3pt;height:5.25pt;mso-position-horizontal-relative:page;mso-position-vertical-relative:page;z-index:-170368"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70344"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70320" from="534.996094pt,45.840015pt" to="595.276001pt,45.840015pt" stroked="true" strokeweight="7pt" strokecolor="#0095a7">
            <w10:wrap type="none"/>
          </v:line>
        </w:pict>
      </w:r>
      <w:r>
        <w:rPr/>
        <w:drawing>
          <wp:anchor distT="0" distB="0" distL="0" distR="0" allowOverlap="1" layoutInCell="1" locked="0" behindDoc="1" simplePos="0" relativeHeight="268265159">
            <wp:simplePos x="0" y="0"/>
            <wp:positionH relativeFrom="page">
              <wp:posOffset>1151991</wp:posOffset>
            </wp:positionH>
            <wp:positionV relativeFrom="page">
              <wp:posOffset>1665859</wp:posOffset>
            </wp:positionV>
            <wp:extent cx="5508002" cy="2767190"/>
            <wp:effectExtent l="0" t="0" r="0" b="0"/>
            <wp:wrapNone/>
            <wp:docPr id="21" name="image18.jpeg" descr=""/>
            <wp:cNvGraphicFramePr>
              <a:graphicFrameLocks noChangeAspect="1"/>
            </wp:cNvGraphicFramePr>
            <a:graphic>
              <a:graphicData uri="http://schemas.openxmlformats.org/drawingml/2006/picture">
                <pic:pic>
                  <pic:nvPicPr>
                    <pic:cNvPr id="22" name="image18.jpeg"/>
                    <pic:cNvPicPr/>
                  </pic:nvPicPr>
                  <pic:blipFill>
                    <a:blip r:embed="rId60" cstate="print"/>
                    <a:stretch>
                      <a:fillRect/>
                    </a:stretch>
                  </pic:blipFill>
                  <pic:spPr>
                    <a:xfrm>
                      <a:off x="0" y="0"/>
                      <a:ext cx="5508002" cy="2767190"/>
                    </a:xfrm>
                    <a:prstGeom prst="rect">
                      <a:avLst/>
                    </a:prstGeom>
                  </pic:spPr>
                </pic:pic>
              </a:graphicData>
            </a:graphic>
          </wp:anchor>
        </w:drawing>
      </w:r>
      <w:r>
        <w:rPr/>
        <w:pict>
          <v:shape style="position:absolute;margin-left:217.741592pt;margin-top:40.902756pt;width:282.150pt;height:9.5pt;mso-position-horizontal-relative:page;mso-position-vertical-relative:page;z-index:-170272" type="#_x0000_t202" filled="false" stroked="false">
            <v:textbox inset="0,0,0,0">
              <w:txbxContent>
                <w:p>
                  <w:pPr>
                    <w:spacing w:before="1"/>
                    <w:ind w:left="20" w:right="0" w:firstLine="0"/>
                    <w:jc w:val="left"/>
                    <w:rPr>
                      <w:sz w:val="15"/>
                    </w:rPr>
                  </w:pPr>
                  <w:r>
                    <w:rPr>
                      <w:color w:val="58595B"/>
                      <w:sz w:val="15"/>
                    </w:rPr>
                    <w:t>CHAPTER 10    TAKING A STRATEGIC APPROACH TO LAND USE  PLANNING</w:t>
                  </w:r>
                </w:p>
              </w:txbxContent>
            </v:textbox>
            <w10:wrap type="none"/>
          </v:shape>
        </w:pict>
      </w:r>
      <w:r>
        <w:rPr/>
        <w:pict>
          <v:shape style="position:absolute;margin-left:510.868988pt;margin-top:40.902756pt;width:14.5pt;height:9.5pt;mso-position-horizontal-relative:page;mso-position-vertical-relative:page;z-index:-170248" type="#_x0000_t202" filled="false" stroked="false">
            <v:textbox inset="0,0,0,0">
              <w:txbxContent>
                <w:p>
                  <w:pPr>
                    <w:spacing w:before="1"/>
                    <w:ind w:left="20" w:right="-1" w:firstLine="0"/>
                    <w:jc w:val="left"/>
                    <w:rPr>
                      <w:sz w:val="15"/>
                    </w:rPr>
                  </w:pPr>
                  <w:r>
                    <w:rPr>
                      <w:color w:val="58595B"/>
                      <w:sz w:val="15"/>
                    </w:rPr>
                    <w:t>185</w:t>
                  </w:r>
                </w:p>
              </w:txbxContent>
            </v:textbox>
            <w10:wrap type="none"/>
          </v:shape>
        </w:pict>
      </w:r>
      <w:r>
        <w:rPr/>
        <w:pict>
          <v:shape style="position:absolute;margin-left:89.708603pt;margin-top:105.893967pt;width:251.15pt;height:12pt;mso-position-horizontal-relative:page;mso-position-vertical-relative:page;z-index:-170224" type="#_x0000_t202" filled="false" stroked="false">
            <v:textbox inset="0,0,0,0">
              <w:txbxContent>
                <w:p>
                  <w:pPr>
                    <w:spacing w:line="224" w:lineRule="exact" w:before="0"/>
                    <w:ind w:left="20" w:right="0" w:firstLine="0"/>
                    <w:jc w:val="left"/>
                    <w:rPr>
                      <w:sz w:val="20"/>
                    </w:rPr>
                  </w:pPr>
                  <w:r>
                    <w:rPr>
                      <w:b/>
                      <w:color w:val="0095A7"/>
                      <w:sz w:val="20"/>
                    </w:rPr>
                    <w:t>FIGURE 10.2 </w:t>
                  </w:r>
                  <w:r>
                    <w:rPr>
                      <w:color w:val="0095A7"/>
                      <w:sz w:val="20"/>
                    </w:rPr>
                    <w:t>POLLUTION REPORTS </w:t>
                  </w:r>
                  <w:r>
                    <w:rPr>
                      <w:color w:val="0095A7"/>
                      <w:spacing w:val="-4"/>
                      <w:sz w:val="20"/>
                    </w:rPr>
                    <w:t>TO </w:t>
                  </w:r>
                  <w:r>
                    <w:rPr>
                      <w:color w:val="0095A7"/>
                      <w:spacing w:val="-3"/>
                      <w:sz w:val="20"/>
                    </w:rPr>
                    <w:t>EPA, </w:t>
                  </w:r>
                  <w:r>
                    <w:rPr>
                      <w:color w:val="0095A7"/>
                      <w:spacing w:val="-6"/>
                      <w:sz w:val="20"/>
                    </w:rPr>
                    <w:t>2014-15</w:t>
                  </w:r>
                </w:p>
              </w:txbxContent>
            </v:textbox>
            <w10:wrap type="none"/>
          </v:shape>
        </w:pict>
      </w:r>
      <w:r>
        <w:rPr/>
        <w:pict>
          <v:shape style="position:absolute;margin-left:89.708603pt;margin-top:361.960083pt;width:427.85pt;height:79.5pt;mso-position-horizontal-relative:page;mso-position-vertical-relative:page;z-index:-170200" type="#_x0000_t202" filled="false" stroked="false">
            <v:textbox inset="0,0,0,0">
              <w:txbxContent>
                <w:p>
                  <w:pPr>
                    <w:pStyle w:val="BodyText"/>
                    <w:spacing w:line="280" w:lineRule="auto"/>
                  </w:pPr>
                  <w:r>
                    <w:rPr>
                      <w:color w:val="58595B"/>
                    </w:rPr>
                    <w:t>The intersection between land use planning and the waste system has come up as a common concern for industry, community and local governments in our consultations. We heard from communities that have been living near landfills in Melbourne, and that have often experienced many years of landfill offsite issues, such as noise, odour, litter, dust and concerns about landfill gas. Of critical concern is the ongoing pressure of sensitive uses (such as housing) encroaching on buffers around landfills and waste and resource recovery facilities.</w:t>
                  </w:r>
                </w:p>
              </w:txbxContent>
            </v:textbox>
            <w10:wrap type="none"/>
          </v:shape>
        </w:pict>
      </w:r>
      <w:r>
        <w:rPr/>
        <w:pict>
          <v:shape style="position:absolute;margin-left:89.708603pt;margin-top:451.460083pt;width:430.45pt;height:106.5pt;mso-position-horizontal-relative:page;mso-position-vertical-relative:page;z-index:-170176" type="#_x0000_t202" filled="false" stroked="false">
            <v:textbox inset="0,0,0,0">
              <w:txbxContent>
                <w:p>
                  <w:pPr>
                    <w:pStyle w:val="BodyText"/>
                    <w:spacing w:line="280" w:lineRule="auto"/>
                    <w:ind w:right="62"/>
                  </w:pPr>
                  <w:r>
                    <w:rPr>
                      <w:color w:val="58595B"/>
                    </w:rPr>
                    <w:t>Problems arising from locating residential areas close to potentially hazardous pollutants are only likely to intensify as the population grows, and residential development encroaches on buffers established to separate residential areas from industry and waste management facilities. Often, there are few options for mitigating problems when land use is already</w:t>
                  </w:r>
                  <w:r>
                    <w:rPr>
                      <w:color w:val="58595B"/>
                      <w:spacing w:val="6"/>
                    </w:rPr>
                    <w:t> </w:t>
                  </w:r>
                  <w:r>
                    <w:rPr>
                      <w:color w:val="58595B"/>
                    </w:rPr>
                    <w:t>established.</w:t>
                  </w:r>
                </w:p>
                <w:p>
                  <w:pPr>
                    <w:pStyle w:val="BodyText"/>
                    <w:spacing w:line="280" w:lineRule="auto" w:before="2"/>
                  </w:pPr>
                  <w:r>
                    <w:rPr>
                      <w:color w:val="58595B"/>
                    </w:rPr>
                    <w:t>These problems underline the importance of early intervention to avoid future land use conflicts. Further, the system must respond to the risk of incremental rezoning and permits for residential development in or close to industrial zones. Amenity issues can be prevented in the future if land use planning adequately maintains buffers between residential and industrial uses.</w:t>
                  </w:r>
                </w:p>
              </w:txbxContent>
            </v:textbox>
            <w10:wrap type="none"/>
          </v:shape>
        </w:pict>
      </w:r>
      <w:r>
        <w:rPr/>
        <w:pict>
          <v:shape style="position:absolute;margin-left:89.708603pt;margin-top:572.220093pt;width:407.3pt;height:58.2pt;mso-position-horizontal-relative:page;mso-position-vertical-relative:page;z-index:-170152" type="#_x0000_t202" filled="false" stroked="false">
            <v:textbox inset="0,0,0,0">
              <w:txbxContent>
                <w:p>
                  <w:pPr>
                    <w:pStyle w:val="BodyText"/>
                    <w:spacing w:line="224" w:lineRule="exact"/>
                  </w:pPr>
                  <w:r>
                    <w:rPr>
                      <w:color w:val="0095A7"/>
                    </w:rPr>
                    <w:t>10.2.1  Managing growth</w:t>
                  </w:r>
                </w:p>
                <w:p>
                  <w:pPr>
                    <w:spacing w:line="280" w:lineRule="auto" w:before="153"/>
                    <w:ind w:left="586" w:right="46" w:firstLine="0"/>
                    <w:jc w:val="left"/>
                    <w:rPr>
                      <w:sz w:val="11"/>
                    </w:rPr>
                  </w:pPr>
                  <w:r>
                    <w:rPr>
                      <w:i/>
                      <w:color w:val="231F20"/>
                      <w:sz w:val="20"/>
                    </w:rPr>
                    <w:t>Melbourne is facing some big challenges. Our projected population growth, changing economic conditions and the pressures of climate change mean we need to think and act thoughtfully about how to grow and develop our city.</w:t>
                  </w:r>
                  <w:r>
                    <w:rPr>
                      <w:color w:val="231F20"/>
                      <w:position w:val="7"/>
                      <w:sz w:val="11"/>
                    </w:rPr>
                    <w:t>4</w:t>
                  </w:r>
                </w:p>
              </w:txbxContent>
            </v:textbox>
            <w10:wrap type="none"/>
          </v:shape>
        </w:pict>
      </w:r>
      <w:r>
        <w:rPr/>
        <w:pict>
          <v:shape style="position:absolute;margin-left:89.7071pt;margin-top:640.393188pt;width:427.45pt;height:39pt;mso-position-horizontal-relative:page;mso-position-vertical-relative:page;z-index:-170128" type="#_x0000_t202" filled="false" stroked="false">
            <v:textbox inset="0,0,0,0">
              <w:txbxContent>
                <w:p>
                  <w:pPr>
                    <w:pStyle w:val="BodyText"/>
                    <w:spacing w:line="280" w:lineRule="auto"/>
                  </w:pPr>
                  <w:r>
                    <w:rPr>
                      <w:color w:val="58595B"/>
                    </w:rPr>
                    <w:t>The</w:t>
                  </w:r>
                  <w:r>
                    <w:rPr>
                      <w:color w:val="58595B"/>
                      <w:spacing w:val="-12"/>
                    </w:rPr>
                    <w:t> </w:t>
                  </w:r>
                  <w:r>
                    <w:rPr>
                      <w:color w:val="58595B"/>
                    </w:rPr>
                    <w:t>Plan</w:t>
                  </w:r>
                  <w:r>
                    <w:rPr>
                      <w:color w:val="58595B"/>
                      <w:spacing w:val="-12"/>
                    </w:rPr>
                    <w:t> </w:t>
                  </w:r>
                  <w:r>
                    <w:rPr>
                      <w:color w:val="58595B"/>
                    </w:rPr>
                    <w:t>Melbourne</w:t>
                  </w:r>
                  <w:r>
                    <w:rPr>
                      <w:color w:val="58595B"/>
                      <w:spacing w:val="-12"/>
                    </w:rPr>
                    <w:t> </w:t>
                  </w:r>
                  <w:r>
                    <w:rPr>
                      <w:color w:val="58595B"/>
                    </w:rPr>
                    <w:t>Refresh</w:t>
                  </w:r>
                  <w:r>
                    <w:rPr>
                      <w:color w:val="58595B"/>
                      <w:spacing w:val="-12"/>
                    </w:rPr>
                    <w:t> </w:t>
                  </w:r>
                  <w:r>
                    <w:rPr>
                      <w:color w:val="58595B"/>
                    </w:rPr>
                    <w:t>process</w:t>
                  </w:r>
                  <w:r>
                    <w:rPr>
                      <w:color w:val="58595B"/>
                      <w:spacing w:val="-12"/>
                    </w:rPr>
                    <w:t> </w:t>
                  </w:r>
                  <w:r>
                    <w:rPr>
                      <w:color w:val="58595B"/>
                    </w:rPr>
                    <w:t>identified</w:t>
                  </w:r>
                  <w:r>
                    <w:rPr>
                      <w:color w:val="58595B"/>
                      <w:spacing w:val="-12"/>
                    </w:rPr>
                    <w:t> </w:t>
                  </w:r>
                  <w:r>
                    <w:rPr>
                      <w:color w:val="58595B"/>
                    </w:rPr>
                    <w:t>that</w:t>
                  </w:r>
                  <w:r>
                    <w:rPr>
                      <w:color w:val="58595B"/>
                      <w:spacing w:val="-12"/>
                    </w:rPr>
                    <w:t> </w:t>
                  </w:r>
                  <w:r>
                    <w:rPr>
                      <w:color w:val="58595B"/>
                    </w:rPr>
                    <w:t>Melbourne</w:t>
                  </w:r>
                  <w:r>
                    <w:rPr>
                      <w:color w:val="58595B"/>
                      <w:spacing w:val="-12"/>
                    </w:rPr>
                    <w:t> </w:t>
                  </w:r>
                  <w:r>
                    <w:rPr>
                      <w:color w:val="58595B"/>
                    </w:rPr>
                    <w:t>needs</w:t>
                  </w:r>
                  <w:r>
                    <w:rPr>
                      <w:color w:val="58595B"/>
                      <w:spacing w:val="-12"/>
                    </w:rPr>
                    <w:t> </w:t>
                  </w:r>
                  <w:r>
                    <w:rPr>
                      <w:color w:val="58595B"/>
                    </w:rPr>
                    <w:t>to</w:t>
                  </w:r>
                  <w:r>
                    <w:rPr>
                      <w:color w:val="58595B"/>
                      <w:spacing w:val="-12"/>
                    </w:rPr>
                    <w:t> </w:t>
                  </w:r>
                  <w:r>
                    <w:rPr>
                      <w:color w:val="58595B"/>
                    </w:rPr>
                    <w:t>‘encourage</w:t>
                  </w:r>
                  <w:r>
                    <w:rPr>
                      <w:color w:val="58595B"/>
                      <w:spacing w:val="-12"/>
                    </w:rPr>
                    <w:t> </w:t>
                  </w:r>
                  <w:r>
                    <w:rPr>
                      <w:color w:val="58595B"/>
                    </w:rPr>
                    <w:t>higher</w:t>
                  </w:r>
                  <w:r>
                    <w:rPr>
                      <w:color w:val="58595B"/>
                      <w:spacing w:val="-12"/>
                    </w:rPr>
                    <w:t> </w:t>
                  </w:r>
                  <w:r>
                    <w:rPr>
                      <w:color w:val="58595B"/>
                    </w:rPr>
                    <w:t>urban </w:t>
                  </w:r>
                  <w:r>
                    <w:rPr>
                      <w:color w:val="58595B"/>
                      <w:spacing w:val="-3"/>
                    </w:rPr>
                    <w:t>densities’,</w:t>
                  </w:r>
                  <w:r>
                    <w:rPr>
                      <w:color w:val="58595B"/>
                      <w:spacing w:val="-3"/>
                      <w:position w:val="7"/>
                      <w:sz w:val="11"/>
                    </w:rPr>
                    <w:t>5 </w:t>
                  </w:r>
                  <w:r>
                    <w:rPr>
                      <w:color w:val="58595B"/>
                    </w:rPr>
                    <w:t>with a focus on established areas. Options identified for discussion (in October </w:t>
                  </w:r>
                  <w:r>
                    <w:rPr>
                      <w:color w:val="58595B"/>
                      <w:spacing w:val="-5"/>
                    </w:rPr>
                    <w:t>2015) </w:t>
                  </w:r>
                  <w:r>
                    <w:rPr>
                      <w:color w:val="58595B"/>
                    </w:rPr>
                    <w:t>included:</w:t>
                  </w:r>
                </w:p>
              </w:txbxContent>
            </v:textbox>
            <w10:wrap type="none"/>
          </v:shape>
        </w:pict>
      </w:r>
      <w:r>
        <w:rPr/>
        <w:pict>
          <v:shape style="position:absolute;margin-left:118.057098pt;margin-top:689.393188pt;width:365.15pt;height:52.5pt;mso-position-horizontal-relative:page;mso-position-vertical-relative:page;z-index:-170104" type="#_x0000_t202" filled="false" stroked="false">
            <v:textbox inset="0,0,0,0">
              <w:txbxContent>
                <w:p>
                  <w:pPr>
                    <w:spacing w:line="280" w:lineRule="auto" w:before="0"/>
                    <w:ind w:left="20" w:right="0" w:firstLine="0"/>
                    <w:jc w:val="left"/>
                    <w:rPr>
                      <w:i/>
                      <w:sz w:val="20"/>
                    </w:rPr>
                  </w:pPr>
                  <w:r>
                    <w:rPr>
                      <w:i/>
                      <w:color w:val="231F20"/>
                      <w:sz w:val="20"/>
                    </w:rPr>
                    <w:t>Establishing a 70/30 target where established areas provide 70 per cent of Melbourne’s new housing supply and greenfield growth areas provide 30 per cent</w:t>
                  </w:r>
                </w:p>
                <w:p>
                  <w:pPr>
                    <w:spacing w:line="280" w:lineRule="auto" w:before="2"/>
                    <w:ind w:left="20" w:right="0" w:firstLine="0"/>
                    <w:jc w:val="left"/>
                    <w:rPr>
                      <w:sz w:val="11"/>
                    </w:rPr>
                  </w:pPr>
                  <w:r>
                    <w:rPr>
                      <w:i/>
                      <w:color w:val="231F20"/>
                      <w:sz w:val="20"/>
                    </w:rPr>
                    <w:t>… Focus metropolitan planning on unlocking housing supply in established areas, particularly within areas specifically targeted for growth and intensification.</w:t>
                  </w:r>
                  <w:r>
                    <w:rPr>
                      <w:color w:val="231F20"/>
                      <w:position w:val="7"/>
                      <w:sz w:val="11"/>
                    </w:rPr>
                    <w:t>6</w:t>
                  </w:r>
                </w:p>
              </w:txbxContent>
            </v:textbox>
            <w10:wrap type="none"/>
          </v:shape>
        </w:pict>
      </w:r>
      <w:r>
        <w:rPr/>
        <w:pict>
          <v:shape style="position:absolute;margin-left:534.996094pt;margin-top:44.090015pt;width:60.3pt;height:5.25pt;mso-position-horizontal-relative:page;mso-position-vertical-relative:page;z-index:-170080"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70056"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70032" from=".0pt,45.840015pt" to="60.2791pt,45.840015pt" stroked="true" strokeweight="7pt" strokecolor="#0095a7">
            <w10:wrap type="none"/>
          </v:line>
        </w:pict>
      </w:r>
      <w:r>
        <w:rPr/>
        <w:pict>
          <v:shape style="position:absolute;margin-left:69.866096pt;margin-top:40.902756pt;width:14.55pt;height:9.5pt;mso-position-horizontal-relative:page;mso-position-vertical-relative:page;z-index:-170008" type="#_x0000_t202" filled="false" stroked="false">
            <v:textbox inset="0,0,0,0">
              <w:txbxContent>
                <w:p>
                  <w:pPr>
                    <w:spacing w:before="1"/>
                    <w:ind w:left="20" w:right="0" w:firstLine="0"/>
                    <w:jc w:val="left"/>
                    <w:rPr>
                      <w:sz w:val="15"/>
                    </w:rPr>
                  </w:pPr>
                  <w:r>
                    <w:rPr>
                      <w:color w:val="58595B"/>
                      <w:sz w:val="15"/>
                    </w:rPr>
                    <w:t>186</w:t>
                  </w:r>
                </w:p>
              </w:txbxContent>
            </v:textbox>
            <w10:wrap type="none"/>
          </v:shape>
        </w:pict>
      </w:r>
      <w:r>
        <w:rPr/>
        <w:pict>
          <v:shape style="position:absolute;margin-left:95.377899pt;margin-top:40.902756pt;width:147.75pt;height:9.5pt;mso-position-horizontal-relative:page;mso-position-vertical-relative:page;z-index:-169984"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5.7pt;height:169.7pt;mso-position-horizontal-relative:page;mso-position-vertical-relative:page;z-index:-169960" type="#_x0000_t202" filled="false" stroked="false">
            <v:textbox inset="0,0,0,0">
              <w:txbxContent>
                <w:p>
                  <w:pPr>
                    <w:pStyle w:val="BodyText"/>
                    <w:spacing w:line="280" w:lineRule="auto"/>
                    <w:ind w:right="17"/>
                    <w:jc w:val="both"/>
                  </w:pPr>
                  <w:r>
                    <w:rPr>
                      <w:color w:val="58595B"/>
                    </w:rPr>
                    <w:t>The urban environment presents the EPA with a range of specific challenges. Growth pressures – in particular, demand for new housing and transport infrastructure – are likely to exacerbate these challenges, including where:</w:t>
                  </w:r>
                </w:p>
                <w:p>
                  <w:pPr>
                    <w:pStyle w:val="ListParagraph"/>
                    <w:numPr>
                      <w:ilvl w:val="0"/>
                      <w:numId w:val="71"/>
                    </w:numPr>
                    <w:tabs>
                      <w:tab w:pos="190" w:val="left" w:leader="none"/>
                    </w:tabs>
                    <w:spacing w:line="280" w:lineRule="auto" w:before="115" w:after="0"/>
                    <w:ind w:left="190" w:right="267" w:hanging="170"/>
                    <w:jc w:val="left"/>
                    <w:rPr>
                      <w:sz w:val="20"/>
                    </w:rPr>
                  </w:pPr>
                  <w:r>
                    <w:rPr>
                      <w:color w:val="58595B"/>
                      <w:sz w:val="20"/>
                    </w:rPr>
                    <w:t>housing development encroaches on facilities, such as landfills and extractive industries, that are essential for meeting the needs of urban living and development, but which also create odour and dust issues for neighbouring</w:t>
                  </w:r>
                  <w:r>
                    <w:rPr>
                      <w:color w:val="58595B"/>
                      <w:spacing w:val="3"/>
                      <w:sz w:val="20"/>
                    </w:rPr>
                    <w:t> </w:t>
                  </w:r>
                  <w:r>
                    <w:rPr>
                      <w:color w:val="58595B"/>
                      <w:sz w:val="20"/>
                    </w:rPr>
                    <w:t>residents</w:t>
                  </w:r>
                </w:p>
                <w:p>
                  <w:pPr>
                    <w:pStyle w:val="ListParagraph"/>
                    <w:numPr>
                      <w:ilvl w:val="0"/>
                      <w:numId w:val="71"/>
                    </w:numPr>
                    <w:tabs>
                      <w:tab w:pos="190" w:val="left" w:leader="none"/>
                    </w:tabs>
                    <w:spacing w:line="280" w:lineRule="auto" w:before="115" w:after="0"/>
                    <w:ind w:left="190" w:right="771" w:hanging="170"/>
                    <w:jc w:val="left"/>
                    <w:rPr>
                      <w:sz w:val="20"/>
                    </w:rPr>
                  </w:pPr>
                  <w:r>
                    <w:rPr>
                      <w:color w:val="58595B"/>
                      <w:sz w:val="20"/>
                    </w:rPr>
                    <w:t>transport infrastructure, especially roads, with potential noise and air quality impacts for neighbouring</w:t>
                  </w:r>
                  <w:r>
                    <w:rPr>
                      <w:color w:val="58595B"/>
                      <w:spacing w:val="5"/>
                      <w:sz w:val="20"/>
                    </w:rPr>
                    <w:t> </w:t>
                  </w:r>
                  <w:r>
                    <w:rPr>
                      <w:color w:val="58595B"/>
                      <w:sz w:val="20"/>
                    </w:rPr>
                    <w:t>residents</w:t>
                  </w:r>
                </w:p>
                <w:p>
                  <w:pPr>
                    <w:pStyle w:val="ListParagraph"/>
                    <w:numPr>
                      <w:ilvl w:val="0"/>
                      <w:numId w:val="71"/>
                    </w:numPr>
                    <w:tabs>
                      <w:tab w:pos="190" w:val="left" w:leader="none"/>
                    </w:tabs>
                    <w:spacing w:line="240" w:lineRule="auto" w:before="115" w:after="0"/>
                    <w:ind w:left="190" w:right="0" w:hanging="170"/>
                    <w:jc w:val="left"/>
                    <w:rPr>
                      <w:sz w:val="20"/>
                    </w:rPr>
                  </w:pPr>
                  <w:r>
                    <w:rPr>
                      <w:color w:val="58595B"/>
                      <w:sz w:val="20"/>
                    </w:rPr>
                    <w:t>the shift to higher density mixed use living with potential noise impacts for</w:t>
                  </w:r>
                  <w:r>
                    <w:rPr>
                      <w:color w:val="58595B"/>
                      <w:spacing w:val="8"/>
                      <w:sz w:val="20"/>
                    </w:rPr>
                    <w:t> </w:t>
                  </w:r>
                  <w:r>
                    <w:rPr>
                      <w:color w:val="58595B"/>
                      <w:sz w:val="20"/>
                    </w:rPr>
                    <w:t>residents</w:t>
                  </w:r>
                </w:p>
                <w:p>
                  <w:pPr>
                    <w:pStyle w:val="ListParagraph"/>
                    <w:numPr>
                      <w:ilvl w:val="0"/>
                      <w:numId w:val="71"/>
                    </w:numPr>
                    <w:tabs>
                      <w:tab w:pos="190" w:val="left" w:leader="none"/>
                    </w:tabs>
                    <w:spacing w:line="280" w:lineRule="auto" w:before="153" w:after="0"/>
                    <w:ind w:left="190" w:right="580" w:hanging="170"/>
                    <w:jc w:val="left"/>
                    <w:rPr>
                      <w:sz w:val="20"/>
                    </w:rPr>
                  </w:pPr>
                  <w:r>
                    <w:rPr>
                      <w:color w:val="58595B"/>
                      <w:sz w:val="20"/>
                    </w:rPr>
                    <w:t>encroachment of housing on agricultural activities at the urban fringe create conflicts over amenity impacts, such as</w:t>
                  </w:r>
                  <w:r>
                    <w:rPr>
                      <w:color w:val="58595B"/>
                      <w:spacing w:val="-8"/>
                      <w:sz w:val="20"/>
                    </w:rPr>
                    <w:t> </w:t>
                  </w:r>
                  <w:r>
                    <w:rPr>
                      <w:color w:val="58595B"/>
                      <w:sz w:val="20"/>
                    </w:rPr>
                    <w:t>odour.</w:t>
                  </w:r>
                </w:p>
              </w:txbxContent>
            </v:textbox>
            <w10:wrap type="none"/>
          </v:shape>
        </w:pict>
      </w:r>
      <w:r>
        <w:rPr/>
        <w:pict>
          <v:shape style="position:absolute;margin-left:69.866096pt;margin-top:285.573975pt;width:435.2pt;height:93pt;mso-position-horizontal-relative:page;mso-position-vertical-relative:page;z-index:-169936" type="#_x0000_t202" filled="false" stroked="false">
            <v:textbox inset="0,0,0,0">
              <w:txbxContent>
                <w:p>
                  <w:pPr>
                    <w:pStyle w:val="BodyText"/>
                    <w:spacing w:line="280" w:lineRule="auto"/>
                    <w:ind w:right="-9"/>
                  </w:pPr>
                  <w:r>
                    <w:rPr>
                      <w:color w:val="58595B"/>
                    </w:rPr>
                    <w:t>Land use planning measures can mitigate these problems, particularly changing land uses and housing encroaching on other land uses. Zoning – one of the core concepts in land use planning</w:t>
                  </w:r>
                </w:p>
                <w:p>
                  <w:pPr>
                    <w:pStyle w:val="BodyText"/>
                    <w:spacing w:line="280" w:lineRule="auto" w:before="2"/>
                    <w:ind w:right="18"/>
                    <w:jc w:val="both"/>
                  </w:pPr>
                  <w:r>
                    <w:rPr>
                      <w:color w:val="58595B"/>
                    </w:rPr>
                    <w:t>– separates different uses to manage conflicts between land uses, such as industries and homes. Strategic land use planning (Precinct Structure Planning or Growth Activity Planning) sets out the zonings and manages changes to zonings (through planning scheme amendments) to provide</w:t>
                  </w:r>
                </w:p>
                <w:p>
                  <w:pPr>
                    <w:pStyle w:val="BodyText"/>
                    <w:spacing w:line="280" w:lineRule="auto" w:before="2"/>
                    <w:ind w:right="-9"/>
                  </w:pPr>
                  <w:r>
                    <w:rPr>
                      <w:color w:val="58595B"/>
                    </w:rPr>
                    <w:t>for ordered growth and development. Statutory planning provides the site-by-site permit-based decisions that impose specific conditions on land use and development.</w:t>
                  </w:r>
                </w:p>
              </w:txbxContent>
            </v:textbox>
            <w10:wrap type="none"/>
          </v:shape>
        </w:pict>
      </w:r>
      <w:r>
        <w:rPr/>
        <w:pict>
          <v:shape style="position:absolute;margin-left:69.866096pt;margin-top:388.573975pt;width:427.65pt;height:93pt;mso-position-horizontal-relative:page;mso-position-vertical-relative:page;z-index:-169912" type="#_x0000_t202" filled="false" stroked="false">
            <v:textbox inset="0,0,0,0">
              <w:txbxContent>
                <w:p>
                  <w:pPr>
                    <w:pStyle w:val="BodyText"/>
                    <w:spacing w:line="280" w:lineRule="auto"/>
                    <w:ind w:right="-3"/>
                    <w:rPr>
                      <w:sz w:val="11"/>
                    </w:rPr>
                  </w:pPr>
                  <w:r>
                    <w:rPr>
                      <w:color w:val="58595B"/>
                    </w:rPr>
                    <w:t>Strategic land use planning and good statutory planning decisions are both important to support liveability, and in particular, to prevent or minimise people’s exposure to hazardous pollutants, or unpleasant odour or excessive noise that can be detrimental to urban amenity. Analysis by the EPA and the Commonwealth Scientific and Industrial Research Organisation identified that the location of residential growth, its proximity to industry and small business, and particularly the location of sensitive populations (such as children and the elderly) are critical considerations for managing the risks to human health from air pollution.</w:t>
                  </w:r>
                  <w:r>
                    <w:rPr>
                      <w:color w:val="58595B"/>
                      <w:position w:val="7"/>
                      <w:sz w:val="11"/>
                    </w:rPr>
                    <w:t>7</w:t>
                  </w:r>
                </w:p>
              </w:txbxContent>
            </v:textbox>
            <w10:wrap type="none"/>
          </v:shape>
        </w:pict>
      </w:r>
      <w:r>
        <w:rPr/>
        <w:pict>
          <v:shape style="position:absolute;margin-left:69.866096pt;margin-top:491.582855pt;width:414.15pt;height:25.5pt;mso-position-horizontal-relative:page;mso-position-vertical-relative:page;z-index:-169888" type="#_x0000_t202" filled="false" stroked="false">
            <v:textbox inset="0,0,0,0">
              <w:txbxContent>
                <w:p>
                  <w:pPr>
                    <w:pStyle w:val="BodyText"/>
                    <w:spacing w:line="280" w:lineRule="auto"/>
                  </w:pPr>
                  <w:r>
                    <w:rPr>
                      <w:color w:val="58595B"/>
                    </w:rPr>
                    <w:t>Good land use planning maintains liveability and supports a prosperous Victorian economy – and reducing amenity and health impacts is part of this.</w:t>
                  </w:r>
                </w:p>
              </w:txbxContent>
            </v:textbox>
            <w10:wrap type="none"/>
          </v:shape>
        </w:pict>
      </w:r>
      <w:r>
        <w:rPr/>
        <w:pict>
          <v:shape style="position:absolute;margin-left:98.216103pt;margin-top:527.082886pt;width:367.55pt;height:52.5pt;mso-position-horizontal-relative:page;mso-position-vertical-relative:page;z-index:-169864" type="#_x0000_t202" filled="false" stroked="false">
            <v:textbox inset="0,0,0,0">
              <w:txbxContent>
                <w:p>
                  <w:pPr>
                    <w:spacing w:line="280" w:lineRule="auto" w:before="0"/>
                    <w:ind w:left="20" w:right="0" w:firstLine="0"/>
                    <w:jc w:val="left"/>
                    <w:rPr>
                      <w:sz w:val="11"/>
                    </w:rPr>
                  </w:pPr>
                  <w:r>
                    <w:rPr>
                      <w:i/>
                      <w:color w:val="231F20"/>
                      <w:sz w:val="20"/>
                    </w:rPr>
                    <w:t>Melbourne is at an exciting time in its history with unparalleled opportunity for growth, development and prosperity. We need to prepare for that growth now, and with sensible and sustainable planning we can provide the foundation for Victoria’s economic vitality and liveability throughout the 21st century.</w:t>
                  </w:r>
                  <w:r>
                    <w:rPr>
                      <w:color w:val="231F20"/>
                      <w:position w:val="7"/>
                      <w:sz w:val="11"/>
                    </w:rPr>
                    <w:t>8</w:t>
                  </w:r>
                </w:p>
              </w:txbxContent>
            </v:textbox>
            <w10:wrap type="none"/>
          </v:shape>
        </w:pict>
      </w:r>
      <w:r>
        <w:rPr/>
        <w:pict>
          <v:shape style="position:absolute;margin-left:69.866096pt;margin-top:592.425354pt;width:423.45pt;height:97.25pt;mso-position-horizontal-relative:page;mso-position-vertical-relative:page;z-index:-169840" type="#_x0000_t202" filled="false" stroked="false">
            <v:textbox inset="0,0,0,0">
              <w:txbxContent>
                <w:p>
                  <w:pPr>
                    <w:spacing w:line="224" w:lineRule="exact" w:before="0"/>
                    <w:ind w:left="20" w:right="0" w:firstLine="0"/>
                    <w:jc w:val="left"/>
                    <w:rPr>
                      <w:i/>
                      <w:sz w:val="20"/>
                    </w:rPr>
                  </w:pPr>
                  <w:r>
                    <w:rPr>
                      <w:i/>
                      <w:color w:val="6D6E71"/>
                      <w:sz w:val="20"/>
                    </w:rPr>
                    <w:t>Dealing with encroachment pressures</w:t>
                  </w:r>
                </w:p>
                <w:p>
                  <w:pPr>
                    <w:pStyle w:val="BodyText"/>
                    <w:spacing w:line="280" w:lineRule="auto" w:before="125"/>
                  </w:pPr>
                  <w:r>
                    <w:rPr>
                      <w:color w:val="58595B"/>
                    </w:rPr>
                    <w:t>We consider that encroachment pressures and managing effective buffers around facilities that create health and amenity impacts must be a critical priority for the EPA of the future. These issues can arise in urban areas and also in regional Victoria (box 10.1). But we consider the statutory framework can be improved, to support better decision making by planners and to allow the EPA to shift its attention from responses to statutory planning processes to more strategic interventions.</w:t>
                  </w:r>
                </w:p>
              </w:txbxContent>
            </v:textbox>
            <w10:wrap type="none"/>
          </v:shape>
        </w:pict>
      </w:r>
      <w:r>
        <w:rPr/>
        <w:pict>
          <v:shape style="position:absolute;margin-left:69.866096pt;margin-top:699.675354pt;width:430.55pt;height:25.5pt;mso-position-horizontal-relative:page;mso-position-vertical-relative:page;z-index:-169816" type="#_x0000_t202" filled="false" stroked="false">
            <v:textbox inset="0,0,0,0">
              <w:txbxContent>
                <w:p>
                  <w:pPr>
                    <w:pStyle w:val="BodyText"/>
                    <w:spacing w:line="280" w:lineRule="auto"/>
                    <w:ind w:right="11"/>
                  </w:pPr>
                  <w:r>
                    <w:rPr>
                      <w:color w:val="58595B"/>
                    </w:rPr>
                    <w:t>We heard from industry groups about the pressures that can arise from land use change and the spread of housing into new areas.</w:t>
                  </w:r>
                </w:p>
              </w:txbxContent>
            </v:textbox>
            <w10:wrap type="none"/>
          </v:shape>
        </w:pict>
      </w:r>
      <w:r>
        <w:rPr/>
        <w:pict>
          <v:shape style="position:absolute;margin-left:98.216103pt;margin-top:735.175354pt;width:378.9pt;height:52.5pt;mso-position-horizontal-relative:page;mso-position-vertical-relative:page;z-index:-169792" type="#_x0000_t202" filled="false" stroked="false">
            <v:textbox inset="0,0,0,0">
              <w:txbxContent>
                <w:p>
                  <w:pPr>
                    <w:spacing w:line="280" w:lineRule="auto" w:before="0"/>
                    <w:ind w:left="20" w:right="532" w:firstLine="0"/>
                    <w:jc w:val="left"/>
                    <w:rPr>
                      <w:i/>
                      <w:sz w:val="20"/>
                    </w:rPr>
                  </w:pPr>
                  <w:r>
                    <w:rPr>
                      <w:i/>
                      <w:color w:val="231F20"/>
                      <w:sz w:val="20"/>
                    </w:rPr>
                    <w:t>The encroachment of residential land uses on industrial areas continues to be a major concern for industry – it increases costs, can reduce capacity,</w:t>
                  </w:r>
                  <w:r>
                    <w:rPr>
                      <w:i/>
                      <w:color w:val="231F20"/>
                      <w:spacing w:val="9"/>
                      <w:sz w:val="20"/>
                    </w:rPr>
                    <w:t> </w:t>
                  </w:r>
                  <w:r>
                    <w:rPr>
                      <w:i/>
                      <w:color w:val="231F20"/>
                      <w:sz w:val="20"/>
                    </w:rPr>
                    <w:t>distracts</w:t>
                  </w:r>
                </w:p>
                <w:p>
                  <w:pPr>
                    <w:spacing w:line="280" w:lineRule="auto" w:before="2"/>
                    <w:ind w:left="20" w:right="0" w:firstLine="0"/>
                    <w:jc w:val="left"/>
                    <w:rPr>
                      <w:sz w:val="20"/>
                    </w:rPr>
                  </w:pPr>
                  <w:r>
                    <w:rPr>
                      <w:i/>
                      <w:color w:val="231F20"/>
                      <w:sz w:val="20"/>
                    </w:rPr>
                    <w:t>management, causes preventable conflicts and can ultimately threaten the viability of industrial activities. </w:t>
                  </w:r>
                  <w:r>
                    <w:rPr>
                      <w:color w:val="231F20"/>
                      <w:sz w:val="20"/>
                    </w:rPr>
                    <w:t>(Plastics and Chemicals Industry Association submission, p. 3)</w:t>
                  </w:r>
                </w:p>
              </w:txbxContent>
            </v:textbox>
            <w10:wrap type="none"/>
          </v:shape>
        </w:pict>
      </w:r>
      <w:r>
        <w:rPr/>
        <w:pict>
          <v:shape style="position:absolute;margin-left:.0pt;margin-top:44.090015pt;width:60.3pt;height:5.25pt;mso-position-horizontal-relative:page;mso-position-vertical-relative:page;z-index:-169768"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69744"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69720" from="534.996094pt,45.840015pt" to="595.276001pt,45.840015pt" stroked="true" strokeweight="7pt" strokecolor="#0095a7">
            <w10:wrap type="none"/>
          </v:line>
        </w:pict>
      </w:r>
      <w:r>
        <w:rPr/>
        <w:pict>
          <v:rect style="position:absolute;margin-left:90.709pt;margin-top:278.343018pt;width:432.701pt;height:369.477pt;mso-position-horizontal-relative:page;mso-position-vertical-relative:page;z-index:-169696" filled="true" fillcolor="#eaf2f3" stroked="false">
            <v:fill type="solid"/>
            <w10:wrap type="none"/>
          </v:rect>
        </w:pict>
      </w:r>
      <w:r>
        <w:rPr/>
        <w:pict>
          <v:shape style="position:absolute;margin-left:217.741592pt;margin-top:40.902756pt;width:307.650pt;height:9.5pt;mso-position-horizontal-relative:page;mso-position-vertical-relative:page;z-index:-169672" type="#_x0000_t202" filled="false" stroked="false">
            <v:textbox inset="0,0,0,0">
              <w:txbxContent>
                <w:p>
                  <w:pPr>
                    <w:tabs>
                      <w:tab w:pos="5886" w:val="left" w:leader="none"/>
                    </w:tabs>
                    <w:spacing w:before="1"/>
                    <w:ind w:left="20" w:right="0" w:firstLine="0"/>
                    <w:jc w:val="left"/>
                    <w:rPr>
                      <w:sz w:val="15"/>
                    </w:rPr>
                  </w:pPr>
                  <w:r>
                    <w:rPr>
                      <w:color w:val="58595B"/>
                      <w:spacing w:val="3"/>
                      <w:sz w:val="15"/>
                    </w:rPr>
                    <w:t>CHAPTER </w:t>
                  </w:r>
                  <w:r>
                    <w:rPr>
                      <w:color w:val="58595B"/>
                      <w:sz w:val="15"/>
                    </w:rPr>
                    <w:t>10    TAKING A </w:t>
                  </w:r>
                  <w:r>
                    <w:rPr>
                      <w:color w:val="58595B"/>
                      <w:spacing w:val="2"/>
                      <w:sz w:val="15"/>
                    </w:rPr>
                    <w:t>STRATEGIC </w:t>
                  </w:r>
                  <w:r>
                    <w:rPr>
                      <w:color w:val="58595B"/>
                      <w:sz w:val="15"/>
                    </w:rPr>
                    <w:t>APPROACH TO </w:t>
                  </w:r>
                  <w:r>
                    <w:rPr>
                      <w:color w:val="58595B"/>
                      <w:spacing w:val="4"/>
                      <w:sz w:val="15"/>
                    </w:rPr>
                    <w:t>LAND</w:t>
                  </w:r>
                  <w:r>
                    <w:rPr>
                      <w:color w:val="58595B"/>
                      <w:spacing w:val="49"/>
                      <w:sz w:val="15"/>
                    </w:rPr>
                    <w:t> </w:t>
                  </w:r>
                  <w:r>
                    <w:rPr>
                      <w:color w:val="58595B"/>
                      <w:spacing w:val="2"/>
                      <w:sz w:val="15"/>
                    </w:rPr>
                    <w:t>USE</w:t>
                  </w:r>
                  <w:r>
                    <w:rPr>
                      <w:color w:val="58595B"/>
                      <w:spacing w:val="5"/>
                      <w:sz w:val="15"/>
                    </w:rPr>
                    <w:t> </w:t>
                  </w:r>
                  <w:r>
                    <w:rPr>
                      <w:color w:val="58595B"/>
                      <w:spacing w:val="4"/>
                      <w:sz w:val="15"/>
                    </w:rPr>
                    <w:t>PLANNING</w:t>
                    <w:tab/>
                  </w:r>
                  <w:r>
                    <w:rPr>
                      <w:color w:val="58595B"/>
                      <w:sz w:val="15"/>
                    </w:rPr>
                    <w:t>187</w:t>
                  </w:r>
                </w:p>
              </w:txbxContent>
            </v:textbox>
            <w10:wrap type="none"/>
          </v:shape>
        </w:pict>
      </w:r>
      <w:r>
        <w:rPr/>
        <w:pict>
          <v:shape style="position:absolute;margin-left:118.055099pt;margin-top:105.893967pt;width:373.6pt;height:66pt;mso-position-horizontal-relative:page;mso-position-vertical-relative:page;z-index:-169648" type="#_x0000_t202" filled="false" stroked="false">
            <v:textbox inset="0,0,0,0">
              <w:txbxContent>
                <w:p>
                  <w:pPr>
                    <w:spacing w:line="280" w:lineRule="auto" w:before="0"/>
                    <w:ind w:left="20" w:right="0" w:firstLine="0"/>
                    <w:jc w:val="left"/>
                    <w:rPr>
                      <w:sz w:val="20"/>
                    </w:rPr>
                  </w:pPr>
                  <w:r>
                    <w:rPr>
                      <w:i/>
                      <w:color w:val="231F20"/>
                      <w:sz w:val="20"/>
                    </w:rPr>
                    <w:t>EPA needs to work across all levels of government to protect current facilities from urban encroachment and ensure confidence in long term planning for the location, zoning and security of future waste and resource recovery facilities while protecting the community’s right to a safe and healthy environment. </w:t>
                  </w:r>
                  <w:r>
                    <w:rPr>
                      <w:color w:val="231F20"/>
                      <w:sz w:val="20"/>
                    </w:rPr>
                    <w:t>(Australian Industry Group</w:t>
                  </w:r>
                </w:p>
                <w:p>
                  <w:pPr>
                    <w:pStyle w:val="BodyText"/>
                    <w:spacing w:before="2"/>
                  </w:pPr>
                  <w:r>
                    <w:rPr>
                      <w:color w:val="231F20"/>
                    </w:rPr>
                    <w:t>– Waste Industry Alliance submission, p. 3)</w:t>
                  </w:r>
                </w:p>
              </w:txbxContent>
            </v:textbox>
            <w10:wrap type="none"/>
          </v:shape>
        </w:pict>
      </w:r>
      <w:r>
        <w:rPr/>
        <w:pict>
          <v:shape style="position:absolute;margin-left:89.705101pt;margin-top:181.893967pt;width:433.45pt;height:39pt;mso-position-horizontal-relative:page;mso-position-vertical-relative:page;z-index:-169624" type="#_x0000_t202" filled="false" stroked="false">
            <v:textbox inset="0,0,0,0">
              <w:txbxContent>
                <w:p>
                  <w:pPr>
                    <w:pStyle w:val="BodyText"/>
                    <w:spacing w:line="280" w:lineRule="auto"/>
                    <w:rPr>
                      <w:sz w:val="11"/>
                    </w:rPr>
                  </w:pPr>
                  <w:r>
                    <w:rPr>
                      <w:color w:val="58595B"/>
                    </w:rPr>
                    <w:t>The Plan Melbourne process also identified encroachment as a problem, noting ‘… industrial businesses … [experience] urban encroachment and hence complaints from new residents about their operations. Quarries are a good example of this potential land use conflict’.</w:t>
                  </w:r>
                  <w:r>
                    <w:rPr>
                      <w:color w:val="58595B"/>
                      <w:position w:val="7"/>
                      <w:sz w:val="11"/>
                    </w:rPr>
                    <w:t>9</w:t>
                  </w:r>
                </w:p>
              </w:txbxContent>
            </v:textbox>
            <w10:wrap type="none"/>
          </v:shape>
        </w:pict>
      </w:r>
      <w:r>
        <w:rPr/>
        <w:pict>
          <v:shape style="position:absolute;margin-left:89.708702pt;margin-top:230.901764pt;width:435.7pt;height:39pt;mso-position-horizontal-relative:page;mso-position-vertical-relative:page;z-index:-169600" type="#_x0000_t202" filled="false" stroked="false">
            <v:textbox inset="0,0,0,0">
              <w:txbxContent>
                <w:p>
                  <w:pPr>
                    <w:pStyle w:val="BodyText"/>
                    <w:spacing w:line="280" w:lineRule="auto"/>
                    <w:ind w:right="-9"/>
                  </w:pPr>
                  <w:r>
                    <w:rPr>
                      <w:color w:val="58595B"/>
                    </w:rPr>
                    <w:t>Effective planning should also reduce, over the longer term, the current burden of dealing with amenity complaints. Influencing land use planning will be the EPA’s key lever to make a difference and to avoid a new generation of entrenched amenity problems and pollution complaints.</w:t>
                  </w:r>
                </w:p>
              </w:txbxContent>
            </v:textbox>
            <w10:wrap type="none"/>
          </v:shape>
        </w:pict>
      </w:r>
      <w:r>
        <w:rPr/>
        <w:pict>
          <v:shape style="position:absolute;margin-left:90.709pt;margin-top:278.343018pt;width:432.75pt;height:369.5pt;mso-position-horizontal-relative:page;mso-position-vertical-relative:page;z-index:-169576" type="#_x0000_t202" filled="false" stroked="false">
            <v:textbox inset="0,0,0,0">
              <w:txbxContent>
                <w:p>
                  <w:pPr>
                    <w:pStyle w:val="BodyText"/>
                    <w:spacing w:line="280" w:lineRule="auto" w:before="128"/>
                    <w:ind w:left="170" w:right="1408"/>
                  </w:pPr>
                  <w:r>
                    <w:rPr>
                      <w:b/>
                      <w:color w:val="0095A7"/>
                    </w:rPr>
                    <w:t>BOX 10.1 </w:t>
                  </w:r>
                  <w:r>
                    <w:rPr>
                      <w:color w:val="0095A7"/>
                    </w:rPr>
                    <w:t>INTENSIVE ANIMAL INDUSTRIES – A GROWING ISSUE FOR THE URBAN FRINGE</w:t>
                  </w:r>
                </w:p>
                <w:p>
                  <w:pPr>
                    <w:pStyle w:val="BodyText"/>
                    <w:spacing w:line="280" w:lineRule="auto" w:before="115"/>
                    <w:ind w:left="170" w:right="161"/>
                  </w:pPr>
                  <w:r>
                    <w:rPr>
                      <w:color w:val="58595B"/>
                    </w:rPr>
                    <w:t>In regional Victoria and on the urban fringes, land use planners and the EPA face increasing pressures to manage the interactions between changing farming practices, housing growth and changing community expectations on amenity.</w:t>
                  </w:r>
                </w:p>
                <w:p>
                  <w:pPr>
                    <w:pStyle w:val="BodyText"/>
                    <w:spacing w:line="280" w:lineRule="auto" w:before="172"/>
                    <w:ind w:left="170" w:right="267"/>
                  </w:pPr>
                  <w:r>
                    <w:rPr>
                      <w:color w:val="58595B"/>
                    </w:rPr>
                    <w:t>In </w:t>
                  </w:r>
                  <w:r>
                    <w:rPr>
                      <w:color w:val="58595B"/>
                      <w:spacing w:val="-3"/>
                    </w:rPr>
                    <w:t>2015, </w:t>
                  </w:r>
                  <w:r>
                    <w:rPr>
                      <w:color w:val="58595B"/>
                    </w:rPr>
                    <w:t>the Minister for Planning appointed an Animal Industries Advisory Committee to report on how the planning system can support the establishment and expansion of animal industries. In its discussion </w:t>
                  </w:r>
                  <w:r>
                    <w:rPr>
                      <w:color w:val="58595B"/>
                      <w:spacing w:val="-4"/>
                    </w:rPr>
                    <w:t>paper,</w:t>
                  </w:r>
                  <w:r>
                    <w:rPr>
                      <w:color w:val="58595B"/>
                      <w:spacing w:val="-4"/>
                      <w:position w:val="7"/>
                      <w:sz w:val="11"/>
                    </w:rPr>
                    <w:t>10 </w:t>
                  </w:r>
                  <w:r>
                    <w:rPr>
                      <w:color w:val="58595B"/>
                    </w:rPr>
                    <w:t>the committee noted that all livestock production systems have the potential for off-farm impacts on the environment and community. The committee will report on options to manage those impacts while supporting industry</w:t>
                  </w:r>
                  <w:r>
                    <w:rPr>
                      <w:color w:val="58595B"/>
                      <w:spacing w:val="31"/>
                    </w:rPr>
                    <w:t> </w:t>
                  </w:r>
                  <w:r>
                    <w:rPr>
                      <w:color w:val="58595B"/>
                    </w:rPr>
                    <w:t>growth.</w:t>
                  </w:r>
                </w:p>
                <w:p>
                  <w:pPr>
                    <w:pStyle w:val="BodyText"/>
                    <w:spacing w:line="280" w:lineRule="auto" w:before="172"/>
                    <w:ind w:left="170" w:right="371"/>
                    <w:rPr>
                      <w:sz w:val="11"/>
                    </w:rPr>
                  </w:pPr>
                  <w:r>
                    <w:rPr>
                      <w:color w:val="58595B"/>
                    </w:rPr>
                    <w:t>Recent Victorian research on broiler farms noted the rise in planning disputes and tensions in peri-urban areas, as these producers look for suitable sites that are ‘… close enough to processing plants, but far enough from neighbours and sensitive land uses’.</w:t>
                  </w:r>
                  <w:r>
                    <w:rPr>
                      <w:color w:val="58595B"/>
                      <w:position w:val="7"/>
                      <w:sz w:val="11"/>
                    </w:rPr>
                    <w:t>11</w:t>
                  </w:r>
                </w:p>
                <w:p>
                  <w:pPr>
                    <w:pStyle w:val="BodyText"/>
                    <w:spacing w:line="280" w:lineRule="auto" w:before="172"/>
                    <w:ind w:left="170" w:right="161"/>
                  </w:pPr>
                  <w:r>
                    <w:rPr>
                      <w:color w:val="58595B"/>
                    </w:rPr>
                    <w:t>For the EPA, the issues around land use planning and intensive animal industries can also give rise to complaints similar to those associated with encroachment on landfill buffers:</w:t>
                  </w:r>
                </w:p>
                <w:p>
                  <w:pPr>
                    <w:pStyle w:val="ListParagraph"/>
                    <w:numPr>
                      <w:ilvl w:val="0"/>
                      <w:numId w:val="72"/>
                    </w:numPr>
                    <w:tabs>
                      <w:tab w:pos="341" w:val="left" w:leader="none"/>
                    </w:tabs>
                    <w:spacing w:line="280" w:lineRule="auto" w:before="115" w:after="0"/>
                    <w:ind w:left="340" w:right="842" w:hanging="170"/>
                    <w:jc w:val="left"/>
                    <w:rPr>
                      <w:sz w:val="20"/>
                    </w:rPr>
                  </w:pPr>
                  <w:r>
                    <w:rPr>
                      <w:color w:val="58595B"/>
                      <w:sz w:val="20"/>
                    </w:rPr>
                    <w:t>encroachment of residential use closer to intensive animal industrial use, resulting in amenity conflict especially</w:t>
                  </w:r>
                  <w:r>
                    <w:rPr>
                      <w:color w:val="58595B"/>
                      <w:spacing w:val="14"/>
                      <w:sz w:val="20"/>
                    </w:rPr>
                    <w:t> </w:t>
                  </w:r>
                  <w:r>
                    <w:rPr>
                      <w:color w:val="58595B"/>
                      <w:sz w:val="20"/>
                    </w:rPr>
                    <w:t>odour</w:t>
                  </w:r>
                </w:p>
                <w:p>
                  <w:pPr>
                    <w:pStyle w:val="ListParagraph"/>
                    <w:numPr>
                      <w:ilvl w:val="0"/>
                      <w:numId w:val="72"/>
                    </w:numPr>
                    <w:tabs>
                      <w:tab w:pos="341" w:val="left" w:leader="none"/>
                    </w:tabs>
                    <w:spacing w:line="280" w:lineRule="auto" w:before="115" w:after="0"/>
                    <w:ind w:left="340" w:right="722" w:hanging="170"/>
                    <w:jc w:val="left"/>
                    <w:rPr>
                      <w:sz w:val="20"/>
                    </w:rPr>
                  </w:pPr>
                  <w:r>
                    <w:rPr>
                      <w:color w:val="58595B"/>
                      <w:sz w:val="20"/>
                    </w:rPr>
                    <w:t>conflict for licensed animal industries resulting from more ‘non-farming’ or hobby farm residents living in farming zones, plus an increase in the number of tourism-based agricultural enterprises, such as wineries with cellar door sales and restaurants, </w:t>
                  </w:r>
                  <w:r>
                    <w:rPr>
                      <w:color w:val="58595B"/>
                      <w:spacing w:val="2"/>
                      <w:sz w:val="20"/>
                    </w:rPr>
                    <w:t>eco- </w:t>
                  </w:r>
                  <w:r>
                    <w:rPr>
                      <w:color w:val="58595B"/>
                      <w:sz w:val="20"/>
                    </w:rPr>
                    <w:t>tourism, and farm</w:t>
                  </w:r>
                  <w:r>
                    <w:rPr>
                      <w:color w:val="58595B"/>
                      <w:spacing w:val="-2"/>
                      <w:sz w:val="20"/>
                    </w:rPr>
                    <w:t> </w:t>
                  </w:r>
                  <w:r>
                    <w:rPr>
                      <w:color w:val="58595B"/>
                      <w:sz w:val="20"/>
                    </w:rPr>
                    <w:t>stays</w:t>
                  </w:r>
                </w:p>
                <w:p>
                  <w:pPr>
                    <w:pStyle w:val="ListParagraph"/>
                    <w:numPr>
                      <w:ilvl w:val="0"/>
                      <w:numId w:val="72"/>
                    </w:numPr>
                    <w:tabs>
                      <w:tab w:pos="341" w:val="left" w:leader="none"/>
                    </w:tabs>
                    <w:spacing w:line="280" w:lineRule="auto" w:before="115" w:after="0"/>
                    <w:ind w:left="340" w:right="368" w:hanging="170"/>
                    <w:jc w:val="left"/>
                    <w:rPr>
                      <w:sz w:val="20"/>
                    </w:rPr>
                  </w:pPr>
                  <w:r>
                    <w:rPr>
                      <w:color w:val="58595B"/>
                      <w:sz w:val="20"/>
                    </w:rPr>
                    <w:t>encroachment of intensive industries onto residential use, where rapid industry expansion has resulted in inadequate buffers.</w:t>
                  </w:r>
                </w:p>
              </w:txbxContent>
            </v:textbox>
            <w10:wrap type="none"/>
          </v:shape>
        </w:pict>
      </w:r>
      <w:r>
        <w:rPr/>
        <w:pict>
          <v:shape style="position:absolute;margin-left:534.996094pt;margin-top:44.090015pt;width:60.3pt;height:5.25pt;mso-position-horizontal-relative:page;mso-position-vertical-relative:page;z-index:-16955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6952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69504" from=".0pt,45.840015pt" to="60.2791pt,45.840015pt" stroked="true" strokeweight="7pt" strokecolor="#0095a7">
            <w10:wrap type="none"/>
          </v:line>
        </w:pict>
      </w:r>
      <w:r>
        <w:rPr/>
        <w:pict>
          <v:rect style="position:absolute;margin-left:70.865997pt;margin-top:428.973022pt;width:432.701pt;height:333.973pt;mso-position-horizontal-relative:page;mso-position-vertical-relative:page;z-index:-169480" filled="true" fillcolor="#eaf2f3" stroked="false">
            <v:fill type="solid"/>
            <w10:wrap type="none"/>
          </v:rect>
        </w:pict>
      </w:r>
      <w:r>
        <w:rPr/>
        <w:pict>
          <v:shape style="position:absolute;margin-left:69.866096pt;margin-top:40.902756pt;width:14.55pt;height:9.5pt;mso-position-horizontal-relative:page;mso-position-vertical-relative:page;z-index:-169456" type="#_x0000_t202" filled="false" stroked="false">
            <v:textbox inset="0,0,0,0">
              <w:txbxContent>
                <w:p>
                  <w:pPr>
                    <w:spacing w:before="1"/>
                    <w:ind w:left="20" w:right="0" w:firstLine="0"/>
                    <w:jc w:val="left"/>
                    <w:rPr>
                      <w:sz w:val="15"/>
                    </w:rPr>
                  </w:pPr>
                  <w:r>
                    <w:rPr>
                      <w:color w:val="58595B"/>
                      <w:sz w:val="15"/>
                    </w:rPr>
                    <w:t>188</w:t>
                  </w:r>
                </w:p>
              </w:txbxContent>
            </v:textbox>
            <w10:wrap type="none"/>
          </v:shape>
        </w:pict>
      </w:r>
      <w:r>
        <w:rPr/>
        <w:pict>
          <v:shape style="position:absolute;margin-left:95.377899pt;margin-top:40.902756pt;width:147.75pt;height:9.5pt;mso-position-horizontal-relative:page;mso-position-vertical-relative:page;z-index:-16943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72934pt;width:422.1pt;height:73.3pt;mso-position-horizontal-relative:page;mso-position-vertical-relative:page;z-index:-169408" type="#_x0000_t202" filled="false" stroked="false">
            <v:textbox inset="0,0,0,0">
              <w:txbxContent>
                <w:p>
                  <w:pPr>
                    <w:spacing w:line="265" w:lineRule="exact" w:before="0"/>
                    <w:ind w:left="20" w:right="-14" w:firstLine="0"/>
                    <w:jc w:val="left"/>
                    <w:rPr>
                      <w:sz w:val="24"/>
                    </w:rPr>
                  </w:pPr>
                  <w:r>
                    <w:rPr>
                      <w:color w:val="0095A7"/>
                      <w:sz w:val="24"/>
                    </w:rPr>
                    <w:t>10.3  EPA taking a strategic approach to land use planning</w:t>
                  </w:r>
                </w:p>
                <w:p>
                  <w:pPr>
                    <w:pStyle w:val="BodyText"/>
                    <w:spacing w:line="280" w:lineRule="auto" w:before="145"/>
                    <w:ind w:right="-3"/>
                  </w:pPr>
                  <w:r>
                    <w:rPr>
                      <w:color w:val="58595B"/>
                    </w:rPr>
                    <w:t>We consider the EPA’s role in land use planning should be to provide advice to inform strategic planning processes about environmental risks – particularly risks to amenity and human</w:t>
                  </w:r>
                </w:p>
                <w:p>
                  <w:pPr>
                    <w:pStyle w:val="BodyText"/>
                    <w:spacing w:line="280" w:lineRule="auto" w:before="2"/>
                    <w:ind w:right="59"/>
                  </w:pPr>
                  <w:r>
                    <w:rPr>
                      <w:color w:val="58595B"/>
                    </w:rPr>
                    <w:t>health – to avoid or mitigate potential impacts. This approach is consistent with the views of key stakeholders:</w:t>
                  </w:r>
                </w:p>
              </w:txbxContent>
            </v:textbox>
            <w10:wrap type="none"/>
          </v:shape>
        </w:pict>
      </w:r>
      <w:r>
        <w:rPr/>
        <w:pict>
          <v:shape style="position:absolute;margin-left:98.20610pt;margin-top:189.019272pt;width:373.75pt;height:52.5pt;mso-position-horizontal-relative:page;mso-position-vertical-relative:page;z-index:-169384" type="#_x0000_t202" filled="false" stroked="false">
            <v:textbox inset="0,0,0,0">
              <w:txbxContent>
                <w:p>
                  <w:pPr>
                    <w:spacing w:line="280" w:lineRule="auto" w:before="0"/>
                    <w:ind w:left="20" w:right="0" w:firstLine="0"/>
                    <w:jc w:val="left"/>
                    <w:rPr>
                      <w:sz w:val="20"/>
                    </w:rPr>
                  </w:pPr>
                  <w:r>
                    <w:rPr>
                      <w:i/>
                      <w:color w:val="231F20"/>
                      <w:sz w:val="20"/>
                    </w:rPr>
                    <w:t>The EPA is not a regulator of land use. This is the role of local government. What it can do is advise on the level of impact and risk and consequences so that decisions are well informed and councils are supported. </w:t>
                  </w:r>
                  <w:r>
                    <w:rPr>
                      <w:color w:val="231F20"/>
                      <w:sz w:val="20"/>
                    </w:rPr>
                    <w:t>(Municipal Association of Victoria submission, p. 22)</w:t>
                  </w:r>
                </w:p>
              </w:txbxContent>
            </v:textbox>
            <w10:wrap type="none"/>
          </v:shape>
        </w:pict>
      </w:r>
      <w:r>
        <w:rPr/>
        <w:pict>
          <v:shape style="position:absolute;margin-left:98.20610pt;margin-top:251.519272pt;width:378.15pt;height:52.5pt;mso-position-horizontal-relative:page;mso-position-vertical-relative:page;z-index:-169360" type="#_x0000_t202" filled="false" stroked="false">
            <v:textbox inset="0,0,0,0">
              <w:txbxContent>
                <w:p>
                  <w:pPr>
                    <w:spacing w:line="280" w:lineRule="auto" w:before="0"/>
                    <w:ind w:left="20" w:right="0" w:firstLine="0"/>
                    <w:jc w:val="left"/>
                    <w:rPr>
                      <w:i/>
                      <w:sz w:val="20"/>
                    </w:rPr>
                  </w:pPr>
                  <w:r>
                    <w:rPr>
                      <w:i/>
                      <w:color w:val="231F20"/>
                      <w:sz w:val="20"/>
                    </w:rPr>
                    <w:t>Work with statutory planners at State and local government levels to ensure planning policies, zoning plans and approval of planning permits minimise the likelihood of</w:t>
                  </w:r>
                </w:p>
                <w:p>
                  <w:pPr>
                    <w:spacing w:line="280" w:lineRule="auto" w:before="2"/>
                    <w:ind w:left="20" w:right="0" w:firstLine="0"/>
                    <w:jc w:val="left"/>
                    <w:rPr>
                      <w:sz w:val="20"/>
                    </w:rPr>
                  </w:pPr>
                  <w:r>
                    <w:rPr>
                      <w:i/>
                      <w:color w:val="231F20"/>
                      <w:sz w:val="20"/>
                    </w:rPr>
                    <w:t>co-location of incompatible land uses leading to potential loss of amenity, impacts on health, etc. </w:t>
                  </w:r>
                  <w:r>
                    <w:rPr>
                      <w:color w:val="231F20"/>
                      <w:sz w:val="20"/>
                    </w:rPr>
                    <w:t>(Robert Joy submission, p. 4)</w:t>
                  </w:r>
                </w:p>
              </w:txbxContent>
            </v:textbox>
            <w10:wrap type="none"/>
          </v:shape>
        </w:pict>
      </w:r>
      <w:r>
        <w:rPr/>
        <w:pict>
          <v:shape style="position:absolute;margin-left:69.866096pt;margin-top:314.019257pt;width:429.65pt;height:106.5pt;mso-position-horizontal-relative:page;mso-position-vertical-relative:page;z-index:-169336" type="#_x0000_t202" filled="false" stroked="false">
            <v:textbox inset="0,0,0,0">
              <w:txbxContent>
                <w:p>
                  <w:pPr>
                    <w:pStyle w:val="BodyText"/>
                    <w:spacing w:line="280" w:lineRule="auto"/>
                    <w:ind w:right="144"/>
                  </w:pPr>
                  <w:r>
                    <w:rPr>
                      <w:color w:val="58595B"/>
                    </w:rPr>
                    <w:t>Involving the EPA early in strategic land use planning processes will support robust decision making, including ensuring that critical infrastructure can operate appropriately. This approach is consistent with the initiatives already underway within the EPA, which focus on strategic engagement earlier in the planning process (on strategic planning issues such as rezoning</w:t>
                  </w:r>
                </w:p>
                <w:p>
                  <w:pPr>
                    <w:pStyle w:val="BodyText"/>
                    <w:spacing w:line="280" w:lineRule="auto" w:before="2"/>
                  </w:pPr>
                  <w:r>
                    <w:rPr>
                      <w:color w:val="58595B"/>
                    </w:rPr>
                    <w:t>or amendments), and away from high effort/limited value, reactive responses to hundreds of unprioritised planning permit referrals each year. The EPA’s recent involvement in planning scheme amendment and rezoning processes with the City of Warrnambool is a good example of effective strategic land use planning to address potential amenity impacts (box 10.2).</w:t>
                  </w:r>
                </w:p>
              </w:txbxContent>
            </v:textbox>
            <w10:wrap type="none"/>
          </v:shape>
        </w:pict>
      </w:r>
      <w:r>
        <w:rPr/>
        <w:pict>
          <v:shape style="position:absolute;margin-left:70.865997pt;margin-top:428.973022pt;width:432.7pt;height:334pt;mso-position-horizontal-relative:page;mso-position-vertical-relative:page;z-index:-169312" type="#_x0000_t202" filled="false" stroked="false">
            <v:textbox inset="0,0,0,0">
              <w:txbxContent>
                <w:p>
                  <w:pPr>
                    <w:pStyle w:val="BodyText"/>
                    <w:spacing w:before="128"/>
                    <w:ind w:left="170" w:right="277"/>
                  </w:pPr>
                  <w:r>
                    <w:rPr>
                      <w:b/>
                      <w:color w:val="0095A7"/>
                    </w:rPr>
                    <w:t>BOX 10.2  </w:t>
                  </w:r>
                  <w:r>
                    <w:rPr>
                      <w:color w:val="0095A7"/>
                    </w:rPr>
                    <w:t>TAKING A PROACTIVE APPROACH TO ENCROACHMENT ISSUES</w:t>
                  </w:r>
                </w:p>
                <w:p>
                  <w:pPr>
                    <w:pStyle w:val="BodyText"/>
                    <w:spacing w:line="280" w:lineRule="auto" w:before="153"/>
                    <w:ind w:left="170" w:right="277"/>
                  </w:pPr>
                  <w:r>
                    <w:rPr>
                      <w:color w:val="58595B"/>
                    </w:rPr>
                    <w:t>In 2012, Warrnambool City Council requested the EPA’s advice on a planning permit application to subdivide residential zoned land in Eccles Street, Warrnambool into 16 lots. The land is sited within 300 metres of an abattoir.</w:t>
                  </w:r>
                </w:p>
                <w:p>
                  <w:pPr>
                    <w:pStyle w:val="BodyText"/>
                    <w:spacing w:line="280" w:lineRule="auto" w:before="172"/>
                    <w:ind w:left="170" w:right="189"/>
                  </w:pPr>
                  <w:r>
                    <w:rPr>
                      <w:color w:val="58595B"/>
                    </w:rPr>
                    <w:t>The EPA objected to the subdivision on the basis of its proximity to the abattoir and queried the appropriateness of the residential zoning. The council refused the application in 2013 and commenced a review of all land uses within industrial buffers in its municipality. The applicant sought review of the council decision and the EPA joined as a party to the Victorian Civil and Administrative Tribunal proceeding.</w:t>
                  </w:r>
                </w:p>
                <w:p>
                  <w:pPr>
                    <w:spacing w:line="280" w:lineRule="auto" w:before="172"/>
                    <w:ind w:left="170" w:right="515" w:firstLine="0"/>
                    <w:jc w:val="left"/>
                    <w:rPr>
                      <w:sz w:val="20"/>
                    </w:rPr>
                  </w:pPr>
                  <w:r>
                    <w:rPr>
                      <w:color w:val="58595B"/>
                      <w:sz w:val="20"/>
                    </w:rPr>
                    <w:t>The EPA worked with the council on its </w:t>
                  </w:r>
                  <w:r>
                    <w:rPr>
                      <w:i/>
                      <w:color w:val="58595B"/>
                      <w:sz w:val="20"/>
                    </w:rPr>
                    <w:t>Review of land uses within industrial buffers 2014</w:t>
                  </w:r>
                  <w:r>
                    <w:rPr>
                      <w:color w:val="58595B"/>
                      <w:sz w:val="20"/>
                    </w:rPr>
                    <w:t>, which adopted the distances in EPA’s guideline </w:t>
                  </w:r>
                  <w:r>
                    <w:rPr>
                      <w:i/>
                      <w:color w:val="58595B"/>
                      <w:sz w:val="20"/>
                    </w:rPr>
                    <w:t>Recommended separation distances for industrial residual air emissions</w:t>
                  </w:r>
                  <w:r>
                    <w:rPr>
                      <w:color w:val="58595B"/>
                      <w:sz w:val="20"/>
                    </w:rPr>
                    <w:t>.</w:t>
                  </w:r>
                </w:p>
                <w:p>
                  <w:pPr>
                    <w:pStyle w:val="BodyText"/>
                    <w:spacing w:line="280" w:lineRule="auto" w:before="172"/>
                    <w:ind w:left="170" w:right="277"/>
                  </w:pPr>
                  <w:r>
                    <w:rPr>
                      <w:color w:val="58595B"/>
                    </w:rPr>
                    <w:t>The council review recommended rezoning the Eccles Street site to a Special Use Zone to achieve transition between the industrial and residential uses in the precinct. The landowner supported the proposed planning scheme amendment and withdrew its Victorian Civil and Administrative Tribunal application.</w:t>
                  </w:r>
                </w:p>
                <w:p>
                  <w:pPr>
                    <w:pStyle w:val="BodyText"/>
                    <w:spacing w:line="280" w:lineRule="auto" w:before="172"/>
                    <w:ind w:left="170" w:right="604"/>
                  </w:pPr>
                  <w:r>
                    <w:rPr>
                      <w:color w:val="58595B"/>
                    </w:rPr>
                    <w:t>In </w:t>
                  </w:r>
                  <w:r>
                    <w:rPr>
                      <w:color w:val="58595B"/>
                      <w:spacing w:val="-3"/>
                    </w:rPr>
                    <w:t>2015, </w:t>
                  </w:r>
                  <w:r>
                    <w:rPr>
                      <w:color w:val="58595B"/>
                    </w:rPr>
                    <w:t>the </w:t>
                  </w:r>
                  <w:r>
                    <w:rPr>
                      <w:color w:val="58595B"/>
                      <w:spacing w:val="-4"/>
                    </w:rPr>
                    <w:t>EPA </w:t>
                  </w:r>
                  <w:r>
                    <w:rPr>
                      <w:color w:val="58595B"/>
                    </w:rPr>
                    <w:t>appeared at the Planning Panels Victoria hearing to support the planning scheme amendment to rezone the Eccles Street site, inform the Panel about the environmental risks posed by the abattoir, and advocate implementing the separation distance guideline. The Panel supported the amendment and recommended the council review buffers for other precincts in the council</w:t>
                  </w:r>
                  <w:r>
                    <w:rPr>
                      <w:color w:val="58595B"/>
                      <w:spacing w:val="13"/>
                    </w:rPr>
                    <w:t> </w:t>
                  </w:r>
                  <w:r>
                    <w:rPr>
                      <w:color w:val="58595B"/>
                    </w:rPr>
                    <w:t>area.</w:t>
                  </w:r>
                </w:p>
              </w:txbxContent>
            </v:textbox>
            <w10:wrap type="none"/>
          </v:shape>
        </w:pict>
      </w:r>
      <w:r>
        <w:rPr/>
        <w:pict>
          <v:shape style="position:absolute;margin-left:.0pt;margin-top:44.090015pt;width:60.3pt;height:5.25pt;mso-position-horizontal-relative:page;mso-position-vertical-relative:page;z-index:-169288"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69264"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69240" from="534.996094pt,45.840015pt" to="595.276001pt,45.840015pt" stroked="true" strokeweight="7pt" strokecolor="#0095a7">
            <w10:wrap type="none"/>
          </v:line>
        </w:pict>
      </w:r>
      <w:r>
        <w:rPr/>
        <w:pict>
          <v:shape style="position:absolute;margin-left:217.741592pt;margin-top:40.902756pt;width:282.150pt;height:9.5pt;mso-position-horizontal-relative:page;mso-position-vertical-relative:page;z-index:-169216" type="#_x0000_t202" filled="false" stroked="false">
            <v:textbox inset="0,0,0,0">
              <w:txbxContent>
                <w:p>
                  <w:pPr>
                    <w:spacing w:before="1"/>
                    <w:ind w:left="20" w:right="0" w:firstLine="0"/>
                    <w:jc w:val="left"/>
                    <w:rPr>
                      <w:sz w:val="15"/>
                    </w:rPr>
                  </w:pPr>
                  <w:r>
                    <w:rPr>
                      <w:color w:val="58595B"/>
                      <w:sz w:val="15"/>
                    </w:rPr>
                    <w:t>CHAPTER 10    TAKING A STRATEGIC APPROACH TO LAND USE  PLANNING</w:t>
                  </w:r>
                </w:p>
              </w:txbxContent>
            </v:textbox>
            <w10:wrap type="none"/>
          </v:shape>
        </w:pict>
      </w:r>
      <w:r>
        <w:rPr/>
        <w:pict>
          <v:shape style="position:absolute;margin-left:510.868988pt;margin-top:40.902756pt;width:14.5pt;height:9.5pt;mso-position-horizontal-relative:page;mso-position-vertical-relative:page;z-index:-169192" type="#_x0000_t202" filled="false" stroked="false">
            <v:textbox inset="0,0,0,0">
              <w:txbxContent>
                <w:p>
                  <w:pPr>
                    <w:spacing w:before="1"/>
                    <w:ind w:left="20" w:right="-1" w:firstLine="0"/>
                    <w:jc w:val="left"/>
                    <w:rPr>
                      <w:sz w:val="15"/>
                    </w:rPr>
                  </w:pPr>
                  <w:r>
                    <w:rPr>
                      <w:color w:val="58595B"/>
                      <w:sz w:val="15"/>
                    </w:rPr>
                    <w:t>189</w:t>
                  </w:r>
                </w:p>
              </w:txbxContent>
            </v:textbox>
            <w10:wrap type="none"/>
          </v:shape>
        </w:pict>
      </w:r>
      <w:r>
        <w:rPr/>
        <w:pict>
          <v:shape style="position:absolute;margin-left:89.708603pt;margin-top:105.893967pt;width:428.2pt;height:66pt;mso-position-horizontal-relative:page;mso-position-vertical-relative:page;z-index:-169168" type="#_x0000_t202" filled="false" stroked="false">
            <v:textbox inset="0,0,0,0">
              <w:txbxContent>
                <w:p>
                  <w:pPr>
                    <w:pStyle w:val="BodyText"/>
                    <w:spacing w:line="280" w:lineRule="auto"/>
                  </w:pPr>
                  <w:r>
                    <w:rPr>
                      <w:color w:val="58595B"/>
                    </w:rPr>
                    <w:t>The EPA must build on this approach and focus its attention on state strategic land use planning matters. At the same time, the EPA should review referrals of planning permit applications relating to high risk activities. This process is important both from a risk-based perspective</w:t>
                  </w:r>
                </w:p>
                <w:p>
                  <w:pPr>
                    <w:pStyle w:val="BodyText"/>
                    <w:spacing w:line="280" w:lineRule="auto" w:before="2"/>
                  </w:pPr>
                  <w:r>
                    <w:rPr>
                      <w:color w:val="58595B"/>
                    </w:rPr>
                    <w:t>and also because those applications demand integrated approaches with local government to streamline processes for applicants and community stakeholders.</w:t>
                  </w:r>
                </w:p>
              </w:txbxContent>
            </v:textbox>
            <w10:wrap type="none"/>
          </v:shape>
        </w:pict>
      </w:r>
      <w:r>
        <w:rPr/>
        <w:pict>
          <v:shape style="position:absolute;margin-left:89.708603pt;margin-top:181.893967pt;width:433.1pt;height:52.5pt;mso-position-horizontal-relative:page;mso-position-vertical-relative:page;z-index:-169144" type="#_x0000_t202" filled="false" stroked="false">
            <v:textbox inset="0,0,0,0">
              <w:txbxContent>
                <w:p>
                  <w:pPr>
                    <w:pStyle w:val="BodyText"/>
                    <w:spacing w:line="280" w:lineRule="auto"/>
                  </w:pPr>
                  <w:r>
                    <w:rPr>
                      <w:color w:val="58595B"/>
                    </w:rPr>
                    <w:t>Given this range of demands, the EPA must identify its strategic priorities – deploying its on-the- ground knowledge and environmental scanning to assess how changing land use may affect human health, amenity and the environment. It must also assess the risks of decisions taken now creating intractable ongoing impacts.</w:t>
                  </w:r>
                </w:p>
              </w:txbxContent>
            </v:textbox>
            <w10:wrap type="none"/>
          </v:shape>
        </w:pict>
      </w:r>
      <w:r>
        <w:rPr/>
        <w:pict>
          <v:shape style="position:absolute;margin-left:89.708603pt;margin-top:244.393967pt;width:427.05pt;height:79.5pt;mso-position-horizontal-relative:page;mso-position-vertical-relative:page;z-index:-169120" type="#_x0000_t202" filled="false" stroked="false">
            <v:textbox inset="0,0,0,0">
              <w:txbxContent>
                <w:p>
                  <w:pPr>
                    <w:pStyle w:val="BodyText"/>
                    <w:spacing w:line="280" w:lineRule="auto"/>
                    <w:ind w:right="17"/>
                  </w:pPr>
                  <w:r>
                    <w:rPr>
                      <w:color w:val="58595B"/>
                    </w:rPr>
                    <w:t>Victoria’s planning system must change for the </w:t>
                  </w:r>
                  <w:r>
                    <w:rPr>
                      <w:color w:val="58595B"/>
                      <w:spacing w:val="-4"/>
                    </w:rPr>
                    <w:t>EPA </w:t>
                  </w:r>
                  <w:r>
                    <w:rPr>
                      <w:color w:val="58595B"/>
                    </w:rPr>
                    <w:t>to be fully effective and influential. The  </w:t>
                  </w:r>
                  <w:r>
                    <w:rPr>
                      <w:color w:val="58595B"/>
                      <w:spacing w:val="-4"/>
                    </w:rPr>
                    <w:t>EPA </w:t>
                  </w:r>
                  <w:r>
                    <w:rPr>
                      <w:color w:val="58595B"/>
                    </w:rPr>
                    <w:t>will need new statutory requirements that give it a formal role in strategic land use planning and ensure that its advice is sought when appropriate. Currently, Victoria’s land use planning framework has limited statutory triggers that allow relevant issues to be identified, or</w:t>
                  </w:r>
                  <w:r>
                    <w:rPr>
                      <w:color w:val="58595B"/>
                      <w:spacing w:val="4"/>
                    </w:rPr>
                    <w:t> </w:t>
                  </w:r>
                  <w:r>
                    <w:rPr>
                      <w:color w:val="58595B"/>
                    </w:rPr>
                    <w:t>involve</w:t>
                  </w:r>
                </w:p>
                <w:p>
                  <w:pPr>
                    <w:pStyle w:val="BodyText"/>
                    <w:spacing w:line="280" w:lineRule="auto" w:before="2"/>
                    <w:ind w:right="35"/>
                  </w:pPr>
                  <w:r>
                    <w:rPr>
                      <w:color w:val="58595B"/>
                    </w:rPr>
                    <w:t>the EPA in strategic planning processes at an early stage and to advise planning authorities. Box 10.3 identifies the key elements in the hierarchy of strategic land use planning in Victoria.</w:t>
                  </w:r>
                </w:p>
              </w:txbxContent>
            </v:textbox>
            <w10:wrap type="none"/>
          </v:shape>
        </w:pict>
      </w:r>
      <w:r>
        <w:rPr/>
        <w:pict>
          <v:shape style="position:absolute;margin-left:89.708603pt;margin-top:333.893982pt;width:265.8pt;height:12pt;mso-position-horizontal-relative:page;mso-position-vertical-relative:page;z-index:-169096" type="#_x0000_t202" filled="false" stroked="false">
            <v:textbox inset="0,0,0,0">
              <w:txbxContent>
                <w:p>
                  <w:pPr>
                    <w:pStyle w:val="BodyText"/>
                    <w:spacing w:line="224" w:lineRule="exact"/>
                    <w:ind w:right="-5"/>
                  </w:pPr>
                  <w:r>
                    <w:rPr>
                      <w:color w:val="58595B"/>
                    </w:rPr>
                    <w:t>The EPA should be involved in the following key processes:</w:t>
                  </w:r>
                </w:p>
              </w:txbxContent>
            </v:textbox>
            <w10:wrap type="none"/>
          </v:shape>
        </w:pict>
      </w:r>
      <w:r>
        <w:rPr/>
        <w:pict>
          <v:shape style="position:absolute;margin-left:89.708603pt;margin-top:353.063965pt;width:5.5pt;height:12pt;mso-position-horizontal-relative:page;mso-position-vertical-relative:page;z-index:-16907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98.208603pt;margin-top:353.063965pt;width:424.05pt;height:150.550pt;mso-position-horizontal-relative:page;mso-position-vertical-relative:page;z-index:-169048" type="#_x0000_t202" filled="false" stroked="false">
            <v:textbox inset="0,0,0,0">
              <w:txbxContent>
                <w:p>
                  <w:pPr>
                    <w:pStyle w:val="BodyText"/>
                    <w:spacing w:line="280" w:lineRule="auto"/>
                    <w:ind w:right="13"/>
                  </w:pPr>
                  <w:r>
                    <w:rPr>
                      <w:color w:val="58595B"/>
                    </w:rPr>
                    <w:t>Working with DELWP on overarching government policy settings (such as the Plan Melbourne Refresh) and specific policy projects (such as current work on buffers and Major Hazard Facilities). These processes can set the policy directions on issues such as urban renewal and brownfield redevelopment, as well as overarching policy objectives and aspirations.</w:t>
                  </w:r>
                </w:p>
                <w:p>
                  <w:pPr>
                    <w:pStyle w:val="BodyText"/>
                    <w:spacing w:line="280" w:lineRule="auto" w:before="115"/>
                    <w:ind w:right="13"/>
                  </w:pPr>
                  <w:r>
                    <w:rPr>
                      <w:color w:val="58595B"/>
                    </w:rPr>
                    <w:t>The whole-of-government processes outlined in chapter 7 will provide a good framework for ensuring the EPA’s advice is sought where appropriate.</w:t>
                  </w:r>
                </w:p>
                <w:p>
                  <w:pPr>
                    <w:pStyle w:val="BodyText"/>
                    <w:spacing w:line="280" w:lineRule="auto" w:before="115"/>
                    <w:ind w:right="13"/>
                  </w:pPr>
                  <w:r>
                    <w:rPr>
                      <w:color w:val="58595B"/>
                    </w:rPr>
                    <w:t>Working with the MPA on high level growth area planning and detailed structure planning and infrastructure coordination for key strategic sites.</w:t>
                  </w:r>
                </w:p>
                <w:p>
                  <w:pPr>
                    <w:pStyle w:val="BodyText"/>
                    <w:spacing w:line="280" w:lineRule="auto" w:before="115"/>
                    <w:ind w:right="14"/>
                  </w:pPr>
                  <w:r>
                    <w:rPr>
                      <w:color w:val="58595B"/>
                    </w:rPr>
                    <w:t>Working with local governments on planning scheme amendments (such as rezoning, overlays, and precinct structure planning) that involve potential for amenity impacts.</w:t>
                  </w:r>
                </w:p>
              </w:txbxContent>
            </v:textbox>
            <w10:wrap type="none"/>
          </v:shape>
        </w:pict>
      </w:r>
      <w:r>
        <w:rPr/>
        <w:pict>
          <v:shape style="position:absolute;margin-left:89.708603pt;margin-top:412.733978pt;width:5.5pt;height:12pt;mso-position-horizontal-relative:page;mso-position-vertical-relative:page;z-index:-169024"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08603pt;margin-top:445.403961pt;width:5.5pt;height:12pt;mso-position-horizontal-relative:page;mso-position-vertical-relative:page;z-index:-16900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08603pt;margin-top:478.073975pt;width:5.5pt;height:12pt;mso-position-horizontal-relative:page;mso-position-vertical-relative:page;z-index:-168976"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534.996094pt;margin-top:44.090015pt;width:60.3pt;height:5.25pt;mso-position-horizontal-relative:page;mso-position-vertical-relative:page;z-index:-16895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6892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68904" from=".0pt,45.840015pt" to="60.2791pt,45.840015pt" stroked="true" strokeweight="7pt" strokecolor="#0095a7">
            <w10:wrap type="none"/>
          </v:line>
        </w:pict>
      </w:r>
      <w:r>
        <w:rPr/>
        <w:pict>
          <v:rect style="position:absolute;margin-left:70.865997pt;margin-top:107.717018pt;width:432.701pt;height:507.985pt;mso-position-horizontal-relative:page;mso-position-vertical-relative:page;z-index:-168880" filled="true" fillcolor="#eaf2f3" stroked="false">
            <v:fill type="solid"/>
            <w10:wrap type="none"/>
          </v:rect>
        </w:pict>
      </w:r>
      <w:r>
        <w:rPr/>
        <w:pict>
          <v:shape style="position:absolute;margin-left:69.866096pt;margin-top:40.902756pt;width:14.6pt;height:9.5pt;mso-position-horizontal-relative:page;mso-position-vertical-relative:page;z-index:-168856" type="#_x0000_t202" filled="false" stroked="false">
            <v:textbox inset="0,0,0,0">
              <w:txbxContent>
                <w:p>
                  <w:pPr>
                    <w:spacing w:before="1"/>
                    <w:ind w:left="20" w:right="0" w:firstLine="0"/>
                    <w:jc w:val="left"/>
                    <w:rPr>
                      <w:sz w:val="15"/>
                    </w:rPr>
                  </w:pPr>
                  <w:r>
                    <w:rPr>
                      <w:color w:val="58595B"/>
                      <w:sz w:val="15"/>
                    </w:rPr>
                    <w:t>190</w:t>
                  </w:r>
                </w:p>
              </w:txbxContent>
            </v:textbox>
            <w10:wrap type="none"/>
          </v:shape>
        </w:pict>
      </w:r>
      <w:r>
        <w:rPr/>
        <w:pict>
          <v:shape style="position:absolute;margin-left:95.377899pt;margin-top:40.902756pt;width:147.75pt;height:9.5pt;mso-position-horizontal-relative:page;mso-position-vertical-relative:page;z-index:-168832"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01pt;margin-top:638.508972pt;width:433.25pt;height:125.7pt;mso-position-horizontal-relative:page;mso-position-vertical-relative:page;z-index:-168808" type="#_x0000_t202" filled="false" stroked="false">
            <v:textbox inset="0,0,0,0">
              <w:txbxContent>
                <w:p>
                  <w:pPr>
                    <w:pStyle w:val="BodyText"/>
                    <w:spacing w:line="224" w:lineRule="exact"/>
                    <w:ind w:right="143"/>
                  </w:pPr>
                  <w:r>
                    <w:rPr>
                      <w:color w:val="0095A7"/>
                    </w:rPr>
                    <w:t>10.3.1  New statutory mechanisms for EPA engagement in strategic land use planning</w:t>
                  </w:r>
                </w:p>
                <w:p>
                  <w:pPr>
                    <w:pStyle w:val="BodyText"/>
                    <w:spacing w:line="280" w:lineRule="auto" w:before="153"/>
                  </w:pPr>
                  <w:r>
                    <w:rPr>
                      <w:color w:val="58595B"/>
                    </w:rPr>
                    <w:t>Current arrangements for the EPA to provide advice on strategic land use planning matters can best be described as ‘hit and miss’ and lacking in authority. There is no clear criteria or trigger for EPA involvement. Notifications to the EPA currently rely on the responsible authority recognising potential future environmental impacts and risks. Responsible authorities have little to guide them about whento involve the EPA, that is, what sort of issues and processes should be informed by expert environmental advice. This means that the EPA’s involvement is ad hoc and its advice has no special standing. Currently, the EPA is not always notified of relevant processes, resulting in environmental risks going unidentified and unaddressed with risks of downstream impacts.</w:t>
                  </w:r>
                </w:p>
              </w:txbxContent>
            </v:textbox>
            <w10:wrap type="none"/>
          </v:shape>
        </w:pict>
      </w:r>
      <w:r>
        <w:rPr/>
        <w:pict>
          <v:shape style="position:absolute;margin-left:70.865997pt;margin-top:107.717018pt;width:432.7pt;height:508pt;mso-position-horizontal-relative:page;mso-position-vertical-relative:page;z-index:-168784" type="#_x0000_t202" filled="false" stroked="false">
            <v:textbox inset="0,0,0,0">
              <w:txbxContent>
                <w:p>
                  <w:pPr>
                    <w:spacing w:before="128"/>
                    <w:ind w:left="170" w:right="277" w:firstLine="0"/>
                    <w:jc w:val="left"/>
                    <w:rPr>
                      <w:sz w:val="20"/>
                    </w:rPr>
                  </w:pPr>
                  <w:r>
                    <w:rPr>
                      <w:b/>
                      <w:color w:val="0095A7"/>
                      <w:sz w:val="20"/>
                    </w:rPr>
                    <w:t>BOX 10.3  </w:t>
                  </w:r>
                  <w:r>
                    <w:rPr>
                      <w:color w:val="0095A7"/>
                      <w:sz w:val="20"/>
                    </w:rPr>
                    <w:t>STRATEGIC LAND USE PLANNING IN VICTORIA</w:t>
                  </w:r>
                </w:p>
                <w:p>
                  <w:pPr>
                    <w:pStyle w:val="BodyText"/>
                    <w:spacing w:line="280" w:lineRule="auto" w:before="153"/>
                    <w:ind w:left="170" w:right="277"/>
                  </w:pPr>
                  <w:r>
                    <w:rPr>
                      <w:color w:val="58595B"/>
                    </w:rPr>
                    <w:t>The planning hierarchy comprises a framework of state and local policies that enable decisions about the use and development of land to be made, including decisions on site specific permit applications handled by local government planners.</w:t>
                  </w:r>
                </w:p>
                <w:p>
                  <w:pPr>
                    <w:pStyle w:val="BodyText"/>
                    <w:spacing w:line="280" w:lineRule="auto" w:before="172"/>
                    <w:ind w:left="170" w:right="208"/>
                    <w:rPr>
                      <w:sz w:val="11"/>
                    </w:rPr>
                  </w:pPr>
                  <w:r>
                    <w:rPr>
                      <w:b/>
                      <w:i/>
                      <w:color w:val="58595B"/>
                    </w:rPr>
                    <w:t>The Planning and Environment Act 1987 </w:t>
                  </w:r>
                  <w:r>
                    <w:rPr>
                      <w:color w:val="58595B"/>
                    </w:rPr>
                    <w:t>seeks ‘… to establish a framework for planning the use, development and protection of land in Victoria in the present and long-term interests of all Victorians’.</w:t>
                  </w:r>
                  <w:r>
                    <w:rPr>
                      <w:color w:val="58595B"/>
                      <w:position w:val="7"/>
                      <w:sz w:val="11"/>
                    </w:rPr>
                    <w:t>12</w:t>
                  </w:r>
                </w:p>
                <w:p>
                  <w:pPr>
                    <w:pStyle w:val="BodyText"/>
                    <w:spacing w:line="280" w:lineRule="auto" w:before="172"/>
                    <w:ind w:left="169" w:right="189"/>
                    <w:rPr>
                      <w:sz w:val="11"/>
                    </w:rPr>
                  </w:pPr>
                  <w:r>
                    <w:rPr>
                      <w:b/>
                      <w:color w:val="58595B"/>
                    </w:rPr>
                    <w:t>Strategic land use planning </w:t>
                  </w:r>
                  <w:r>
                    <w:rPr>
                      <w:color w:val="58595B"/>
                    </w:rPr>
                    <w:t>focuses on planning issues at a municipality, precinct, regional or state level, rather than consideration of issues on a proposal-by-proposal or site-by-site basis. The planning framework aims to ensure ‘… sound strategic planning and coordinated action at the state, regional and municipal levels and enable easy integration of land use planning and policy with environmental, social, economic, conservation and resource management policies’.</w:t>
                  </w:r>
                  <w:r>
                    <w:rPr>
                      <w:color w:val="58595B"/>
                      <w:position w:val="7"/>
                      <w:sz w:val="11"/>
                    </w:rPr>
                    <w:t>13</w:t>
                  </w:r>
                </w:p>
                <w:p>
                  <w:pPr>
                    <w:pStyle w:val="BodyText"/>
                    <w:spacing w:line="280" w:lineRule="auto" w:before="172"/>
                    <w:ind w:left="170" w:right="277"/>
                  </w:pPr>
                  <w:r>
                    <w:rPr>
                      <w:b/>
                      <w:color w:val="58595B"/>
                    </w:rPr>
                    <w:t>Victoria Planning Provisions </w:t>
                  </w:r>
                  <w:r>
                    <w:rPr>
                      <w:color w:val="58595B"/>
                    </w:rPr>
                    <w:t>(VPPs) set standard statewide planning provisions. Councils use the VPPs to create local planning schemes, which must include standard provisions selected from the VPPs and local provisions developed by the council.</w:t>
                  </w:r>
                </w:p>
                <w:p>
                  <w:pPr>
                    <w:pStyle w:val="BodyText"/>
                    <w:spacing w:line="280" w:lineRule="auto" w:before="172"/>
                    <w:ind w:left="170" w:right="484"/>
                  </w:pPr>
                  <w:r>
                    <w:rPr>
                      <w:color w:val="58595B"/>
                    </w:rPr>
                    <w:t>The </w:t>
                  </w:r>
                  <w:r>
                    <w:rPr>
                      <w:b/>
                      <w:color w:val="58595B"/>
                    </w:rPr>
                    <w:t>State Planning Policy Framework </w:t>
                  </w:r>
                  <w:r>
                    <w:rPr>
                      <w:color w:val="58595B"/>
                    </w:rPr>
                    <w:t>provides overarching policy to guide land use, subdivision and development in Victoria. It includes policies relevant for preparing precinct structure plans such as town centre development, transport planning, service provision and industrial development. The State Planning Policy Framework also provides specific objectives and strategies for metropolitan</w:t>
                  </w:r>
                  <w:r>
                    <w:rPr>
                      <w:color w:val="58595B"/>
                      <w:spacing w:val="7"/>
                    </w:rPr>
                    <w:t> </w:t>
                  </w:r>
                  <w:r>
                    <w:rPr>
                      <w:color w:val="58595B"/>
                    </w:rPr>
                    <w:t>Melbourne.</w:t>
                  </w:r>
                </w:p>
                <w:p>
                  <w:pPr>
                    <w:pStyle w:val="BodyText"/>
                    <w:spacing w:line="280" w:lineRule="auto" w:before="172"/>
                    <w:ind w:left="170" w:right="369"/>
                    <w:jc w:val="both"/>
                  </w:pPr>
                  <w:r>
                    <w:rPr>
                      <w:b/>
                      <w:color w:val="58595B"/>
                    </w:rPr>
                    <w:t>Growth Corridor Plans </w:t>
                  </w:r>
                  <w:r>
                    <w:rPr>
                      <w:color w:val="58595B"/>
                    </w:rPr>
                    <w:t>are high level integrated land use and transport plans, undertaken through the Metropolitan Planning Authority. They provide a strategy for the development of Melbourne’s growth corridors over the coming decades.</w:t>
                  </w:r>
                </w:p>
                <w:p>
                  <w:pPr>
                    <w:pStyle w:val="BodyText"/>
                    <w:spacing w:line="280" w:lineRule="auto" w:before="172"/>
                    <w:ind w:left="170" w:right="243"/>
                  </w:pPr>
                  <w:r>
                    <w:rPr>
                      <w:b/>
                      <w:color w:val="58595B"/>
                    </w:rPr>
                    <w:t>Precinct Structure Plans </w:t>
                  </w:r>
                  <w:r>
                    <w:rPr>
                      <w:color w:val="58595B"/>
                    </w:rPr>
                    <w:t>set the future structure of new suburbs. They are master plans for whole communities of generally up to 30,000 people and are designed to create balanced new communities rather than just housing estates. They lay out roads, shopping centres, schools, parks, housing, employment, and connections to transport.</w:t>
                  </w:r>
                </w:p>
                <w:p>
                  <w:pPr>
                    <w:pStyle w:val="BodyText"/>
                    <w:spacing w:line="280" w:lineRule="auto" w:before="172"/>
                    <w:ind w:left="170" w:right="277"/>
                  </w:pPr>
                  <w:r>
                    <w:rPr>
                      <w:b/>
                      <w:color w:val="58595B"/>
                    </w:rPr>
                    <w:t>Planning schemes </w:t>
                  </w:r>
                  <w:r>
                    <w:rPr>
                      <w:color w:val="58595B"/>
                    </w:rPr>
                    <w:t>operate at the local level to guide the use and development of land, including the application of precinct structure plans over the long term. Strategic land use planning processes usually lead to planning scheme amendments (such as rezoning, overlays, and precinct structure planning).</w:t>
                  </w:r>
                </w:p>
              </w:txbxContent>
            </v:textbox>
            <w10:wrap type="none"/>
          </v:shape>
        </w:pict>
      </w:r>
      <w:r>
        <w:rPr/>
        <w:pict>
          <v:shape style="position:absolute;margin-left:.0pt;margin-top:44.090015pt;width:60.3pt;height:5.25pt;mso-position-horizontal-relative:page;mso-position-vertical-relative:page;z-index:-16876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68736"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68712" from="534.996094pt,45.840015pt" to="595.276001pt,45.840015pt" stroked="true" strokeweight="7pt" strokecolor="#0095a7">
            <w10:wrap type="none"/>
          </v:line>
        </w:pict>
      </w:r>
      <w:r>
        <w:rPr/>
        <w:pict>
          <v:shape style="position:absolute;margin-left:217.741592pt;margin-top:40.902756pt;width:307.650pt;height:9.5pt;mso-position-horizontal-relative:page;mso-position-vertical-relative:page;z-index:-168688" type="#_x0000_t202" filled="false" stroked="false">
            <v:textbox inset="0,0,0,0">
              <w:txbxContent>
                <w:p>
                  <w:pPr>
                    <w:tabs>
                      <w:tab w:pos="5887" w:val="left" w:leader="none"/>
                    </w:tabs>
                    <w:spacing w:before="1"/>
                    <w:ind w:left="20" w:right="0" w:firstLine="0"/>
                    <w:jc w:val="left"/>
                    <w:rPr>
                      <w:sz w:val="15"/>
                    </w:rPr>
                  </w:pPr>
                  <w:r>
                    <w:rPr>
                      <w:color w:val="58595B"/>
                      <w:spacing w:val="3"/>
                      <w:sz w:val="15"/>
                    </w:rPr>
                    <w:t>CHAPTER </w:t>
                  </w:r>
                  <w:r>
                    <w:rPr>
                      <w:color w:val="58595B"/>
                      <w:sz w:val="15"/>
                    </w:rPr>
                    <w:t>10    TAKING A </w:t>
                  </w:r>
                  <w:r>
                    <w:rPr>
                      <w:color w:val="58595B"/>
                      <w:spacing w:val="2"/>
                      <w:sz w:val="15"/>
                    </w:rPr>
                    <w:t>STRATEGIC </w:t>
                  </w:r>
                  <w:r>
                    <w:rPr>
                      <w:color w:val="58595B"/>
                      <w:sz w:val="15"/>
                    </w:rPr>
                    <w:t>APPROACH TO </w:t>
                  </w:r>
                  <w:r>
                    <w:rPr>
                      <w:color w:val="58595B"/>
                      <w:spacing w:val="4"/>
                      <w:sz w:val="15"/>
                    </w:rPr>
                    <w:t>LAND</w:t>
                  </w:r>
                  <w:r>
                    <w:rPr>
                      <w:color w:val="58595B"/>
                      <w:spacing w:val="49"/>
                      <w:sz w:val="15"/>
                    </w:rPr>
                    <w:t> </w:t>
                  </w:r>
                  <w:r>
                    <w:rPr>
                      <w:color w:val="58595B"/>
                      <w:spacing w:val="2"/>
                      <w:sz w:val="15"/>
                    </w:rPr>
                    <w:t>USE</w:t>
                  </w:r>
                  <w:r>
                    <w:rPr>
                      <w:color w:val="58595B"/>
                      <w:spacing w:val="5"/>
                      <w:sz w:val="15"/>
                    </w:rPr>
                    <w:t> </w:t>
                  </w:r>
                  <w:r>
                    <w:rPr>
                      <w:color w:val="58595B"/>
                      <w:spacing w:val="4"/>
                      <w:sz w:val="15"/>
                    </w:rPr>
                    <w:t>PLANNING</w:t>
                    <w:tab/>
                  </w:r>
                  <w:r>
                    <w:rPr>
                      <w:color w:val="58595B"/>
                      <w:spacing w:val="-2"/>
                      <w:sz w:val="15"/>
                    </w:rPr>
                    <w:t>191</w:t>
                  </w:r>
                </w:p>
              </w:txbxContent>
            </v:textbox>
            <w10:wrap type="none"/>
          </v:shape>
        </w:pict>
      </w:r>
      <w:r>
        <w:rPr/>
        <w:pict>
          <v:shape style="position:absolute;margin-left:89.708603pt;margin-top:105.893967pt;width:427.25pt;height:79.5pt;mso-position-horizontal-relative:page;mso-position-vertical-relative:page;z-index:-168664" type="#_x0000_t202" filled="false" stroked="false">
            <v:textbox inset="0,0,0,0">
              <w:txbxContent>
                <w:p>
                  <w:pPr>
                    <w:pStyle w:val="BodyText"/>
                    <w:spacing w:line="280" w:lineRule="auto"/>
                  </w:pPr>
                  <w:r>
                    <w:rPr>
                      <w:color w:val="58595B"/>
                    </w:rPr>
                    <w:t>We recommend a statutory mechanism in the planning system that would trigger a request for EPA advice and early involvement, where a strategic land use planning processes involves potentially significant environmental (health and amenity) issues. This will ensure that expert advice is available to decision makers early in the process, and should reduce the likelihood of future conflicting land use problems. Early advice from the EPA might also assist in streamlining assessment and approval processes:</w:t>
                  </w:r>
                </w:p>
              </w:txbxContent>
            </v:textbox>
            <w10:wrap type="none"/>
          </v:shape>
        </w:pict>
      </w:r>
      <w:r>
        <w:rPr/>
        <w:pict>
          <v:shape style="position:absolute;margin-left:118.058601pt;margin-top:195.393967pt;width:367.4pt;height:79.5pt;mso-position-horizontal-relative:page;mso-position-vertical-relative:page;z-index:-168640" type="#_x0000_t202" filled="false" stroked="false">
            <v:textbox inset="0,0,0,0">
              <w:txbxContent>
                <w:p>
                  <w:pPr>
                    <w:spacing w:line="280" w:lineRule="auto" w:before="0"/>
                    <w:ind w:left="20" w:right="17" w:firstLine="0"/>
                    <w:jc w:val="left"/>
                    <w:rPr>
                      <w:sz w:val="20"/>
                    </w:rPr>
                  </w:pPr>
                  <w:r>
                    <w:rPr>
                      <w:i/>
                      <w:color w:val="231F20"/>
                      <w:sz w:val="20"/>
                    </w:rPr>
                    <w:t>The EPA could have a role in carrying out a strategic environmental assessment of planning schemes in their preparation or amendment. This would assist in the location, management and design of land use and development being dealt with at an earlier stage in the planning process where potential environmental risks and land use conflicts could be avoided or mitigated. </w:t>
                  </w:r>
                  <w:r>
                    <w:rPr>
                      <w:color w:val="231F20"/>
                      <w:sz w:val="20"/>
                    </w:rPr>
                    <w:t>(Planning Institute of Australia submission, p.</w:t>
                  </w:r>
                  <w:r>
                    <w:rPr>
                      <w:color w:val="231F20"/>
                      <w:spacing w:val="-6"/>
                      <w:sz w:val="20"/>
                    </w:rPr>
                    <w:t> </w:t>
                  </w:r>
                  <w:r>
                    <w:rPr>
                      <w:color w:val="231F20"/>
                      <w:spacing w:val="-4"/>
                      <w:sz w:val="20"/>
                    </w:rPr>
                    <w:t>3)</w:t>
                  </w:r>
                </w:p>
              </w:txbxContent>
            </v:textbox>
            <w10:wrap type="none"/>
          </v:shape>
        </w:pict>
      </w:r>
      <w:r>
        <w:rPr/>
        <w:pict>
          <v:shape style="position:absolute;margin-left:89.698601pt;margin-top:284.893982pt;width:435.1pt;height:129.2pt;mso-position-horizontal-relative:page;mso-position-vertical-relative:page;z-index:-168616" type="#_x0000_t202" filled="false" stroked="false">
            <v:textbox inset="0,0,0,0">
              <w:txbxContent>
                <w:p>
                  <w:pPr>
                    <w:pStyle w:val="BodyText"/>
                    <w:spacing w:line="224" w:lineRule="exact"/>
                  </w:pPr>
                  <w:r>
                    <w:rPr>
                      <w:color w:val="58595B"/>
                    </w:rPr>
                    <w:t>The key elements of this mechanism should:</w:t>
                  </w:r>
                </w:p>
                <w:p>
                  <w:pPr>
                    <w:pStyle w:val="ListParagraph"/>
                    <w:numPr>
                      <w:ilvl w:val="0"/>
                      <w:numId w:val="73"/>
                    </w:numPr>
                    <w:tabs>
                      <w:tab w:pos="191" w:val="left" w:leader="none"/>
                    </w:tabs>
                    <w:spacing w:line="280" w:lineRule="auto" w:before="153" w:after="0"/>
                    <w:ind w:left="190" w:right="17" w:hanging="170"/>
                    <w:jc w:val="left"/>
                    <w:rPr>
                      <w:sz w:val="20"/>
                    </w:rPr>
                  </w:pPr>
                  <w:r>
                    <w:rPr>
                      <w:color w:val="58595B"/>
                      <w:sz w:val="20"/>
                    </w:rPr>
                    <w:t>trigger </w:t>
                  </w:r>
                  <w:r>
                    <w:rPr>
                      <w:color w:val="58595B"/>
                      <w:spacing w:val="-4"/>
                      <w:sz w:val="20"/>
                    </w:rPr>
                    <w:t>EPA </w:t>
                  </w:r>
                  <w:r>
                    <w:rPr>
                      <w:color w:val="58595B"/>
                      <w:sz w:val="20"/>
                    </w:rPr>
                    <w:t>involvement for amendments, structure planning and precinct planning, where there are potential amenity and environmental impact</w:t>
                  </w:r>
                  <w:r>
                    <w:rPr>
                      <w:color w:val="58595B"/>
                      <w:spacing w:val="-1"/>
                      <w:sz w:val="20"/>
                    </w:rPr>
                    <w:t> </w:t>
                  </w:r>
                  <w:r>
                    <w:rPr>
                      <w:color w:val="58595B"/>
                      <w:sz w:val="20"/>
                    </w:rPr>
                    <w:t>issues</w:t>
                  </w:r>
                </w:p>
                <w:p>
                  <w:pPr>
                    <w:pStyle w:val="ListParagraph"/>
                    <w:numPr>
                      <w:ilvl w:val="0"/>
                      <w:numId w:val="73"/>
                    </w:numPr>
                    <w:tabs>
                      <w:tab w:pos="190" w:val="left" w:leader="none"/>
                    </w:tabs>
                    <w:spacing w:line="280" w:lineRule="auto" w:before="115" w:after="0"/>
                    <w:ind w:left="190" w:right="611" w:hanging="170"/>
                    <w:jc w:val="left"/>
                    <w:rPr>
                      <w:sz w:val="20"/>
                    </w:rPr>
                  </w:pPr>
                  <w:r>
                    <w:rPr>
                      <w:color w:val="58595B"/>
                      <w:sz w:val="20"/>
                    </w:rPr>
                    <w:t>require planning authorities to identify potential amenity and environmental impact issues (based on appropriate guidance) and to seek </w:t>
                  </w:r>
                  <w:r>
                    <w:rPr>
                      <w:color w:val="58595B"/>
                      <w:spacing w:val="-4"/>
                      <w:sz w:val="20"/>
                    </w:rPr>
                    <w:t>EPA </w:t>
                  </w:r>
                  <w:r>
                    <w:rPr>
                      <w:color w:val="58595B"/>
                      <w:sz w:val="20"/>
                    </w:rPr>
                    <w:t>advice if these issues are</w:t>
                  </w:r>
                  <w:r>
                    <w:rPr>
                      <w:color w:val="58595B"/>
                      <w:spacing w:val="6"/>
                      <w:sz w:val="20"/>
                    </w:rPr>
                    <w:t> </w:t>
                  </w:r>
                  <w:r>
                    <w:rPr>
                      <w:color w:val="58595B"/>
                      <w:sz w:val="20"/>
                    </w:rPr>
                    <w:t>identified</w:t>
                  </w:r>
                </w:p>
                <w:p>
                  <w:pPr>
                    <w:pStyle w:val="ListParagraph"/>
                    <w:numPr>
                      <w:ilvl w:val="0"/>
                      <w:numId w:val="73"/>
                    </w:numPr>
                    <w:tabs>
                      <w:tab w:pos="190" w:val="left" w:leader="none"/>
                    </w:tabs>
                    <w:spacing w:line="280" w:lineRule="auto" w:before="115" w:after="0"/>
                    <w:ind w:left="190" w:right="20" w:hanging="170"/>
                    <w:jc w:val="left"/>
                    <w:rPr>
                      <w:sz w:val="20"/>
                    </w:rPr>
                  </w:pPr>
                  <w:r>
                    <w:rPr>
                      <w:color w:val="58595B"/>
                      <w:sz w:val="20"/>
                    </w:rPr>
                    <w:t>allow for the </w:t>
                  </w:r>
                  <w:r>
                    <w:rPr>
                      <w:color w:val="58595B"/>
                      <w:spacing w:val="-4"/>
                      <w:sz w:val="20"/>
                    </w:rPr>
                    <w:t>EPA </w:t>
                  </w:r>
                  <w:r>
                    <w:rPr>
                      <w:color w:val="58595B"/>
                      <w:sz w:val="20"/>
                    </w:rPr>
                    <w:t>to undertake initial risk/impact screening to determine whether detailed formal advice is warranted – because not all referrals will require a full</w:t>
                  </w:r>
                  <w:r>
                    <w:rPr>
                      <w:color w:val="58595B"/>
                      <w:spacing w:val="5"/>
                      <w:sz w:val="20"/>
                    </w:rPr>
                    <w:t> </w:t>
                  </w:r>
                  <w:r>
                    <w:rPr>
                      <w:color w:val="58595B"/>
                      <w:sz w:val="20"/>
                    </w:rPr>
                    <w:t>response</w:t>
                  </w:r>
                </w:p>
                <w:p>
                  <w:pPr>
                    <w:pStyle w:val="ListParagraph"/>
                    <w:numPr>
                      <w:ilvl w:val="0"/>
                      <w:numId w:val="73"/>
                    </w:numPr>
                    <w:tabs>
                      <w:tab w:pos="190" w:val="left" w:leader="none"/>
                    </w:tabs>
                    <w:spacing w:line="240" w:lineRule="auto" w:before="115" w:after="0"/>
                    <w:ind w:left="190" w:right="0" w:hanging="170"/>
                    <w:jc w:val="left"/>
                    <w:rPr>
                      <w:sz w:val="20"/>
                    </w:rPr>
                  </w:pPr>
                  <w:r>
                    <w:rPr>
                      <w:color w:val="58595B"/>
                      <w:sz w:val="20"/>
                    </w:rPr>
                    <w:t>require the responsible authority to consider and address the </w:t>
                  </w:r>
                  <w:r>
                    <w:rPr>
                      <w:color w:val="58595B"/>
                      <w:spacing w:val="-7"/>
                      <w:sz w:val="20"/>
                    </w:rPr>
                    <w:t>EPA’s</w:t>
                  </w:r>
                  <w:r>
                    <w:rPr>
                      <w:color w:val="58595B"/>
                      <w:spacing w:val="15"/>
                      <w:sz w:val="20"/>
                    </w:rPr>
                    <w:t> </w:t>
                  </w:r>
                  <w:r>
                    <w:rPr>
                      <w:color w:val="58595B"/>
                      <w:sz w:val="20"/>
                    </w:rPr>
                    <w:t>advice.</w:t>
                  </w:r>
                </w:p>
              </w:txbxContent>
            </v:textbox>
            <w10:wrap type="none"/>
          </v:shape>
        </w:pict>
      </w:r>
      <w:r>
        <w:rPr/>
        <w:pict>
          <v:shape style="position:absolute;margin-left:89.698601pt;margin-top:424.073975pt;width:425.45pt;height:25.5pt;mso-position-horizontal-relative:page;mso-position-vertical-relative:page;z-index:-168592" type="#_x0000_t202" filled="false" stroked="false">
            <v:textbox inset="0,0,0,0">
              <w:txbxContent>
                <w:p>
                  <w:pPr>
                    <w:pStyle w:val="BodyText"/>
                    <w:spacing w:line="280" w:lineRule="auto"/>
                  </w:pPr>
                  <w:r>
                    <w:rPr>
                      <w:color w:val="58595B"/>
                    </w:rPr>
                    <w:t>This mechanism could be implemented by a Ministerial Direction and by amending the planning practice note for structure plans.</w:t>
                  </w:r>
                </w:p>
              </w:txbxContent>
            </v:textbox>
            <w10:wrap type="none"/>
          </v:shape>
        </w:pict>
      </w:r>
      <w:r>
        <w:rPr/>
        <w:pict>
          <v:shape style="position:absolute;margin-left:89.698601pt;margin-top:463.833954pt;width:435.65pt;height:112.2pt;mso-position-horizontal-relative:page;mso-position-vertical-relative:page;z-index:-168568" type="#_x0000_t202" filled="false" stroked="false">
            <v:textbox inset="0,0,0,0">
              <w:txbxContent>
                <w:p>
                  <w:pPr>
                    <w:pStyle w:val="BodyText"/>
                    <w:spacing w:line="224" w:lineRule="exact"/>
                    <w:ind w:right="-10"/>
                  </w:pPr>
                  <w:r>
                    <w:rPr>
                      <w:color w:val="0095A7"/>
                    </w:rPr>
                    <w:t>10.3.2  Strengthening engagement with the Metropolitan Planning Authority</w:t>
                  </w:r>
                </w:p>
                <w:p>
                  <w:pPr>
                    <w:pStyle w:val="BodyText"/>
                    <w:spacing w:line="280" w:lineRule="auto" w:before="153"/>
                    <w:ind w:right="119"/>
                  </w:pPr>
                  <w:r>
                    <w:rPr>
                      <w:color w:val="58595B"/>
                    </w:rPr>
                    <w:t>The MPA has a key facilitative and coordinating role in relation to strategic planning for Melbourne and regional centres (noting its responsibilities will soon be extended statewide). It has a broad, facilitative role to work with councils, other government agencies and the planning and development industry. Specific areas of focus include detailed growth area planning, and reviewing and updating Precinct Structure Planning Guidelines. As such, it is well positioned to</w:t>
                  </w:r>
                </w:p>
                <w:p>
                  <w:pPr>
                    <w:pStyle w:val="BodyText"/>
                    <w:spacing w:line="280" w:lineRule="auto" w:before="2"/>
                    <w:ind w:right="-10"/>
                  </w:pPr>
                  <w:r>
                    <w:rPr>
                      <w:color w:val="58595B"/>
                    </w:rPr>
                    <w:t>engage the EPA early in planning processes where there are likely to be significant environmental and amenity issues – and to coordinate that engagement with other appropriate parties.</w:t>
                  </w:r>
                </w:p>
              </w:txbxContent>
            </v:textbox>
            <w10:wrap type="none"/>
          </v:shape>
        </w:pict>
      </w:r>
      <w:r>
        <w:rPr/>
        <w:pict>
          <v:shape style="position:absolute;margin-left:89.698601pt;margin-top:586.003967pt;width:432.2pt;height:106.55pt;mso-position-horizontal-relative:page;mso-position-vertical-relative:page;z-index:-168544" type="#_x0000_t202" filled="false" stroked="false">
            <v:textbox inset="0,0,0,0">
              <w:txbxContent>
                <w:p>
                  <w:pPr>
                    <w:pStyle w:val="BodyText"/>
                    <w:spacing w:line="280" w:lineRule="auto"/>
                    <w:ind w:right="246"/>
                  </w:pPr>
                  <w:r>
                    <w:rPr>
                      <w:color w:val="58595B"/>
                    </w:rPr>
                    <w:t>The </w:t>
                  </w:r>
                  <w:r>
                    <w:rPr>
                      <w:color w:val="58595B"/>
                      <w:spacing w:val="-6"/>
                    </w:rPr>
                    <w:t>MPA’s </w:t>
                  </w:r>
                  <w:r>
                    <w:rPr>
                      <w:color w:val="58595B"/>
                    </w:rPr>
                    <w:t>roles in relation to urban renewal and greenfield projects intersect with </w:t>
                  </w:r>
                  <w:r>
                    <w:rPr>
                      <w:color w:val="58595B"/>
                      <w:spacing w:val="-4"/>
                    </w:rPr>
                    <w:t>EPA </w:t>
                  </w:r>
                  <w:r>
                    <w:rPr>
                      <w:color w:val="58595B"/>
                    </w:rPr>
                    <w:t>work  in two main areas – in relation to the conversion of potentially contaminated land for new uses, and peri-urban developments that may involve encroachment and potential amenity</w:t>
                  </w:r>
                  <w:r>
                    <w:rPr>
                      <w:color w:val="58595B"/>
                      <w:spacing w:val="-4"/>
                    </w:rPr>
                    <w:t> </w:t>
                  </w:r>
                  <w:r>
                    <w:rPr>
                      <w:color w:val="58595B"/>
                    </w:rPr>
                    <w:t>issues.</w:t>
                  </w:r>
                </w:p>
                <w:p>
                  <w:pPr>
                    <w:pStyle w:val="BodyText"/>
                    <w:spacing w:line="280" w:lineRule="auto" w:before="2"/>
                    <w:ind w:right="85"/>
                  </w:pPr>
                  <w:r>
                    <w:rPr>
                      <w:color w:val="58595B"/>
                      <w:spacing w:val="-3"/>
                    </w:rPr>
                    <w:t>MPA </w:t>
                  </w:r>
                  <w:r>
                    <w:rPr>
                      <w:color w:val="58595B"/>
                    </w:rPr>
                    <w:t>planning materials already recognise the importance of </w:t>
                  </w:r>
                  <w:r>
                    <w:rPr>
                      <w:color w:val="58595B"/>
                      <w:spacing w:val="-4"/>
                    </w:rPr>
                    <w:t>EPA </w:t>
                  </w:r>
                  <w:r>
                    <w:rPr>
                      <w:color w:val="58595B"/>
                    </w:rPr>
                    <w:t>guidance, including on  adverse amenity impacts and ‘appropriate separation distances from sensitive uses to avoid deleterious offsite </w:t>
                  </w:r>
                  <w:r>
                    <w:rPr>
                      <w:color w:val="58595B"/>
                      <w:spacing w:val="-4"/>
                    </w:rPr>
                    <w:t>impacts’.</w:t>
                  </w:r>
                  <w:r>
                    <w:rPr>
                      <w:color w:val="58595B"/>
                      <w:spacing w:val="-4"/>
                      <w:position w:val="7"/>
                      <w:sz w:val="11"/>
                    </w:rPr>
                    <w:t>14 </w:t>
                  </w:r>
                  <w:r>
                    <w:rPr>
                      <w:color w:val="58595B"/>
                    </w:rPr>
                    <w:t>The Victorian Auditor-General’s report on landfills also identified the importance of involving the </w:t>
                  </w:r>
                  <w:r>
                    <w:rPr>
                      <w:color w:val="58595B"/>
                      <w:spacing w:val="-4"/>
                    </w:rPr>
                    <w:t>EPA </w:t>
                  </w:r>
                  <w:r>
                    <w:rPr>
                      <w:color w:val="58595B"/>
                    </w:rPr>
                    <w:t>on issues associated with protecting buffers around active and closed</w:t>
                  </w:r>
                  <w:r>
                    <w:rPr>
                      <w:color w:val="58595B"/>
                      <w:spacing w:val="6"/>
                    </w:rPr>
                    <w:t> </w:t>
                  </w:r>
                  <w:r>
                    <w:rPr>
                      <w:color w:val="58595B"/>
                    </w:rPr>
                    <w:t>landfills:</w:t>
                  </w:r>
                </w:p>
              </w:txbxContent>
            </v:textbox>
            <w10:wrap type="none"/>
          </v:shape>
        </w:pict>
      </w:r>
      <w:r>
        <w:rPr/>
        <w:pict>
          <v:shape style="position:absolute;margin-left:118.060204pt;margin-top:702.512085pt;width:369.95pt;height:52.5pt;mso-position-horizontal-relative:page;mso-position-vertical-relative:page;z-index:-168520" type="#_x0000_t202" filled="false" stroked="false">
            <v:textbox inset="0,0,0,0">
              <w:txbxContent>
                <w:p>
                  <w:pPr>
                    <w:spacing w:line="280" w:lineRule="auto" w:before="0"/>
                    <w:ind w:left="20" w:right="10" w:firstLine="0"/>
                    <w:jc w:val="left"/>
                    <w:rPr>
                      <w:sz w:val="11"/>
                    </w:rPr>
                  </w:pPr>
                  <w:r>
                    <w:rPr>
                      <w:i/>
                      <w:color w:val="231F20"/>
                      <w:sz w:val="20"/>
                    </w:rPr>
                    <w:t>Recommendation 13. That the EPA works with the Metropolitan Waste and Resource Recovery Group (MWRRG) to develop an appropriate planning process/ tool to ensure the EPA’s involvement in any rezoning or application process across Victoria where development adjacent to active or closed landfills may be involved.</w:t>
                  </w:r>
                  <w:r>
                    <w:rPr>
                      <w:color w:val="231F20"/>
                      <w:position w:val="7"/>
                      <w:sz w:val="11"/>
                    </w:rPr>
                    <w:t>15</w:t>
                  </w:r>
                </w:p>
              </w:txbxContent>
            </v:textbox>
            <w10:wrap type="none"/>
          </v:shape>
        </w:pict>
      </w:r>
      <w:r>
        <w:rPr/>
        <w:pict>
          <v:shape style="position:absolute;margin-left:534.996094pt;margin-top:44.090015pt;width:60.3pt;height:5.25pt;mso-position-horizontal-relative:page;mso-position-vertical-relative:page;z-index:-16849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68472"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68448" from=".0pt,45.840015pt" to="60.2791pt,45.840015pt" stroked="true" strokeweight="7pt" strokecolor="#0095a7">
            <w10:wrap type="none"/>
          </v:line>
        </w:pict>
      </w:r>
      <w:r>
        <w:rPr/>
        <w:pict>
          <v:shape style="position:absolute;margin-left:69.866096pt;margin-top:40.902756pt;width:14.45pt;height:9.5pt;mso-position-horizontal-relative:page;mso-position-vertical-relative:page;z-index:-168424" type="#_x0000_t202" filled="false" stroked="false">
            <v:textbox inset="0,0,0,0">
              <w:txbxContent>
                <w:p>
                  <w:pPr>
                    <w:spacing w:before="1"/>
                    <w:ind w:left="20" w:right="-2" w:firstLine="0"/>
                    <w:jc w:val="left"/>
                    <w:rPr>
                      <w:sz w:val="15"/>
                    </w:rPr>
                  </w:pPr>
                  <w:r>
                    <w:rPr>
                      <w:color w:val="58595B"/>
                      <w:sz w:val="15"/>
                    </w:rPr>
                    <w:t>192</w:t>
                  </w:r>
                </w:p>
              </w:txbxContent>
            </v:textbox>
            <w10:wrap type="none"/>
          </v:shape>
        </w:pict>
      </w:r>
      <w:r>
        <w:rPr/>
        <w:pict>
          <v:shape style="position:absolute;margin-left:95.377899pt;margin-top:40.902756pt;width:147.75pt;height:9.5pt;mso-position-horizontal-relative:page;mso-position-vertical-relative:page;z-index:-168400"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5.65pt;height:117.85pt;mso-position-horizontal-relative:page;mso-position-vertical-relative:page;z-index:-168376" type="#_x0000_t202" filled="false" stroked="false">
            <v:textbox inset="0,0,0,0">
              <w:txbxContent>
                <w:p>
                  <w:pPr>
                    <w:pStyle w:val="BodyText"/>
                    <w:spacing w:line="280" w:lineRule="auto"/>
                    <w:ind w:right="17"/>
                  </w:pPr>
                  <w:r>
                    <w:rPr>
                      <w:color w:val="58595B"/>
                    </w:rPr>
                    <w:t>We consider a formal referral mechanism that requires the </w:t>
                  </w:r>
                  <w:r>
                    <w:rPr>
                      <w:color w:val="58595B"/>
                      <w:spacing w:val="-3"/>
                    </w:rPr>
                    <w:t>MPA </w:t>
                  </w:r>
                  <w:r>
                    <w:rPr>
                      <w:color w:val="58595B"/>
                    </w:rPr>
                    <w:t>to seek the </w:t>
                  </w:r>
                  <w:r>
                    <w:rPr>
                      <w:color w:val="58595B"/>
                      <w:spacing w:val="-7"/>
                    </w:rPr>
                    <w:t>EPA’s </w:t>
                  </w:r>
                  <w:r>
                    <w:rPr>
                      <w:color w:val="58595B"/>
                    </w:rPr>
                    <w:t>expert advice on potential amenity and other environmental issues to be appropriate. Further, we recommend the formal trigger be established as part of the </w:t>
                  </w:r>
                  <w:r>
                    <w:rPr>
                      <w:color w:val="58595B"/>
                      <w:spacing w:val="-6"/>
                    </w:rPr>
                    <w:t>MPA’s </w:t>
                  </w:r>
                  <w:r>
                    <w:rPr>
                      <w:color w:val="58595B"/>
                    </w:rPr>
                    <w:t>new legislative framework – that is, establishing the Victorian Planning Authority. Specifically, we recommend this legislation include  a requirement for the Victorian Planning Authority to discuss and/or refer </w:t>
                  </w:r>
                  <w:r>
                    <w:rPr>
                      <w:color w:val="58595B"/>
                      <w:spacing w:val="-4"/>
                    </w:rPr>
                    <w:t>(as </w:t>
                  </w:r>
                  <w:r>
                    <w:rPr>
                      <w:color w:val="58595B"/>
                    </w:rPr>
                    <w:t>required) to the</w:t>
                  </w:r>
                  <w:r>
                    <w:rPr>
                      <w:color w:val="58595B"/>
                      <w:spacing w:val="8"/>
                    </w:rPr>
                    <w:t> </w:t>
                  </w:r>
                  <w:r>
                    <w:rPr>
                      <w:color w:val="58595B"/>
                      <w:spacing w:val="-3"/>
                    </w:rPr>
                    <w:t>EPA:</w:t>
                  </w:r>
                </w:p>
                <w:p>
                  <w:pPr>
                    <w:pStyle w:val="ListParagraph"/>
                    <w:numPr>
                      <w:ilvl w:val="0"/>
                      <w:numId w:val="74"/>
                    </w:numPr>
                    <w:tabs>
                      <w:tab w:pos="190" w:val="left" w:leader="none"/>
                    </w:tabs>
                    <w:spacing w:line="280" w:lineRule="auto" w:before="115" w:after="0"/>
                    <w:ind w:left="190" w:right="238" w:hanging="170"/>
                    <w:jc w:val="left"/>
                    <w:rPr>
                      <w:sz w:val="20"/>
                    </w:rPr>
                  </w:pPr>
                  <w:r>
                    <w:rPr>
                      <w:color w:val="58595B"/>
                      <w:sz w:val="20"/>
                    </w:rPr>
                    <w:t>strategic planning activities, such as scheme amendments, rezoning, growth area planning or structure planning, that involve consideration of environmental risks,</w:t>
                  </w:r>
                  <w:r>
                    <w:rPr>
                      <w:color w:val="58595B"/>
                      <w:spacing w:val="-5"/>
                      <w:sz w:val="20"/>
                    </w:rPr>
                    <w:t> </w:t>
                  </w:r>
                  <w:r>
                    <w:rPr>
                      <w:color w:val="58595B"/>
                      <w:sz w:val="20"/>
                    </w:rPr>
                    <w:t>or</w:t>
                  </w:r>
                </w:p>
                <w:p>
                  <w:pPr>
                    <w:pStyle w:val="ListParagraph"/>
                    <w:numPr>
                      <w:ilvl w:val="0"/>
                      <w:numId w:val="74"/>
                    </w:numPr>
                    <w:tabs>
                      <w:tab w:pos="190" w:val="left" w:leader="none"/>
                    </w:tabs>
                    <w:spacing w:line="240" w:lineRule="auto" w:before="115" w:after="0"/>
                    <w:ind w:left="190" w:right="0" w:hanging="170"/>
                    <w:jc w:val="left"/>
                    <w:rPr>
                      <w:sz w:val="20"/>
                    </w:rPr>
                  </w:pPr>
                  <w:r>
                    <w:rPr>
                      <w:color w:val="58595B"/>
                      <w:sz w:val="20"/>
                    </w:rPr>
                    <w:t>plans that consider development in close proximity to a licensed industrial or waste</w:t>
                  </w:r>
                  <w:r>
                    <w:rPr>
                      <w:color w:val="58595B"/>
                      <w:spacing w:val="-7"/>
                      <w:sz w:val="20"/>
                    </w:rPr>
                    <w:t> </w:t>
                  </w:r>
                  <w:r>
                    <w:rPr>
                      <w:color w:val="58595B"/>
                      <w:sz w:val="20"/>
                    </w:rPr>
                    <w:t>facility.</w:t>
                  </w:r>
                </w:p>
              </w:txbxContent>
            </v:textbox>
            <w10:wrap type="none"/>
          </v:shape>
        </w:pict>
      </w:r>
      <w:r>
        <w:rPr/>
        <w:pict>
          <v:shape style="position:absolute;margin-left:69.866096pt;margin-top:237.993973pt;width:435.7pt;height:125.7pt;mso-position-horizontal-relative:page;mso-position-vertical-relative:page;z-index:-168352" type="#_x0000_t202" filled="false" stroked="false">
            <v:textbox inset="0,0,0,0">
              <w:txbxContent>
                <w:p>
                  <w:pPr>
                    <w:pStyle w:val="BodyText"/>
                    <w:spacing w:line="224" w:lineRule="exact"/>
                    <w:ind w:right="13"/>
                  </w:pPr>
                  <w:r>
                    <w:rPr>
                      <w:color w:val="0095A7"/>
                    </w:rPr>
                    <w:t>10.3.3  Providing effective buffers to manage future amenity impacts</w:t>
                  </w:r>
                </w:p>
                <w:p>
                  <w:pPr>
                    <w:pStyle w:val="BodyText"/>
                    <w:spacing w:line="280" w:lineRule="auto" w:before="153"/>
                    <w:ind w:right="17"/>
                  </w:pPr>
                  <w:r>
                    <w:rPr>
                      <w:color w:val="58595B"/>
                    </w:rPr>
                    <w:t>The most effective approach to managing encroachment issues is to provide for the formal separation of conflicting activities through planning scheme requirements, such as threshold distances that provide buffers. This issue is an important area for integrating land use planning and environmental protection. In effect, licensing conditions establish the ‘acceptable levels’ of emissions assuming a given industrial process and a given separation distance to avoid amenity impacts on sensitive uses. These separation distances need to guide subsequent decisions made through the planning system regarding the development and use of land that may be affected by the licensed activity.</w:t>
                  </w:r>
                </w:p>
              </w:txbxContent>
            </v:textbox>
            <w10:wrap type="none"/>
          </v:shape>
        </w:pict>
      </w:r>
      <w:r>
        <w:rPr/>
        <w:pict>
          <v:shape style="position:absolute;margin-left:69.866096pt;margin-top:373.663971pt;width:422.5pt;height:79.5pt;mso-position-horizontal-relative:page;mso-position-vertical-relative:page;z-index:-168328" type="#_x0000_t202" filled="false" stroked="false">
            <v:textbox inset="0,0,0,0">
              <w:txbxContent>
                <w:p>
                  <w:pPr>
                    <w:pStyle w:val="BodyText"/>
                    <w:spacing w:line="280" w:lineRule="auto"/>
                  </w:pPr>
                  <w:r>
                    <w:rPr>
                      <w:color w:val="58595B"/>
                    </w:rPr>
                    <w:t>In particular, the planning system must clearly and consistently identify activities with amenity impacts, so that they can be addressed in all relevant planning decisions (for example, relating to sensitive uses). This approach also provides certainty for businesses, prospective land developers and the community. Providing clear and accessible information about land that is subject to a buffer – and about the expectations for potential amenity impacts – is important for the planning system and environmental regulations to operate effectively.</w:t>
                  </w:r>
                </w:p>
              </w:txbxContent>
            </v:textbox>
            <w10:wrap type="none"/>
          </v:shape>
        </w:pict>
      </w:r>
      <w:r>
        <w:rPr/>
        <w:pict>
          <v:shape style="position:absolute;margin-left:69.866096pt;margin-top:463.163971pt;width:432.45pt;height:79.5pt;mso-position-horizontal-relative:page;mso-position-vertical-relative:page;z-index:-168304" type="#_x0000_t202" filled="false" stroked="false">
            <v:textbox inset="0,0,0,0">
              <w:txbxContent>
                <w:p>
                  <w:pPr>
                    <w:pStyle w:val="BodyText"/>
                    <w:spacing w:line="280" w:lineRule="auto"/>
                    <w:ind w:right="-12"/>
                  </w:pPr>
                  <w:r>
                    <w:rPr>
                      <w:color w:val="58595B"/>
                    </w:rPr>
                    <w:t>Currently, there are inconsistencies between the planning and environmental systems and significant gaps in coverage. In particular, the separation distance triggers in the planning system deal with the risks posed by a new industrial development that will have an amenity impact.</w:t>
                  </w:r>
                </w:p>
                <w:p>
                  <w:pPr>
                    <w:pStyle w:val="BodyText"/>
                    <w:spacing w:line="280" w:lineRule="auto" w:before="2"/>
                    <w:ind w:right="-12"/>
                    <w:rPr>
                      <w:sz w:val="11"/>
                    </w:rPr>
                  </w:pPr>
                  <w:r>
                    <w:rPr>
                      <w:color w:val="58595B"/>
                    </w:rPr>
                    <w:t>But they do not capture applications for </w:t>
                  </w:r>
                  <w:r>
                    <w:rPr>
                      <w:color w:val="58595B"/>
                      <w:spacing w:val="-3"/>
                    </w:rPr>
                    <w:t>sensitive </w:t>
                  </w:r>
                  <w:r>
                    <w:rPr>
                      <w:color w:val="58595B"/>
                    </w:rPr>
                    <w:t>uses in areas with pre-existing buffers. This encroachment problem – </w:t>
                  </w:r>
                  <w:r>
                    <w:rPr>
                      <w:color w:val="58595B"/>
                      <w:spacing w:val="-4"/>
                    </w:rPr>
                    <w:t>housing </w:t>
                  </w:r>
                  <w:r>
                    <w:rPr>
                      <w:color w:val="58595B"/>
                      <w:spacing w:val="-3"/>
                    </w:rPr>
                    <w:t>development </w:t>
                  </w:r>
                  <w:r>
                    <w:rPr>
                      <w:color w:val="58595B"/>
                    </w:rPr>
                    <w:t>occurring close to </w:t>
                  </w:r>
                  <w:r>
                    <w:rPr>
                      <w:color w:val="58595B"/>
                      <w:spacing w:val="-3"/>
                    </w:rPr>
                    <w:t>existing </w:t>
                  </w:r>
                  <w:r>
                    <w:rPr>
                      <w:color w:val="58595B"/>
                    </w:rPr>
                    <w:t>industrial facilities – </w:t>
                  </w:r>
                  <w:r>
                    <w:rPr>
                      <w:color w:val="58595B"/>
                      <w:spacing w:val="-4"/>
                    </w:rPr>
                    <w:t>was </w:t>
                  </w:r>
                  <w:r>
                    <w:rPr>
                      <w:color w:val="58595B"/>
                    </w:rPr>
                    <w:t>widely reported to us in our consultations and in previous </w:t>
                  </w:r>
                  <w:r>
                    <w:rPr>
                      <w:color w:val="58595B"/>
                      <w:spacing w:val="-3"/>
                    </w:rPr>
                    <w:t>reviews.</w:t>
                  </w:r>
                  <w:r>
                    <w:rPr>
                      <w:color w:val="58595B"/>
                      <w:spacing w:val="-3"/>
                      <w:position w:val="7"/>
                      <w:sz w:val="11"/>
                    </w:rPr>
                    <w:t>16</w:t>
                  </w:r>
                </w:p>
              </w:txbxContent>
            </v:textbox>
            <w10:wrap type="none"/>
          </v:shape>
        </w:pict>
      </w:r>
      <w:r>
        <w:rPr/>
        <w:pict>
          <v:shape style="position:absolute;margin-left:98.212601pt;margin-top:552.669556pt;width:358.65pt;height:39pt;mso-position-horizontal-relative:page;mso-position-vertical-relative:page;z-index:-168280" type="#_x0000_t202" filled="false" stroked="false">
            <v:textbox inset="0,0,0,0">
              <w:txbxContent>
                <w:p>
                  <w:pPr>
                    <w:spacing w:line="280" w:lineRule="auto" w:before="0"/>
                    <w:ind w:left="20" w:right="0" w:firstLine="0"/>
                    <w:jc w:val="left"/>
                    <w:rPr>
                      <w:sz w:val="20"/>
                    </w:rPr>
                  </w:pPr>
                  <w:r>
                    <w:rPr>
                      <w:i/>
                      <w:color w:val="231F20"/>
                      <w:sz w:val="20"/>
                    </w:rPr>
                    <w:t>EPA could be reactive and influence planning to not site residential development where acid rain falls in a hope that significant health problems can be avoided. </w:t>
                  </w:r>
                  <w:r>
                    <w:rPr>
                      <w:color w:val="231F20"/>
                      <w:sz w:val="20"/>
                    </w:rPr>
                    <w:t>(Community Over Mining submission, p. 13)</w:t>
                  </w:r>
                </w:p>
              </w:txbxContent>
            </v:textbox>
            <w10:wrap type="none"/>
          </v:shape>
        </w:pict>
      </w:r>
      <w:r>
        <w:rPr/>
        <w:pict>
          <v:shape style="position:absolute;margin-left:69.862602pt;margin-top:601.669556pt;width:432.2pt;height:120pt;mso-position-horizontal-relative:page;mso-position-vertical-relative:page;z-index:-168256" type="#_x0000_t202" filled="false" stroked="false">
            <v:textbox inset="0,0,0,0">
              <w:txbxContent>
                <w:p>
                  <w:pPr>
                    <w:pStyle w:val="BodyText"/>
                    <w:spacing w:line="280" w:lineRule="auto"/>
                  </w:pPr>
                  <w:r>
                    <w:rPr>
                      <w:color w:val="58595B"/>
                    </w:rPr>
                    <w:t>There are currently a number of processes already underway across government examining land use buffers and how better to manage encroachment risks and challenges (box 10.4). These issues are complex and require detailed investigation, but they are also urgent given the current and ongoing pressures of population growth and urban development. We do not consider it appropriate or feasible for us to provide detailed proposals on these issues, but we recommend that this work should be progressed as a priority. Further, the EPA must be closely involved in decisions about new or strengthened mechanisms for buffers and managing encroachment.</w:t>
                  </w:r>
                </w:p>
                <w:p>
                  <w:pPr>
                    <w:pStyle w:val="BodyText"/>
                    <w:spacing w:line="280" w:lineRule="auto" w:before="2"/>
                    <w:ind w:right="351"/>
                  </w:pPr>
                  <w:r>
                    <w:rPr>
                      <w:color w:val="58595B"/>
                    </w:rPr>
                    <w:t>System responses should consider impacts but minimise the requirement for individual referral processes.</w:t>
                  </w:r>
                </w:p>
              </w:txbxContent>
            </v:textbox>
            <w10:wrap type="none"/>
          </v:shape>
        </w:pict>
      </w:r>
      <w:r>
        <w:rPr/>
        <w:pict>
          <v:shape style="position:absolute;margin-left:.0pt;margin-top:44.090015pt;width:60.3pt;height:5.25pt;mso-position-horizontal-relative:page;mso-position-vertical-relative:page;z-index:-16823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68208"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68184" from="534.996094pt,45.840015pt" to="595.276001pt,45.840015pt" stroked="true" strokeweight="7pt" strokecolor="#0095a7">
            <w10:wrap type="none"/>
          </v:line>
        </w:pict>
      </w:r>
      <w:r>
        <w:rPr/>
        <w:pict>
          <v:rect style="position:absolute;margin-left:90.709pt;margin-top:107.717018pt;width:432.701pt;height:304.139pt;mso-position-horizontal-relative:page;mso-position-vertical-relative:page;z-index:-168160" filled="true" fillcolor="#eaf2f3" stroked="false">
            <v:fill type="solid"/>
            <w10:wrap type="none"/>
          </v:rect>
        </w:pict>
      </w:r>
      <w:r>
        <w:rPr/>
        <w:pict>
          <v:shape style="position:absolute;margin-left:217.741592pt;margin-top:40.902756pt;width:49.7pt;height:9.5pt;mso-position-horizontal-relative:page;mso-position-vertical-relative:page;z-index:-168136" type="#_x0000_t202" filled="false" stroked="false">
            <v:textbox inset="0,0,0,0">
              <w:txbxContent>
                <w:p>
                  <w:pPr>
                    <w:spacing w:before="1"/>
                    <w:ind w:left="20" w:right="0" w:firstLine="0"/>
                    <w:jc w:val="left"/>
                    <w:rPr>
                      <w:sz w:val="15"/>
                    </w:rPr>
                  </w:pPr>
                  <w:r>
                    <w:rPr>
                      <w:color w:val="58595B"/>
                      <w:sz w:val="15"/>
                    </w:rPr>
                    <w:t>CHAPTER 10</w:t>
                  </w:r>
                </w:p>
              </w:txbxContent>
            </v:textbox>
            <w10:wrap type="none"/>
          </v:shape>
        </w:pict>
      </w:r>
      <w:r>
        <w:rPr/>
        <w:pict>
          <v:shape style="position:absolute;margin-left:274.164093pt;margin-top:40.902756pt;width:225.7pt;height:9.5pt;mso-position-horizontal-relative:page;mso-position-vertical-relative:page;z-index:-168112" type="#_x0000_t202" filled="false" stroked="false">
            <v:textbox inset="0,0,0,0">
              <w:txbxContent>
                <w:p>
                  <w:pPr>
                    <w:spacing w:before="1"/>
                    <w:ind w:left="20" w:right="0" w:firstLine="0"/>
                    <w:jc w:val="left"/>
                    <w:rPr>
                      <w:sz w:val="15"/>
                    </w:rPr>
                  </w:pPr>
                  <w:r>
                    <w:rPr>
                      <w:color w:val="58595B"/>
                      <w:sz w:val="15"/>
                    </w:rPr>
                    <w:t>TAKING A STRATEGIC APPROACH TO LAND USE  PLANNING</w:t>
                  </w:r>
                </w:p>
              </w:txbxContent>
            </v:textbox>
            <w10:wrap type="none"/>
          </v:shape>
        </w:pict>
      </w:r>
      <w:r>
        <w:rPr/>
        <w:pict>
          <v:shape style="position:absolute;margin-left:510.920013pt;margin-top:40.902756pt;width:14.45pt;height:9.5pt;mso-position-horizontal-relative:page;mso-position-vertical-relative:page;z-index:-168088" type="#_x0000_t202" filled="false" stroked="false">
            <v:textbox inset="0,0,0,0">
              <w:txbxContent>
                <w:p>
                  <w:pPr>
                    <w:spacing w:before="1"/>
                    <w:ind w:left="20" w:right="-2" w:firstLine="0"/>
                    <w:jc w:val="left"/>
                    <w:rPr>
                      <w:sz w:val="15"/>
                    </w:rPr>
                  </w:pPr>
                  <w:r>
                    <w:rPr>
                      <w:color w:val="58595B"/>
                      <w:sz w:val="15"/>
                    </w:rPr>
                    <w:t>193</w:t>
                  </w:r>
                </w:p>
              </w:txbxContent>
            </v:textbox>
            <w10:wrap type="none"/>
          </v:shape>
        </w:pict>
      </w:r>
      <w:r>
        <w:rPr/>
        <w:pict>
          <v:shape style="position:absolute;margin-left:89.712601pt;margin-top:430.428253pt;width:433.6pt;height:39pt;mso-position-horizontal-relative:page;mso-position-vertical-relative:page;z-index:-168064" type="#_x0000_t202" filled="false" stroked="false">
            <v:textbox inset="0,0,0,0">
              <w:txbxContent>
                <w:p>
                  <w:pPr>
                    <w:pStyle w:val="BodyText"/>
                    <w:spacing w:line="280" w:lineRule="auto"/>
                  </w:pPr>
                  <w:r>
                    <w:rPr>
                      <w:color w:val="58595B"/>
                    </w:rPr>
                    <w:t>Robust mechanisms for buffer establishment and protection and processes to effectively manage encroachment onto buffers will allow the EPA to focus on critical priorities for the future. We consider mechanisms should:</w:t>
                  </w:r>
                </w:p>
              </w:txbxContent>
            </v:textbox>
            <w10:wrap type="none"/>
          </v:shape>
        </w:pict>
      </w:r>
      <w:r>
        <w:rPr/>
        <w:pict>
          <v:shape style="position:absolute;margin-left:89.712601pt;margin-top:476.598267pt;width:5.5pt;height:12pt;mso-position-horizontal-relative:page;mso-position-vertical-relative:page;z-index:-16804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98.212601pt;margin-top:476.598267pt;width:422.25pt;height:318.2pt;mso-position-horizontal-relative:page;mso-position-vertical-relative:page;z-index:-168016" type="#_x0000_t202" filled="false" stroked="false">
            <v:textbox inset="0,0,0,0">
              <w:txbxContent>
                <w:p>
                  <w:pPr>
                    <w:pStyle w:val="BodyText"/>
                    <w:spacing w:line="280" w:lineRule="auto"/>
                    <w:ind w:right="17" w:hanging="1"/>
                  </w:pPr>
                  <w:r>
                    <w:rPr>
                      <w:b/>
                      <w:color w:val="58595B"/>
                    </w:rPr>
                    <w:t>integrate</w:t>
                  </w:r>
                  <w:r>
                    <w:rPr>
                      <w:b/>
                      <w:color w:val="58595B"/>
                      <w:spacing w:val="-6"/>
                    </w:rPr>
                    <w:t> </w:t>
                  </w:r>
                  <w:r>
                    <w:rPr>
                      <w:b/>
                      <w:color w:val="58595B"/>
                    </w:rPr>
                    <w:t>planning</w:t>
                  </w:r>
                  <w:r>
                    <w:rPr>
                      <w:b/>
                      <w:color w:val="58595B"/>
                      <w:spacing w:val="-6"/>
                    </w:rPr>
                    <w:t> </w:t>
                  </w:r>
                  <w:r>
                    <w:rPr>
                      <w:b/>
                      <w:color w:val="58595B"/>
                    </w:rPr>
                    <w:t>and</w:t>
                  </w:r>
                  <w:r>
                    <w:rPr>
                      <w:b/>
                      <w:color w:val="58595B"/>
                      <w:spacing w:val="-6"/>
                    </w:rPr>
                    <w:t> </w:t>
                  </w:r>
                  <w:r>
                    <w:rPr>
                      <w:b/>
                      <w:color w:val="58595B"/>
                    </w:rPr>
                    <w:t>environment</w:t>
                  </w:r>
                  <w:r>
                    <w:rPr>
                      <w:b/>
                      <w:color w:val="58595B"/>
                      <w:spacing w:val="-6"/>
                    </w:rPr>
                    <w:t> </w:t>
                  </w:r>
                  <w:r>
                    <w:rPr>
                      <w:b/>
                      <w:color w:val="58595B"/>
                    </w:rPr>
                    <w:t>systems</w:t>
                  </w:r>
                  <w:r>
                    <w:rPr>
                      <w:color w:val="58595B"/>
                    </w:rPr>
                    <w:t>,</w:t>
                  </w:r>
                  <w:r>
                    <w:rPr>
                      <w:color w:val="58595B"/>
                      <w:spacing w:val="-6"/>
                    </w:rPr>
                    <w:t> </w:t>
                  </w:r>
                  <w:r>
                    <w:rPr>
                      <w:color w:val="58595B"/>
                    </w:rPr>
                    <w:t>using</w:t>
                  </w:r>
                  <w:r>
                    <w:rPr>
                      <w:color w:val="58595B"/>
                      <w:spacing w:val="-6"/>
                    </w:rPr>
                    <w:t> </w:t>
                  </w:r>
                  <w:r>
                    <w:rPr>
                      <w:color w:val="58595B"/>
                    </w:rPr>
                    <w:t>consistent</w:t>
                  </w:r>
                  <w:r>
                    <w:rPr>
                      <w:color w:val="58595B"/>
                      <w:spacing w:val="-6"/>
                    </w:rPr>
                    <w:t> </w:t>
                  </w:r>
                  <w:r>
                    <w:rPr>
                      <w:color w:val="58595B"/>
                    </w:rPr>
                    <w:t>terminology,</w:t>
                  </w:r>
                  <w:r>
                    <w:rPr>
                      <w:color w:val="58595B"/>
                      <w:spacing w:val="-6"/>
                    </w:rPr>
                    <w:t> </w:t>
                  </w:r>
                  <w:r>
                    <w:rPr>
                      <w:color w:val="58595B"/>
                    </w:rPr>
                    <w:t>based</w:t>
                  </w:r>
                  <w:r>
                    <w:rPr>
                      <w:color w:val="58595B"/>
                      <w:spacing w:val="-6"/>
                    </w:rPr>
                    <w:t> </w:t>
                  </w:r>
                  <w:r>
                    <w:rPr>
                      <w:color w:val="58595B"/>
                    </w:rPr>
                    <w:t>on</w:t>
                  </w:r>
                  <w:r>
                    <w:rPr>
                      <w:color w:val="58595B"/>
                      <w:spacing w:val="-6"/>
                    </w:rPr>
                    <w:t> </w:t>
                  </w:r>
                  <w:r>
                    <w:rPr>
                      <w:color w:val="58595B"/>
                    </w:rPr>
                    <w:t>sound science </w:t>
                  </w:r>
                  <w:r>
                    <w:rPr>
                      <w:color w:val="58595B"/>
                      <w:spacing w:val="-4"/>
                    </w:rPr>
                    <w:t>(as </w:t>
                  </w:r>
                  <w:r>
                    <w:rPr>
                      <w:color w:val="58595B"/>
                    </w:rPr>
                    <w:t>determined </w:t>
                  </w:r>
                  <w:r>
                    <w:rPr>
                      <w:color w:val="58595B"/>
                      <w:spacing w:val="-3"/>
                    </w:rPr>
                    <w:t>by </w:t>
                  </w:r>
                  <w:r>
                    <w:rPr>
                      <w:color w:val="58595B"/>
                    </w:rPr>
                    <w:t>the </w:t>
                  </w:r>
                  <w:r>
                    <w:rPr>
                      <w:color w:val="58595B"/>
                      <w:spacing w:val="-5"/>
                    </w:rPr>
                    <w:t>EPA). </w:t>
                  </w:r>
                  <w:r>
                    <w:rPr>
                      <w:color w:val="58595B"/>
                    </w:rPr>
                    <w:t>Land use planners must be able to apply them, and they should provide clear guidance. The </w:t>
                  </w:r>
                  <w:r>
                    <w:rPr>
                      <w:color w:val="58595B"/>
                      <w:spacing w:val="-5"/>
                    </w:rPr>
                    <w:t>EPA </w:t>
                  </w:r>
                  <w:r>
                    <w:rPr>
                      <w:color w:val="58595B"/>
                    </w:rPr>
                    <w:t>and </w:t>
                  </w:r>
                  <w:r>
                    <w:rPr>
                      <w:color w:val="58595B"/>
                      <w:spacing w:val="-3"/>
                    </w:rPr>
                    <w:t>DELWP </w:t>
                  </w:r>
                  <w:r>
                    <w:rPr>
                      <w:color w:val="58595B"/>
                    </w:rPr>
                    <w:t>will need to work closely on amendments to</w:t>
                  </w:r>
                  <w:r>
                    <w:rPr>
                      <w:color w:val="58595B"/>
                      <w:spacing w:val="-7"/>
                    </w:rPr>
                    <w:t> </w:t>
                  </w:r>
                  <w:r>
                    <w:rPr>
                      <w:color w:val="58595B"/>
                    </w:rPr>
                    <w:t>the</w:t>
                  </w:r>
                  <w:r>
                    <w:rPr>
                      <w:color w:val="58595B"/>
                      <w:spacing w:val="-7"/>
                    </w:rPr>
                    <w:t> </w:t>
                  </w:r>
                  <w:r>
                    <w:rPr>
                      <w:color w:val="58595B"/>
                    </w:rPr>
                    <w:t>Victoria</w:t>
                  </w:r>
                  <w:r>
                    <w:rPr>
                      <w:color w:val="58595B"/>
                      <w:spacing w:val="-7"/>
                    </w:rPr>
                    <w:t> </w:t>
                  </w:r>
                  <w:r>
                    <w:rPr>
                      <w:color w:val="58595B"/>
                    </w:rPr>
                    <w:t>Planning</w:t>
                  </w:r>
                  <w:r>
                    <w:rPr>
                      <w:color w:val="58595B"/>
                      <w:spacing w:val="-7"/>
                    </w:rPr>
                    <w:t> </w:t>
                  </w:r>
                  <w:r>
                    <w:rPr>
                      <w:color w:val="58595B"/>
                    </w:rPr>
                    <w:t>Provisions</w:t>
                  </w:r>
                  <w:r>
                    <w:rPr>
                      <w:color w:val="58595B"/>
                      <w:spacing w:val="-7"/>
                    </w:rPr>
                    <w:t> </w:t>
                  </w:r>
                  <w:r>
                    <w:rPr>
                      <w:color w:val="58595B"/>
                    </w:rPr>
                    <w:t>(clause</w:t>
                  </w:r>
                  <w:r>
                    <w:rPr>
                      <w:color w:val="58595B"/>
                      <w:spacing w:val="-7"/>
                    </w:rPr>
                    <w:t> </w:t>
                  </w:r>
                  <w:r>
                    <w:rPr>
                      <w:color w:val="58595B"/>
                      <w:spacing w:val="-6"/>
                    </w:rPr>
                    <w:t>52.10</w:t>
                  </w:r>
                  <w:r>
                    <w:rPr>
                      <w:color w:val="58595B"/>
                      <w:spacing w:val="-7"/>
                    </w:rPr>
                    <w:t> </w:t>
                  </w:r>
                  <w:r>
                    <w:rPr>
                      <w:color w:val="58595B"/>
                    </w:rPr>
                    <w:t>–</w:t>
                  </w:r>
                  <w:r>
                    <w:rPr>
                      <w:color w:val="58595B"/>
                      <w:spacing w:val="-7"/>
                    </w:rPr>
                    <w:t> </w:t>
                  </w:r>
                  <w:r>
                    <w:rPr>
                      <w:color w:val="58595B"/>
                    </w:rPr>
                    <w:t>Uses</w:t>
                  </w:r>
                  <w:r>
                    <w:rPr>
                      <w:color w:val="58595B"/>
                      <w:spacing w:val="-7"/>
                    </w:rPr>
                    <w:t> </w:t>
                  </w:r>
                  <w:r>
                    <w:rPr>
                      <w:color w:val="58595B"/>
                    </w:rPr>
                    <w:t>with</w:t>
                  </w:r>
                  <w:r>
                    <w:rPr>
                      <w:color w:val="58595B"/>
                      <w:spacing w:val="-7"/>
                    </w:rPr>
                    <w:t> </w:t>
                  </w:r>
                  <w:r>
                    <w:rPr>
                      <w:color w:val="58595B"/>
                    </w:rPr>
                    <w:t>adverse</w:t>
                  </w:r>
                  <w:r>
                    <w:rPr>
                      <w:color w:val="58595B"/>
                      <w:spacing w:val="-7"/>
                    </w:rPr>
                    <w:t> </w:t>
                  </w:r>
                  <w:r>
                    <w:rPr>
                      <w:color w:val="58595B"/>
                    </w:rPr>
                    <w:t>amenity</w:t>
                  </w:r>
                  <w:r>
                    <w:rPr>
                      <w:color w:val="58595B"/>
                      <w:spacing w:val="-7"/>
                    </w:rPr>
                    <w:t> </w:t>
                  </w:r>
                  <w:r>
                    <w:rPr>
                      <w:color w:val="58595B"/>
                    </w:rPr>
                    <w:t>potential),</w:t>
                  </w:r>
                  <w:r>
                    <w:rPr>
                      <w:color w:val="58595B"/>
                      <w:spacing w:val="-7"/>
                    </w:rPr>
                    <w:t> </w:t>
                  </w:r>
                  <w:r>
                    <w:rPr>
                      <w:color w:val="58595B"/>
                    </w:rPr>
                    <w:t>to</w:t>
                  </w:r>
                  <w:r>
                    <w:rPr>
                      <w:color w:val="58595B"/>
                      <w:spacing w:val="-7"/>
                    </w:rPr>
                    <w:t> </w:t>
                  </w:r>
                  <w:r>
                    <w:rPr>
                      <w:color w:val="58595B"/>
                    </w:rPr>
                    <w:t>give effect to these</w:t>
                  </w:r>
                  <w:r>
                    <w:rPr>
                      <w:color w:val="58595B"/>
                      <w:spacing w:val="-12"/>
                    </w:rPr>
                    <w:t> </w:t>
                  </w:r>
                  <w:r>
                    <w:rPr>
                      <w:color w:val="58595B"/>
                    </w:rPr>
                    <w:t>outcomes.</w:t>
                  </w:r>
                </w:p>
                <w:p>
                  <w:pPr>
                    <w:pStyle w:val="BodyText"/>
                    <w:spacing w:line="280" w:lineRule="auto" w:before="115"/>
                    <w:ind w:right="39"/>
                  </w:pPr>
                  <w:r>
                    <w:rPr>
                      <w:b/>
                      <w:color w:val="58595B"/>
                    </w:rPr>
                    <w:t>address sensitive uses encroaching on existing industrial or waste facilities or buffers</w:t>
                  </w:r>
                  <w:r>
                    <w:rPr>
                      <w:color w:val="58595B"/>
                    </w:rPr>
                    <w:t>, to avoid potential amenity, health and safety impacts. The Agent of Change principle</w:t>
                  </w:r>
                  <w:r>
                    <w:rPr>
                      <w:color w:val="58595B"/>
                      <w:position w:val="7"/>
                      <w:sz w:val="11"/>
                    </w:rPr>
                    <w:t>19 </w:t>
                  </w:r>
                  <w:r>
                    <w:rPr>
                      <w:color w:val="58595B"/>
                    </w:rPr>
                    <w:t>may be appropriate in these situations – that is, if there is a conflict between existing and proposed land uses, the existing land use should have primacy. This principle would appropriately recognise the importance of waste and recycling infrastructure and protect these facilities from encroaching incompatible land uses.</w:t>
                  </w:r>
                </w:p>
                <w:p>
                  <w:pPr>
                    <w:pStyle w:val="BodyText"/>
                    <w:spacing w:line="280" w:lineRule="auto" w:before="115"/>
                    <w:ind w:right="141"/>
                  </w:pPr>
                  <w:r>
                    <w:rPr>
                      <w:b/>
                      <w:color w:val="58595B"/>
                    </w:rPr>
                    <w:t>provide appropriate triggers </w:t>
                  </w:r>
                  <w:r>
                    <w:rPr>
                      <w:color w:val="58595B"/>
                    </w:rPr>
                    <w:t>through planning and environmental regulation to address encroachment on existing residential activity of industrial, agricultural and waste activities. This includes from expanding activities or changes of practice that create new impacts.</w:t>
                  </w:r>
                </w:p>
                <w:p>
                  <w:pPr>
                    <w:spacing w:line="280" w:lineRule="auto" w:before="115"/>
                    <w:ind w:left="20" w:right="17" w:firstLine="0"/>
                    <w:jc w:val="left"/>
                    <w:rPr>
                      <w:sz w:val="20"/>
                    </w:rPr>
                  </w:pPr>
                  <w:r>
                    <w:rPr>
                      <w:b/>
                      <w:color w:val="58595B"/>
                      <w:sz w:val="20"/>
                    </w:rPr>
                    <w:t>provide clear direction for planning decision makers</w:t>
                  </w:r>
                  <w:r>
                    <w:rPr>
                      <w:color w:val="58595B"/>
                      <w:sz w:val="20"/>
                    </w:rPr>
                    <w:t>, and so reduce reliance on referring statutory planning matters to the EPA, except if there are potentially significant health impacts.</w:t>
                  </w:r>
                </w:p>
                <w:p>
                  <w:pPr>
                    <w:pStyle w:val="BodyText"/>
                    <w:spacing w:line="280" w:lineRule="auto" w:before="115"/>
                    <w:ind w:right="169"/>
                  </w:pPr>
                  <w:r>
                    <w:rPr>
                      <w:b/>
                      <w:color w:val="58595B"/>
                    </w:rPr>
                    <w:t>ensure </w:t>
                  </w:r>
                  <w:r>
                    <w:rPr>
                      <w:b/>
                      <w:color w:val="58595B"/>
                      <w:spacing w:val="2"/>
                    </w:rPr>
                    <w:t>buffers </w:t>
                  </w:r>
                  <w:r>
                    <w:rPr>
                      <w:b/>
                      <w:color w:val="58595B"/>
                    </w:rPr>
                    <w:t>are ‘visible’ in the planning system</w:t>
                  </w:r>
                  <w:r>
                    <w:rPr>
                      <w:color w:val="58595B"/>
                    </w:rPr>
                    <w:t>. For example, establish a planning mechanism(s), such as a zone or </w:t>
                  </w:r>
                  <w:r>
                    <w:rPr>
                      <w:color w:val="58595B"/>
                      <w:spacing w:val="-3"/>
                    </w:rPr>
                    <w:t>overlay, </w:t>
                  </w:r>
                  <w:r>
                    <w:rPr>
                      <w:color w:val="58595B"/>
                    </w:rPr>
                    <w:t>that applies appropriate controls to prevent encroachment on these buffers that may lead to conflicts between incompatible uses. This will ensure that buffers around waste facilities, landfills and scheduled premises are visible to planners and accounted for in rezoning or amendment decisions. Also, the community will be aware of the status of sites and likely suitability for various land</w:t>
                  </w:r>
                  <w:r>
                    <w:rPr>
                      <w:color w:val="58595B"/>
                      <w:spacing w:val="-11"/>
                    </w:rPr>
                    <w:t> </w:t>
                  </w:r>
                  <w:r>
                    <w:rPr>
                      <w:color w:val="58595B"/>
                    </w:rPr>
                    <w:t>uses.</w:t>
                  </w:r>
                </w:p>
              </w:txbxContent>
            </v:textbox>
            <w10:wrap type="none"/>
          </v:shape>
        </w:pict>
      </w:r>
      <w:r>
        <w:rPr/>
        <w:pict>
          <v:shape style="position:absolute;margin-left:89.722603pt;margin-top:549.76825pt;width:5.5pt;height:12pt;mso-position-horizontal-relative:page;mso-position-vertical-relative:page;z-index:-167992"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14798pt;margin-top:636.433960pt;width:5.5pt;height:12pt;mso-position-horizontal-relative:page;mso-position-vertical-relative:page;z-index:-167968"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14798pt;margin-top:682.603943pt;width:5.5pt;height:12pt;mso-position-horizontal-relative:page;mso-position-vertical-relative:page;z-index:-167944"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89.714798pt;margin-top:715.273987pt;width:5.5pt;height:12pt;mso-position-horizontal-relative:page;mso-position-vertical-relative:page;z-index:-167920" type="#_x0000_t202" filled="false" stroked="false">
            <v:textbox inset="0,0,0,0">
              <w:txbxContent>
                <w:p>
                  <w:pPr>
                    <w:pStyle w:val="BodyText"/>
                    <w:spacing w:line="224" w:lineRule="exact"/>
                  </w:pPr>
                  <w:r>
                    <w:rPr>
                      <w:color w:val="0095A7"/>
                    </w:rPr>
                    <w:t>•</w:t>
                  </w:r>
                </w:p>
              </w:txbxContent>
            </v:textbox>
            <w10:wrap type="none"/>
          </v:shape>
        </w:pict>
      </w:r>
      <w:r>
        <w:rPr/>
        <w:pict>
          <v:shape style="position:absolute;margin-left:90.709pt;margin-top:107.717018pt;width:432.75pt;height:304.150pt;mso-position-horizontal-relative:page;mso-position-vertical-relative:page;z-index:-167896" type="#_x0000_t202" filled="false" stroked="false">
            <v:textbox inset="0,0,0,0">
              <w:txbxContent>
                <w:p>
                  <w:pPr>
                    <w:pStyle w:val="BodyText"/>
                    <w:spacing w:line="280" w:lineRule="auto" w:before="128"/>
                    <w:ind w:left="170" w:right="2163"/>
                  </w:pPr>
                  <w:r>
                    <w:rPr>
                      <w:b/>
                      <w:color w:val="0095A7"/>
                    </w:rPr>
                    <w:t>BOX 10.4 </w:t>
                  </w:r>
                  <w:r>
                    <w:rPr>
                      <w:color w:val="0095A7"/>
                    </w:rPr>
                    <w:t>CURRENT REVIEW PROCESSES DEALING WITH ENCROACHMENT PROBLEMS</w:t>
                  </w:r>
                </w:p>
                <w:p>
                  <w:pPr>
                    <w:pStyle w:val="BodyText"/>
                    <w:spacing w:line="280" w:lineRule="auto" w:before="115"/>
                    <w:ind w:left="170" w:right="771"/>
                  </w:pPr>
                  <w:r>
                    <w:rPr>
                      <w:color w:val="58595B"/>
                    </w:rPr>
                    <w:t>A number of processes are currently underway to improve responses to encroachment problems, including through statutory planning mechanisms to better protect buffers from encroachment.</w:t>
                  </w:r>
                </w:p>
                <w:p>
                  <w:pPr>
                    <w:pStyle w:val="BodyText"/>
                    <w:spacing w:line="280" w:lineRule="auto" w:before="172"/>
                    <w:ind w:left="170" w:right="267"/>
                  </w:pPr>
                  <w:r>
                    <w:rPr>
                      <w:color w:val="58595B"/>
                    </w:rPr>
                    <w:t>The Minister for Planning has established an Advisory Committee to provide advice on the way land use buffers around Major Hazard Facilities (established under section 151 of the </w:t>
                  </w:r>
                  <w:r>
                    <w:rPr>
                      <w:i/>
                      <w:color w:val="58595B"/>
                    </w:rPr>
                    <w:t>Planning and Environment Act 1987</w:t>
                  </w:r>
                  <w:r>
                    <w:rPr>
                      <w:color w:val="58595B"/>
                    </w:rPr>
                    <w:t>) are determined and implemented. It will provide advice on how risks and amenity around Major Hazard Facilities might be better managed and how the principles for applying land use buffers may be applied to other land uses with adverse amenity potential.</w:t>
                  </w:r>
                  <w:r>
                    <w:rPr>
                      <w:color w:val="58595B"/>
                      <w:position w:val="7"/>
                      <w:sz w:val="11"/>
                    </w:rPr>
                    <w:t>17  </w:t>
                  </w:r>
                  <w:r>
                    <w:rPr>
                      <w:color w:val="58595B"/>
                    </w:rPr>
                    <w:t>The Advisory Committee is due to report in mid-2016.</w:t>
                  </w:r>
                </w:p>
                <w:p>
                  <w:pPr>
                    <w:pStyle w:val="BodyText"/>
                    <w:spacing w:before="172"/>
                    <w:ind w:left="170" w:right="7"/>
                  </w:pPr>
                  <w:r>
                    <w:rPr>
                      <w:color w:val="58595B"/>
                    </w:rPr>
                    <w:t>The Plan Melbourne Review Ministerial Advisory Committee report (June 2015) recommended:</w:t>
                  </w:r>
                </w:p>
                <w:p>
                  <w:pPr>
                    <w:pStyle w:val="ListParagraph"/>
                    <w:numPr>
                      <w:ilvl w:val="0"/>
                      <w:numId w:val="75"/>
                    </w:numPr>
                    <w:tabs>
                      <w:tab w:pos="341" w:val="left" w:leader="none"/>
                    </w:tabs>
                    <w:spacing w:line="280" w:lineRule="auto" w:before="153" w:after="0"/>
                    <w:ind w:left="340" w:right="468" w:hanging="170"/>
                    <w:jc w:val="left"/>
                    <w:rPr>
                      <w:sz w:val="11"/>
                    </w:rPr>
                  </w:pPr>
                  <w:r>
                    <w:rPr>
                      <w:color w:val="58595B"/>
                      <w:sz w:val="20"/>
                    </w:rPr>
                    <w:t>Strengthen mechanisms (such as clearer standards and guidance) to protect separation, buffer and interface distances for existing facilities and uses which create noise and air quality issues (recommendation</w:t>
                  </w:r>
                  <w:r>
                    <w:rPr>
                      <w:color w:val="58595B"/>
                      <w:spacing w:val="9"/>
                      <w:sz w:val="20"/>
                    </w:rPr>
                    <w:t> </w:t>
                  </w:r>
                  <w:r>
                    <w:rPr>
                      <w:color w:val="58595B"/>
                      <w:spacing w:val="-5"/>
                      <w:sz w:val="20"/>
                    </w:rPr>
                    <w:t>5.4.1–2).</w:t>
                  </w:r>
                  <w:r>
                    <w:rPr>
                      <w:color w:val="58595B"/>
                      <w:spacing w:val="-5"/>
                      <w:position w:val="7"/>
                      <w:sz w:val="11"/>
                    </w:rPr>
                    <w:t>18</w:t>
                  </w:r>
                </w:p>
                <w:p>
                  <w:pPr>
                    <w:pStyle w:val="BodyText"/>
                    <w:spacing w:line="280" w:lineRule="auto" w:before="172"/>
                    <w:ind w:left="170" w:right="7"/>
                  </w:pPr>
                  <w:r>
                    <w:rPr>
                      <w:color w:val="58595B"/>
                    </w:rPr>
                    <w:t>The Local Buffer Support Program, led by the Metropolitan Waste and Resource Recovery Group, is a four-year program (2014–17) to protect landfill sites and adjacent development, by developing and using appropriate buffers and planning tools. The program recently identified changes to overlays, zones and clause definitions.</w:t>
                  </w:r>
                </w:p>
              </w:txbxContent>
            </v:textbox>
            <w10:wrap type="none"/>
          </v:shape>
        </w:pict>
      </w:r>
      <w:r>
        <w:rPr/>
        <w:pict>
          <v:shape style="position:absolute;margin-left:534.996094pt;margin-top:44.090015pt;width:60.3pt;height:5.25pt;mso-position-horizontal-relative:page;mso-position-vertical-relative:page;z-index:-167872"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67848"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67824" from=".0pt,45.840015pt" to="60.2791pt,45.840015pt" stroked="true" strokeweight="7pt" strokecolor="#0095a7">
            <w10:wrap type="none"/>
          </v:line>
        </w:pict>
      </w:r>
      <w:r>
        <w:rPr/>
        <w:pict>
          <v:shape style="position:absolute;margin-left:69.866096pt;margin-top:40.902756pt;width:14.6pt;height:9.5pt;mso-position-horizontal-relative:page;mso-position-vertical-relative:page;z-index:-167800" type="#_x0000_t202" filled="false" stroked="false">
            <v:textbox inset="0,0,0,0">
              <w:txbxContent>
                <w:p>
                  <w:pPr>
                    <w:spacing w:before="1"/>
                    <w:ind w:left="20" w:right="0" w:firstLine="0"/>
                    <w:jc w:val="left"/>
                    <w:rPr>
                      <w:sz w:val="15"/>
                    </w:rPr>
                  </w:pPr>
                  <w:r>
                    <w:rPr>
                      <w:color w:val="58595B"/>
                      <w:sz w:val="15"/>
                    </w:rPr>
                    <w:t>194</w:t>
                  </w:r>
                </w:p>
              </w:txbxContent>
            </v:textbox>
            <w10:wrap type="none"/>
          </v:shape>
        </w:pict>
      </w:r>
      <w:r>
        <w:rPr/>
        <w:pict>
          <v:shape style="position:absolute;margin-left:95.377899pt;margin-top:40.902756pt;width:147.75pt;height:9.5pt;mso-position-horizontal-relative:page;mso-position-vertical-relative:page;z-index:-167776"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72934pt;width:435.05pt;height:154.3pt;mso-position-horizontal-relative:page;mso-position-vertical-relative:page;z-index:-167752" type="#_x0000_t202" filled="false" stroked="false">
            <v:textbox inset="0,0,0,0">
              <w:txbxContent>
                <w:p>
                  <w:pPr>
                    <w:spacing w:line="235" w:lineRule="auto" w:before="0"/>
                    <w:ind w:left="20" w:right="1670" w:firstLine="0"/>
                    <w:jc w:val="left"/>
                    <w:rPr>
                      <w:sz w:val="24"/>
                    </w:rPr>
                  </w:pPr>
                  <w:r>
                    <w:rPr>
                      <w:color w:val="0095A7"/>
                      <w:sz w:val="24"/>
                    </w:rPr>
                    <w:t>10.4 Simplifying environment protection standards and guidance to support more effective land use</w:t>
                  </w:r>
                  <w:r>
                    <w:rPr>
                      <w:color w:val="0095A7"/>
                      <w:spacing w:val="51"/>
                      <w:sz w:val="24"/>
                    </w:rPr>
                    <w:t> </w:t>
                  </w:r>
                  <w:r>
                    <w:rPr>
                      <w:color w:val="0095A7"/>
                      <w:sz w:val="24"/>
                    </w:rPr>
                    <w:t>planning</w:t>
                  </w:r>
                </w:p>
                <w:p>
                  <w:pPr>
                    <w:pStyle w:val="BodyText"/>
                    <w:spacing w:line="280" w:lineRule="auto" w:before="146"/>
                  </w:pPr>
                  <w:r>
                    <w:rPr>
                      <w:color w:val="58595B"/>
                    </w:rPr>
                    <w:t>Effective environmental regulation relies on land use planners being able to understand and consistently apply standards in their day-to-day decision making. Inconsistencies in language and lack of clarity in guidance documents can make this difficult. We heard of these difficulties from many local governments – and especially, that they did not have the resources or capabilities</w:t>
                  </w:r>
                </w:p>
                <w:p>
                  <w:pPr>
                    <w:pStyle w:val="BodyText"/>
                    <w:spacing w:line="280" w:lineRule="auto" w:before="2"/>
                    <w:ind w:right="30"/>
                  </w:pPr>
                  <w:r>
                    <w:rPr>
                      <w:color w:val="58595B"/>
                    </w:rPr>
                    <w:t>to apply </w:t>
                  </w:r>
                  <w:r>
                    <w:rPr>
                      <w:color w:val="58595B"/>
                      <w:spacing w:val="-4"/>
                    </w:rPr>
                    <w:t>EPA </w:t>
                  </w:r>
                  <w:r>
                    <w:rPr>
                      <w:color w:val="58595B"/>
                    </w:rPr>
                    <w:t>requirements. This is a significant issue for the </w:t>
                  </w:r>
                  <w:r>
                    <w:rPr>
                      <w:color w:val="58595B"/>
                      <w:spacing w:val="-4"/>
                    </w:rPr>
                    <w:t>EPA </w:t>
                  </w:r>
                  <w:r>
                    <w:rPr>
                      <w:color w:val="58595B"/>
                    </w:rPr>
                    <w:t>and for the planning system more generally. </w:t>
                  </w:r>
                  <w:r>
                    <w:rPr>
                      <w:color w:val="58595B"/>
                      <w:spacing w:val="-3"/>
                    </w:rPr>
                    <w:t>However, </w:t>
                  </w:r>
                  <w:r>
                    <w:rPr>
                      <w:color w:val="58595B"/>
                    </w:rPr>
                    <w:t>we do not consider that it is feasible or appropriate to expand the </w:t>
                  </w:r>
                  <w:r>
                    <w:rPr>
                      <w:color w:val="58595B"/>
                      <w:spacing w:val="-7"/>
                    </w:rPr>
                    <w:t>EPA’s </w:t>
                  </w:r>
                  <w:r>
                    <w:rPr>
                      <w:color w:val="58595B"/>
                    </w:rPr>
                    <w:t>role in permit level statutory planning. Nor do we consider it practical for local governments to commission additional ‘peer review’ advice to help them interpret technical assessments and make decisions.</w:t>
                  </w:r>
                </w:p>
              </w:txbxContent>
            </v:textbox>
            <w10:wrap type="none"/>
          </v:shape>
        </w:pict>
      </w:r>
      <w:r>
        <w:rPr/>
        <w:pict>
          <v:shape style="position:absolute;margin-left:69.866096pt;margin-top:270.019257pt;width:429.3pt;height:160.5pt;mso-position-horizontal-relative:page;mso-position-vertical-relative:page;z-index:-167728" type="#_x0000_t202" filled="false" stroked="false">
            <v:textbox inset="0,0,0,0">
              <w:txbxContent>
                <w:p>
                  <w:pPr>
                    <w:pStyle w:val="BodyText"/>
                    <w:spacing w:line="280" w:lineRule="auto"/>
                    <w:ind w:right="17"/>
                  </w:pPr>
                  <w:r>
                    <w:rPr>
                      <w:color w:val="58595B"/>
                      <w:spacing w:val="-4"/>
                    </w:rPr>
                    <w:t>EPA </w:t>
                  </w:r>
                  <w:r>
                    <w:rPr>
                      <w:color w:val="58595B"/>
                    </w:rPr>
                    <w:t>standards and guidance (with a few exceptions) are not designed for a planning audience even though planners have significant decision making roles. For example, state environment protection policies under the EP Act often place obligations on authorities (for example, to protect a certain environmental condition or consider environment in land use changes) but these can be obscure or not well understood. We consider that </w:t>
                  </w:r>
                  <w:r>
                    <w:rPr>
                      <w:color w:val="58595B"/>
                      <w:spacing w:val="-4"/>
                    </w:rPr>
                    <w:t>EPA </w:t>
                  </w:r>
                  <w:r>
                    <w:rPr>
                      <w:color w:val="58595B"/>
                    </w:rPr>
                    <w:t>regulatory standards and obligations need to be simplified and better integrated into the planning system, with mandatory, measurable and enforceable land use planning mechanisms. Referral requirements also need  to be clear, including in relation to the process for completion of referrals and the enforcement responsibilities of respective agencies. This should reduce problems of interpretation and lack of local environment expertise. This will likely require changes to both planning and </w:t>
                  </w:r>
                  <w:r>
                    <w:rPr>
                      <w:color w:val="58595B"/>
                      <w:spacing w:val="-4"/>
                    </w:rPr>
                    <w:t>EPA </w:t>
                  </w:r>
                  <w:r>
                    <w:rPr>
                      <w:color w:val="58595B"/>
                    </w:rPr>
                    <w:t>guidance materials, and in some cases to statutory instruments – and DELWP and the </w:t>
                  </w:r>
                  <w:r>
                    <w:rPr>
                      <w:color w:val="58595B"/>
                      <w:spacing w:val="-4"/>
                    </w:rPr>
                    <w:t>EPA </w:t>
                  </w:r>
                  <w:r>
                    <w:rPr>
                      <w:color w:val="58595B"/>
                    </w:rPr>
                    <w:t>will need to work together on</w:t>
                  </w:r>
                  <w:r>
                    <w:rPr>
                      <w:color w:val="58595B"/>
                      <w:spacing w:val="2"/>
                    </w:rPr>
                    <w:t> </w:t>
                  </w:r>
                  <w:r>
                    <w:rPr>
                      <w:color w:val="58595B"/>
                    </w:rPr>
                    <w:t>this.</w:t>
                  </w:r>
                </w:p>
              </w:txbxContent>
            </v:textbox>
            <w10:wrap type="none"/>
          </v:shape>
        </w:pict>
      </w:r>
      <w:r>
        <w:rPr/>
        <w:pict>
          <v:shape style="position:absolute;margin-left:69.861702pt;margin-top:440.519257pt;width:431.95pt;height:106.55pt;mso-position-horizontal-relative:page;mso-position-vertical-relative:page;z-index:-167704" type="#_x0000_t202" filled="false" stroked="false">
            <v:textbox inset="0,0,0,0">
              <w:txbxContent>
                <w:p>
                  <w:pPr>
                    <w:pStyle w:val="BodyText"/>
                    <w:spacing w:line="280" w:lineRule="auto"/>
                    <w:ind w:right="15"/>
                  </w:pPr>
                  <w:r>
                    <w:rPr>
                      <w:color w:val="58595B"/>
                    </w:rPr>
                    <w:t>In addition, </w:t>
                  </w:r>
                  <w:r>
                    <w:rPr>
                      <w:color w:val="58595B"/>
                      <w:spacing w:val="-4"/>
                    </w:rPr>
                    <w:t>key </w:t>
                  </w:r>
                  <w:r>
                    <w:rPr>
                      <w:color w:val="58595B"/>
                    </w:rPr>
                    <w:t>provisions relating to the environment in the State Planning Policy Framework need to be clarified to provide clear objectives, strategies and policy guidelines, and so better guide planning decision makers. Analysis of several </w:t>
                  </w:r>
                  <w:r>
                    <w:rPr>
                      <w:color w:val="58595B"/>
                      <w:spacing w:val="-4"/>
                    </w:rPr>
                    <w:t>key </w:t>
                  </w:r>
                  <w:r>
                    <w:rPr>
                      <w:color w:val="58595B"/>
                    </w:rPr>
                    <w:t>provisions that relate to the environment in the State Planning Policy Framework</w:t>
                  </w:r>
                  <w:r>
                    <w:rPr>
                      <w:color w:val="58595B"/>
                      <w:position w:val="7"/>
                      <w:sz w:val="11"/>
                    </w:rPr>
                    <w:t>20 </w:t>
                  </w:r>
                  <w:r>
                    <w:rPr>
                      <w:color w:val="58595B"/>
                    </w:rPr>
                    <w:t>concluded they were often inadequate with unclear or vague high level objectives and poor decision guidance to assist planners. References to </w:t>
                  </w:r>
                  <w:r>
                    <w:rPr>
                      <w:color w:val="58595B"/>
                      <w:spacing w:val="-5"/>
                    </w:rPr>
                    <w:t>EPA </w:t>
                  </w:r>
                  <w:r>
                    <w:rPr>
                      <w:color w:val="58595B"/>
                    </w:rPr>
                    <w:t>guidance or standards in the Victorian Planning Policy need to be reviewed to ensure they are up to date and where appropriate made mandatory, </w:t>
                  </w:r>
                  <w:r>
                    <w:rPr>
                      <w:color w:val="58595B"/>
                      <w:spacing w:val="-3"/>
                    </w:rPr>
                    <w:t>clear, </w:t>
                  </w:r>
                  <w:r>
                    <w:rPr>
                      <w:color w:val="58595B"/>
                    </w:rPr>
                    <w:t>measurable and practically enforceable. These</w:t>
                  </w:r>
                  <w:r>
                    <w:rPr>
                      <w:color w:val="58595B"/>
                      <w:spacing w:val="-6"/>
                    </w:rPr>
                    <w:t> </w:t>
                  </w:r>
                  <w:r>
                    <w:rPr>
                      <w:color w:val="58595B"/>
                    </w:rPr>
                    <w:t>references</w:t>
                  </w:r>
                  <w:r>
                    <w:rPr>
                      <w:color w:val="58595B"/>
                      <w:spacing w:val="-6"/>
                    </w:rPr>
                    <w:t> </w:t>
                  </w:r>
                  <w:r>
                    <w:rPr>
                      <w:color w:val="58595B"/>
                    </w:rPr>
                    <w:t>will</w:t>
                  </w:r>
                  <w:r>
                    <w:rPr>
                      <w:color w:val="58595B"/>
                      <w:spacing w:val="-6"/>
                    </w:rPr>
                    <w:t> </w:t>
                  </w:r>
                  <w:r>
                    <w:rPr>
                      <w:color w:val="58595B"/>
                    </w:rPr>
                    <w:t>also</w:t>
                  </w:r>
                  <w:r>
                    <w:rPr>
                      <w:color w:val="58595B"/>
                      <w:spacing w:val="-6"/>
                    </w:rPr>
                    <w:t> </w:t>
                  </w:r>
                  <w:r>
                    <w:rPr>
                      <w:color w:val="58595B"/>
                    </w:rPr>
                    <w:t>need</w:t>
                  </w:r>
                  <w:r>
                    <w:rPr>
                      <w:color w:val="58595B"/>
                      <w:spacing w:val="-6"/>
                    </w:rPr>
                    <w:t> </w:t>
                  </w:r>
                  <w:r>
                    <w:rPr>
                      <w:color w:val="58595B"/>
                    </w:rPr>
                    <w:t>to</w:t>
                  </w:r>
                  <w:r>
                    <w:rPr>
                      <w:color w:val="58595B"/>
                      <w:spacing w:val="-6"/>
                    </w:rPr>
                    <w:t> </w:t>
                  </w:r>
                  <w:r>
                    <w:rPr>
                      <w:color w:val="58595B"/>
                    </w:rPr>
                    <w:t>be</w:t>
                  </w:r>
                  <w:r>
                    <w:rPr>
                      <w:color w:val="58595B"/>
                      <w:spacing w:val="-6"/>
                    </w:rPr>
                    <w:t> </w:t>
                  </w:r>
                  <w:r>
                    <w:rPr>
                      <w:color w:val="58595B"/>
                    </w:rPr>
                    <w:t>updated</w:t>
                  </w:r>
                  <w:r>
                    <w:rPr>
                      <w:color w:val="58595B"/>
                      <w:spacing w:val="-6"/>
                    </w:rPr>
                    <w:t> </w:t>
                  </w:r>
                  <w:r>
                    <w:rPr>
                      <w:color w:val="58595B"/>
                    </w:rPr>
                    <w:t>as</w:t>
                  </w:r>
                  <w:r>
                    <w:rPr>
                      <w:color w:val="58595B"/>
                      <w:spacing w:val="-6"/>
                    </w:rPr>
                    <w:t> </w:t>
                  </w:r>
                  <w:r>
                    <w:rPr>
                      <w:color w:val="58595B"/>
                    </w:rPr>
                    <w:t>part</w:t>
                  </w:r>
                  <w:r>
                    <w:rPr>
                      <w:color w:val="58595B"/>
                      <w:spacing w:val="-6"/>
                    </w:rPr>
                    <w:t> </w:t>
                  </w:r>
                  <w:r>
                    <w:rPr>
                      <w:color w:val="58595B"/>
                    </w:rPr>
                    <w:t>of</w:t>
                  </w:r>
                  <w:r>
                    <w:rPr>
                      <w:color w:val="58595B"/>
                      <w:spacing w:val="-6"/>
                    </w:rPr>
                    <w:t> </w:t>
                  </w:r>
                  <w:r>
                    <w:rPr>
                      <w:color w:val="58595B"/>
                    </w:rPr>
                    <w:t>implementing</w:t>
                  </w:r>
                  <w:r>
                    <w:rPr>
                      <w:color w:val="58595B"/>
                      <w:spacing w:val="-6"/>
                    </w:rPr>
                    <w:t> </w:t>
                  </w:r>
                  <w:r>
                    <w:rPr>
                      <w:color w:val="58595B"/>
                    </w:rPr>
                    <w:t>the</w:t>
                  </w:r>
                  <w:r>
                    <w:rPr>
                      <w:color w:val="58595B"/>
                      <w:spacing w:val="-6"/>
                    </w:rPr>
                    <w:t> </w:t>
                  </w:r>
                  <w:r>
                    <w:rPr>
                      <w:color w:val="58595B"/>
                    </w:rPr>
                    <w:t>proposed</w:t>
                  </w:r>
                  <w:r>
                    <w:rPr>
                      <w:color w:val="58595B"/>
                      <w:spacing w:val="-6"/>
                    </w:rPr>
                    <w:t> </w:t>
                  </w:r>
                  <w:r>
                    <w:rPr>
                      <w:color w:val="58595B"/>
                    </w:rPr>
                    <w:t>general</w:t>
                  </w:r>
                  <w:r>
                    <w:rPr>
                      <w:color w:val="58595B"/>
                      <w:spacing w:val="-6"/>
                    </w:rPr>
                    <w:t> </w:t>
                  </w:r>
                  <w:r>
                    <w:rPr>
                      <w:color w:val="58595B"/>
                      <w:spacing w:val="-3"/>
                    </w:rPr>
                    <w:t>duty.</w:t>
                  </w:r>
                </w:p>
              </w:txbxContent>
            </v:textbox>
            <w10:wrap type="none"/>
          </v:shape>
        </w:pict>
      </w:r>
      <w:r>
        <w:rPr/>
        <w:pict>
          <v:shape style="position:absolute;margin-left:69.861702pt;margin-top:557.027161pt;width:288pt;height:12pt;mso-position-horizontal-relative:page;mso-position-vertical-relative:page;z-index:-167680" type="#_x0000_t202" filled="false" stroked="false">
            <v:textbox inset="0,0,0,0">
              <w:txbxContent>
                <w:p>
                  <w:pPr>
                    <w:pStyle w:val="BodyText"/>
                    <w:spacing w:line="224" w:lineRule="exact"/>
                  </w:pPr>
                  <w:r>
                    <w:rPr>
                      <w:color w:val="58595B"/>
                    </w:rPr>
                    <w:t>We heard from local government about some of these problems:</w:t>
                  </w:r>
                </w:p>
              </w:txbxContent>
            </v:textbox>
            <w10:wrap type="none"/>
          </v:shape>
        </w:pict>
      </w:r>
      <w:r>
        <w:rPr/>
        <w:pict>
          <v:shape style="position:absolute;margin-left:98.21170pt;margin-top:579.027161pt;width:375.4pt;height:52.5pt;mso-position-horizontal-relative:page;mso-position-vertical-relative:page;z-index:-167656" type="#_x0000_t202" filled="false" stroked="false">
            <v:textbox inset="0,0,0,0">
              <w:txbxContent>
                <w:p>
                  <w:pPr>
                    <w:spacing w:line="280" w:lineRule="auto" w:before="0"/>
                    <w:ind w:left="20" w:right="0" w:firstLine="0"/>
                    <w:jc w:val="left"/>
                    <w:rPr>
                      <w:sz w:val="20"/>
                    </w:rPr>
                  </w:pPr>
                  <w:r>
                    <w:rPr>
                      <w:i/>
                      <w:color w:val="231F20"/>
                      <w:sz w:val="20"/>
                    </w:rPr>
                    <w:t>Strengthening the various legislative provisions by putting in place clear definitions, clear enforcement responsibilities and more effective requirements for the management</w:t>
                  </w:r>
                  <w:r>
                    <w:rPr>
                      <w:i/>
                      <w:color w:val="231F20"/>
                      <w:spacing w:val="-11"/>
                      <w:sz w:val="20"/>
                    </w:rPr>
                    <w:t> </w:t>
                  </w:r>
                  <w:r>
                    <w:rPr>
                      <w:i/>
                      <w:color w:val="231F20"/>
                      <w:sz w:val="20"/>
                    </w:rPr>
                    <w:t>and</w:t>
                  </w:r>
                  <w:r>
                    <w:rPr>
                      <w:i/>
                      <w:color w:val="231F20"/>
                      <w:spacing w:val="-11"/>
                      <w:sz w:val="20"/>
                    </w:rPr>
                    <w:t> </w:t>
                  </w:r>
                  <w:r>
                    <w:rPr>
                      <w:i/>
                      <w:color w:val="231F20"/>
                      <w:sz w:val="20"/>
                    </w:rPr>
                    <w:t>completion</w:t>
                  </w:r>
                  <w:r>
                    <w:rPr>
                      <w:i/>
                      <w:color w:val="231F20"/>
                      <w:spacing w:val="-15"/>
                      <w:sz w:val="20"/>
                    </w:rPr>
                    <w:t> </w:t>
                  </w:r>
                  <w:r>
                    <w:rPr>
                      <w:i/>
                      <w:color w:val="231F20"/>
                      <w:sz w:val="20"/>
                    </w:rPr>
                    <w:t>of</w:t>
                  </w:r>
                  <w:r>
                    <w:rPr>
                      <w:i/>
                      <w:color w:val="231F20"/>
                      <w:spacing w:val="-15"/>
                      <w:sz w:val="20"/>
                    </w:rPr>
                    <w:t> </w:t>
                  </w:r>
                  <w:r>
                    <w:rPr>
                      <w:i/>
                      <w:color w:val="231F20"/>
                      <w:sz w:val="20"/>
                    </w:rPr>
                    <w:t>referrals</w:t>
                  </w:r>
                  <w:r>
                    <w:rPr>
                      <w:i/>
                      <w:color w:val="231F20"/>
                      <w:spacing w:val="-15"/>
                      <w:sz w:val="20"/>
                    </w:rPr>
                    <w:t> </w:t>
                  </w:r>
                  <w:r>
                    <w:rPr>
                      <w:i/>
                      <w:color w:val="231F20"/>
                      <w:sz w:val="20"/>
                    </w:rPr>
                    <w:t>between</w:t>
                  </w:r>
                  <w:r>
                    <w:rPr>
                      <w:i/>
                      <w:color w:val="231F20"/>
                      <w:spacing w:val="-15"/>
                      <w:sz w:val="20"/>
                    </w:rPr>
                    <w:t> </w:t>
                  </w:r>
                  <w:r>
                    <w:rPr>
                      <w:i/>
                      <w:color w:val="231F20"/>
                      <w:sz w:val="20"/>
                    </w:rPr>
                    <w:t>statutory</w:t>
                  </w:r>
                  <w:r>
                    <w:rPr>
                      <w:i/>
                      <w:color w:val="231F20"/>
                      <w:spacing w:val="-15"/>
                      <w:sz w:val="20"/>
                    </w:rPr>
                    <w:t> </w:t>
                  </w:r>
                  <w:r>
                    <w:rPr>
                      <w:i/>
                      <w:color w:val="231F20"/>
                      <w:sz w:val="20"/>
                    </w:rPr>
                    <w:t>authorities.</w:t>
                  </w:r>
                  <w:r>
                    <w:rPr>
                      <w:i/>
                      <w:color w:val="231F20"/>
                      <w:spacing w:val="-15"/>
                      <w:sz w:val="20"/>
                    </w:rPr>
                    <w:t> </w:t>
                  </w:r>
                  <w:r>
                    <w:rPr>
                      <w:color w:val="231F20"/>
                      <w:sz w:val="20"/>
                    </w:rPr>
                    <w:t>(Kingston</w:t>
                  </w:r>
                  <w:r>
                    <w:rPr>
                      <w:color w:val="231F20"/>
                      <w:spacing w:val="-15"/>
                      <w:sz w:val="20"/>
                    </w:rPr>
                    <w:t> </w:t>
                  </w:r>
                  <w:r>
                    <w:rPr>
                      <w:color w:val="231F20"/>
                      <w:sz w:val="20"/>
                    </w:rPr>
                    <w:t>City Council submission, </w:t>
                  </w:r>
                  <w:r>
                    <w:rPr>
                      <w:color w:val="231F20"/>
                      <w:spacing w:val="-3"/>
                      <w:sz w:val="20"/>
                    </w:rPr>
                    <w:t>p.</w:t>
                  </w:r>
                  <w:r>
                    <w:rPr>
                      <w:color w:val="231F20"/>
                      <w:spacing w:val="-41"/>
                      <w:sz w:val="20"/>
                    </w:rPr>
                    <w:t> </w:t>
                  </w:r>
                  <w:r>
                    <w:rPr>
                      <w:color w:val="231F20"/>
                      <w:spacing w:val="-6"/>
                      <w:sz w:val="20"/>
                    </w:rPr>
                    <w:t>2.)</w:t>
                  </w:r>
                </w:p>
              </w:txbxContent>
            </v:textbox>
            <w10:wrap type="none"/>
          </v:shape>
        </w:pict>
      </w:r>
      <w:r>
        <w:rPr/>
        <w:pict>
          <v:shape style="position:absolute;margin-left:.0pt;margin-top:44.090015pt;width:60.3pt;height:5.25pt;mso-position-horizontal-relative:page;mso-position-vertical-relative:page;z-index:-167632"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67608"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67584" from="534.996094pt,45.840015pt" to="595.276001pt,45.840015pt" stroked="true" strokeweight="7pt" strokecolor="#0095a7">
            <w10:wrap type="none"/>
          </v:line>
        </w:pict>
      </w:r>
      <w:r>
        <w:rPr/>
        <w:pict>
          <v:shape style="position:absolute;margin-left:217.741592pt;margin-top:40.902756pt;width:282.150pt;height:9.5pt;mso-position-horizontal-relative:page;mso-position-vertical-relative:page;z-index:-167560" type="#_x0000_t202" filled="false" stroked="false">
            <v:textbox inset="0,0,0,0">
              <w:txbxContent>
                <w:p>
                  <w:pPr>
                    <w:spacing w:before="1"/>
                    <w:ind w:left="20" w:right="0" w:firstLine="0"/>
                    <w:jc w:val="left"/>
                    <w:rPr>
                      <w:sz w:val="15"/>
                    </w:rPr>
                  </w:pPr>
                  <w:r>
                    <w:rPr>
                      <w:color w:val="58595B"/>
                      <w:sz w:val="15"/>
                    </w:rPr>
                    <w:t>CHAPTER 10    TAKING A STRATEGIC APPROACH TO LAND USE  PLANNING</w:t>
                  </w:r>
                </w:p>
              </w:txbxContent>
            </v:textbox>
            <w10:wrap type="none"/>
          </v:shape>
        </w:pict>
      </w:r>
      <w:r>
        <w:rPr/>
        <w:pict>
          <v:shape style="position:absolute;margin-left:510.84201pt;margin-top:40.902756pt;width:14.55pt;height:9.5pt;mso-position-horizontal-relative:page;mso-position-vertical-relative:page;z-index:-167536" type="#_x0000_t202" filled="false" stroked="false">
            <v:textbox inset="0,0,0,0">
              <w:txbxContent>
                <w:p>
                  <w:pPr>
                    <w:spacing w:before="1"/>
                    <w:ind w:left="20" w:right="0" w:firstLine="0"/>
                    <w:jc w:val="left"/>
                    <w:rPr>
                      <w:sz w:val="15"/>
                    </w:rPr>
                  </w:pPr>
                  <w:r>
                    <w:rPr>
                      <w:color w:val="58595B"/>
                      <w:sz w:val="15"/>
                    </w:rPr>
                    <w:t>195</w:t>
                  </w:r>
                </w:p>
              </w:txbxContent>
            </v:textbox>
            <w10:wrap type="none"/>
          </v:shape>
        </w:pict>
      </w:r>
      <w:r>
        <w:rPr/>
        <w:pict>
          <v:shape style="position:absolute;margin-left:89.708603pt;margin-top:105.893967pt;width:416pt;height:39pt;mso-position-horizontal-relative:page;mso-position-vertical-relative:page;z-index:-167512" type="#_x0000_t202" filled="false" stroked="false">
            <v:textbox inset="0,0,0,0">
              <w:txbxContent>
                <w:p>
                  <w:pPr>
                    <w:pStyle w:val="BodyText"/>
                    <w:spacing w:line="280" w:lineRule="auto"/>
                  </w:pPr>
                  <w:r>
                    <w:rPr>
                      <w:color w:val="58595B"/>
                    </w:rPr>
                    <w:t>Concerns about the complexity of EPA requirements and guidance materials have also been raised by the Victorian Auditor-General, and in relation to the specific issue of integration with the planning system, by the Victorian Civil and Administrative Tribunal:</w:t>
                  </w:r>
                </w:p>
              </w:txbxContent>
            </v:textbox>
            <w10:wrap type="none"/>
          </v:shape>
        </w:pict>
      </w:r>
      <w:r>
        <w:rPr/>
        <w:pict>
          <v:shape style="position:absolute;margin-left:118.058601pt;margin-top:154.893967pt;width:374.25pt;height:79.5pt;mso-position-horizontal-relative:page;mso-position-vertical-relative:page;z-index:-167488" type="#_x0000_t202" filled="false" stroked="false">
            <v:textbox inset="0,0,0,0">
              <w:txbxContent>
                <w:p>
                  <w:pPr>
                    <w:spacing w:line="280" w:lineRule="auto" w:before="0"/>
                    <w:ind w:left="20" w:right="0" w:firstLine="0"/>
                    <w:jc w:val="left"/>
                    <w:rPr>
                      <w:sz w:val="11"/>
                    </w:rPr>
                  </w:pPr>
                  <w:r>
                    <w:rPr>
                      <w:i/>
                      <w:color w:val="231F20"/>
                      <w:sz w:val="20"/>
                    </w:rPr>
                    <w:t>Landfill requirements are founded around multiple policies and systems, the language and terminology used in the framework is complex and/or technical, and the guidance material used to inform stakeholders of the processes to comply with these requirements is at times ambiguous. Guidance around the landfill approval processes, design, construction, and management and licensing, which includes auditing, monitoring and reporting requirements is copious, but not well integrated.</w:t>
                  </w:r>
                  <w:r>
                    <w:rPr>
                      <w:color w:val="231F20"/>
                      <w:position w:val="7"/>
                      <w:sz w:val="11"/>
                    </w:rPr>
                    <w:t>21</w:t>
                  </w:r>
                </w:p>
              </w:txbxContent>
            </v:textbox>
            <w10:wrap type="none"/>
          </v:shape>
        </w:pict>
      </w:r>
      <w:r>
        <w:rPr/>
        <w:pict>
          <v:shape style="position:absolute;margin-left:118.055099pt;margin-top:244.401764pt;width:365.55pt;height:66pt;mso-position-horizontal-relative:page;mso-position-vertical-relative:page;z-index:-167464" type="#_x0000_t202" filled="false" stroked="false">
            <v:textbox inset="0,0,0,0">
              <w:txbxContent>
                <w:p>
                  <w:pPr>
                    <w:spacing w:line="280" w:lineRule="auto" w:before="0"/>
                    <w:ind w:left="20" w:right="0" w:firstLine="0"/>
                    <w:jc w:val="left"/>
                    <w:rPr>
                      <w:sz w:val="11"/>
                    </w:rPr>
                  </w:pPr>
                  <w:r>
                    <w:rPr>
                      <w:i/>
                      <w:color w:val="231F20"/>
                      <w:sz w:val="20"/>
                    </w:rPr>
                    <w:t>If the EPA truly wishes to ensure there is an interlocking relationship between the planning and environment regimes, it needs to pay attention to the complexity and confusion currently surrounding its numerous policies and publications … This applies both to other EPA documents and documents within the planning system such as the Victoria Planning Provisions (and hence all planning schemes).</w:t>
                  </w:r>
                  <w:r>
                    <w:rPr>
                      <w:color w:val="231F20"/>
                      <w:position w:val="7"/>
                      <w:sz w:val="11"/>
                    </w:rPr>
                    <w:t>22</w:t>
                  </w:r>
                </w:p>
              </w:txbxContent>
            </v:textbox>
            <w10:wrap type="none"/>
          </v:shape>
        </w:pict>
      </w:r>
      <w:r>
        <w:rPr/>
        <w:pict>
          <v:shape style="position:absolute;margin-left:89.706001pt;margin-top:324.657654pt;width:428.55pt;height:71.7pt;mso-position-horizontal-relative:page;mso-position-vertical-relative:page;z-index:-167440" type="#_x0000_t202" filled="false" stroked="false">
            <v:textbox inset="0,0,0,0">
              <w:txbxContent>
                <w:p>
                  <w:pPr>
                    <w:pStyle w:val="BodyText"/>
                    <w:spacing w:line="224" w:lineRule="exact"/>
                  </w:pPr>
                  <w:r>
                    <w:rPr>
                      <w:color w:val="0095A7"/>
                    </w:rPr>
                    <w:t>10.4.1  Applying EPA tools to emerging land use planning issues – Wind farms</w:t>
                  </w:r>
                </w:p>
                <w:p>
                  <w:pPr>
                    <w:spacing w:line="280" w:lineRule="auto" w:before="153"/>
                    <w:ind w:left="20" w:right="0" w:firstLine="0"/>
                    <w:jc w:val="left"/>
                    <w:rPr>
                      <w:sz w:val="20"/>
                    </w:rPr>
                  </w:pPr>
                  <w:r>
                    <w:rPr>
                      <w:color w:val="58595B"/>
                      <w:sz w:val="20"/>
                    </w:rPr>
                    <w:t>We propose amending the existing </w:t>
                  </w:r>
                  <w:r>
                    <w:rPr>
                      <w:i/>
                      <w:color w:val="58595B"/>
                      <w:sz w:val="20"/>
                    </w:rPr>
                    <w:t>Policy and Planning Guidelines for Development of Wind Energy Facilities in Victoria </w:t>
                  </w:r>
                  <w:r>
                    <w:rPr>
                      <w:color w:val="58595B"/>
                      <w:sz w:val="20"/>
                    </w:rPr>
                    <w:t>(the wind energy guidelines),</w:t>
                  </w:r>
                  <w:r>
                    <w:rPr>
                      <w:color w:val="58595B"/>
                      <w:position w:val="7"/>
                      <w:sz w:val="11"/>
                    </w:rPr>
                    <w:t>23 </w:t>
                  </w:r>
                  <w:r>
                    <w:rPr>
                      <w:color w:val="58595B"/>
                      <w:sz w:val="20"/>
                    </w:rPr>
                    <w:t>to require the use of statutory environmental audit when an assessment of wind farm noise is required as part of the wind farm approval processes and for compliance purposes.</w:t>
                  </w:r>
                </w:p>
              </w:txbxContent>
            </v:textbox>
            <w10:wrap type="none"/>
          </v:shape>
        </w:pict>
      </w:r>
      <w:r>
        <w:rPr/>
        <w:pict>
          <v:shape style="position:absolute;margin-left:89.706001pt;margin-top:406.326965pt;width:426.7pt;height:52.5pt;mso-position-horizontal-relative:page;mso-position-vertical-relative:page;z-index:-167416" type="#_x0000_t202" filled="false" stroked="false">
            <v:textbox inset="0,0,0,0">
              <w:txbxContent>
                <w:p>
                  <w:pPr>
                    <w:pStyle w:val="BodyText"/>
                    <w:spacing w:line="280" w:lineRule="auto"/>
                  </w:pPr>
                  <w:r>
                    <w:rPr>
                      <w:color w:val="58595B"/>
                    </w:rPr>
                    <w:t>Stakeholders expressed a range of concerns about wind farms: from local government dealing with the assessment of environmental issues; from communities concerned about potential health impacts of existing wind farms; and from the renewable energy industry concerned about challenges to the wind farm industry and its long term viability.</w:t>
                  </w:r>
                </w:p>
              </w:txbxContent>
            </v:textbox>
            <w10:wrap type="none"/>
          </v:shape>
        </w:pict>
      </w:r>
      <w:r>
        <w:rPr/>
        <w:pict>
          <v:shape style="position:absolute;margin-left:89.706001pt;margin-top:468.826965pt;width:422.55pt;height:52.5pt;mso-position-horizontal-relative:page;mso-position-vertical-relative:page;z-index:-167392" type="#_x0000_t202" filled="false" stroked="false">
            <v:textbox inset="0,0,0,0">
              <w:txbxContent>
                <w:p>
                  <w:pPr>
                    <w:pStyle w:val="BodyText"/>
                    <w:spacing w:line="280" w:lineRule="auto"/>
                  </w:pPr>
                  <w:r>
                    <w:rPr>
                      <w:color w:val="58595B"/>
                    </w:rPr>
                    <w:t>Submissions raised specific proposals for the EPA to have an enhanced role in relation to wind farms. The Clean Energy Council and the Municipal Association of Victoria suggested the</w:t>
                  </w:r>
                </w:p>
                <w:p>
                  <w:pPr>
                    <w:pStyle w:val="BodyText"/>
                    <w:spacing w:line="280" w:lineRule="auto" w:before="2"/>
                    <w:rPr>
                      <w:sz w:val="11"/>
                    </w:rPr>
                  </w:pPr>
                  <w:r>
                    <w:rPr>
                      <w:color w:val="58595B"/>
                    </w:rPr>
                    <w:t>EPA licence wind farms. Submissions from community members opposed to wind farms also proposed that the EPA should have a primary role in wind energy regulation.</w:t>
                  </w:r>
                  <w:r>
                    <w:rPr>
                      <w:color w:val="58595B"/>
                      <w:position w:val="7"/>
                      <w:sz w:val="11"/>
                    </w:rPr>
                    <w:t>24</w:t>
                  </w:r>
                </w:p>
              </w:txbxContent>
            </v:textbox>
            <w10:wrap type="none"/>
          </v:shape>
        </w:pict>
      </w:r>
      <w:r>
        <w:rPr/>
        <w:pict>
          <v:shape style="position:absolute;margin-left:89.708603pt;margin-top:531.338745pt;width:435.7pt;height:66pt;mso-position-horizontal-relative:page;mso-position-vertical-relative:page;z-index:-167368" type="#_x0000_t202" filled="false" stroked="false">
            <v:textbox inset="0,0,0,0">
              <w:txbxContent>
                <w:p>
                  <w:pPr>
                    <w:pStyle w:val="BodyText"/>
                    <w:spacing w:line="280" w:lineRule="auto"/>
                    <w:ind w:right="13"/>
                  </w:pPr>
                  <w:r>
                    <w:rPr>
                      <w:color w:val="58595B"/>
                    </w:rPr>
                    <w:t>In Victoria, the land use planning system has been the established mechanism for regulating the approval and permitting of wind farms, and management of compliance issues. This approach is consistent with the objectives of land use planning as set out in the </w:t>
                  </w:r>
                  <w:r>
                    <w:rPr>
                      <w:i/>
                      <w:color w:val="58595B"/>
                    </w:rPr>
                    <w:t>Planning and Environment Act </w:t>
                  </w:r>
                  <w:r>
                    <w:rPr>
                      <w:i/>
                      <w:color w:val="58595B"/>
                      <w:spacing w:val="-6"/>
                    </w:rPr>
                    <w:t>1987</w:t>
                  </w:r>
                  <w:r>
                    <w:rPr>
                      <w:color w:val="58595B"/>
                      <w:spacing w:val="-6"/>
                    </w:rPr>
                    <w:t>, </w:t>
                  </w:r>
                  <w:r>
                    <w:rPr>
                      <w:color w:val="58595B"/>
                    </w:rPr>
                    <w:t>including </w:t>
                  </w:r>
                  <w:r>
                    <w:rPr>
                      <w:color w:val="58595B"/>
                      <w:spacing w:val="-7"/>
                    </w:rPr>
                    <w:t>‘… </w:t>
                  </w:r>
                  <w:r>
                    <w:rPr>
                      <w:color w:val="58595B"/>
                    </w:rPr>
                    <w:t>to provide for the </w:t>
                  </w:r>
                  <w:r>
                    <w:rPr>
                      <w:color w:val="58595B"/>
                      <w:spacing w:val="-3"/>
                    </w:rPr>
                    <w:t>fair, </w:t>
                  </w:r>
                  <w:r>
                    <w:rPr>
                      <w:color w:val="58595B"/>
                    </w:rPr>
                    <w:t>orderly, economic and sustainable use, and development of land (section </w:t>
                  </w:r>
                  <w:r>
                    <w:rPr>
                      <w:color w:val="58595B"/>
                      <w:spacing w:val="-7"/>
                    </w:rPr>
                    <w:t>4(1)(a))’.</w:t>
                  </w:r>
                </w:p>
              </w:txbxContent>
            </v:textbox>
            <w10:wrap type="none"/>
          </v:shape>
        </w:pict>
      </w:r>
      <w:r>
        <w:rPr/>
        <w:pict>
          <v:shape style="position:absolute;margin-left:89.698601pt;margin-top:607.338745pt;width:435.4pt;height:134.85pt;mso-position-horizontal-relative:page;mso-position-vertical-relative:page;z-index:-167344" type="#_x0000_t202" filled="false" stroked="false">
            <v:textbox inset="0,0,0,0">
              <w:txbxContent>
                <w:p>
                  <w:pPr>
                    <w:pStyle w:val="BodyText"/>
                    <w:spacing w:line="280" w:lineRule="auto"/>
                    <w:ind w:right="3"/>
                  </w:pPr>
                  <w:r>
                    <w:rPr>
                      <w:color w:val="58595B"/>
                    </w:rPr>
                    <w:t>The land use planning system is designed to manage conflicts between competing land uses, including potential amenity and other impacts of proposed developments. For wind farms, a range of issues fall within the bounds of routine land use planning decision making:</w:t>
                  </w:r>
                </w:p>
                <w:p>
                  <w:pPr>
                    <w:pStyle w:val="ListParagraph"/>
                    <w:numPr>
                      <w:ilvl w:val="0"/>
                      <w:numId w:val="76"/>
                    </w:numPr>
                    <w:tabs>
                      <w:tab w:pos="191" w:val="left" w:leader="none"/>
                    </w:tabs>
                    <w:spacing w:line="240" w:lineRule="auto" w:before="115" w:after="0"/>
                    <w:ind w:left="190" w:right="0" w:hanging="170"/>
                    <w:jc w:val="left"/>
                    <w:rPr>
                      <w:sz w:val="20"/>
                    </w:rPr>
                  </w:pPr>
                  <w:r>
                    <w:rPr>
                      <w:color w:val="58595B"/>
                      <w:sz w:val="20"/>
                    </w:rPr>
                    <w:t>landscape and visual</w:t>
                  </w:r>
                  <w:r>
                    <w:rPr>
                      <w:color w:val="58595B"/>
                      <w:spacing w:val="4"/>
                      <w:sz w:val="20"/>
                    </w:rPr>
                    <w:t> </w:t>
                  </w:r>
                  <w:r>
                    <w:rPr>
                      <w:color w:val="58595B"/>
                      <w:sz w:val="20"/>
                    </w:rPr>
                    <w:t>amenity</w:t>
                  </w:r>
                </w:p>
                <w:p>
                  <w:pPr>
                    <w:pStyle w:val="ListParagraph"/>
                    <w:numPr>
                      <w:ilvl w:val="0"/>
                      <w:numId w:val="76"/>
                    </w:numPr>
                    <w:tabs>
                      <w:tab w:pos="190" w:val="left" w:leader="none"/>
                    </w:tabs>
                    <w:spacing w:line="240" w:lineRule="auto" w:before="153" w:after="0"/>
                    <w:ind w:left="190" w:right="0" w:hanging="170"/>
                    <w:jc w:val="left"/>
                    <w:rPr>
                      <w:sz w:val="20"/>
                    </w:rPr>
                  </w:pPr>
                  <w:r>
                    <w:rPr>
                      <w:color w:val="58595B"/>
                      <w:sz w:val="20"/>
                    </w:rPr>
                    <w:t>ecological and heritage issues such as bird and bat</w:t>
                  </w:r>
                  <w:r>
                    <w:rPr>
                      <w:color w:val="58595B"/>
                      <w:spacing w:val="10"/>
                      <w:sz w:val="20"/>
                    </w:rPr>
                    <w:t> </w:t>
                  </w:r>
                  <w:r>
                    <w:rPr>
                      <w:color w:val="58595B"/>
                      <w:sz w:val="20"/>
                    </w:rPr>
                    <w:t>strike</w:t>
                  </w:r>
                </w:p>
                <w:p>
                  <w:pPr>
                    <w:pStyle w:val="ListParagraph"/>
                    <w:numPr>
                      <w:ilvl w:val="0"/>
                      <w:numId w:val="76"/>
                    </w:numPr>
                    <w:tabs>
                      <w:tab w:pos="190" w:val="left" w:leader="none"/>
                    </w:tabs>
                    <w:spacing w:line="240" w:lineRule="auto" w:before="153" w:after="0"/>
                    <w:ind w:left="190" w:right="0" w:hanging="170"/>
                    <w:jc w:val="left"/>
                    <w:rPr>
                      <w:sz w:val="20"/>
                    </w:rPr>
                  </w:pPr>
                  <w:r>
                    <w:rPr>
                      <w:color w:val="58595B"/>
                      <w:sz w:val="20"/>
                    </w:rPr>
                    <w:t>land</w:t>
                  </w:r>
                  <w:r>
                    <w:rPr>
                      <w:color w:val="58595B"/>
                      <w:spacing w:val="4"/>
                      <w:sz w:val="20"/>
                    </w:rPr>
                    <w:t> </w:t>
                  </w:r>
                  <w:r>
                    <w:rPr>
                      <w:color w:val="58595B"/>
                      <w:sz w:val="20"/>
                    </w:rPr>
                    <w:t>clearing</w:t>
                  </w:r>
                </w:p>
                <w:p>
                  <w:pPr>
                    <w:pStyle w:val="ListParagraph"/>
                    <w:numPr>
                      <w:ilvl w:val="0"/>
                      <w:numId w:val="76"/>
                    </w:numPr>
                    <w:tabs>
                      <w:tab w:pos="190" w:val="left" w:leader="none"/>
                    </w:tabs>
                    <w:spacing w:line="240" w:lineRule="auto" w:before="153" w:after="0"/>
                    <w:ind w:left="190" w:right="0" w:hanging="170"/>
                    <w:jc w:val="left"/>
                    <w:rPr>
                      <w:sz w:val="20"/>
                    </w:rPr>
                  </w:pPr>
                  <w:r>
                    <w:rPr>
                      <w:color w:val="58595B"/>
                      <w:sz w:val="20"/>
                    </w:rPr>
                    <w:t>hazards and risks such as aircraft</w:t>
                  </w:r>
                  <w:r>
                    <w:rPr>
                      <w:color w:val="58595B"/>
                      <w:spacing w:val="11"/>
                      <w:sz w:val="20"/>
                    </w:rPr>
                    <w:t> </w:t>
                  </w:r>
                  <w:r>
                    <w:rPr>
                      <w:color w:val="58595B"/>
                      <w:sz w:val="20"/>
                    </w:rPr>
                    <w:t>safety</w:t>
                  </w:r>
                </w:p>
                <w:p>
                  <w:pPr>
                    <w:pStyle w:val="ListParagraph"/>
                    <w:numPr>
                      <w:ilvl w:val="0"/>
                      <w:numId w:val="76"/>
                    </w:numPr>
                    <w:tabs>
                      <w:tab w:pos="190" w:val="left" w:leader="none"/>
                    </w:tabs>
                    <w:spacing w:line="240" w:lineRule="auto" w:before="153" w:after="0"/>
                    <w:ind w:left="190" w:right="0" w:hanging="170"/>
                    <w:jc w:val="left"/>
                    <w:rPr>
                      <w:sz w:val="20"/>
                    </w:rPr>
                  </w:pPr>
                  <w:r>
                    <w:rPr>
                      <w:color w:val="58595B"/>
                      <w:sz w:val="20"/>
                    </w:rPr>
                    <w:t>social issues such as shadow flicker, blade glint and night</w:t>
                  </w:r>
                  <w:r>
                    <w:rPr>
                      <w:color w:val="58595B"/>
                      <w:spacing w:val="-20"/>
                      <w:sz w:val="20"/>
                    </w:rPr>
                    <w:t> </w:t>
                  </w:r>
                  <w:r>
                    <w:rPr>
                      <w:color w:val="58595B"/>
                      <w:sz w:val="20"/>
                    </w:rPr>
                    <w:t>lighting.</w:t>
                  </w:r>
                </w:p>
              </w:txbxContent>
            </v:textbox>
            <w10:wrap type="none"/>
          </v:shape>
        </w:pict>
      </w:r>
      <w:r>
        <w:rPr/>
        <w:pict>
          <v:shape style="position:absolute;margin-left:534.996094pt;margin-top:44.090015pt;width:60.3pt;height:5.25pt;mso-position-horizontal-relative:page;mso-position-vertical-relative:page;z-index:-167320"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67296"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67272" from=".0pt,45.840015pt" to="60.2791pt,45.840015pt" stroked="true" strokeweight="7pt" strokecolor="#0095a7">
            <w10:wrap type="none"/>
          </v:line>
        </w:pict>
      </w:r>
      <w:r>
        <w:rPr/>
        <w:pict>
          <v:shape style="position:absolute;margin-left:69.866096pt;margin-top:40.902756pt;width:14.6pt;height:9.5pt;mso-position-horizontal-relative:page;mso-position-vertical-relative:page;z-index:-167248" type="#_x0000_t202" filled="false" stroked="false">
            <v:textbox inset="0,0,0,0">
              <w:txbxContent>
                <w:p>
                  <w:pPr>
                    <w:spacing w:before="1"/>
                    <w:ind w:left="20" w:right="0" w:firstLine="0"/>
                    <w:jc w:val="left"/>
                    <w:rPr>
                      <w:sz w:val="15"/>
                    </w:rPr>
                  </w:pPr>
                  <w:r>
                    <w:rPr>
                      <w:color w:val="58595B"/>
                      <w:sz w:val="15"/>
                    </w:rPr>
                    <w:t>196</w:t>
                  </w:r>
                </w:p>
              </w:txbxContent>
            </v:textbox>
            <w10:wrap type="none"/>
          </v:shape>
        </w:pict>
      </w:r>
      <w:r>
        <w:rPr/>
        <w:pict>
          <v:shape style="position:absolute;margin-left:95.377899pt;margin-top:40.902756pt;width:147.75pt;height:9.5pt;mso-position-horizontal-relative:page;mso-position-vertical-relative:page;z-index:-167224"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5.893967pt;width:431.35pt;height:79.5pt;mso-position-horizontal-relative:page;mso-position-vertical-relative:page;z-index:-167200" type="#_x0000_t202" filled="false" stroked="false">
            <v:textbox inset="0,0,0,0">
              <w:txbxContent>
                <w:p>
                  <w:pPr>
                    <w:pStyle w:val="BodyText"/>
                    <w:spacing w:line="280" w:lineRule="auto"/>
                    <w:ind w:right="246"/>
                  </w:pPr>
                  <w:r>
                    <w:rPr>
                      <w:color w:val="58595B"/>
                    </w:rPr>
                    <w:t>Most of these issues relate to wind farm design and siting, and are therefore best addressed through the planning system. The wind energy guidelines set out the standards for wind  farms. The guidelines are applied to decisions on planning permits for wind farms, and</w:t>
                  </w:r>
                  <w:r>
                    <w:rPr>
                      <w:color w:val="58595B"/>
                      <w:spacing w:val="14"/>
                    </w:rPr>
                    <w:t> </w:t>
                  </w:r>
                  <w:r>
                    <w:rPr>
                      <w:color w:val="58595B"/>
                    </w:rPr>
                    <w:t>include</w:t>
                  </w:r>
                </w:p>
                <w:p>
                  <w:pPr>
                    <w:pStyle w:val="BodyText"/>
                    <w:spacing w:line="280" w:lineRule="auto" w:before="2"/>
                    <w:ind w:right="17"/>
                  </w:pPr>
                  <w:r>
                    <w:rPr>
                      <w:color w:val="58595B"/>
                    </w:rPr>
                    <w:t>standards for operational wind turbine noise. The relevant planning authority (usually the council) is responsible for ensuring compliance with the planning permit. Where appropriate, the EPA provides technical support to planning authorities.</w:t>
                  </w:r>
                </w:p>
              </w:txbxContent>
            </v:textbox>
            <w10:wrap type="none"/>
          </v:shape>
        </w:pict>
      </w:r>
      <w:r>
        <w:rPr/>
        <w:pict>
          <v:shape style="position:absolute;margin-left:69.866096pt;margin-top:195.393967pt;width:409.55pt;height:52.5pt;mso-position-horizontal-relative:page;mso-position-vertical-relative:page;z-index:-167176" type="#_x0000_t202" filled="false" stroked="false">
            <v:textbox inset="0,0,0,0">
              <w:txbxContent>
                <w:p>
                  <w:pPr>
                    <w:pStyle w:val="BodyText"/>
                    <w:spacing w:line="280" w:lineRule="auto"/>
                    <w:ind w:right="17"/>
                    <w:jc w:val="both"/>
                  </w:pPr>
                  <w:r>
                    <w:rPr>
                      <w:color w:val="58595B"/>
                    </w:rPr>
                    <w:t>We consider the current approach could be reframed, to provide a higher level of assurance to the community on risk assessment, and to deal with the challenges council planners face on technically assessing wind turbine noise impacts (one of the main issues associated with operational wind farms).</w:t>
                  </w:r>
                </w:p>
              </w:txbxContent>
            </v:textbox>
            <w10:wrap type="none"/>
          </v:shape>
        </w:pict>
      </w:r>
      <w:r>
        <w:rPr/>
        <w:pict>
          <v:shape style="position:absolute;margin-left:69.866096pt;margin-top:257.893982pt;width:418.15pt;height:39pt;mso-position-horizontal-relative:page;mso-position-vertical-relative:page;z-index:-167152" type="#_x0000_t202" filled="false" stroked="false">
            <v:textbox inset="0,0,0,0">
              <w:txbxContent>
                <w:p>
                  <w:pPr>
                    <w:pStyle w:val="BodyText"/>
                    <w:spacing w:line="280" w:lineRule="auto"/>
                  </w:pPr>
                  <w:r>
                    <w:rPr>
                      <w:color w:val="58595B"/>
                    </w:rPr>
                    <w:t>We consider the EPA could more effectively deploy its expertise. Specifically, the statutory environmental audit system should be employed to provide authoritative, independent and expert advice to local government, both at the time of applications and to support compliance.</w:t>
                  </w:r>
                </w:p>
              </w:txbxContent>
            </v:textbox>
            <w10:wrap type="none"/>
          </v:shape>
        </w:pict>
      </w:r>
      <w:r>
        <w:rPr/>
        <w:pict>
          <v:shape style="position:absolute;margin-left:69.866096pt;margin-top:306.893982pt;width:429.25pt;height:79.5pt;mso-position-horizontal-relative:page;mso-position-vertical-relative:page;z-index:-167128" type="#_x0000_t202" filled="false" stroked="false">
            <v:textbox inset="0,0,0,0">
              <w:txbxContent>
                <w:p>
                  <w:pPr>
                    <w:pStyle w:val="BodyText"/>
                    <w:spacing w:line="280" w:lineRule="auto"/>
                  </w:pPr>
                  <w:r>
                    <w:rPr>
                      <w:color w:val="58595B"/>
                      <w:spacing w:val="-3"/>
                    </w:rPr>
                    <w:t>We </w:t>
                  </w:r>
                  <w:r>
                    <w:rPr>
                      <w:color w:val="58595B"/>
                    </w:rPr>
                    <w:t>propose amending the wind energy guidelines to require that where an assessment of wind farm noise compliance is </w:t>
                  </w:r>
                  <w:r>
                    <w:rPr>
                      <w:color w:val="58595B"/>
                      <w:spacing w:val="-3"/>
                    </w:rPr>
                    <w:t>required, </w:t>
                  </w:r>
                  <w:r>
                    <w:rPr>
                      <w:color w:val="58595B"/>
                    </w:rPr>
                    <w:t>proposed or </w:t>
                  </w:r>
                  <w:r>
                    <w:rPr>
                      <w:color w:val="58595B"/>
                      <w:spacing w:val="-3"/>
                    </w:rPr>
                    <w:t>existing </w:t>
                  </w:r>
                  <w:r>
                    <w:rPr>
                      <w:color w:val="58595B"/>
                    </w:rPr>
                    <w:t>wind farm operators must obtain an assessment and verification of wind farm noise compliance undertaken </w:t>
                  </w:r>
                  <w:r>
                    <w:rPr>
                      <w:color w:val="58595B"/>
                      <w:spacing w:val="-3"/>
                    </w:rPr>
                    <w:t>by </w:t>
                  </w:r>
                  <w:r>
                    <w:rPr>
                      <w:color w:val="58595B"/>
                    </w:rPr>
                    <w:t>an </w:t>
                  </w:r>
                  <w:r>
                    <w:rPr>
                      <w:color w:val="58595B"/>
                      <w:spacing w:val="-5"/>
                    </w:rPr>
                    <w:t>EPA </w:t>
                  </w:r>
                  <w:r>
                    <w:rPr>
                      <w:color w:val="58595B"/>
                    </w:rPr>
                    <w:t>appointed </w:t>
                  </w:r>
                  <w:r>
                    <w:rPr>
                      <w:color w:val="58595B"/>
                      <w:spacing w:val="-4"/>
                    </w:rPr>
                    <w:t>auditor.</w:t>
                  </w:r>
                  <w:r>
                    <w:rPr>
                      <w:color w:val="58595B"/>
                      <w:spacing w:val="-9"/>
                    </w:rPr>
                    <w:t> </w:t>
                  </w:r>
                  <w:r>
                    <w:rPr>
                      <w:color w:val="58595B"/>
                    </w:rPr>
                    <w:t>Consistent</w:t>
                  </w:r>
                  <w:r>
                    <w:rPr>
                      <w:color w:val="58595B"/>
                      <w:spacing w:val="-9"/>
                    </w:rPr>
                    <w:t> </w:t>
                  </w:r>
                  <w:r>
                    <w:rPr>
                      <w:color w:val="58595B"/>
                    </w:rPr>
                    <w:t>with</w:t>
                  </w:r>
                  <w:r>
                    <w:rPr>
                      <w:color w:val="58595B"/>
                      <w:spacing w:val="-9"/>
                    </w:rPr>
                    <w:t> </w:t>
                  </w:r>
                  <w:r>
                    <w:rPr>
                      <w:color w:val="58595B"/>
                    </w:rPr>
                    <w:t>the</w:t>
                  </w:r>
                  <w:r>
                    <w:rPr>
                      <w:color w:val="58595B"/>
                      <w:spacing w:val="-9"/>
                    </w:rPr>
                    <w:t> </w:t>
                  </w:r>
                  <w:r>
                    <w:rPr>
                      <w:color w:val="58595B"/>
                      <w:spacing w:val="-3"/>
                    </w:rPr>
                    <w:t>requirements</w:t>
                  </w:r>
                  <w:r>
                    <w:rPr>
                      <w:color w:val="58595B"/>
                      <w:spacing w:val="-9"/>
                    </w:rPr>
                    <w:t> </w:t>
                  </w:r>
                  <w:r>
                    <w:rPr>
                      <w:color w:val="58595B"/>
                    </w:rPr>
                    <w:t>that</w:t>
                  </w:r>
                  <w:r>
                    <w:rPr>
                      <w:color w:val="58595B"/>
                      <w:spacing w:val="-9"/>
                    </w:rPr>
                    <w:t> </w:t>
                  </w:r>
                  <w:r>
                    <w:rPr>
                      <w:color w:val="58595B"/>
                    </w:rPr>
                    <w:t>currently</w:t>
                  </w:r>
                  <w:r>
                    <w:rPr>
                      <w:color w:val="58595B"/>
                      <w:spacing w:val="-9"/>
                    </w:rPr>
                    <w:t> </w:t>
                  </w:r>
                  <w:r>
                    <w:rPr>
                      <w:color w:val="58595B"/>
                    </w:rPr>
                    <w:t>apply</w:t>
                  </w:r>
                  <w:r>
                    <w:rPr>
                      <w:color w:val="58595B"/>
                      <w:spacing w:val="-9"/>
                    </w:rPr>
                    <w:t> </w:t>
                  </w:r>
                  <w:r>
                    <w:rPr>
                      <w:color w:val="58595B"/>
                    </w:rPr>
                    <w:t>to</w:t>
                  </w:r>
                  <w:r>
                    <w:rPr>
                      <w:color w:val="58595B"/>
                      <w:spacing w:val="-9"/>
                    </w:rPr>
                    <w:t> </w:t>
                  </w:r>
                  <w:r>
                    <w:rPr>
                      <w:color w:val="58595B"/>
                    </w:rPr>
                    <w:t>assessment</w:t>
                  </w:r>
                  <w:r>
                    <w:rPr>
                      <w:color w:val="58595B"/>
                      <w:spacing w:val="-9"/>
                    </w:rPr>
                    <w:t> </w:t>
                  </w:r>
                  <w:r>
                    <w:rPr>
                      <w:color w:val="58595B"/>
                    </w:rPr>
                    <w:t>of</w:t>
                  </w:r>
                  <w:r>
                    <w:rPr>
                      <w:color w:val="58595B"/>
                      <w:spacing w:val="-9"/>
                    </w:rPr>
                    <w:t> </w:t>
                  </w:r>
                  <w:r>
                    <w:rPr>
                      <w:color w:val="58595B"/>
                    </w:rPr>
                    <w:t>risk</w:t>
                  </w:r>
                  <w:r>
                    <w:rPr>
                      <w:color w:val="58595B"/>
                      <w:spacing w:val="-9"/>
                    </w:rPr>
                    <w:t> </w:t>
                  </w:r>
                  <w:r>
                    <w:rPr>
                      <w:color w:val="58595B"/>
                    </w:rPr>
                    <w:t>from</w:t>
                  </w:r>
                  <w:r>
                    <w:rPr>
                      <w:color w:val="58595B"/>
                      <w:spacing w:val="-9"/>
                    </w:rPr>
                    <w:t> </w:t>
                  </w:r>
                  <w:r>
                    <w:rPr>
                      <w:color w:val="58595B"/>
                      <w:spacing w:val="-3"/>
                    </w:rPr>
                    <w:t>potentially </w:t>
                  </w:r>
                  <w:r>
                    <w:rPr>
                      <w:color w:val="58595B"/>
                    </w:rPr>
                    <w:t>contaminated</w:t>
                  </w:r>
                  <w:r>
                    <w:rPr>
                      <w:color w:val="58595B"/>
                      <w:spacing w:val="-11"/>
                    </w:rPr>
                    <w:t> </w:t>
                  </w:r>
                  <w:r>
                    <w:rPr>
                      <w:color w:val="58595B"/>
                    </w:rPr>
                    <w:t>land,</w:t>
                  </w:r>
                  <w:r>
                    <w:rPr>
                      <w:color w:val="58595B"/>
                      <w:spacing w:val="-11"/>
                    </w:rPr>
                    <w:t> </w:t>
                  </w:r>
                  <w:r>
                    <w:rPr>
                      <w:color w:val="58595B"/>
                    </w:rPr>
                    <w:t>the</w:t>
                  </w:r>
                  <w:r>
                    <w:rPr>
                      <w:color w:val="58595B"/>
                      <w:spacing w:val="-11"/>
                    </w:rPr>
                    <w:t> </w:t>
                  </w:r>
                  <w:r>
                    <w:rPr>
                      <w:color w:val="58595B"/>
                    </w:rPr>
                    <w:t>statutory</w:t>
                  </w:r>
                  <w:r>
                    <w:rPr>
                      <w:color w:val="58595B"/>
                      <w:spacing w:val="-11"/>
                    </w:rPr>
                    <w:t> </w:t>
                  </w:r>
                  <w:r>
                    <w:rPr>
                      <w:color w:val="58595B"/>
                      <w:spacing w:val="-3"/>
                    </w:rPr>
                    <w:t>environmental</w:t>
                  </w:r>
                  <w:r>
                    <w:rPr>
                      <w:color w:val="58595B"/>
                      <w:spacing w:val="-11"/>
                    </w:rPr>
                    <w:t> </w:t>
                  </w:r>
                  <w:r>
                    <w:rPr>
                      <w:color w:val="58595B"/>
                    </w:rPr>
                    <w:t>audit</w:t>
                  </w:r>
                  <w:r>
                    <w:rPr>
                      <w:color w:val="58595B"/>
                      <w:spacing w:val="-11"/>
                    </w:rPr>
                    <w:t> </w:t>
                  </w:r>
                  <w:r>
                    <w:rPr>
                      <w:color w:val="58595B"/>
                    </w:rPr>
                    <w:t>would</w:t>
                  </w:r>
                  <w:r>
                    <w:rPr>
                      <w:color w:val="58595B"/>
                      <w:spacing w:val="-11"/>
                    </w:rPr>
                    <w:t> </w:t>
                  </w:r>
                  <w:r>
                    <w:rPr>
                      <w:color w:val="58595B"/>
                    </w:rPr>
                    <w:t>be</w:t>
                  </w:r>
                  <w:r>
                    <w:rPr>
                      <w:color w:val="58595B"/>
                      <w:spacing w:val="-11"/>
                    </w:rPr>
                    <w:t> </w:t>
                  </w:r>
                  <w:r>
                    <w:rPr>
                      <w:color w:val="58595B"/>
                    </w:rPr>
                    <w:t>undertaken</w:t>
                  </w:r>
                  <w:r>
                    <w:rPr>
                      <w:color w:val="58595B"/>
                      <w:spacing w:val="-11"/>
                    </w:rPr>
                    <w:t> </w:t>
                  </w:r>
                  <w:r>
                    <w:rPr>
                      <w:color w:val="58595B"/>
                      <w:spacing w:val="-3"/>
                    </w:rPr>
                    <w:t>by</w:t>
                  </w:r>
                  <w:r>
                    <w:rPr>
                      <w:color w:val="58595B"/>
                      <w:spacing w:val="-11"/>
                    </w:rPr>
                    <w:t> </w:t>
                  </w:r>
                  <w:r>
                    <w:rPr>
                      <w:color w:val="58595B"/>
                    </w:rPr>
                    <w:t>the</w:t>
                  </w:r>
                  <w:r>
                    <w:rPr>
                      <w:color w:val="58595B"/>
                      <w:spacing w:val="-11"/>
                    </w:rPr>
                    <w:t> </w:t>
                  </w:r>
                  <w:r>
                    <w:rPr>
                      <w:color w:val="58595B"/>
                    </w:rPr>
                    <w:t>proponent</w:t>
                  </w:r>
                  <w:r>
                    <w:rPr>
                      <w:color w:val="58595B"/>
                      <w:spacing w:val="-11"/>
                    </w:rPr>
                    <w:t> </w:t>
                  </w:r>
                  <w:r>
                    <w:rPr>
                      <w:color w:val="58595B"/>
                    </w:rPr>
                    <w:t>of</w:t>
                  </w:r>
                  <w:r>
                    <w:rPr>
                      <w:color w:val="58595B"/>
                      <w:spacing w:val="-11"/>
                    </w:rPr>
                    <w:t> </w:t>
                  </w:r>
                  <w:r>
                    <w:rPr>
                      <w:color w:val="58595B"/>
                    </w:rPr>
                    <w:t>the wind</w:t>
                  </w:r>
                  <w:r>
                    <w:rPr>
                      <w:color w:val="58595B"/>
                      <w:spacing w:val="-11"/>
                    </w:rPr>
                    <w:t> </w:t>
                  </w:r>
                  <w:r>
                    <w:rPr>
                      <w:color w:val="58595B"/>
                    </w:rPr>
                    <w:t>farm</w:t>
                  </w:r>
                  <w:r>
                    <w:rPr>
                      <w:color w:val="58595B"/>
                      <w:spacing w:val="-11"/>
                    </w:rPr>
                    <w:t> </w:t>
                  </w:r>
                  <w:r>
                    <w:rPr>
                      <w:color w:val="58595B"/>
                    </w:rPr>
                    <w:t>as</w:t>
                  </w:r>
                  <w:r>
                    <w:rPr>
                      <w:color w:val="58595B"/>
                      <w:spacing w:val="-11"/>
                    </w:rPr>
                    <w:t> </w:t>
                  </w:r>
                  <w:r>
                    <w:rPr>
                      <w:color w:val="58595B"/>
                    </w:rPr>
                    <w:t>part</w:t>
                  </w:r>
                  <w:r>
                    <w:rPr>
                      <w:color w:val="58595B"/>
                      <w:spacing w:val="-11"/>
                    </w:rPr>
                    <w:t> </w:t>
                  </w:r>
                  <w:r>
                    <w:rPr>
                      <w:color w:val="58595B"/>
                    </w:rPr>
                    <w:t>of</w:t>
                  </w:r>
                  <w:r>
                    <w:rPr>
                      <w:color w:val="58595B"/>
                      <w:spacing w:val="-11"/>
                    </w:rPr>
                    <w:t> </w:t>
                  </w:r>
                  <w:r>
                    <w:rPr>
                      <w:color w:val="58595B"/>
                    </w:rPr>
                    <w:t>their</w:t>
                  </w:r>
                  <w:r>
                    <w:rPr>
                      <w:color w:val="58595B"/>
                      <w:spacing w:val="-11"/>
                    </w:rPr>
                    <w:t> </w:t>
                  </w:r>
                  <w:r>
                    <w:rPr>
                      <w:color w:val="58595B"/>
                    </w:rPr>
                    <w:t>planning</w:t>
                  </w:r>
                  <w:r>
                    <w:rPr>
                      <w:color w:val="58595B"/>
                      <w:spacing w:val="-11"/>
                    </w:rPr>
                    <w:t> </w:t>
                  </w:r>
                  <w:r>
                    <w:rPr>
                      <w:color w:val="58595B"/>
                    </w:rPr>
                    <w:t>application.</w:t>
                  </w:r>
                  <w:r>
                    <w:rPr>
                      <w:color w:val="58595B"/>
                      <w:spacing w:val="-11"/>
                    </w:rPr>
                    <w:t> </w:t>
                  </w:r>
                  <w:r>
                    <w:rPr>
                      <w:color w:val="58595B"/>
                    </w:rPr>
                    <w:t>And</w:t>
                  </w:r>
                  <w:r>
                    <w:rPr>
                      <w:color w:val="58595B"/>
                      <w:spacing w:val="-11"/>
                    </w:rPr>
                    <w:t> </w:t>
                  </w:r>
                  <w:r>
                    <w:rPr>
                      <w:color w:val="58595B"/>
                    </w:rPr>
                    <w:t>the</w:t>
                  </w:r>
                  <w:r>
                    <w:rPr>
                      <w:color w:val="58595B"/>
                      <w:spacing w:val="-11"/>
                    </w:rPr>
                    <w:t> </w:t>
                  </w:r>
                  <w:r>
                    <w:rPr>
                      <w:color w:val="58595B"/>
                    </w:rPr>
                    <w:t>audit</w:t>
                  </w:r>
                  <w:r>
                    <w:rPr>
                      <w:color w:val="58595B"/>
                      <w:spacing w:val="-11"/>
                    </w:rPr>
                    <w:t> </w:t>
                  </w:r>
                  <w:r>
                    <w:rPr>
                      <w:color w:val="58595B"/>
                    </w:rPr>
                    <w:t>would</w:t>
                  </w:r>
                  <w:r>
                    <w:rPr>
                      <w:color w:val="58595B"/>
                      <w:spacing w:val="-11"/>
                    </w:rPr>
                    <w:t> </w:t>
                  </w:r>
                  <w:r>
                    <w:rPr>
                      <w:color w:val="58595B"/>
                    </w:rPr>
                    <w:t>be</w:t>
                  </w:r>
                  <w:r>
                    <w:rPr>
                      <w:color w:val="58595B"/>
                      <w:spacing w:val="-11"/>
                    </w:rPr>
                    <w:t> </w:t>
                  </w:r>
                  <w:r>
                    <w:rPr>
                      <w:color w:val="58595B"/>
                    </w:rPr>
                    <w:t>on</w:t>
                  </w:r>
                  <w:r>
                    <w:rPr>
                      <w:color w:val="58595B"/>
                      <w:spacing w:val="-11"/>
                    </w:rPr>
                    <w:t> </w:t>
                  </w:r>
                  <w:r>
                    <w:rPr>
                      <w:color w:val="58595B"/>
                    </w:rPr>
                    <w:t>the</w:t>
                  </w:r>
                  <w:r>
                    <w:rPr>
                      <w:color w:val="58595B"/>
                      <w:spacing w:val="-11"/>
                    </w:rPr>
                    <w:t> </w:t>
                  </w:r>
                  <w:r>
                    <w:rPr>
                      <w:color w:val="58595B"/>
                    </w:rPr>
                    <w:t>public</w:t>
                  </w:r>
                  <w:r>
                    <w:rPr>
                      <w:color w:val="58595B"/>
                      <w:spacing w:val="-11"/>
                    </w:rPr>
                    <w:t> </w:t>
                  </w:r>
                  <w:r>
                    <w:rPr>
                      <w:color w:val="58595B"/>
                    </w:rPr>
                    <w:t>record.</w:t>
                  </w:r>
                </w:p>
              </w:txbxContent>
            </v:textbox>
            <w10:wrap type="none"/>
          </v:shape>
        </w:pict>
      </w:r>
      <w:r>
        <w:rPr/>
        <w:pict>
          <v:shape style="position:absolute;margin-left:69.866096pt;margin-top:396.393982pt;width:429.05pt;height:93pt;mso-position-horizontal-relative:page;mso-position-vertical-relative:page;z-index:-167104" type="#_x0000_t202" filled="false" stroked="false">
            <v:textbox inset="0,0,0,0">
              <w:txbxContent>
                <w:p>
                  <w:pPr>
                    <w:pStyle w:val="BodyText"/>
                    <w:spacing w:line="280" w:lineRule="auto"/>
                    <w:ind w:right="391"/>
                  </w:pPr>
                  <w:r>
                    <w:rPr>
                      <w:color w:val="58595B"/>
                    </w:rPr>
                    <w:t>The statutory audit process, which the EPA oversees, provides an authoritative sign-off on compliance when operations commence. We also propose that the EPA prepare specific guidance for wind farm noise assessment, and that DELWP and the EPA develop a protocol to determine when compliance reviews should be conducted, including to address currently</w:t>
                  </w:r>
                </w:p>
                <w:p>
                  <w:pPr>
                    <w:pStyle w:val="BodyText"/>
                    <w:spacing w:line="280" w:lineRule="auto" w:before="2"/>
                    <w:ind w:right="17"/>
                  </w:pPr>
                  <w:r>
                    <w:rPr>
                      <w:color w:val="58595B"/>
                    </w:rPr>
                    <w:t>operating wind farms. One option may be for yearly compliance audits to be required of the wind farm operator for the first three years of operation. EPA appointed auditors provide independent expert advice, so councils will not need to seek a peer review of compliance assessments.</w:t>
                  </w:r>
                </w:p>
              </w:txbxContent>
            </v:textbox>
            <w10:wrap type="none"/>
          </v:shape>
        </w:pict>
      </w:r>
      <w:r>
        <w:rPr/>
        <w:pict>
          <v:shape style="position:absolute;margin-left:69.866096pt;margin-top:499.393982pt;width:429.7pt;height:52.55pt;mso-position-horizontal-relative:page;mso-position-vertical-relative:page;z-index:-167080" type="#_x0000_t202" filled="false" stroked="false">
            <v:textbox inset="0,0,0,0">
              <w:txbxContent>
                <w:p>
                  <w:pPr>
                    <w:pStyle w:val="BodyText"/>
                    <w:spacing w:line="280" w:lineRule="auto"/>
                    <w:ind w:right="17"/>
                  </w:pPr>
                  <w:r>
                    <w:rPr>
                      <w:color w:val="58595B"/>
                    </w:rPr>
                    <w:t>We do not support proposals for the EPA to license wind farms. Licensing should not be used as the default approach for dealing with complaints. As outlined in chapter 12, licensing should be reserved for those activities that pose a significant risk to human health</w:t>
                  </w:r>
                  <w:r>
                    <w:rPr>
                      <w:color w:val="58595B"/>
                      <w:position w:val="7"/>
                      <w:sz w:val="11"/>
                    </w:rPr>
                    <w:t>25 </w:t>
                  </w:r>
                  <w:r>
                    <w:rPr>
                      <w:color w:val="58595B"/>
                    </w:rPr>
                    <w:t>or the environment.</w:t>
                  </w:r>
                  <w:r>
                    <w:rPr>
                      <w:color w:val="58595B"/>
                      <w:position w:val="7"/>
                      <w:sz w:val="11"/>
                    </w:rPr>
                    <w:t>26 </w:t>
                  </w:r>
                  <w:r>
                    <w:rPr>
                      <w:color w:val="58595B"/>
                    </w:rPr>
                    <w:t>We consider licensing by the EPA is not proportionate to the operational risks of wind farms.</w:t>
                  </w:r>
                </w:p>
              </w:txbxContent>
            </v:textbox>
            <w10:wrap type="none"/>
          </v:shape>
        </w:pict>
      </w:r>
      <w:r>
        <w:rPr/>
        <w:pict>
          <v:shape style="position:absolute;margin-left:69.866096pt;margin-top:561.913574pt;width:433.65pt;height:164.05pt;mso-position-horizontal-relative:page;mso-position-vertical-relative:page;z-index:-167056" type="#_x0000_t202" filled="false" stroked="false">
            <v:textbox inset="0,0,0,0">
              <w:txbxContent>
                <w:p>
                  <w:pPr>
                    <w:pStyle w:val="BodyText"/>
                    <w:spacing w:line="280" w:lineRule="auto"/>
                    <w:ind w:right="17"/>
                  </w:pPr>
                  <w:r>
                    <w:rPr>
                      <w:color w:val="58595B"/>
                    </w:rPr>
                    <w:t>We consider that consistent use of statutory environmental audits will address many of the issues and concerns raised in submissions, including:</w:t>
                  </w:r>
                </w:p>
                <w:p>
                  <w:pPr>
                    <w:pStyle w:val="ListParagraph"/>
                    <w:numPr>
                      <w:ilvl w:val="0"/>
                      <w:numId w:val="77"/>
                    </w:numPr>
                    <w:tabs>
                      <w:tab w:pos="190" w:val="left" w:leader="none"/>
                    </w:tabs>
                    <w:spacing w:line="280" w:lineRule="auto" w:before="115" w:after="0"/>
                    <w:ind w:left="190" w:right="619" w:hanging="170"/>
                    <w:jc w:val="left"/>
                    <w:rPr>
                      <w:sz w:val="20"/>
                    </w:rPr>
                  </w:pPr>
                  <w:r>
                    <w:rPr>
                      <w:color w:val="58595B"/>
                      <w:sz w:val="20"/>
                    </w:rPr>
                    <w:t>the requirement for ‘independence’ (Wind Industry Reform Victoria submission, p. </w:t>
                  </w:r>
                  <w:r>
                    <w:rPr>
                      <w:color w:val="58595B"/>
                      <w:spacing w:val="-4"/>
                      <w:sz w:val="20"/>
                    </w:rPr>
                    <w:t>3) </w:t>
                  </w:r>
                  <w:r>
                    <w:rPr>
                      <w:color w:val="58595B"/>
                      <w:sz w:val="20"/>
                    </w:rPr>
                    <w:t>and concerns about ‘improper compliance testing’ (Peter Mitchell submission, p.</w:t>
                  </w:r>
                  <w:r>
                    <w:rPr>
                      <w:color w:val="58595B"/>
                      <w:spacing w:val="5"/>
                      <w:sz w:val="20"/>
                    </w:rPr>
                    <w:t> </w:t>
                  </w:r>
                  <w:r>
                    <w:rPr>
                      <w:color w:val="58595B"/>
                      <w:spacing w:val="-7"/>
                      <w:sz w:val="20"/>
                    </w:rPr>
                    <w:t>1)</w:t>
                  </w:r>
                </w:p>
                <w:p>
                  <w:pPr>
                    <w:pStyle w:val="ListParagraph"/>
                    <w:numPr>
                      <w:ilvl w:val="0"/>
                      <w:numId w:val="77"/>
                    </w:numPr>
                    <w:tabs>
                      <w:tab w:pos="190" w:val="left" w:leader="none"/>
                    </w:tabs>
                    <w:spacing w:line="280" w:lineRule="auto" w:before="115" w:after="0"/>
                    <w:ind w:left="190" w:right="30" w:hanging="170"/>
                    <w:jc w:val="left"/>
                    <w:rPr>
                      <w:sz w:val="20"/>
                    </w:rPr>
                  </w:pPr>
                  <w:r>
                    <w:rPr>
                      <w:color w:val="58595B"/>
                      <w:sz w:val="20"/>
                    </w:rPr>
                    <w:t>concerns that local government does not have the skills, expertise or equipment (Alex Serrurier submission, p. 2; AGL Energy submission, p. 6; Pacific Hydro Australia submission, p. 6; and Trustpower Australia submission, p.</w:t>
                  </w:r>
                  <w:r>
                    <w:rPr>
                      <w:color w:val="58595B"/>
                      <w:spacing w:val="-23"/>
                      <w:sz w:val="20"/>
                    </w:rPr>
                    <w:t> </w:t>
                  </w:r>
                  <w:r>
                    <w:rPr>
                      <w:color w:val="58595B"/>
                      <w:spacing w:val="-4"/>
                      <w:sz w:val="20"/>
                    </w:rPr>
                    <w:t>3)</w:t>
                  </w:r>
                </w:p>
                <w:p>
                  <w:pPr>
                    <w:pStyle w:val="ListParagraph"/>
                    <w:numPr>
                      <w:ilvl w:val="0"/>
                      <w:numId w:val="77"/>
                    </w:numPr>
                    <w:tabs>
                      <w:tab w:pos="190" w:val="left" w:leader="none"/>
                    </w:tabs>
                    <w:spacing w:line="280" w:lineRule="auto" w:before="115" w:after="0"/>
                    <w:ind w:left="190" w:right="366" w:hanging="170"/>
                    <w:jc w:val="left"/>
                    <w:rPr>
                      <w:sz w:val="20"/>
                    </w:rPr>
                  </w:pPr>
                  <w:r>
                    <w:rPr>
                      <w:color w:val="58595B"/>
                      <w:sz w:val="20"/>
                    </w:rPr>
                    <w:t>the need for clear protocols on responding to noise complaints and transparent processes that will address community concerns (Wellington Shire Council submission, p. 3; Moreland City Council submission, p. </w:t>
                  </w:r>
                  <w:r>
                    <w:rPr>
                      <w:color w:val="58595B"/>
                      <w:spacing w:val="-6"/>
                      <w:sz w:val="20"/>
                    </w:rPr>
                    <w:t>7; </w:t>
                  </w:r>
                  <w:r>
                    <w:rPr>
                      <w:color w:val="58595B"/>
                      <w:sz w:val="20"/>
                    </w:rPr>
                    <w:t>Latrobe City Council submission, p. 2; Wodonga City Council submission, p. 2; City of Boorondara submission, p.</w:t>
                  </w:r>
                  <w:r>
                    <w:rPr>
                      <w:color w:val="58595B"/>
                      <w:spacing w:val="-5"/>
                      <w:sz w:val="20"/>
                    </w:rPr>
                    <w:t> </w:t>
                  </w:r>
                  <w:r>
                    <w:rPr>
                      <w:color w:val="58595B"/>
                      <w:spacing w:val="-4"/>
                      <w:sz w:val="20"/>
                    </w:rPr>
                    <w:t>3).</w:t>
                  </w:r>
                </w:p>
              </w:txbxContent>
            </v:textbox>
            <w10:wrap type="none"/>
          </v:shape>
        </w:pict>
      </w:r>
      <w:r>
        <w:rPr/>
        <w:pict>
          <v:shape style="position:absolute;margin-left:69.866096pt;margin-top:735.923584pt;width:422.1pt;height:66pt;mso-position-horizontal-relative:page;mso-position-vertical-relative:page;z-index:-167032" type="#_x0000_t202" filled="false" stroked="false">
            <v:textbox inset="0,0,0,0">
              <w:txbxContent>
                <w:p>
                  <w:pPr>
                    <w:pStyle w:val="BodyText"/>
                    <w:spacing w:line="280" w:lineRule="auto"/>
                    <w:ind w:right="-14"/>
                  </w:pPr>
                  <w:r>
                    <w:rPr>
                      <w:color w:val="58595B"/>
                    </w:rPr>
                    <w:t>The submission from the Municipal Association of Victoria noted that using the EPA-appointed auditor would work to ‘… remove any doubt regarding a wind farm’s compliance with relevant noise standards.’ We note that there is already an arrangement in place between the Municipal Association of Victoria (on behalf of local government) and the EPA to access auditors on</w:t>
                  </w:r>
                </w:p>
                <w:p>
                  <w:pPr>
                    <w:pStyle w:val="BodyText"/>
                    <w:spacing w:before="2"/>
                    <w:ind w:right="-14"/>
                    <w:rPr>
                      <w:sz w:val="11"/>
                    </w:rPr>
                  </w:pPr>
                  <w:r>
                    <w:rPr>
                      <w:color w:val="58595B"/>
                    </w:rPr>
                    <w:t>a fee-for-service basis.</w:t>
                  </w:r>
                  <w:r>
                    <w:rPr>
                      <w:color w:val="58595B"/>
                      <w:position w:val="7"/>
                      <w:sz w:val="11"/>
                    </w:rPr>
                    <w:t>27</w:t>
                  </w:r>
                </w:p>
              </w:txbxContent>
            </v:textbox>
            <w10:wrap type="none"/>
          </v:shape>
        </w:pict>
      </w:r>
      <w:r>
        <w:rPr/>
        <w:pict>
          <v:shape style="position:absolute;margin-left:.0pt;margin-top:44.090015pt;width:60.3pt;height:5.25pt;mso-position-horizontal-relative:page;mso-position-vertical-relative:page;z-index:-167008"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66984" type="#_x0000_t202" filled="false" stroked="false">
            <v:textbox inset="0,0,0,0">
              <w:txbxContent/>
            </v:textbox>
            <w10:wrap type="none"/>
          </v:shape>
        </w:pict>
      </w:r>
    </w:p>
    <w:p>
      <w:pPr>
        <w:spacing w:after="0"/>
        <w:rPr>
          <w:sz w:val="2"/>
          <w:szCs w:val="2"/>
        </w:rPr>
        <w:sectPr>
          <w:pgSz w:w="11910" w:h="16840"/>
          <w:pgMar w:top="800" w:bottom="280" w:left="0" w:right="1680"/>
        </w:sectPr>
      </w:pPr>
    </w:p>
    <w:p>
      <w:pPr>
        <w:rPr>
          <w:sz w:val="2"/>
          <w:szCs w:val="2"/>
        </w:rPr>
      </w:pPr>
      <w:r>
        <w:rPr/>
        <w:pict>
          <v:line style="position:absolute;mso-position-horizontal-relative:page;mso-position-vertical-relative:page;z-index:-166960" from="534.996094pt,45.840015pt" to="595.276001pt,45.840015pt" stroked="true" strokeweight="7pt" strokecolor="#0095a7">
            <w10:wrap type="none"/>
          </v:line>
        </w:pict>
      </w:r>
      <w:r>
        <w:rPr/>
        <w:pict>
          <v:rect style="position:absolute;margin-left:90.709pt;margin-top:133.461014pt;width:432.701pt;height:97.457pt;mso-position-horizontal-relative:page;mso-position-vertical-relative:page;z-index:-166936" filled="true" fillcolor="#eff6f0" stroked="false">
            <v:fill type="solid"/>
            <w10:wrap type="none"/>
          </v:rect>
        </w:pict>
      </w:r>
      <w:r>
        <w:rPr/>
        <w:pict>
          <v:rect style="position:absolute;margin-left:90.709pt;margin-top:242.257019pt;width:432.701pt;height:83.957pt;mso-position-horizontal-relative:page;mso-position-vertical-relative:page;z-index:-166912" filled="true" fillcolor="#eff6f0" stroked="false">
            <v:fill type="solid"/>
            <w10:wrap type="none"/>
          </v:rect>
        </w:pict>
      </w:r>
      <w:r>
        <w:rPr/>
        <w:pict>
          <v:rect style="position:absolute;margin-left:90.709pt;margin-top:337.553009pt;width:432.701pt;height:83.957pt;mso-position-horizontal-relative:page;mso-position-vertical-relative:page;z-index:-166888" filled="true" fillcolor="#eff6f0" stroked="false">
            <v:fill type="solid"/>
            <w10:wrap type="none"/>
          </v:rect>
        </w:pict>
      </w:r>
      <w:r>
        <w:rPr/>
        <w:pict>
          <v:rect style="position:absolute;margin-left:90.709pt;margin-top:432.84903pt;width:432.701pt;height:83.957pt;mso-position-horizontal-relative:page;mso-position-vertical-relative:page;z-index:-166864" filled="true" fillcolor="#eff6f0" stroked="false">
            <v:fill type="solid"/>
            <w10:wrap type="none"/>
          </v:rect>
        </w:pict>
      </w:r>
      <w:r>
        <w:rPr/>
        <w:pict>
          <v:rect style="position:absolute;margin-left:90.709pt;margin-top:528.145020pt;width:432.701pt;height:70.457pt;mso-position-horizontal-relative:page;mso-position-vertical-relative:page;z-index:-166840" filled="true" fillcolor="#eff6f0" stroked="false">
            <v:fill type="solid"/>
            <w10:wrap type="none"/>
          </v:rect>
        </w:pict>
      </w:r>
      <w:r>
        <w:rPr/>
        <w:pict>
          <v:shape style="position:absolute;margin-left:217.741592pt;margin-top:40.902756pt;width:282.150pt;height:9.5pt;mso-position-horizontal-relative:page;mso-position-vertical-relative:page;z-index:-166816" type="#_x0000_t202" filled="false" stroked="false">
            <v:textbox inset="0,0,0,0">
              <w:txbxContent>
                <w:p>
                  <w:pPr>
                    <w:spacing w:before="1"/>
                    <w:ind w:left="20" w:right="0" w:firstLine="0"/>
                    <w:jc w:val="left"/>
                    <w:rPr>
                      <w:sz w:val="15"/>
                    </w:rPr>
                  </w:pPr>
                  <w:r>
                    <w:rPr>
                      <w:color w:val="58595B"/>
                      <w:sz w:val="15"/>
                    </w:rPr>
                    <w:t>CHAPTER 10    TAKING A STRATEGIC APPROACH TO LAND USE  PLANNING</w:t>
                  </w:r>
                </w:p>
              </w:txbxContent>
            </v:textbox>
            <w10:wrap type="none"/>
          </v:shape>
        </w:pict>
      </w:r>
      <w:r>
        <w:rPr/>
        <w:pict>
          <v:shape style="position:absolute;margin-left:511.052002pt;margin-top:40.902756pt;width:14.35pt;height:9.5pt;mso-position-horizontal-relative:page;mso-position-vertical-relative:page;z-index:-166792" type="#_x0000_t202" filled="false" stroked="false">
            <v:textbox inset="0,0,0,0">
              <w:txbxContent>
                <w:p>
                  <w:pPr>
                    <w:spacing w:before="1"/>
                    <w:ind w:left="20" w:right="-4" w:firstLine="0"/>
                    <w:jc w:val="left"/>
                    <w:rPr>
                      <w:sz w:val="15"/>
                    </w:rPr>
                  </w:pPr>
                  <w:r>
                    <w:rPr>
                      <w:color w:val="58595B"/>
                      <w:sz w:val="15"/>
                    </w:rPr>
                    <w:t>197</w:t>
                  </w:r>
                </w:p>
              </w:txbxContent>
            </v:textbox>
            <w10:wrap type="none"/>
          </v:shape>
        </w:pict>
      </w:r>
      <w:r>
        <w:rPr/>
        <w:pict>
          <v:shape style="position:absolute;margin-left:89.708603pt;margin-top:105.72934pt;width:102.85pt;height:14pt;mso-position-horizontal-relative:page;mso-position-vertical-relative:page;z-index:-166768" type="#_x0000_t202" filled="false" stroked="false">
            <v:textbox inset="0,0,0,0">
              <w:txbxContent>
                <w:p>
                  <w:pPr>
                    <w:spacing w:line="265" w:lineRule="exact" w:before="0"/>
                    <w:ind w:left="20" w:right="0" w:firstLine="0"/>
                    <w:jc w:val="left"/>
                    <w:rPr>
                      <w:sz w:val="24"/>
                    </w:rPr>
                  </w:pPr>
                  <w:r>
                    <w:rPr>
                      <w:color w:val="0095A7"/>
                      <w:sz w:val="24"/>
                    </w:rPr>
                    <w:t>Recommendations</w:t>
                  </w:r>
                </w:p>
              </w:txbxContent>
            </v:textbox>
            <w10:wrap type="none"/>
          </v:shape>
        </w:pict>
      </w:r>
      <w:r>
        <w:rPr/>
        <w:pict>
          <v:shape style="position:absolute;margin-left:90.709pt;margin-top:528.145020pt;width:432.75pt;height:70.5pt;mso-position-horizontal-relative:page;mso-position-vertical-relative:page;z-index:-166744" type="#_x0000_t202" filled="false" stroked="false">
            <v:textbox inset="0,0,0,0">
              <w:txbxContent>
                <w:p>
                  <w:pPr>
                    <w:spacing w:before="128"/>
                    <w:ind w:left="170" w:right="482" w:firstLine="0"/>
                    <w:jc w:val="left"/>
                    <w:rPr>
                      <w:b/>
                      <w:sz w:val="20"/>
                    </w:rPr>
                  </w:pPr>
                  <w:r>
                    <w:rPr>
                      <w:b/>
                      <w:color w:val="808285"/>
                      <w:sz w:val="20"/>
                    </w:rPr>
                    <w:t>RECOMMENDATION 10.5</w:t>
                  </w:r>
                </w:p>
                <w:p>
                  <w:pPr>
                    <w:spacing w:line="280" w:lineRule="auto" w:before="153"/>
                    <w:ind w:left="170" w:right="161" w:firstLine="0"/>
                    <w:jc w:val="left"/>
                    <w:rPr>
                      <w:sz w:val="20"/>
                    </w:rPr>
                  </w:pPr>
                  <w:r>
                    <w:rPr>
                      <w:color w:val="58595B"/>
                      <w:sz w:val="20"/>
                    </w:rPr>
                    <w:t>Amend the existing </w:t>
                  </w:r>
                  <w:r>
                    <w:rPr>
                      <w:i/>
                      <w:color w:val="58595B"/>
                      <w:sz w:val="20"/>
                    </w:rPr>
                    <w:t>Policy and Planning Guidelines for Development of Wind Energy Facilities in Victoria </w:t>
                  </w:r>
                  <w:r>
                    <w:rPr>
                      <w:color w:val="58595B"/>
                      <w:sz w:val="20"/>
                    </w:rPr>
                    <w:t>to require a statutory environmental audit of noise be undertaken for approval</w:t>
                  </w:r>
                </w:p>
                <w:p>
                  <w:pPr>
                    <w:pStyle w:val="BodyText"/>
                    <w:spacing w:before="2"/>
                    <w:ind w:left="170" w:right="482"/>
                  </w:pPr>
                  <w:r>
                    <w:rPr>
                      <w:color w:val="58595B"/>
                    </w:rPr>
                    <w:t>and compliance.</w:t>
                  </w:r>
                </w:p>
              </w:txbxContent>
            </v:textbox>
            <w10:wrap type="none"/>
          </v:shape>
        </w:pict>
      </w:r>
      <w:r>
        <w:rPr/>
        <w:pict>
          <v:shape style="position:absolute;margin-left:90.709pt;margin-top:432.84903pt;width:432.75pt;height:84pt;mso-position-horizontal-relative:page;mso-position-vertical-relative:page;z-index:-166720" type="#_x0000_t202" filled="false" stroked="false">
            <v:textbox inset="0,0,0,0">
              <w:txbxContent>
                <w:p>
                  <w:pPr>
                    <w:spacing w:before="128"/>
                    <w:ind w:left="170" w:right="482" w:firstLine="0"/>
                    <w:jc w:val="left"/>
                    <w:rPr>
                      <w:b/>
                      <w:sz w:val="20"/>
                    </w:rPr>
                  </w:pPr>
                  <w:r>
                    <w:rPr>
                      <w:b/>
                      <w:color w:val="808285"/>
                      <w:sz w:val="20"/>
                    </w:rPr>
                    <w:t>RECOMMENDATION 10.4</w:t>
                  </w:r>
                </w:p>
                <w:p>
                  <w:pPr>
                    <w:pStyle w:val="BodyText"/>
                    <w:spacing w:line="280" w:lineRule="auto" w:before="153"/>
                    <w:ind w:left="170" w:right="421"/>
                  </w:pPr>
                  <w:r>
                    <w:rPr>
                      <w:color w:val="58595B"/>
                    </w:rPr>
                    <w:t>Together, the EPA and the Department of Environment, Land, Water and Planning simplify and better integrate EPA regulatory standards and obligations that are to be applied through the planning system, including through the creation of mandatory, measurable and</w:t>
                  </w:r>
                </w:p>
                <w:p>
                  <w:pPr>
                    <w:pStyle w:val="BodyText"/>
                    <w:spacing w:before="2"/>
                    <w:ind w:left="170" w:right="161"/>
                  </w:pPr>
                  <w:r>
                    <w:rPr>
                      <w:color w:val="58595B"/>
                    </w:rPr>
                    <w:t>enforceable planning controls that land use planners can more readily understand and apply.</w:t>
                  </w:r>
                </w:p>
              </w:txbxContent>
            </v:textbox>
            <w10:wrap type="none"/>
          </v:shape>
        </w:pict>
      </w:r>
      <w:r>
        <w:rPr/>
        <w:pict>
          <v:shape style="position:absolute;margin-left:90.709pt;margin-top:337.553009pt;width:432.75pt;height:84pt;mso-position-horizontal-relative:page;mso-position-vertical-relative:page;z-index:-166696" type="#_x0000_t202" filled="false" stroked="false">
            <v:textbox inset="0,0,0,0">
              <w:txbxContent>
                <w:p>
                  <w:pPr>
                    <w:spacing w:before="128"/>
                    <w:ind w:left="170" w:right="482" w:firstLine="0"/>
                    <w:jc w:val="left"/>
                    <w:rPr>
                      <w:b/>
                      <w:sz w:val="20"/>
                    </w:rPr>
                  </w:pPr>
                  <w:r>
                    <w:rPr>
                      <w:b/>
                      <w:color w:val="808285"/>
                      <w:sz w:val="20"/>
                    </w:rPr>
                    <w:t>RECOMMENDATION 10.3</w:t>
                  </w:r>
                </w:p>
                <w:p>
                  <w:pPr>
                    <w:pStyle w:val="BodyText"/>
                    <w:spacing w:line="280" w:lineRule="auto" w:before="153"/>
                    <w:ind w:left="170" w:right="882"/>
                  </w:pPr>
                  <w:r>
                    <w:rPr>
                      <w:color w:val="58595B"/>
                    </w:rPr>
                    <w:t>Develop, as a priority, strengthened land use planning mechanisms that establish and maintain buffers to separate conflicting land uses, avoid encroachment problems, help manage health, safety and amenity impacts, and ensure integration with </w:t>
                  </w:r>
                  <w:r>
                    <w:rPr>
                      <w:color w:val="58595B"/>
                      <w:spacing w:val="-4"/>
                    </w:rPr>
                    <w:t>EPA </w:t>
                  </w:r>
                  <w:r>
                    <w:rPr>
                      <w:color w:val="58595B"/>
                    </w:rPr>
                    <w:t>regulatory</w:t>
                  </w:r>
                  <w:r>
                    <w:rPr>
                      <w:color w:val="58595B"/>
                      <w:spacing w:val="2"/>
                    </w:rPr>
                    <w:t> </w:t>
                  </w:r>
                  <w:r>
                    <w:rPr>
                      <w:color w:val="58595B"/>
                    </w:rPr>
                    <w:t>requirements.</w:t>
                  </w:r>
                </w:p>
              </w:txbxContent>
            </v:textbox>
            <w10:wrap type="none"/>
          </v:shape>
        </w:pict>
      </w:r>
      <w:r>
        <w:rPr/>
        <w:pict>
          <v:shape style="position:absolute;margin-left:90.709pt;margin-top:242.257019pt;width:432.75pt;height:84pt;mso-position-horizontal-relative:page;mso-position-vertical-relative:page;z-index:-166672" type="#_x0000_t202" filled="false" stroked="false">
            <v:textbox inset="0,0,0,0">
              <w:txbxContent>
                <w:p>
                  <w:pPr>
                    <w:spacing w:before="128"/>
                    <w:ind w:left="170" w:right="482" w:firstLine="0"/>
                    <w:jc w:val="left"/>
                    <w:rPr>
                      <w:b/>
                      <w:sz w:val="20"/>
                    </w:rPr>
                  </w:pPr>
                  <w:r>
                    <w:rPr>
                      <w:b/>
                      <w:color w:val="808285"/>
                      <w:sz w:val="20"/>
                    </w:rPr>
                    <w:t>RECOMMENDATION 10.2</w:t>
                  </w:r>
                </w:p>
                <w:p>
                  <w:pPr>
                    <w:pStyle w:val="BodyText"/>
                    <w:spacing w:line="280" w:lineRule="auto" w:before="153"/>
                    <w:ind w:left="170" w:right="305"/>
                  </w:pPr>
                  <w:r>
                    <w:rPr>
                      <w:color w:val="58595B"/>
                    </w:rPr>
                    <w:t>Require, as part of its establishment legislation, that the Victorian Planning Authority refer strategic planning processes (such as, but not limited to, scheme amendments, rezoning and structure planning) to the </w:t>
                  </w:r>
                  <w:r>
                    <w:rPr>
                      <w:color w:val="58595B"/>
                      <w:spacing w:val="-4"/>
                    </w:rPr>
                    <w:t>EPA </w:t>
                  </w:r>
                  <w:r>
                    <w:rPr>
                      <w:color w:val="58595B"/>
                    </w:rPr>
                    <w:t>including where such processes consider development in close proximity to a licensed facility, including waste</w:t>
                  </w:r>
                  <w:r>
                    <w:rPr>
                      <w:color w:val="58595B"/>
                      <w:spacing w:val="-5"/>
                    </w:rPr>
                    <w:t> </w:t>
                  </w:r>
                  <w:r>
                    <w:rPr>
                      <w:color w:val="58595B"/>
                    </w:rPr>
                    <w:t>facilities.</w:t>
                  </w:r>
                </w:p>
              </w:txbxContent>
            </v:textbox>
            <w10:wrap type="none"/>
          </v:shape>
        </w:pict>
      </w:r>
      <w:r>
        <w:rPr/>
        <w:pict>
          <v:shape style="position:absolute;margin-left:90.709pt;margin-top:133.461014pt;width:432.75pt;height:97.5pt;mso-position-horizontal-relative:page;mso-position-vertical-relative:page;z-index:-166648" type="#_x0000_t202" filled="false" stroked="false">
            <v:textbox inset="0,0,0,0">
              <w:txbxContent>
                <w:p>
                  <w:pPr>
                    <w:spacing w:before="128"/>
                    <w:ind w:left="170" w:right="482" w:firstLine="0"/>
                    <w:jc w:val="left"/>
                    <w:rPr>
                      <w:b/>
                      <w:sz w:val="20"/>
                    </w:rPr>
                  </w:pPr>
                  <w:r>
                    <w:rPr>
                      <w:b/>
                      <w:color w:val="808285"/>
                      <w:sz w:val="20"/>
                    </w:rPr>
                    <w:t>RECOMMENDATIONS 10.1</w:t>
                  </w:r>
                </w:p>
                <w:p>
                  <w:pPr>
                    <w:pStyle w:val="BodyText"/>
                    <w:spacing w:line="280" w:lineRule="auto" w:before="153"/>
                    <w:ind w:left="170" w:right="360"/>
                  </w:pPr>
                  <w:r>
                    <w:rPr>
                      <w:color w:val="58595B"/>
                    </w:rPr>
                    <w:t>Create a statutory trigger, potentially via a Ministerial Direction under the </w:t>
                  </w:r>
                  <w:r>
                    <w:rPr>
                      <w:i/>
                      <w:color w:val="58595B"/>
                    </w:rPr>
                    <w:t>Planning and Environment Act 1987</w:t>
                  </w:r>
                  <w:r>
                    <w:rPr>
                      <w:color w:val="58595B"/>
                    </w:rPr>
                    <w:t>, to require responsible authorities to seek early advice from the EPA on strategic planning processes (such as, but not limited to, scheme amendments, rezoning and structure planning) that involve significant human health and environmental risks or development in close proximity to a licensed facility.</w:t>
                  </w:r>
                </w:p>
              </w:txbxContent>
            </v:textbox>
            <w10:wrap type="none"/>
          </v:shape>
        </w:pict>
      </w:r>
      <w:r>
        <w:rPr/>
        <w:pict>
          <v:shape style="position:absolute;margin-left:534.996094pt;margin-top:44.090015pt;width:60.3pt;height:5.25pt;mso-position-horizontal-relative:page;mso-position-vertical-relative:page;z-index:-166624"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66600" type="#_x0000_t202" filled="false" stroked="false">
            <v:textbox inset="0,0,0,0">
              <w:txbxContent/>
            </v:textbox>
            <w10:wrap type="none"/>
          </v:shape>
        </w:pict>
      </w:r>
    </w:p>
    <w:p>
      <w:pPr>
        <w:spacing w:after="0"/>
        <w:rPr>
          <w:sz w:val="2"/>
          <w:szCs w:val="2"/>
        </w:rPr>
        <w:sectPr>
          <w:pgSz w:w="11910" w:h="16840"/>
          <w:pgMar w:top="800" w:bottom="280" w:left="1680" w:right="0"/>
        </w:sectPr>
      </w:pPr>
    </w:p>
    <w:p>
      <w:pPr>
        <w:rPr>
          <w:sz w:val="2"/>
          <w:szCs w:val="2"/>
        </w:rPr>
      </w:pPr>
      <w:r>
        <w:rPr/>
        <w:pict>
          <v:line style="position:absolute;mso-position-horizontal-relative:page;mso-position-vertical-relative:page;z-index:-166576" from=".0pt,45.840015pt" to="60.2791pt,45.840015pt" stroked="true" strokeweight="7pt" strokecolor="#0095a7">
            <w10:wrap type="none"/>
          </v:line>
        </w:pict>
      </w:r>
      <w:r>
        <w:rPr/>
        <w:pict>
          <v:line style="position:absolute;mso-position-horizontal-relative:page;mso-position-vertical-relative:page;z-index:-166552" from="70.866096pt,103.331017pt" to="281.716096pt,103.331017pt" stroked="true" strokeweight=".5pt" strokecolor="#58595b">
            <w10:wrap type="none"/>
          </v:line>
        </w:pict>
      </w:r>
      <w:r>
        <w:rPr/>
        <w:pict>
          <v:shape style="position:absolute;margin-left:69.866096pt;margin-top:40.902756pt;width:14.55pt;height:9.5pt;mso-position-horizontal-relative:page;mso-position-vertical-relative:page;z-index:-166528" type="#_x0000_t202" filled="false" stroked="false">
            <v:textbox inset="0,0,0,0">
              <w:txbxContent>
                <w:p>
                  <w:pPr>
                    <w:spacing w:before="1"/>
                    <w:ind w:left="20" w:right="0" w:firstLine="0"/>
                    <w:jc w:val="left"/>
                    <w:rPr>
                      <w:sz w:val="15"/>
                    </w:rPr>
                  </w:pPr>
                  <w:r>
                    <w:rPr>
                      <w:color w:val="58595B"/>
                      <w:sz w:val="15"/>
                    </w:rPr>
                    <w:t>198</w:t>
                  </w:r>
                </w:p>
              </w:txbxContent>
            </v:textbox>
            <w10:wrap type="none"/>
          </v:shape>
        </w:pict>
      </w:r>
      <w:r>
        <w:rPr/>
        <w:pict>
          <v:shape style="position:absolute;margin-left:95.377899pt;margin-top:40.902756pt;width:147.75pt;height:9.5pt;mso-position-horizontal-relative:page;mso-position-vertical-relative:page;z-index:-166504" type="#_x0000_t202" filled="false" stroked="false">
            <v:textbox inset="0,0,0,0">
              <w:txbxContent>
                <w:p>
                  <w:pPr>
                    <w:spacing w:before="1"/>
                    <w:ind w:left="20" w:right="0" w:firstLine="0"/>
                    <w:jc w:val="left"/>
                    <w:rPr>
                      <w:sz w:val="15"/>
                    </w:rPr>
                  </w:pPr>
                  <w:r>
                    <w:rPr>
                      <w:color w:val="58595B"/>
                      <w:sz w:val="15"/>
                    </w:rPr>
                    <w:t>INDEPENDENT INQUIRY INTO THE EPA</w:t>
                  </w:r>
                </w:p>
              </w:txbxContent>
            </v:textbox>
            <w10:wrap type="none"/>
          </v:shape>
        </w:pict>
      </w:r>
      <w:r>
        <w:rPr/>
        <w:pict>
          <v:shape style="position:absolute;margin-left:69.866096pt;margin-top:106.22303pt;width:5.3pt;height:8pt;mso-position-horizontal-relative:page;mso-position-vertical-relative:page;z-index:-166480" type="#_x0000_t202" filled="false" stroked="false">
            <v:textbox inset="0,0,0,0">
              <w:txbxContent>
                <w:p>
                  <w:pPr>
                    <w:spacing w:before="4"/>
                    <w:ind w:left="20" w:right="0" w:firstLine="0"/>
                    <w:jc w:val="left"/>
                    <w:rPr>
                      <w:sz w:val="12"/>
                    </w:rPr>
                  </w:pPr>
                  <w:r>
                    <w:rPr>
                      <w:color w:val="58595B"/>
                      <w:sz w:val="12"/>
                    </w:rPr>
                    <w:t>1</w:t>
                  </w:r>
                </w:p>
              </w:txbxContent>
            </v:textbox>
            <w10:wrap type="none"/>
          </v:shape>
        </w:pict>
      </w:r>
      <w:r>
        <w:rPr/>
        <w:pict>
          <v:shape style="position:absolute;margin-left:84.0261pt;margin-top:106.22303pt;width:197.8pt;height:499.95pt;mso-position-horizontal-relative:page;mso-position-vertical-relative:page;z-index:-166456" type="#_x0000_t202" filled="false" stroked="false">
            <v:textbox inset="0,0,0,0">
              <w:txbxContent>
                <w:p>
                  <w:pPr>
                    <w:spacing w:line="242" w:lineRule="auto" w:before="4"/>
                    <w:ind w:left="20" w:right="73" w:firstLine="0"/>
                    <w:jc w:val="left"/>
                    <w:rPr>
                      <w:sz w:val="12"/>
                    </w:rPr>
                  </w:pPr>
                  <w:hyperlink r:id="rId61">
                    <w:r>
                      <w:rPr>
                        <w:color w:val="58595B"/>
                        <w:sz w:val="12"/>
                      </w:rPr>
                      <w:t>http://refresh.planmelbourne.vic.gov.au/;</w:t>
                    </w:r>
                  </w:hyperlink>
                  <w:r>
                    <w:rPr>
                      <w:color w:val="58595B"/>
                      <w:sz w:val="12"/>
                    </w:rPr>
                    <w:t> </w:t>
                  </w:r>
                  <w:hyperlink r:id="rId62">
                    <w:r>
                      <w:rPr>
                        <w:color w:val="58595B"/>
                        <w:sz w:val="12"/>
                      </w:rPr>
                      <w:t>http://www.planmelbourne.vic.</w:t>
                    </w:r>
                  </w:hyperlink>
                  <w:r>
                    <w:rPr>
                      <w:color w:val="58595B"/>
                      <w:sz w:val="12"/>
                    </w:rPr>
                    <w:t> gov.au/, (accessed 10 March 2016).</w:t>
                  </w:r>
                </w:p>
                <w:p>
                  <w:pPr>
                    <w:spacing w:line="242" w:lineRule="auto" w:before="29"/>
                    <w:ind w:left="20" w:right="73" w:firstLine="0"/>
                    <w:jc w:val="left"/>
                    <w:rPr>
                      <w:sz w:val="12"/>
                    </w:rPr>
                  </w:pPr>
                  <w:r>
                    <w:rPr>
                      <w:color w:val="58595B"/>
                      <w:sz w:val="12"/>
                    </w:rPr>
                    <w:t>Department of Environment, Land, Water and Planning 2015, </w:t>
                  </w:r>
                  <w:r>
                    <w:rPr>
                      <w:i/>
                      <w:color w:val="58595B"/>
                      <w:sz w:val="12"/>
                    </w:rPr>
                    <w:t>Plan Melbourne Refresh at a glance</w:t>
                  </w:r>
                  <w:r>
                    <w:rPr>
                      <w:color w:val="58595B"/>
                      <w:sz w:val="12"/>
                    </w:rPr>
                    <w:t>, Melbourne, p.  1.</w:t>
                  </w:r>
                </w:p>
                <w:p>
                  <w:pPr>
                    <w:spacing w:line="242" w:lineRule="auto" w:before="29"/>
                    <w:ind w:left="20" w:right="203" w:firstLine="0"/>
                    <w:jc w:val="left"/>
                    <w:rPr>
                      <w:sz w:val="12"/>
                    </w:rPr>
                  </w:pPr>
                  <w:r>
                    <w:rPr>
                      <w:color w:val="58595B"/>
                      <w:sz w:val="12"/>
                    </w:rPr>
                    <w:t>The public </w:t>
                  </w:r>
                  <w:r>
                    <w:rPr>
                      <w:color w:val="58595B"/>
                      <w:spacing w:val="2"/>
                      <w:sz w:val="12"/>
                    </w:rPr>
                    <w:t>reports </w:t>
                  </w:r>
                  <w:r>
                    <w:rPr>
                      <w:color w:val="58595B"/>
                      <w:sz w:val="12"/>
                    </w:rPr>
                    <w:t>pollution through a hotline or an online </w:t>
                  </w:r>
                  <w:r>
                    <w:rPr>
                      <w:color w:val="58595B"/>
                      <w:spacing w:val="2"/>
                      <w:sz w:val="12"/>
                    </w:rPr>
                    <w:t>portal.   </w:t>
                  </w:r>
                  <w:r>
                    <w:rPr>
                      <w:color w:val="58595B"/>
                      <w:sz w:val="12"/>
                    </w:rPr>
                    <w:t>The EPA then assesses those </w:t>
                  </w:r>
                  <w:r>
                    <w:rPr>
                      <w:color w:val="58595B"/>
                      <w:spacing w:val="2"/>
                      <w:sz w:val="12"/>
                    </w:rPr>
                    <w:t>reports </w:t>
                  </w:r>
                  <w:r>
                    <w:rPr>
                      <w:color w:val="58595B"/>
                      <w:sz w:val="12"/>
                    </w:rPr>
                    <w:t>against a set of risk </w:t>
                  </w:r>
                  <w:r>
                    <w:rPr>
                      <w:color w:val="58595B"/>
                      <w:spacing w:val="2"/>
                      <w:sz w:val="12"/>
                    </w:rPr>
                    <w:t>criteria </w:t>
                  </w:r>
                  <w:r>
                    <w:rPr>
                      <w:color w:val="58595B"/>
                      <w:sz w:val="12"/>
                    </w:rPr>
                    <w:t>to determine an appropriate response by EPA </w:t>
                  </w:r>
                  <w:r>
                    <w:rPr>
                      <w:color w:val="58595B"/>
                      <w:spacing w:val="2"/>
                      <w:sz w:val="12"/>
                    </w:rPr>
                    <w:t>officers. </w:t>
                  </w:r>
                  <w:r>
                    <w:rPr>
                      <w:color w:val="58595B"/>
                      <w:sz w:val="12"/>
                    </w:rPr>
                    <w:t>EPA Website </w:t>
                  </w:r>
                  <w:hyperlink r:id="rId63">
                    <w:r>
                      <w:rPr>
                        <w:color w:val="58595B"/>
                        <w:sz w:val="12"/>
                      </w:rPr>
                      <w:t>http://www.epa.vic.gov.au/~/media/Publications/1566.pdf</w:t>
                    </w:r>
                  </w:hyperlink>
                  <w:r>
                    <w:rPr>
                      <w:color w:val="58595B"/>
                      <w:sz w:val="12"/>
                    </w:rPr>
                    <w:t>  (accessed 23 March</w:t>
                  </w:r>
                  <w:r>
                    <w:rPr>
                      <w:color w:val="58595B"/>
                      <w:spacing w:val="10"/>
                      <w:sz w:val="12"/>
                    </w:rPr>
                    <w:t> </w:t>
                  </w:r>
                  <w:r>
                    <w:rPr>
                      <w:color w:val="58595B"/>
                      <w:sz w:val="12"/>
                    </w:rPr>
                    <w:t>2016).</w:t>
                  </w:r>
                </w:p>
                <w:p>
                  <w:pPr>
                    <w:spacing w:before="29"/>
                    <w:ind w:left="20" w:right="73" w:firstLine="0"/>
                    <w:jc w:val="left"/>
                    <w:rPr>
                      <w:i/>
                      <w:sz w:val="12"/>
                    </w:rPr>
                  </w:pPr>
                  <w:r>
                    <w:rPr>
                      <w:color w:val="58595B"/>
                      <w:sz w:val="12"/>
                    </w:rPr>
                    <w:t>Plan Melbourne 2015, </w:t>
                  </w:r>
                  <w:r>
                    <w:rPr>
                      <w:i/>
                      <w:color w:val="58595B"/>
                      <w:sz w:val="12"/>
                    </w:rPr>
                    <w:t>Plan Melbourne Refresh discussion  paper,</w:t>
                  </w:r>
                </w:p>
                <w:p>
                  <w:pPr>
                    <w:spacing w:before="2"/>
                    <w:ind w:left="20" w:right="73" w:firstLine="0"/>
                    <w:jc w:val="left"/>
                    <w:rPr>
                      <w:sz w:val="12"/>
                    </w:rPr>
                  </w:pPr>
                  <w:r>
                    <w:rPr>
                      <w:color w:val="58595B"/>
                      <w:sz w:val="12"/>
                    </w:rPr>
                    <w:t>Melbourne, October, p. 1.</w:t>
                  </w:r>
                </w:p>
                <w:p>
                  <w:pPr>
                    <w:spacing w:before="30"/>
                    <w:ind w:left="20" w:right="73" w:firstLine="0"/>
                    <w:jc w:val="left"/>
                    <w:rPr>
                      <w:i/>
                      <w:sz w:val="12"/>
                    </w:rPr>
                  </w:pPr>
                  <w:r>
                    <w:rPr>
                      <w:color w:val="58595B"/>
                      <w:sz w:val="12"/>
                    </w:rPr>
                    <w:t>Plan Melbourne 2015, </w:t>
                  </w:r>
                  <w:r>
                    <w:rPr>
                      <w:i/>
                      <w:color w:val="58595B"/>
                      <w:sz w:val="12"/>
                    </w:rPr>
                    <w:t>Plan Melbourne Refresh discussion  paper,</w:t>
                  </w:r>
                </w:p>
                <w:p>
                  <w:pPr>
                    <w:spacing w:before="2"/>
                    <w:ind w:left="20" w:right="73" w:firstLine="0"/>
                    <w:jc w:val="left"/>
                    <w:rPr>
                      <w:sz w:val="12"/>
                    </w:rPr>
                  </w:pPr>
                  <w:r>
                    <w:rPr>
                      <w:color w:val="58595B"/>
                      <w:sz w:val="12"/>
                    </w:rPr>
                    <w:t>Melbourne, October, p. 16.</w:t>
                  </w:r>
                </w:p>
                <w:p>
                  <w:pPr>
                    <w:spacing w:before="30"/>
                    <w:ind w:left="20" w:right="73" w:firstLine="0"/>
                    <w:jc w:val="left"/>
                    <w:rPr>
                      <w:i/>
                      <w:sz w:val="12"/>
                    </w:rPr>
                  </w:pPr>
                  <w:r>
                    <w:rPr>
                      <w:color w:val="58595B"/>
                      <w:sz w:val="12"/>
                    </w:rPr>
                    <w:t>Plan Melbourne 2015, </w:t>
                  </w:r>
                  <w:r>
                    <w:rPr>
                      <w:i/>
                      <w:color w:val="58595B"/>
                      <w:sz w:val="12"/>
                    </w:rPr>
                    <w:t>Plan Melbourne Refresh discussion  paper,</w:t>
                  </w:r>
                </w:p>
                <w:p>
                  <w:pPr>
                    <w:spacing w:before="2"/>
                    <w:ind w:left="20" w:right="73" w:firstLine="0"/>
                    <w:jc w:val="left"/>
                    <w:rPr>
                      <w:sz w:val="12"/>
                    </w:rPr>
                  </w:pPr>
                  <w:r>
                    <w:rPr>
                      <w:color w:val="58595B"/>
                      <w:sz w:val="12"/>
                    </w:rPr>
                    <w:t>Melbourne, October, p. 46.</w:t>
                  </w:r>
                </w:p>
                <w:p>
                  <w:pPr>
                    <w:spacing w:line="242" w:lineRule="auto" w:before="30"/>
                    <w:ind w:left="20" w:right="203" w:firstLine="0"/>
                    <w:jc w:val="left"/>
                    <w:rPr>
                      <w:sz w:val="12"/>
                    </w:rPr>
                  </w:pPr>
                  <w:r>
                    <w:rPr>
                      <w:color w:val="58595B"/>
                      <w:sz w:val="12"/>
                    </w:rPr>
                    <w:t>EPA Victoria 2013, </w:t>
                  </w:r>
                  <w:r>
                    <w:rPr>
                      <w:i/>
                      <w:color w:val="58595B"/>
                      <w:sz w:val="12"/>
                    </w:rPr>
                    <w:t>Future air quality In Victoria</w:t>
                  </w:r>
                  <w:r>
                    <w:rPr>
                      <w:color w:val="58595B"/>
                      <w:sz w:val="12"/>
                    </w:rPr>
                    <w:t>, Final report, Melbourne, July, p. 17.</w:t>
                  </w:r>
                </w:p>
                <w:p>
                  <w:pPr>
                    <w:spacing w:before="29"/>
                    <w:ind w:left="20" w:right="73" w:firstLine="0"/>
                    <w:jc w:val="left"/>
                    <w:rPr>
                      <w:sz w:val="12"/>
                    </w:rPr>
                  </w:pPr>
                  <w:r>
                    <w:rPr>
                      <w:color w:val="58595B"/>
                      <w:sz w:val="12"/>
                    </w:rPr>
                    <w:t>Plan Melbourne Refresh Discussion Paper, October 2015, p. 1.</w:t>
                  </w:r>
                </w:p>
                <w:p>
                  <w:pPr>
                    <w:spacing w:line="242" w:lineRule="auto" w:before="30"/>
                    <w:ind w:left="20" w:right="73" w:firstLine="0"/>
                    <w:jc w:val="left"/>
                    <w:rPr>
                      <w:sz w:val="12"/>
                    </w:rPr>
                  </w:pPr>
                  <w:r>
                    <w:rPr>
                      <w:color w:val="58595B"/>
                      <w:sz w:val="12"/>
                    </w:rPr>
                    <w:t>Plan Melbourne 2015 Review, Report by the Ministerial Advisory Committee, June 2015, p. 76.</w:t>
                  </w:r>
                </w:p>
                <w:p>
                  <w:pPr>
                    <w:spacing w:line="242" w:lineRule="auto" w:before="29"/>
                    <w:ind w:left="20" w:right="471" w:firstLine="0"/>
                    <w:jc w:val="left"/>
                    <w:rPr>
                      <w:sz w:val="12"/>
                    </w:rPr>
                  </w:pPr>
                  <w:r>
                    <w:rPr>
                      <w:color w:val="58595B"/>
                      <w:sz w:val="12"/>
                    </w:rPr>
                    <w:t>Animal Industries Advisory Committee 2015, Discussion paper, 21  December</w:t>
                  </w:r>
                  <w:hyperlink r:id="rId64">
                    <w:r>
                      <w:rPr>
                        <w:color w:val="58595B"/>
                        <w:sz w:val="12"/>
                      </w:rPr>
                      <w:t>,  http://www.dtpli.vic.gov.au/__data/assets/pdf_</w:t>
                    </w:r>
                  </w:hyperlink>
                </w:p>
                <w:p>
                  <w:pPr>
                    <w:spacing w:line="242" w:lineRule="auto" w:before="0"/>
                    <w:ind w:left="20" w:right="73" w:firstLine="0"/>
                    <w:jc w:val="left"/>
                    <w:rPr>
                      <w:sz w:val="12"/>
                    </w:rPr>
                  </w:pPr>
                  <w:r>
                    <w:rPr>
                      <w:color w:val="58595B"/>
                      <w:sz w:val="12"/>
                    </w:rPr>
                    <w:t>file/0007/290275/Animal-Industries-Discussion-Paper-Revision-1.PDF (accessed 13 March 2016).</w:t>
                  </w:r>
                </w:p>
                <w:p>
                  <w:pPr>
                    <w:spacing w:line="242" w:lineRule="auto" w:before="29"/>
                    <w:ind w:left="20" w:right="60" w:firstLine="0"/>
                    <w:jc w:val="both"/>
                    <w:rPr>
                      <w:sz w:val="12"/>
                    </w:rPr>
                  </w:pPr>
                  <w:r>
                    <w:rPr>
                      <w:color w:val="58595B"/>
                      <w:sz w:val="12"/>
                    </w:rPr>
                    <w:t>Taylor E, Butt A, Amati M 2016, </w:t>
                  </w:r>
                  <w:r>
                    <w:rPr>
                      <w:i/>
                      <w:color w:val="58595B"/>
                      <w:sz w:val="12"/>
                    </w:rPr>
                    <w:t>Done like a chicken dinner: city fringes locked in battles over broiler farms</w:t>
                  </w:r>
                  <w:r>
                    <w:rPr>
                      <w:color w:val="58595B"/>
                      <w:sz w:val="12"/>
                    </w:rPr>
                    <w:t>, March</w:t>
                  </w:r>
                  <w:hyperlink r:id="rId65">
                    <w:r>
                      <w:rPr>
                        <w:color w:val="58595B"/>
                        <w:sz w:val="12"/>
                      </w:rPr>
                      <w:t>, http://theconversation.com/</w:t>
                    </w:r>
                  </w:hyperlink>
                  <w:r>
                    <w:rPr>
                      <w:color w:val="58595B"/>
                      <w:sz w:val="12"/>
                    </w:rPr>
                    <w:t> done-like-a-chicken-dinner-city-fringes-locked-in-battles-over-broiler- farms-54886 (accessed 17 March 2016).</w:t>
                  </w:r>
                </w:p>
                <w:p>
                  <w:pPr>
                    <w:spacing w:before="29"/>
                    <w:ind w:left="20" w:right="73" w:firstLine="0"/>
                    <w:jc w:val="left"/>
                    <w:rPr>
                      <w:sz w:val="12"/>
                    </w:rPr>
                  </w:pPr>
                  <w:r>
                    <w:rPr>
                      <w:color w:val="58595B"/>
                      <w:sz w:val="12"/>
                    </w:rPr>
                    <w:t>Section 1, </w:t>
                  </w:r>
                  <w:r>
                    <w:rPr>
                      <w:i/>
                      <w:color w:val="58595B"/>
                      <w:sz w:val="12"/>
                    </w:rPr>
                    <w:t>Planning and Environment Act  1987</w:t>
                  </w:r>
                  <w:r>
                    <w:rPr>
                      <w:color w:val="58595B"/>
                      <w:sz w:val="12"/>
                    </w:rPr>
                    <w:t>.</w:t>
                  </w:r>
                </w:p>
                <w:p>
                  <w:pPr>
                    <w:spacing w:line="242" w:lineRule="auto" w:before="30"/>
                    <w:ind w:left="20" w:right="73" w:firstLine="0"/>
                    <w:jc w:val="left"/>
                    <w:rPr>
                      <w:sz w:val="12"/>
                    </w:rPr>
                  </w:pPr>
                  <w:r>
                    <w:rPr>
                      <w:color w:val="58595B"/>
                      <w:sz w:val="12"/>
                    </w:rPr>
                    <w:t>2009 Bushfires Royal Commission, </w:t>
                  </w:r>
                  <w:r>
                    <w:rPr>
                      <w:i/>
                      <w:color w:val="58595B"/>
                      <w:sz w:val="12"/>
                    </w:rPr>
                    <w:t>Fire Preparation, Response and Recovery</w:t>
                  </w:r>
                  <w:r>
                    <w:rPr>
                      <w:color w:val="58595B"/>
                      <w:sz w:val="12"/>
                    </w:rPr>
                    <w:t>, Volume II, Part one, July, p. 224.</w:t>
                  </w:r>
                </w:p>
                <w:p>
                  <w:pPr>
                    <w:spacing w:line="242" w:lineRule="auto" w:before="29"/>
                    <w:ind w:left="20" w:right="73" w:firstLine="0"/>
                    <w:jc w:val="left"/>
                    <w:rPr>
                      <w:sz w:val="12"/>
                    </w:rPr>
                  </w:pPr>
                  <w:r>
                    <w:rPr>
                      <w:color w:val="58595B"/>
                      <w:sz w:val="12"/>
                    </w:rPr>
                    <w:t>Metropolitan Planning Authority Northern Quarries Investigation Area. Draft Addendum to the Growth Corridor Plans, section  2.1.1.</w:t>
                  </w:r>
                </w:p>
                <w:p>
                  <w:pPr>
                    <w:spacing w:line="242" w:lineRule="auto" w:before="29"/>
                    <w:ind w:left="20" w:right="203" w:firstLine="0"/>
                    <w:jc w:val="left"/>
                    <w:rPr>
                      <w:sz w:val="12"/>
                    </w:rPr>
                  </w:pPr>
                  <w:r>
                    <w:rPr>
                      <w:color w:val="58595B"/>
                      <w:sz w:val="12"/>
                    </w:rPr>
                    <w:t>Victorian Auditor-General’s Office 2014, </w:t>
                  </w:r>
                  <w:r>
                    <w:rPr>
                      <w:i/>
                      <w:color w:val="58595B"/>
                      <w:sz w:val="12"/>
                    </w:rPr>
                    <w:t>Managing Landfills</w:t>
                  </w:r>
                  <w:r>
                    <w:rPr>
                      <w:color w:val="58595B"/>
                      <w:sz w:val="12"/>
                    </w:rPr>
                    <w:t>, Melbourne, September, p.  44.</w:t>
                  </w:r>
                </w:p>
                <w:p>
                  <w:pPr>
                    <w:spacing w:line="242" w:lineRule="auto" w:before="29"/>
                    <w:ind w:left="20" w:right="203" w:firstLine="0"/>
                    <w:jc w:val="left"/>
                    <w:rPr>
                      <w:sz w:val="12"/>
                    </w:rPr>
                  </w:pPr>
                  <w:r>
                    <w:rPr>
                      <w:color w:val="58595B"/>
                      <w:sz w:val="12"/>
                    </w:rPr>
                    <w:t>Victorian Auditor-General’s Office 2014, </w:t>
                  </w:r>
                  <w:r>
                    <w:rPr>
                      <w:i/>
                      <w:color w:val="58595B"/>
                      <w:sz w:val="12"/>
                    </w:rPr>
                    <w:t>Managing Landfills</w:t>
                  </w:r>
                  <w:r>
                    <w:rPr>
                      <w:color w:val="58595B"/>
                      <w:sz w:val="12"/>
                    </w:rPr>
                    <w:t>, Melbourne, September, p. 32.</w:t>
                  </w:r>
                </w:p>
                <w:p>
                  <w:pPr>
                    <w:spacing w:line="242" w:lineRule="auto" w:before="29"/>
                    <w:ind w:left="20" w:right="73" w:firstLine="0"/>
                    <w:jc w:val="left"/>
                    <w:rPr>
                      <w:sz w:val="12"/>
                    </w:rPr>
                  </w:pPr>
                  <w:r>
                    <w:rPr>
                      <w:color w:val="58595B"/>
                      <w:sz w:val="12"/>
                    </w:rPr>
                    <w:t>Major Hazard Facilities Advisory Committee 2015, Discussion paper, December, p. 1.</w:t>
                  </w:r>
                </w:p>
                <w:p>
                  <w:pPr>
                    <w:spacing w:line="242" w:lineRule="auto" w:before="29"/>
                    <w:ind w:left="20" w:right="73" w:firstLine="0"/>
                    <w:jc w:val="left"/>
                    <w:rPr>
                      <w:sz w:val="12"/>
                    </w:rPr>
                  </w:pPr>
                  <w:r>
                    <w:rPr>
                      <w:color w:val="58595B"/>
                      <w:sz w:val="12"/>
                    </w:rPr>
                    <w:t>Plan Melbourne 2015 Review, Report by the Ministerial Advisory Committee, June, p. 76.</w:t>
                  </w:r>
                </w:p>
                <w:p>
                  <w:pPr>
                    <w:spacing w:line="242" w:lineRule="auto" w:before="29"/>
                    <w:ind w:left="20" w:right="140" w:firstLine="0"/>
                    <w:jc w:val="left"/>
                    <w:rPr>
                      <w:sz w:val="12"/>
                    </w:rPr>
                  </w:pPr>
                  <w:r>
                    <w:rPr>
                      <w:color w:val="58595B"/>
                      <w:sz w:val="12"/>
                    </w:rPr>
                    <w:t>Under the agent of change principle, the agent of change (that is, the person wanting to use the land for a different purpose) is responsible   for addressing amenity impacts before gaining planning approval. This </w:t>
                  </w:r>
                  <w:r>
                    <w:rPr>
                      <w:color w:val="58595B"/>
                      <w:spacing w:val="2"/>
                      <w:sz w:val="12"/>
                    </w:rPr>
                    <w:t>principle </w:t>
                  </w:r>
                  <w:r>
                    <w:rPr>
                      <w:color w:val="58595B"/>
                      <w:sz w:val="12"/>
                    </w:rPr>
                    <w:t>is </w:t>
                  </w:r>
                  <w:r>
                    <w:rPr>
                      <w:color w:val="58595B"/>
                      <w:spacing w:val="2"/>
                      <w:sz w:val="12"/>
                    </w:rPr>
                    <w:t>currently </w:t>
                  </w:r>
                  <w:r>
                    <w:rPr>
                      <w:color w:val="58595B"/>
                      <w:sz w:val="12"/>
                    </w:rPr>
                    <w:t>applied in the planning system in relation to noise impacts from live music </w:t>
                  </w:r>
                  <w:r>
                    <w:rPr>
                      <w:color w:val="58595B"/>
                      <w:spacing w:val="8"/>
                      <w:sz w:val="12"/>
                    </w:rPr>
                    <w:t> </w:t>
                  </w:r>
                  <w:r>
                    <w:rPr>
                      <w:color w:val="58595B"/>
                      <w:sz w:val="12"/>
                    </w:rPr>
                    <w:t>venues.</w:t>
                  </w:r>
                </w:p>
                <w:p>
                  <w:pPr>
                    <w:spacing w:line="242" w:lineRule="auto" w:before="29"/>
                    <w:ind w:left="20" w:right="73" w:firstLine="0"/>
                    <w:jc w:val="left"/>
                    <w:rPr>
                      <w:sz w:val="12"/>
                    </w:rPr>
                  </w:pPr>
                  <w:r>
                    <w:rPr>
                      <w:color w:val="58595B"/>
                      <w:sz w:val="12"/>
                    </w:rPr>
                    <w:t>Buxton M, Phelan K 2015, </w:t>
                  </w:r>
                  <w:r>
                    <w:rPr>
                      <w:i/>
                      <w:color w:val="58595B"/>
                      <w:sz w:val="12"/>
                    </w:rPr>
                    <w:t>Land use planning issues and the EPA</w:t>
                  </w:r>
                  <w:r>
                    <w:rPr>
                      <w:color w:val="58595B"/>
                      <w:sz w:val="12"/>
                    </w:rPr>
                    <w:t>, Report to the Independent Inquiry into the EPA, Melbourne, p.  13.</w:t>
                  </w:r>
                </w:p>
                <w:p>
                  <w:pPr>
                    <w:spacing w:line="242" w:lineRule="auto" w:before="29"/>
                    <w:ind w:left="20" w:right="203" w:firstLine="0"/>
                    <w:jc w:val="left"/>
                    <w:rPr>
                      <w:sz w:val="12"/>
                    </w:rPr>
                  </w:pPr>
                  <w:r>
                    <w:rPr>
                      <w:color w:val="58595B"/>
                      <w:sz w:val="12"/>
                    </w:rPr>
                    <w:t>Victorian Auditor-General’s Office 2014, </w:t>
                  </w:r>
                  <w:r>
                    <w:rPr>
                      <w:i/>
                      <w:color w:val="58595B"/>
                      <w:sz w:val="12"/>
                    </w:rPr>
                    <w:t>Managing Landfills</w:t>
                  </w:r>
                  <w:r>
                    <w:rPr>
                      <w:color w:val="58595B"/>
                      <w:sz w:val="12"/>
                    </w:rPr>
                    <w:t>, Melbourne, September, p. 37.</w:t>
                  </w:r>
                </w:p>
                <w:p>
                  <w:pPr>
                    <w:spacing w:line="242" w:lineRule="auto" w:before="29"/>
                    <w:ind w:left="20" w:right="73" w:firstLine="0"/>
                    <w:jc w:val="left"/>
                    <w:rPr>
                      <w:sz w:val="12"/>
                    </w:rPr>
                  </w:pPr>
                  <w:r>
                    <w:rPr>
                      <w:color w:val="58595B"/>
                      <w:sz w:val="12"/>
                    </w:rPr>
                    <w:t>SITA Australia Pty Ltd and PWM (Lyndhurst) Pty Ltd v Greater Dandenong CC (2007), VCAT [156].</w:t>
                  </w:r>
                </w:p>
                <w:p>
                  <w:pPr>
                    <w:spacing w:line="242" w:lineRule="auto" w:before="29"/>
                    <w:ind w:left="20" w:right="171" w:firstLine="0"/>
                    <w:jc w:val="left"/>
                    <w:rPr>
                      <w:sz w:val="12"/>
                    </w:rPr>
                  </w:pPr>
                  <w:r>
                    <w:rPr>
                      <w:color w:val="58595B"/>
                      <w:spacing w:val="2"/>
                      <w:sz w:val="12"/>
                    </w:rPr>
                    <w:t>Department </w:t>
                  </w:r>
                  <w:r>
                    <w:rPr>
                      <w:color w:val="58595B"/>
                      <w:sz w:val="12"/>
                    </w:rPr>
                    <w:t>of Environment Land Water and Planning 2016, </w:t>
                  </w:r>
                  <w:r>
                    <w:rPr>
                      <w:i/>
                      <w:color w:val="58595B"/>
                      <w:sz w:val="12"/>
                    </w:rPr>
                    <w:t>Policy  and Planning Guidelines for Development of Wind Energy Facilities in Victoria</w:t>
                  </w:r>
                  <w:r>
                    <w:rPr>
                      <w:color w:val="58595B"/>
                      <w:sz w:val="12"/>
                    </w:rPr>
                    <w:t>, </w:t>
                  </w:r>
                  <w:r>
                    <w:rPr>
                      <w:color w:val="58595B"/>
                      <w:spacing w:val="1"/>
                      <w:sz w:val="12"/>
                    </w:rPr>
                    <w:t> </w:t>
                  </w:r>
                  <w:r>
                    <w:rPr>
                      <w:color w:val="58595B"/>
                      <w:sz w:val="12"/>
                    </w:rPr>
                    <w:t>Melbourne.</w:t>
                  </w:r>
                </w:p>
                <w:p>
                  <w:pPr>
                    <w:spacing w:before="29"/>
                    <w:ind w:left="20" w:right="73" w:firstLine="0"/>
                    <w:jc w:val="left"/>
                    <w:rPr>
                      <w:sz w:val="12"/>
                    </w:rPr>
                  </w:pPr>
                  <w:r>
                    <w:rPr>
                      <w:color w:val="58595B"/>
                      <w:sz w:val="12"/>
                    </w:rPr>
                    <w:t>Patrick Ryan submission, p.  1.</w:t>
                  </w:r>
                </w:p>
                <w:p>
                  <w:pPr>
                    <w:spacing w:line="242" w:lineRule="auto" w:before="30"/>
                    <w:ind w:left="20" w:right="280" w:firstLine="0"/>
                    <w:jc w:val="left"/>
                    <w:rPr>
                      <w:sz w:val="12"/>
                    </w:rPr>
                  </w:pPr>
                  <w:r>
                    <w:rPr>
                      <w:color w:val="58595B"/>
                      <w:sz w:val="12"/>
                    </w:rPr>
                    <w:t>Note the National Health and Medical Research Council (NHMRC) </w:t>
                  </w:r>
                  <w:r>
                    <w:rPr>
                      <w:color w:val="58595B"/>
                      <w:spacing w:val="2"/>
                      <w:sz w:val="12"/>
                    </w:rPr>
                    <w:t>concluded </w:t>
                  </w:r>
                  <w:r>
                    <w:rPr>
                      <w:color w:val="58595B"/>
                      <w:sz w:val="12"/>
                    </w:rPr>
                    <w:t>in 2015 ‘After careful consideration and deliberation of  the body of evidence, </w:t>
                  </w:r>
                  <w:r>
                    <w:rPr>
                      <w:color w:val="58595B"/>
                      <w:spacing w:val="2"/>
                      <w:sz w:val="12"/>
                    </w:rPr>
                    <w:t>NHMRC concludes </w:t>
                  </w:r>
                  <w:r>
                    <w:rPr>
                      <w:color w:val="58595B"/>
                      <w:sz w:val="12"/>
                    </w:rPr>
                    <w:t>that there is </w:t>
                  </w:r>
                  <w:r>
                    <w:rPr>
                      <w:color w:val="58595B"/>
                      <w:spacing w:val="2"/>
                      <w:sz w:val="12"/>
                    </w:rPr>
                    <w:t>currently </w:t>
                  </w:r>
                  <w:r>
                    <w:rPr>
                      <w:color w:val="58595B"/>
                      <w:sz w:val="12"/>
                    </w:rPr>
                    <w:t>no consistent evidence that wind farms cause adverse health </w:t>
                  </w:r>
                  <w:r>
                    <w:rPr>
                      <w:color w:val="58595B"/>
                      <w:spacing w:val="2"/>
                      <w:sz w:val="12"/>
                    </w:rPr>
                    <w:t>effects   </w:t>
                  </w:r>
                  <w:r>
                    <w:rPr>
                      <w:color w:val="58595B"/>
                      <w:sz w:val="12"/>
                    </w:rPr>
                    <w:t>in humans.’ See </w:t>
                  </w:r>
                  <w:r>
                    <w:rPr>
                      <w:color w:val="58595B"/>
                      <w:spacing w:val="2"/>
                      <w:sz w:val="12"/>
                    </w:rPr>
                    <w:t>NHMRC </w:t>
                  </w:r>
                  <w:r>
                    <w:rPr>
                      <w:color w:val="58595B"/>
                      <w:sz w:val="12"/>
                    </w:rPr>
                    <w:t>Statement: Evidence on Wind Farms and Human Health, NHMRC, </w:t>
                  </w:r>
                  <w:r>
                    <w:rPr>
                      <w:color w:val="58595B"/>
                      <w:spacing w:val="2"/>
                      <w:sz w:val="12"/>
                    </w:rPr>
                    <w:t>February</w:t>
                  </w:r>
                  <w:r>
                    <w:rPr>
                      <w:color w:val="58595B"/>
                      <w:spacing w:val="35"/>
                      <w:sz w:val="12"/>
                    </w:rPr>
                    <w:t> </w:t>
                  </w:r>
                  <w:r>
                    <w:rPr>
                      <w:color w:val="58595B"/>
                      <w:sz w:val="12"/>
                    </w:rPr>
                    <w:t>2015.</w:t>
                  </w:r>
                </w:p>
                <w:p>
                  <w:pPr>
                    <w:spacing w:line="242" w:lineRule="auto" w:before="29"/>
                    <w:ind w:left="20" w:right="73" w:firstLine="0"/>
                    <w:jc w:val="left"/>
                    <w:rPr>
                      <w:sz w:val="12"/>
                    </w:rPr>
                  </w:pPr>
                  <w:r>
                    <w:rPr>
                      <w:color w:val="58595B"/>
                      <w:sz w:val="12"/>
                    </w:rPr>
                    <w:t>This distinction is implicit in section 20(1)(d), </w:t>
                  </w:r>
                  <w:r>
                    <w:rPr>
                      <w:i/>
                      <w:color w:val="58595B"/>
                      <w:sz w:val="12"/>
                    </w:rPr>
                    <w:t>Environmental Protection Act 1970</w:t>
                  </w:r>
                  <w:r>
                    <w:rPr>
                      <w:color w:val="58595B"/>
                      <w:sz w:val="12"/>
                    </w:rPr>
                    <w:t>, which refers to activities that pose a ‘danger or potential danger’.</w:t>
                  </w:r>
                </w:p>
                <w:p>
                  <w:pPr>
                    <w:spacing w:before="29"/>
                    <w:ind w:left="20" w:right="73" w:firstLine="0"/>
                    <w:jc w:val="left"/>
                    <w:rPr>
                      <w:sz w:val="12"/>
                    </w:rPr>
                  </w:pPr>
                  <w:r>
                    <w:rPr>
                      <w:color w:val="58595B"/>
                      <w:sz w:val="12"/>
                    </w:rPr>
                    <w:t>Municipal Association of Victoria submission, p. 20.</w:t>
                  </w:r>
                </w:p>
              </w:txbxContent>
            </v:textbox>
            <w10:wrap type="none"/>
          </v:shape>
        </w:pict>
      </w:r>
      <w:r>
        <w:rPr/>
        <w:pict>
          <v:shape style="position:absolute;margin-left:69.866096pt;margin-top:121.643028pt;width:5.3pt;height:8pt;mso-position-horizontal-relative:page;mso-position-vertical-relative:page;z-index:-166432" type="#_x0000_t202" filled="false" stroked="false">
            <v:textbox inset="0,0,0,0">
              <w:txbxContent>
                <w:p>
                  <w:pPr>
                    <w:spacing w:before="4"/>
                    <w:ind w:left="20" w:right="0" w:firstLine="0"/>
                    <w:jc w:val="left"/>
                    <w:rPr>
                      <w:sz w:val="12"/>
                    </w:rPr>
                  </w:pPr>
                  <w:r>
                    <w:rPr>
                      <w:color w:val="58595B"/>
                      <w:sz w:val="12"/>
                    </w:rPr>
                    <w:t>2</w:t>
                  </w:r>
                </w:p>
              </w:txbxContent>
            </v:textbox>
            <w10:wrap type="none"/>
          </v:shape>
        </w:pict>
      </w:r>
      <w:r>
        <w:rPr/>
        <w:pict>
          <v:shape style="position:absolute;margin-left:69.8601pt;margin-top:137.063034pt;width:5.3pt;height:8pt;mso-position-horizontal-relative:page;mso-position-vertical-relative:page;z-index:-166408" type="#_x0000_t202" filled="false" stroked="false">
            <v:textbox inset="0,0,0,0">
              <w:txbxContent>
                <w:p>
                  <w:pPr>
                    <w:spacing w:before="4"/>
                    <w:ind w:left="20" w:right="0" w:firstLine="0"/>
                    <w:jc w:val="left"/>
                    <w:rPr>
                      <w:sz w:val="12"/>
                    </w:rPr>
                  </w:pPr>
                  <w:r>
                    <w:rPr>
                      <w:color w:val="58595B"/>
                      <w:sz w:val="12"/>
                    </w:rPr>
                    <w:t>3</w:t>
                  </w:r>
                </w:p>
              </w:txbxContent>
            </v:textbox>
            <w10:wrap type="none"/>
          </v:shape>
        </w:pict>
      </w:r>
      <w:r>
        <w:rPr/>
        <w:pict>
          <v:shape style="position:absolute;margin-left:69.8601pt;margin-top:173.489029pt;width:5.3pt;height:8pt;mso-position-horizontal-relative:page;mso-position-vertical-relative:page;z-index:-166384" type="#_x0000_t202" filled="false" stroked="false">
            <v:textbox inset="0,0,0,0">
              <w:txbxContent>
                <w:p>
                  <w:pPr>
                    <w:spacing w:before="4"/>
                    <w:ind w:left="20" w:right="0" w:firstLine="0"/>
                    <w:jc w:val="left"/>
                    <w:rPr>
                      <w:sz w:val="12"/>
                    </w:rPr>
                  </w:pPr>
                  <w:r>
                    <w:rPr>
                      <w:color w:val="58595B"/>
                      <w:sz w:val="12"/>
                    </w:rPr>
                    <w:t>4</w:t>
                  </w:r>
                </w:p>
              </w:txbxContent>
            </v:textbox>
            <w10:wrap type="none"/>
          </v:shape>
        </w:pict>
      </w:r>
      <w:r>
        <w:rPr/>
        <w:pict>
          <v:shape style="position:absolute;margin-left:69.8601pt;margin-top:188.909027pt;width:5.3pt;height:8pt;mso-position-horizontal-relative:page;mso-position-vertical-relative:page;z-index:-166360" type="#_x0000_t202" filled="false" stroked="false">
            <v:textbox inset="0,0,0,0">
              <w:txbxContent>
                <w:p>
                  <w:pPr>
                    <w:spacing w:before="4"/>
                    <w:ind w:left="20" w:right="0" w:firstLine="0"/>
                    <w:jc w:val="left"/>
                    <w:rPr>
                      <w:sz w:val="12"/>
                    </w:rPr>
                  </w:pPr>
                  <w:r>
                    <w:rPr>
                      <w:color w:val="58595B"/>
                      <w:sz w:val="12"/>
                    </w:rPr>
                    <w:t>5</w:t>
                  </w:r>
                </w:p>
              </w:txbxContent>
            </v:textbox>
            <w10:wrap type="none"/>
          </v:shape>
        </w:pict>
      </w:r>
      <w:r>
        <w:rPr/>
        <w:pict>
          <v:shape style="position:absolute;margin-left:69.8601pt;margin-top:204.329025pt;width:5.3pt;height:8pt;mso-position-horizontal-relative:page;mso-position-vertical-relative:page;z-index:-166336" type="#_x0000_t202" filled="false" stroked="false">
            <v:textbox inset="0,0,0,0">
              <w:txbxContent>
                <w:p>
                  <w:pPr>
                    <w:spacing w:before="4"/>
                    <w:ind w:left="20" w:right="0" w:firstLine="0"/>
                    <w:jc w:val="left"/>
                    <w:rPr>
                      <w:sz w:val="12"/>
                    </w:rPr>
                  </w:pPr>
                  <w:r>
                    <w:rPr>
                      <w:color w:val="58595B"/>
                      <w:sz w:val="12"/>
                    </w:rPr>
                    <w:t>6</w:t>
                  </w:r>
                </w:p>
              </w:txbxContent>
            </v:textbox>
            <w10:wrap type="none"/>
          </v:shape>
        </w:pict>
      </w:r>
      <w:r>
        <w:rPr/>
        <w:pict>
          <v:shape style="position:absolute;margin-left:69.8601pt;margin-top:219.749023pt;width:5.3pt;height:8pt;mso-position-horizontal-relative:page;mso-position-vertical-relative:page;z-index:-166312" type="#_x0000_t202" filled="false" stroked="false">
            <v:textbox inset="0,0,0,0">
              <w:txbxContent>
                <w:p>
                  <w:pPr>
                    <w:spacing w:before="4"/>
                    <w:ind w:left="20" w:right="0" w:firstLine="0"/>
                    <w:jc w:val="left"/>
                    <w:rPr>
                      <w:sz w:val="12"/>
                    </w:rPr>
                  </w:pPr>
                  <w:r>
                    <w:rPr>
                      <w:color w:val="58595B"/>
                      <w:sz w:val="12"/>
                    </w:rPr>
                    <w:t>7</w:t>
                  </w:r>
                </w:p>
              </w:txbxContent>
            </v:textbox>
            <w10:wrap type="none"/>
          </v:shape>
        </w:pict>
      </w:r>
      <w:r>
        <w:rPr/>
        <w:pict>
          <v:shape style="position:absolute;margin-left:69.8601pt;margin-top:235.169022pt;width:5.3pt;height:16.45pt;mso-position-horizontal-relative:page;mso-position-vertical-relative:page;z-index:-166288" type="#_x0000_t202" filled="false" stroked="false">
            <v:textbox inset="0,0,0,0">
              <w:txbxContent>
                <w:p>
                  <w:pPr>
                    <w:spacing w:before="4"/>
                    <w:ind w:left="20" w:right="0" w:firstLine="0"/>
                    <w:jc w:val="left"/>
                    <w:rPr>
                      <w:sz w:val="12"/>
                    </w:rPr>
                  </w:pPr>
                  <w:r>
                    <w:rPr>
                      <w:color w:val="58595B"/>
                      <w:sz w:val="12"/>
                    </w:rPr>
                    <w:t>8</w:t>
                  </w:r>
                </w:p>
                <w:p>
                  <w:pPr>
                    <w:spacing w:before="30"/>
                    <w:ind w:left="20" w:right="0" w:firstLine="0"/>
                    <w:jc w:val="left"/>
                    <w:rPr>
                      <w:sz w:val="12"/>
                    </w:rPr>
                  </w:pPr>
                  <w:r>
                    <w:rPr>
                      <w:color w:val="58595B"/>
                      <w:sz w:val="12"/>
                    </w:rPr>
                    <w:t>9</w:t>
                  </w:r>
                </w:p>
              </w:txbxContent>
            </v:textbox>
            <w10:wrap type="none"/>
          </v:shape>
        </w:pict>
      </w:r>
      <w:r>
        <w:rPr/>
        <w:pict>
          <v:shape style="position:absolute;margin-left:69.8601pt;margin-top:259.007019pt;width:8.550pt;height:8pt;mso-position-horizontal-relative:page;mso-position-vertical-relative:page;z-index:-166264" type="#_x0000_t202" filled="false" stroked="false">
            <v:textbox inset="0,0,0,0">
              <w:txbxContent>
                <w:p>
                  <w:pPr>
                    <w:spacing w:before="4"/>
                    <w:ind w:left="20" w:right="-3" w:firstLine="0"/>
                    <w:jc w:val="left"/>
                    <w:rPr>
                      <w:sz w:val="12"/>
                    </w:rPr>
                  </w:pPr>
                  <w:r>
                    <w:rPr>
                      <w:color w:val="58595B"/>
                      <w:sz w:val="12"/>
                    </w:rPr>
                    <w:t>10</w:t>
                  </w:r>
                </w:p>
              </w:txbxContent>
            </v:textbox>
            <w10:wrap type="none"/>
          </v:shape>
        </w:pict>
      </w:r>
      <w:r>
        <w:rPr/>
        <w:pict>
          <v:shape style="position:absolute;margin-left:69.8601pt;margin-top:288.431030pt;width:7.9pt;height:8pt;mso-position-horizontal-relative:page;mso-position-vertical-relative:page;z-index:-166240" type="#_x0000_t202" filled="false" stroked="false">
            <v:textbox inset="0,0,0,0">
              <w:txbxContent>
                <w:p>
                  <w:pPr>
                    <w:spacing w:before="4"/>
                    <w:ind w:left="20" w:right="-16" w:firstLine="0"/>
                    <w:jc w:val="left"/>
                    <w:rPr>
                      <w:sz w:val="12"/>
                    </w:rPr>
                  </w:pPr>
                  <w:r>
                    <w:rPr>
                      <w:color w:val="58595B"/>
                      <w:sz w:val="12"/>
                    </w:rPr>
                    <w:t>11</w:t>
                  </w:r>
                </w:p>
              </w:txbxContent>
            </v:textbox>
            <w10:wrap type="none"/>
          </v:shape>
        </w:pict>
      </w:r>
      <w:r>
        <w:rPr/>
        <w:pict>
          <v:shape style="position:absolute;margin-left:69.854103pt;margin-top:317.855042pt;width:8.4pt;height:16.45pt;mso-position-horizontal-relative:page;mso-position-vertical-relative:page;z-index:-166216" type="#_x0000_t202" filled="false" stroked="false">
            <v:textbox inset="0,0,0,0">
              <w:txbxContent>
                <w:p>
                  <w:pPr>
                    <w:spacing w:before="4"/>
                    <w:ind w:left="20" w:right="-6" w:firstLine="0"/>
                    <w:jc w:val="left"/>
                    <w:rPr>
                      <w:sz w:val="12"/>
                    </w:rPr>
                  </w:pPr>
                  <w:r>
                    <w:rPr>
                      <w:color w:val="58595B"/>
                      <w:sz w:val="12"/>
                    </w:rPr>
                    <w:t>12</w:t>
                  </w:r>
                </w:p>
                <w:p>
                  <w:pPr>
                    <w:spacing w:before="30"/>
                    <w:ind w:left="20" w:right="-6" w:firstLine="0"/>
                    <w:jc w:val="left"/>
                    <w:rPr>
                      <w:sz w:val="12"/>
                    </w:rPr>
                  </w:pPr>
                  <w:r>
                    <w:rPr>
                      <w:color w:val="58595B"/>
                      <w:sz w:val="12"/>
                    </w:rPr>
                    <w:t>13</w:t>
                  </w:r>
                </w:p>
              </w:txbxContent>
            </v:textbox>
            <w10:wrap type="none"/>
          </v:shape>
        </w:pict>
      </w:r>
      <w:r>
        <w:rPr/>
        <w:pict>
          <v:shape style="position:absolute;margin-left:69.854103pt;margin-top:341.693024pt;width:8.450pt;height:8pt;mso-position-horizontal-relative:page;mso-position-vertical-relative:page;z-index:-166192" type="#_x0000_t202" filled="false" stroked="false">
            <v:textbox inset="0,0,0,0">
              <w:txbxContent>
                <w:p>
                  <w:pPr>
                    <w:spacing w:before="4"/>
                    <w:ind w:left="20" w:right="-5" w:firstLine="0"/>
                    <w:jc w:val="left"/>
                    <w:rPr>
                      <w:sz w:val="12"/>
                    </w:rPr>
                  </w:pPr>
                  <w:r>
                    <w:rPr>
                      <w:color w:val="58595B"/>
                      <w:sz w:val="12"/>
                    </w:rPr>
                    <w:t>14</w:t>
                  </w:r>
                </w:p>
              </w:txbxContent>
            </v:textbox>
            <w10:wrap type="none"/>
          </v:shape>
        </w:pict>
      </w:r>
      <w:r>
        <w:rPr/>
        <w:pict>
          <v:shape style="position:absolute;margin-left:69.854103pt;margin-top:357.113037pt;width:8.450pt;height:8pt;mso-position-horizontal-relative:page;mso-position-vertical-relative:page;z-index:-166168" type="#_x0000_t202" filled="false" stroked="false">
            <v:textbox inset="0,0,0,0">
              <w:txbxContent>
                <w:p>
                  <w:pPr>
                    <w:spacing w:before="4"/>
                    <w:ind w:left="20" w:right="-5" w:firstLine="0"/>
                    <w:jc w:val="left"/>
                    <w:rPr>
                      <w:sz w:val="12"/>
                    </w:rPr>
                  </w:pPr>
                  <w:r>
                    <w:rPr>
                      <w:color w:val="58595B"/>
                      <w:sz w:val="12"/>
                    </w:rPr>
                    <w:t>15</w:t>
                  </w:r>
                </w:p>
              </w:txbxContent>
            </v:textbox>
            <w10:wrap type="none"/>
          </v:shape>
        </w:pict>
      </w:r>
      <w:r>
        <w:rPr/>
        <w:pict>
          <v:shape style="position:absolute;margin-left:69.854103pt;margin-top:372.53302pt;width:8.550pt;height:8pt;mso-position-horizontal-relative:page;mso-position-vertical-relative:page;z-index:-166144" type="#_x0000_t202" filled="false" stroked="false">
            <v:textbox inset="0,0,0,0">
              <w:txbxContent>
                <w:p>
                  <w:pPr>
                    <w:spacing w:before="4"/>
                    <w:ind w:left="20" w:right="-3" w:firstLine="0"/>
                    <w:jc w:val="left"/>
                    <w:rPr>
                      <w:sz w:val="12"/>
                    </w:rPr>
                  </w:pPr>
                  <w:r>
                    <w:rPr>
                      <w:color w:val="58595B"/>
                      <w:sz w:val="12"/>
                    </w:rPr>
                    <w:t>16</w:t>
                  </w:r>
                </w:p>
              </w:txbxContent>
            </v:textbox>
            <w10:wrap type="none"/>
          </v:shape>
        </w:pict>
      </w:r>
      <w:r>
        <w:rPr/>
        <w:pict>
          <v:shape style="position:absolute;margin-left:69.8601pt;margin-top:387.953033pt;width:8.25pt;height:8pt;mso-position-horizontal-relative:page;mso-position-vertical-relative:page;z-index:-166120" type="#_x0000_t202" filled="false" stroked="false">
            <v:textbox inset="0,0,0,0">
              <w:txbxContent>
                <w:p>
                  <w:pPr>
                    <w:spacing w:before="4"/>
                    <w:ind w:left="20" w:right="-9" w:firstLine="0"/>
                    <w:jc w:val="left"/>
                    <w:rPr>
                      <w:sz w:val="12"/>
                    </w:rPr>
                  </w:pPr>
                  <w:r>
                    <w:rPr>
                      <w:color w:val="58595B"/>
                      <w:sz w:val="12"/>
                    </w:rPr>
                    <w:t>17</w:t>
                  </w:r>
                </w:p>
              </w:txbxContent>
            </v:textbox>
            <w10:wrap type="none"/>
          </v:shape>
        </w:pict>
      </w:r>
      <w:r>
        <w:rPr/>
        <w:pict>
          <v:shape style="position:absolute;margin-left:69.8601pt;margin-top:403.373016pt;width:8.5pt;height:8pt;mso-position-horizontal-relative:page;mso-position-vertical-relative:page;z-index:-166096" type="#_x0000_t202" filled="false" stroked="false">
            <v:textbox inset="0,0,0,0">
              <w:txbxContent>
                <w:p>
                  <w:pPr>
                    <w:spacing w:before="4"/>
                    <w:ind w:left="20" w:right="-4" w:firstLine="0"/>
                    <w:jc w:val="left"/>
                    <w:rPr>
                      <w:sz w:val="12"/>
                    </w:rPr>
                  </w:pPr>
                  <w:r>
                    <w:rPr>
                      <w:color w:val="58595B"/>
                      <w:sz w:val="12"/>
                    </w:rPr>
                    <w:t>18</w:t>
                  </w:r>
                </w:p>
              </w:txbxContent>
            </v:textbox>
            <w10:wrap type="none"/>
          </v:shape>
        </w:pict>
      </w:r>
      <w:r>
        <w:rPr/>
        <w:pict>
          <v:shape style="position:absolute;margin-left:69.8601pt;margin-top:418.79303pt;width:8.5pt;height:8pt;mso-position-horizontal-relative:page;mso-position-vertical-relative:page;z-index:-166072" type="#_x0000_t202" filled="false" stroked="false">
            <v:textbox inset="0,0,0,0">
              <w:txbxContent>
                <w:p>
                  <w:pPr>
                    <w:spacing w:before="4"/>
                    <w:ind w:left="20" w:right="-4" w:firstLine="0"/>
                    <w:jc w:val="left"/>
                    <w:rPr>
                      <w:sz w:val="12"/>
                    </w:rPr>
                  </w:pPr>
                  <w:r>
                    <w:rPr>
                      <w:color w:val="58595B"/>
                      <w:sz w:val="12"/>
                    </w:rPr>
                    <w:t>19</w:t>
                  </w:r>
                </w:p>
              </w:txbxContent>
            </v:textbox>
            <w10:wrap type="none"/>
          </v:shape>
        </w:pict>
      </w:r>
      <w:r>
        <w:rPr/>
        <w:pict>
          <v:shape style="position:absolute;margin-left:69.8601pt;margin-top:455.219025pt;width:8.8pt;height:8pt;mso-position-horizontal-relative:page;mso-position-vertical-relative:page;z-index:-166048" type="#_x0000_t202" filled="false" stroked="false">
            <v:textbox inset="0,0,0,0">
              <w:txbxContent>
                <w:p>
                  <w:pPr>
                    <w:spacing w:before="4"/>
                    <w:ind w:left="20" w:right="0" w:firstLine="0"/>
                    <w:jc w:val="left"/>
                    <w:rPr>
                      <w:sz w:val="12"/>
                    </w:rPr>
                  </w:pPr>
                  <w:r>
                    <w:rPr>
                      <w:color w:val="58595B"/>
                      <w:sz w:val="12"/>
                    </w:rPr>
                    <w:t>20</w:t>
                  </w:r>
                </w:p>
              </w:txbxContent>
            </v:textbox>
            <w10:wrap type="none"/>
          </v:shape>
        </w:pict>
      </w:r>
      <w:r>
        <w:rPr/>
        <w:pict>
          <v:shape style="position:absolute;margin-left:69.8601pt;margin-top:470.639038pt;width:8.6pt;height:8pt;mso-position-horizontal-relative:page;mso-position-vertical-relative:page;z-index:-166024" type="#_x0000_t202" filled="false" stroked="false">
            <v:textbox inset="0,0,0,0">
              <w:txbxContent>
                <w:p>
                  <w:pPr>
                    <w:spacing w:before="4"/>
                    <w:ind w:left="20" w:right="-2" w:firstLine="0"/>
                    <w:jc w:val="left"/>
                    <w:rPr>
                      <w:sz w:val="12"/>
                    </w:rPr>
                  </w:pPr>
                  <w:r>
                    <w:rPr>
                      <w:color w:val="58595B"/>
                      <w:sz w:val="12"/>
                    </w:rPr>
                    <w:t>21</w:t>
                  </w:r>
                </w:p>
              </w:txbxContent>
            </v:textbox>
            <w10:wrap type="none"/>
          </v:shape>
        </w:pict>
      </w:r>
      <w:r>
        <w:rPr/>
        <w:pict>
          <v:shape style="position:absolute;margin-left:69.8601pt;margin-top:486.059021pt;width:8.85pt;height:8pt;mso-position-horizontal-relative:page;mso-position-vertical-relative:page;z-index:-166000" type="#_x0000_t202" filled="false" stroked="false">
            <v:textbox inset="0,0,0,0">
              <w:txbxContent>
                <w:p>
                  <w:pPr>
                    <w:spacing w:before="4"/>
                    <w:ind w:left="20" w:right="0" w:firstLine="0"/>
                    <w:jc w:val="left"/>
                    <w:rPr>
                      <w:sz w:val="12"/>
                    </w:rPr>
                  </w:pPr>
                  <w:r>
                    <w:rPr>
                      <w:color w:val="58595B"/>
                      <w:sz w:val="12"/>
                    </w:rPr>
                    <w:t>22</w:t>
                  </w:r>
                </w:p>
              </w:txbxContent>
            </v:textbox>
            <w10:wrap type="none"/>
          </v:shape>
        </w:pict>
      </w:r>
      <w:r>
        <w:rPr/>
        <w:pict>
          <v:shape style="position:absolute;margin-left:69.8601pt;margin-top:501.479034pt;width:8.8pt;height:8pt;mso-position-horizontal-relative:page;mso-position-vertical-relative:page;z-index:-165976" type="#_x0000_t202" filled="false" stroked="false">
            <v:textbox inset="0,0,0,0">
              <w:txbxContent>
                <w:p>
                  <w:pPr>
                    <w:spacing w:before="4"/>
                    <w:ind w:left="20" w:right="0" w:firstLine="0"/>
                    <w:jc w:val="left"/>
                    <w:rPr>
                      <w:sz w:val="12"/>
                    </w:rPr>
                  </w:pPr>
                  <w:r>
                    <w:rPr>
                      <w:color w:val="58595B"/>
                      <w:sz w:val="12"/>
                    </w:rPr>
                    <w:t>23</w:t>
                  </w:r>
                </w:p>
              </w:txbxContent>
            </v:textbox>
            <w10:wrap type="none"/>
          </v:shape>
        </w:pict>
      </w:r>
      <w:r>
        <w:rPr/>
        <w:pict>
          <v:shape style="position:absolute;margin-left:69.8601pt;margin-top:523.901001pt;width:8.75pt;height:16.45pt;mso-position-horizontal-relative:page;mso-position-vertical-relative:page;z-index:-165952" type="#_x0000_t202" filled="false" stroked="false">
            <v:textbox inset="0,0,0,0">
              <w:txbxContent>
                <w:p>
                  <w:pPr>
                    <w:spacing w:before="4"/>
                    <w:ind w:left="20" w:right="0" w:firstLine="0"/>
                    <w:jc w:val="left"/>
                    <w:rPr>
                      <w:sz w:val="12"/>
                    </w:rPr>
                  </w:pPr>
                  <w:r>
                    <w:rPr>
                      <w:color w:val="58595B"/>
                      <w:sz w:val="12"/>
                    </w:rPr>
                    <w:t>24</w:t>
                  </w:r>
                </w:p>
                <w:p>
                  <w:pPr>
                    <w:spacing w:before="30"/>
                    <w:ind w:left="20" w:right="0" w:firstLine="0"/>
                    <w:jc w:val="left"/>
                    <w:rPr>
                      <w:sz w:val="12"/>
                    </w:rPr>
                  </w:pPr>
                  <w:r>
                    <w:rPr>
                      <w:color w:val="58595B"/>
                      <w:sz w:val="12"/>
                    </w:rPr>
                    <w:t>25</w:t>
                  </w:r>
                </w:p>
              </w:txbxContent>
            </v:textbox>
            <w10:wrap type="none"/>
          </v:shape>
        </w:pict>
      </w:r>
      <w:r>
        <w:rPr/>
        <w:pict>
          <v:shape style="position:absolute;margin-left:69.8601pt;margin-top:575.747009pt;width:8.8pt;height:8pt;mso-position-horizontal-relative:page;mso-position-vertical-relative:page;z-index:-165928" type="#_x0000_t202" filled="false" stroked="false">
            <v:textbox inset="0,0,0,0">
              <w:txbxContent>
                <w:p>
                  <w:pPr>
                    <w:spacing w:before="4"/>
                    <w:ind w:left="20" w:right="0" w:firstLine="0"/>
                    <w:jc w:val="left"/>
                    <w:rPr>
                      <w:sz w:val="12"/>
                    </w:rPr>
                  </w:pPr>
                  <w:r>
                    <w:rPr>
                      <w:color w:val="58595B"/>
                      <w:sz w:val="12"/>
                    </w:rPr>
                    <w:t>26</w:t>
                  </w:r>
                </w:p>
              </w:txbxContent>
            </v:textbox>
            <w10:wrap type="none"/>
          </v:shape>
        </w:pict>
      </w:r>
      <w:r>
        <w:rPr/>
        <w:pict>
          <v:shape style="position:absolute;margin-left:69.8601pt;margin-top:598.169006pt;width:8.75pt;height:8pt;mso-position-horizontal-relative:page;mso-position-vertical-relative:page;z-index:-165904" type="#_x0000_t202" filled="false" stroked="false">
            <v:textbox inset="0,0,0,0">
              <w:txbxContent>
                <w:p>
                  <w:pPr>
                    <w:spacing w:before="4"/>
                    <w:ind w:left="20" w:right="0" w:firstLine="0"/>
                    <w:jc w:val="left"/>
                    <w:rPr>
                      <w:sz w:val="12"/>
                    </w:rPr>
                  </w:pPr>
                  <w:r>
                    <w:rPr>
                      <w:color w:val="58595B"/>
                      <w:sz w:val="12"/>
                    </w:rPr>
                    <w:t>27</w:t>
                  </w:r>
                </w:p>
              </w:txbxContent>
            </v:textbox>
            <w10:wrap type="none"/>
          </v:shape>
        </w:pict>
      </w:r>
      <w:r>
        <w:rPr/>
        <w:pict>
          <v:shape style="position:absolute;margin-left:.0pt;margin-top:44.090015pt;width:60.3pt;height:5.25pt;mso-position-horizontal-relative:page;mso-position-vertical-relative:page;z-index:-165880" type="#_x0000_t202" filled="false" stroked="false">
            <v:textbox inset="0,0,0,0">
              <w:txbxContent/>
            </v:textbox>
            <w10:wrap type="none"/>
          </v:shape>
        </w:pict>
      </w:r>
      <w:r>
        <w:rPr/>
        <w:pict>
          <v:shape style="position:absolute;margin-left:.0pt;margin-top:44.090015pt;width:60.3pt;height:5.25pt;mso-position-horizontal-relative:page;mso-position-vertical-relative:page;z-index:-165856" type="#_x0000_t202" filled="false" stroked="false">
            <v:textbox inset="0,0,0,0">
              <w:txbxContent/>
            </v:textbox>
            <w10:wrap type="none"/>
          </v:shape>
        </w:pict>
      </w:r>
      <w:r>
        <w:rPr/>
        <w:pict>
          <v:shape style="position:absolute;margin-left:70.866096pt;margin-top:92.331017pt;width:210.85pt;height:12pt;mso-position-horizontal-relative:page;mso-position-vertical-relative:page;z-index:-165832" type="#_x0000_t202" filled="false" stroked="false">
            <v:textbox inset="0,0,0,0">
              <w:txbxContent>
                <w:p>
                  <w:pPr>
                    <w:pStyle w:val="BodyText"/>
                    <w:spacing w:before="4"/>
                    <w:ind w:left="40"/>
                    <w:rPr>
                      <w:rFonts w:ascii="Times New Roman"/>
                      <w:sz w:val="17"/>
                    </w:rPr>
                  </w:pPr>
                </w:p>
              </w:txbxContent>
            </v:textbox>
            <w10:wrap type="none"/>
          </v:shape>
        </w:pict>
      </w:r>
    </w:p>
    <w:p>
      <w:pPr>
        <w:spacing w:after="0"/>
        <w:rPr>
          <w:sz w:val="2"/>
          <w:szCs w:val="2"/>
        </w:rPr>
        <w:sectPr>
          <w:pgSz w:w="11910" w:h="16840"/>
          <w:pgMar w:top="800" w:bottom="280" w:left="0" w:right="1680"/>
        </w:sectPr>
      </w:pPr>
    </w:p>
    <w:p>
      <w:pPr>
        <w:rPr>
          <w:sz w:val="2"/>
          <w:szCs w:val="2"/>
        </w:rPr>
      </w:pPr>
      <w:r>
        <w:rPr/>
        <w:pict>
          <v:group style="position:absolute;margin-left:.076pt;margin-top:.000244pt;width:598.7pt;height:841.9pt;mso-position-horizontal-relative:page;mso-position-vertical-relative:page;z-index:-165808" coordorigin="2,0" coordsize="11974,16838">
            <v:shape style="position:absolute;left:2;top:0;width:11904;height:16838" type="#_x0000_t75" stroked="false">
              <v:imagedata r:id="rId66" o:title=""/>
            </v:shape>
            <v:line style="position:absolute" from="10700,917" to="11906,917" stroked="true" strokeweight="7pt" strokecolor="#0095a7"/>
            <w10:wrap type="none"/>
          </v:group>
        </w:pict>
      </w:r>
      <w:r>
        <w:rPr/>
        <w:pict>
          <v:shape style="position:absolute;margin-left:217.744995pt;margin-top:40.902756pt;width:282.150pt;height:9.5pt;mso-position-horizontal-relative:page;mso-position-vertical-relative:page;z-index:-165784" type="#_x0000_t202" filled="false" stroked="false">
            <v:textbox inset="0,0,0,0">
              <w:txbxContent>
                <w:p>
                  <w:pPr>
                    <w:spacing w:before="1"/>
                    <w:ind w:left="20" w:right="0" w:firstLine="0"/>
                    <w:jc w:val="left"/>
                    <w:rPr>
                      <w:sz w:val="15"/>
                    </w:rPr>
                  </w:pPr>
                  <w:r>
                    <w:rPr>
                      <w:color w:val="58595B"/>
                      <w:sz w:val="15"/>
                    </w:rPr>
                    <w:t>CHAPTER 10    TAKING A STRATEGIC APPROACH TO LAND USE  PLANNING</w:t>
                  </w:r>
                </w:p>
              </w:txbxContent>
            </v:textbox>
            <w10:wrap type="none"/>
          </v:shape>
        </w:pict>
      </w:r>
      <w:r>
        <w:rPr/>
        <w:pict>
          <v:shape style="position:absolute;margin-left:510.807495pt;margin-top:40.902756pt;width:14.6pt;height:9.5pt;mso-position-horizontal-relative:page;mso-position-vertical-relative:page;z-index:-165760" type="#_x0000_t202" filled="false" stroked="false">
            <v:textbox inset="0,0,0,0">
              <w:txbxContent>
                <w:p>
                  <w:pPr>
                    <w:spacing w:before="1"/>
                    <w:ind w:left="20" w:right="0" w:firstLine="0"/>
                    <w:jc w:val="left"/>
                    <w:rPr>
                      <w:sz w:val="15"/>
                    </w:rPr>
                  </w:pPr>
                  <w:r>
                    <w:rPr>
                      <w:color w:val="58595B"/>
                      <w:sz w:val="15"/>
                    </w:rPr>
                    <w:t>199</w:t>
                  </w:r>
                </w:p>
              </w:txbxContent>
            </v:textbox>
            <w10:wrap type="none"/>
          </v:shape>
        </w:pict>
      </w:r>
      <w:r>
        <w:rPr/>
        <w:pict>
          <v:shape style="position:absolute;margin-left:534.996094pt;margin-top:44.090015pt;width:60.3pt;height:5.25pt;mso-position-horizontal-relative:page;mso-position-vertical-relative:page;z-index:-165736" type="#_x0000_t202" filled="false" stroked="false">
            <v:textbox inset="0,0,0,0">
              <w:txbxContent/>
            </v:textbox>
            <w10:wrap type="none"/>
          </v:shape>
        </w:pict>
      </w:r>
      <w:r>
        <w:rPr/>
        <w:pict>
          <v:shape style="position:absolute;margin-left:534.996094pt;margin-top:44.090015pt;width:60.3pt;height:5.25pt;mso-position-horizontal-relative:page;mso-position-vertical-relative:page;z-index:-165712" type="#_x0000_t202" filled="false" stroked="false">
            <v:textbox inset="0,0,0,0">
              <w:txbxContent/>
            </v:textbox>
            <w10:wrap type="none"/>
          </v:shape>
        </w:pict>
      </w:r>
    </w:p>
    <w:sectPr>
      <w:pgSz w:w="11910" w:h="16840"/>
      <w:pgMar w:top="800" w:bottom="280" w:left="1680" w:right="128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76">
    <w:multiLevelType w:val="hybridMultilevel"/>
    <w:lvl w:ilvl="0">
      <w:start w:val="1"/>
      <w:numFmt w:val="bullet"/>
      <w:lvlText w:val="•"/>
      <w:lvlJc w:val="left"/>
      <w:pPr>
        <w:ind w:left="190" w:hanging="170"/>
      </w:pPr>
      <w:rPr>
        <w:rFonts w:hint="default" w:ascii="Arial" w:hAnsi="Arial" w:eastAsia="Arial" w:cs="Arial"/>
        <w:color w:val="0095A7"/>
        <w:spacing w:val="-14"/>
        <w:w w:val="100"/>
        <w:sz w:val="20"/>
        <w:szCs w:val="20"/>
      </w:rPr>
    </w:lvl>
    <w:lvl w:ilvl="1">
      <w:start w:val="1"/>
      <w:numFmt w:val="bullet"/>
      <w:lvlText w:val="•"/>
      <w:lvlJc w:val="left"/>
      <w:pPr>
        <w:ind w:left="1047" w:hanging="170"/>
      </w:pPr>
      <w:rPr>
        <w:rFonts w:hint="default"/>
      </w:rPr>
    </w:lvl>
    <w:lvl w:ilvl="2">
      <w:start w:val="1"/>
      <w:numFmt w:val="bullet"/>
      <w:lvlText w:val="•"/>
      <w:lvlJc w:val="left"/>
      <w:pPr>
        <w:ind w:left="1894" w:hanging="170"/>
      </w:pPr>
      <w:rPr>
        <w:rFonts w:hint="default"/>
      </w:rPr>
    </w:lvl>
    <w:lvl w:ilvl="3">
      <w:start w:val="1"/>
      <w:numFmt w:val="bullet"/>
      <w:lvlText w:val="•"/>
      <w:lvlJc w:val="left"/>
      <w:pPr>
        <w:ind w:left="2741" w:hanging="170"/>
      </w:pPr>
      <w:rPr>
        <w:rFonts w:hint="default"/>
      </w:rPr>
    </w:lvl>
    <w:lvl w:ilvl="4">
      <w:start w:val="1"/>
      <w:numFmt w:val="bullet"/>
      <w:lvlText w:val="•"/>
      <w:lvlJc w:val="left"/>
      <w:pPr>
        <w:ind w:left="3589" w:hanging="170"/>
      </w:pPr>
      <w:rPr>
        <w:rFonts w:hint="default"/>
      </w:rPr>
    </w:lvl>
    <w:lvl w:ilvl="5">
      <w:start w:val="1"/>
      <w:numFmt w:val="bullet"/>
      <w:lvlText w:val="•"/>
      <w:lvlJc w:val="left"/>
      <w:pPr>
        <w:ind w:left="4436" w:hanging="170"/>
      </w:pPr>
      <w:rPr>
        <w:rFonts w:hint="default"/>
      </w:rPr>
    </w:lvl>
    <w:lvl w:ilvl="6">
      <w:start w:val="1"/>
      <w:numFmt w:val="bullet"/>
      <w:lvlText w:val="•"/>
      <w:lvlJc w:val="left"/>
      <w:pPr>
        <w:ind w:left="5283" w:hanging="170"/>
      </w:pPr>
      <w:rPr>
        <w:rFonts w:hint="default"/>
      </w:rPr>
    </w:lvl>
    <w:lvl w:ilvl="7">
      <w:start w:val="1"/>
      <w:numFmt w:val="bullet"/>
      <w:lvlText w:val="•"/>
      <w:lvlJc w:val="left"/>
      <w:pPr>
        <w:ind w:left="6131" w:hanging="170"/>
      </w:pPr>
      <w:rPr>
        <w:rFonts w:hint="default"/>
      </w:rPr>
    </w:lvl>
    <w:lvl w:ilvl="8">
      <w:start w:val="1"/>
      <w:numFmt w:val="bullet"/>
      <w:lvlText w:val="•"/>
      <w:lvlJc w:val="left"/>
      <w:pPr>
        <w:ind w:left="6978" w:hanging="170"/>
      </w:pPr>
      <w:rPr>
        <w:rFonts w:hint="default"/>
      </w:rPr>
    </w:lvl>
  </w:abstractNum>
  <w:abstractNum w:abstractNumId="75">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50" w:hanging="170"/>
      </w:pPr>
      <w:rPr>
        <w:rFonts w:hint="default"/>
      </w:rPr>
    </w:lvl>
    <w:lvl w:ilvl="2">
      <w:start w:val="1"/>
      <w:numFmt w:val="bullet"/>
      <w:lvlText w:val="•"/>
      <w:lvlJc w:val="left"/>
      <w:pPr>
        <w:ind w:left="1901" w:hanging="170"/>
      </w:pPr>
      <w:rPr>
        <w:rFonts w:hint="default"/>
      </w:rPr>
    </w:lvl>
    <w:lvl w:ilvl="3">
      <w:start w:val="1"/>
      <w:numFmt w:val="bullet"/>
      <w:lvlText w:val="•"/>
      <w:lvlJc w:val="left"/>
      <w:pPr>
        <w:ind w:left="2752" w:hanging="170"/>
      </w:pPr>
      <w:rPr>
        <w:rFonts w:hint="default"/>
      </w:rPr>
    </w:lvl>
    <w:lvl w:ilvl="4">
      <w:start w:val="1"/>
      <w:numFmt w:val="bullet"/>
      <w:lvlText w:val="•"/>
      <w:lvlJc w:val="left"/>
      <w:pPr>
        <w:ind w:left="3603" w:hanging="170"/>
      </w:pPr>
      <w:rPr>
        <w:rFonts w:hint="default"/>
      </w:rPr>
    </w:lvl>
    <w:lvl w:ilvl="5">
      <w:start w:val="1"/>
      <w:numFmt w:val="bullet"/>
      <w:lvlText w:val="•"/>
      <w:lvlJc w:val="left"/>
      <w:pPr>
        <w:ind w:left="4454" w:hanging="170"/>
      </w:pPr>
      <w:rPr>
        <w:rFonts w:hint="default"/>
      </w:rPr>
    </w:lvl>
    <w:lvl w:ilvl="6">
      <w:start w:val="1"/>
      <w:numFmt w:val="bullet"/>
      <w:lvlText w:val="•"/>
      <w:lvlJc w:val="left"/>
      <w:pPr>
        <w:ind w:left="5304" w:hanging="170"/>
      </w:pPr>
      <w:rPr>
        <w:rFonts w:hint="default"/>
      </w:rPr>
    </w:lvl>
    <w:lvl w:ilvl="7">
      <w:start w:val="1"/>
      <w:numFmt w:val="bullet"/>
      <w:lvlText w:val="•"/>
      <w:lvlJc w:val="left"/>
      <w:pPr>
        <w:ind w:left="6155" w:hanging="170"/>
      </w:pPr>
      <w:rPr>
        <w:rFonts w:hint="default"/>
      </w:rPr>
    </w:lvl>
    <w:lvl w:ilvl="8">
      <w:start w:val="1"/>
      <w:numFmt w:val="bullet"/>
      <w:lvlText w:val="•"/>
      <w:lvlJc w:val="left"/>
      <w:pPr>
        <w:ind w:left="7006" w:hanging="170"/>
      </w:pPr>
      <w:rPr>
        <w:rFonts w:hint="default"/>
      </w:rPr>
    </w:lvl>
  </w:abstractNum>
  <w:abstractNum w:abstractNumId="74">
    <w:multiLevelType w:val="hybridMultilevel"/>
    <w:lvl w:ilvl="0">
      <w:start w:val="1"/>
      <w:numFmt w:val="bullet"/>
      <w:lvlText w:val="•"/>
      <w:lvlJc w:val="left"/>
      <w:pPr>
        <w:ind w:left="340" w:hanging="170"/>
      </w:pPr>
      <w:rPr>
        <w:rFonts w:hint="default" w:ascii="Arial" w:hAnsi="Arial" w:eastAsia="Arial" w:cs="Arial"/>
        <w:color w:val="0095A7"/>
        <w:spacing w:val="-19"/>
        <w:w w:val="100"/>
        <w:sz w:val="20"/>
        <w:szCs w:val="20"/>
      </w:rPr>
    </w:lvl>
    <w:lvl w:ilvl="1">
      <w:start w:val="1"/>
      <w:numFmt w:val="bullet"/>
      <w:lvlText w:val="•"/>
      <w:lvlJc w:val="left"/>
      <w:pPr>
        <w:ind w:left="1171" w:hanging="170"/>
      </w:pPr>
      <w:rPr>
        <w:rFonts w:hint="default"/>
      </w:rPr>
    </w:lvl>
    <w:lvl w:ilvl="2">
      <w:start w:val="1"/>
      <w:numFmt w:val="bullet"/>
      <w:lvlText w:val="•"/>
      <w:lvlJc w:val="left"/>
      <w:pPr>
        <w:ind w:left="2002" w:hanging="170"/>
      </w:pPr>
      <w:rPr>
        <w:rFonts w:hint="default"/>
      </w:rPr>
    </w:lvl>
    <w:lvl w:ilvl="3">
      <w:start w:val="1"/>
      <w:numFmt w:val="bullet"/>
      <w:lvlText w:val="•"/>
      <w:lvlJc w:val="left"/>
      <w:pPr>
        <w:ind w:left="2834" w:hanging="170"/>
      </w:pPr>
      <w:rPr>
        <w:rFonts w:hint="default"/>
      </w:rPr>
    </w:lvl>
    <w:lvl w:ilvl="4">
      <w:start w:val="1"/>
      <w:numFmt w:val="bullet"/>
      <w:lvlText w:val="•"/>
      <w:lvlJc w:val="left"/>
      <w:pPr>
        <w:ind w:left="3665" w:hanging="170"/>
      </w:pPr>
      <w:rPr>
        <w:rFonts w:hint="default"/>
      </w:rPr>
    </w:lvl>
    <w:lvl w:ilvl="5">
      <w:start w:val="1"/>
      <w:numFmt w:val="bullet"/>
      <w:lvlText w:val="•"/>
      <w:lvlJc w:val="left"/>
      <w:pPr>
        <w:ind w:left="4497" w:hanging="170"/>
      </w:pPr>
      <w:rPr>
        <w:rFonts w:hint="default"/>
      </w:rPr>
    </w:lvl>
    <w:lvl w:ilvl="6">
      <w:start w:val="1"/>
      <w:numFmt w:val="bullet"/>
      <w:lvlText w:val="•"/>
      <w:lvlJc w:val="left"/>
      <w:pPr>
        <w:ind w:left="532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6991" w:hanging="170"/>
      </w:pPr>
      <w:rPr>
        <w:rFonts w:hint="default"/>
      </w:rPr>
    </w:lvl>
  </w:abstractNum>
  <w:abstractNum w:abstractNumId="73">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51" w:hanging="170"/>
      </w:pPr>
      <w:rPr>
        <w:rFonts w:hint="default"/>
      </w:rPr>
    </w:lvl>
    <w:lvl w:ilvl="2">
      <w:start w:val="1"/>
      <w:numFmt w:val="bullet"/>
      <w:lvlText w:val="•"/>
      <w:lvlJc w:val="left"/>
      <w:pPr>
        <w:ind w:left="1902" w:hanging="170"/>
      </w:pPr>
      <w:rPr>
        <w:rFonts w:hint="default"/>
      </w:rPr>
    </w:lvl>
    <w:lvl w:ilvl="3">
      <w:start w:val="1"/>
      <w:numFmt w:val="bullet"/>
      <w:lvlText w:val="•"/>
      <w:lvlJc w:val="left"/>
      <w:pPr>
        <w:ind w:left="2753" w:hanging="170"/>
      </w:pPr>
      <w:rPr>
        <w:rFonts w:hint="default"/>
      </w:rPr>
    </w:lvl>
    <w:lvl w:ilvl="4">
      <w:start w:val="1"/>
      <w:numFmt w:val="bullet"/>
      <w:lvlText w:val="•"/>
      <w:lvlJc w:val="left"/>
      <w:pPr>
        <w:ind w:left="3605" w:hanging="170"/>
      </w:pPr>
      <w:rPr>
        <w:rFonts w:hint="default"/>
      </w:rPr>
    </w:lvl>
    <w:lvl w:ilvl="5">
      <w:start w:val="1"/>
      <w:numFmt w:val="bullet"/>
      <w:lvlText w:val="•"/>
      <w:lvlJc w:val="left"/>
      <w:pPr>
        <w:ind w:left="4456" w:hanging="170"/>
      </w:pPr>
      <w:rPr>
        <w:rFonts w:hint="default"/>
      </w:rPr>
    </w:lvl>
    <w:lvl w:ilvl="6">
      <w:start w:val="1"/>
      <w:numFmt w:val="bullet"/>
      <w:lvlText w:val="•"/>
      <w:lvlJc w:val="left"/>
      <w:pPr>
        <w:ind w:left="5307"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7010" w:hanging="170"/>
      </w:pPr>
      <w:rPr>
        <w:rFonts w:hint="default"/>
      </w:rPr>
    </w:lvl>
  </w:abstractNum>
  <w:abstractNum w:abstractNumId="72">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50" w:hanging="170"/>
      </w:pPr>
      <w:rPr>
        <w:rFonts w:hint="default"/>
      </w:rPr>
    </w:lvl>
    <w:lvl w:ilvl="2">
      <w:start w:val="1"/>
      <w:numFmt w:val="bullet"/>
      <w:lvlText w:val="•"/>
      <w:lvlJc w:val="left"/>
      <w:pPr>
        <w:ind w:left="1900" w:hanging="170"/>
      </w:pPr>
      <w:rPr>
        <w:rFonts w:hint="default"/>
      </w:rPr>
    </w:lvl>
    <w:lvl w:ilvl="3">
      <w:start w:val="1"/>
      <w:numFmt w:val="bullet"/>
      <w:lvlText w:val="•"/>
      <w:lvlJc w:val="left"/>
      <w:pPr>
        <w:ind w:left="2750" w:hanging="170"/>
      </w:pPr>
      <w:rPr>
        <w:rFonts w:hint="default"/>
      </w:rPr>
    </w:lvl>
    <w:lvl w:ilvl="4">
      <w:start w:val="1"/>
      <w:numFmt w:val="bullet"/>
      <w:lvlText w:val="•"/>
      <w:lvlJc w:val="left"/>
      <w:pPr>
        <w:ind w:left="3600" w:hanging="170"/>
      </w:pPr>
      <w:rPr>
        <w:rFonts w:hint="default"/>
      </w:rPr>
    </w:lvl>
    <w:lvl w:ilvl="5">
      <w:start w:val="1"/>
      <w:numFmt w:val="bullet"/>
      <w:lvlText w:val="•"/>
      <w:lvlJc w:val="left"/>
      <w:pPr>
        <w:ind w:left="4451" w:hanging="170"/>
      </w:pPr>
      <w:rPr>
        <w:rFonts w:hint="default"/>
      </w:rPr>
    </w:lvl>
    <w:lvl w:ilvl="6">
      <w:start w:val="1"/>
      <w:numFmt w:val="bullet"/>
      <w:lvlText w:val="•"/>
      <w:lvlJc w:val="left"/>
      <w:pPr>
        <w:ind w:left="5301" w:hanging="170"/>
      </w:pPr>
      <w:rPr>
        <w:rFonts w:hint="default"/>
      </w:rPr>
    </w:lvl>
    <w:lvl w:ilvl="7">
      <w:start w:val="1"/>
      <w:numFmt w:val="bullet"/>
      <w:lvlText w:val="•"/>
      <w:lvlJc w:val="left"/>
      <w:pPr>
        <w:ind w:left="6151" w:hanging="170"/>
      </w:pPr>
      <w:rPr>
        <w:rFonts w:hint="default"/>
      </w:rPr>
    </w:lvl>
    <w:lvl w:ilvl="8">
      <w:start w:val="1"/>
      <w:numFmt w:val="bullet"/>
      <w:lvlText w:val="•"/>
      <w:lvlJc w:val="left"/>
      <w:pPr>
        <w:ind w:left="7001" w:hanging="170"/>
      </w:pPr>
      <w:rPr>
        <w:rFonts w:hint="default"/>
      </w:rPr>
    </w:lvl>
  </w:abstractNum>
  <w:abstractNum w:abstractNumId="71">
    <w:multiLevelType w:val="hybridMultilevel"/>
    <w:lvl w:ilvl="0">
      <w:start w:val="1"/>
      <w:numFmt w:val="bullet"/>
      <w:lvlText w:val="•"/>
      <w:lvlJc w:val="left"/>
      <w:pPr>
        <w:ind w:left="340" w:hanging="170"/>
      </w:pPr>
      <w:rPr>
        <w:rFonts w:hint="default" w:ascii="Arial" w:hAnsi="Arial" w:eastAsia="Arial" w:cs="Arial"/>
        <w:color w:val="0095A7"/>
        <w:spacing w:val="-12"/>
        <w:w w:val="100"/>
        <w:sz w:val="20"/>
        <w:szCs w:val="20"/>
      </w:rPr>
    </w:lvl>
    <w:lvl w:ilvl="1">
      <w:start w:val="1"/>
      <w:numFmt w:val="bullet"/>
      <w:lvlText w:val="•"/>
      <w:lvlJc w:val="left"/>
      <w:pPr>
        <w:ind w:left="1171" w:hanging="170"/>
      </w:pPr>
      <w:rPr>
        <w:rFonts w:hint="default"/>
      </w:rPr>
    </w:lvl>
    <w:lvl w:ilvl="2">
      <w:start w:val="1"/>
      <w:numFmt w:val="bullet"/>
      <w:lvlText w:val="•"/>
      <w:lvlJc w:val="left"/>
      <w:pPr>
        <w:ind w:left="2002" w:hanging="170"/>
      </w:pPr>
      <w:rPr>
        <w:rFonts w:hint="default"/>
      </w:rPr>
    </w:lvl>
    <w:lvl w:ilvl="3">
      <w:start w:val="1"/>
      <w:numFmt w:val="bullet"/>
      <w:lvlText w:val="•"/>
      <w:lvlJc w:val="left"/>
      <w:pPr>
        <w:ind w:left="2834" w:hanging="170"/>
      </w:pPr>
      <w:rPr>
        <w:rFonts w:hint="default"/>
      </w:rPr>
    </w:lvl>
    <w:lvl w:ilvl="4">
      <w:start w:val="1"/>
      <w:numFmt w:val="bullet"/>
      <w:lvlText w:val="•"/>
      <w:lvlJc w:val="left"/>
      <w:pPr>
        <w:ind w:left="3665" w:hanging="170"/>
      </w:pPr>
      <w:rPr>
        <w:rFonts w:hint="default"/>
      </w:rPr>
    </w:lvl>
    <w:lvl w:ilvl="5">
      <w:start w:val="1"/>
      <w:numFmt w:val="bullet"/>
      <w:lvlText w:val="•"/>
      <w:lvlJc w:val="left"/>
      <w:pPr>
        <w:ind w:left="4497" w:hanging="170"/>
      </w:pPr>
      <w:rPr>
        <w:rFonts w:hint="default"/>
      </w:rPr>
    </w:lvl>
    <w:lvl w:ilvl="6">
      <w:start w:val="1"/>
      <w:numFmt w:val="bullet"/>
      <w:lvlText w:val="•"/>
      <w:lvlJc w:val="left"/>
      <w:pPr>
        <w:ind w:left="532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6991" w:hanging="170"/>
      </w:pPr>
      <w:rPr>
        <w:rFonts w:hint="default"/>
      </w:rPr>
    </w:lvl>
  </w:abstractNum>
  <w:abstractNum w:abstractNumId="70">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51" w:hanging="170"/>
      </w:pPr>
      <w:rPr>
        <w:rFonts w:hint="default"/>
      </w:rPr>
    </w:lvl>
    <w:lvl w:ilvl="2">
      <w:start w:val="1"/>
      <w:numFmt w:val="bullet"/>
      <w:lvlText w:val="•"/>
      <w:lvlJc w:val="left"/>
      <w:pPr>
        <w:ind w:left="1902" w:hanging="170"/>
      </w:pPr>
      <w:rPr>
        <w:rFonts w:hint="default"/>
      </w:rPr>
    </w:lvl>
    <w:lvl w:ilvl="3">
      <w:start w:val="1"/>
      <w:numFmt w:val="bullet"/>
      <w:lvlText w:val="•"/>
      <w:lvlJc w:val="left"/>
      <w:pPr>
        <w:ind w:left="2754" w:hanging="170"/>
      </w:pPr>
      <w:rPr>
        <w:rFonts w:hint="default"/>
      </w:rPr>
    </w:lvl>
    <w:lvl w:ilvl="4">
      <w:start w:val="1"/>
      <w:numFmt w:val="bullet"/>
      <w:lvlText w:val="•"/>
      <w:lvlJc w:val="left"/>
      <w:pPr>
        <w:ind w:left="3605" w:hanging="170"/>
      </w:pPr>
      <w:rPr>
        <w:rFonts w:hint="default"/>
      </w:rPr>
    </w:lvl>
    <w:lvl w:ilvl="5">
      <w:start w:val="1"/>
      <w:numFmt w:val="bullet"/>
      <w:lvlText w:val="•"/>
      <w:lvlJc w:val="left"/>
      <w:pPr>
        <w:ind w:left="4457" w:hanging="170"/>
      </w:pPr>
      <w:rPr>
        <w:rFonts w:hint="default"/>
      </w:rPr>
    </w:lvl>
    <w:lvl w:ilvl="6">
      <w:start w:val="1"/>
      <w:numFmt w:val="bullet"/>
      <w:lvlText w:val="•"/>
      <w:lvlJc w:val="left"/>
      <w:pPr>
        <w:ind w:left="530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7011" w:hanging="170"/>
      </w:pPr>
      <w:rPr>
        <w:rFonts w:hint="default"/>
      </w:rPr>
    </w:lvl>
  </w:abstractNum>
  <w:abstractNum w:abstractNumId="69">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47" w:hanging="170"/>
      </w:pPr>
      <w:rPr>
        <w:rFonts w:hint="default"/>
      </w:rPr>
    </w:lvl>
    <w:lvl w:ilvl="2">
      <w:start w:val="1"/>
      <w:numFmt w:val="bullet"/>
      <w:lvlText w:val="•"/>
      <w:lvlJc w:val="left"/>
      <w:pPr>
        <w:ind w:left="1895" w:hanging="170"/>
      </w:pPr>
      <w:rPr>
        <w:rFonts w:hint="default"/>
      </w:rPr>
    </w:lvl>
    <w:lvl w:ilvl="3">
      <w:start w:val="1"/>
      <w:numFmt w:val="bullet"/>
      <w:lvlText w:val="•"/>
      <w:lvlJc w:val="left"/>
      <w:pPr>
        <w:ind w:left="2743" w:hanging="170"/>
      </w:pPr>
      <w:rPr>
        <w:rFonts w:hint="default"/>
      </w:rPr>
    </w:lvl>
    <w:lvl w:ilvl="4">
      <w:start w:val="1"/>
      <w:numFmt w:val="bullet"/>
      <w:lvlText w:val="•"/>
      <w:lvlJc w:val="left"/>
      <w:pPr>
        <w:ind w:left="3590" w:hanging="170"/>
      </w:pPr>
      <w:rPr>
        <w:rFonts w:hint="default"/>
      </w:rPr>
    </w:lvl>
    <w:lvl w:ilvl="5">
      <w:start w:val="1"/>
      <w:numFmt w:val="bullet"/>
      <w:lvlText w:val="•"/>
      <w:lvlJc w:val="left"/>
      <w:pPr>
        <w:ind w:left="4438" w:hanging="170"/>
      </w:pPr>
      <w:rPr>
        <w:rFonts w:hint="default"/>
      </w:rPr>
    </w:lvl>
    <w:lvl w:ilvl="6">
      <w:start w:val="1"/>
      <w:numFmt w:val="bullet"/>
      <w:lvlText w:val="•"/>
      <w:lvlJc w:val="left"/>
      <w:pPr>
        <w:ind w:left="5286" w:hanging="170"/>
      </w:pPr>
      <w:rPr>
        <w:rFonts w:hint="default"/>
      </w:rPr>
    </w:lvl>
    <w:lvl w:ilvl="7">
      <w:start w:val="1"/>
      <w:numFmt w:val="bullet"/>
      <w:lvlText w:val="•"/>
      <w:lvlJc w:val="left"/>
      <w:pPr>
        <w:ind w:left="6133" w:hanging="170"/>
      </w:pPr>
      <w:rPr>
        <w:rFonts w:hint="default"/>
      </w:rPr>
    </w:lvl>
    <w:lvl w:ilvl="8">
      <w:start w:val="1"/>
      <w:numFmt w:val="bullet"/>
      <w:lvlText w:val="•"/>
      <w:lvlJc w:val="left"/>
      <w:pPr>
        <w:ind w:left="6981" w:hanging="170"/>
      </w:pPr>
      <w:rPr>
        <w:rFonts w:hint="default"/>
      </w:rPr>
    </w:lvl>
  </w:abstractNum>
  <w:abstractNum w:abstractNumId="68">
    <w:multiLevelType w:val="hybridMultilevel"/>
    <w:lvl w:ilvl="0">
      <w:start w:val="1"/>
      <w:numFmt w:val="bullet"/>
      <w:lvlText w:val="•"/>
      <w:lvlJc w:val="left"/>
      <w:pPr>
        <w:ind w:left="340" w:hanging="170"/>
      </w:pPr>
      <w:rPr>
        <w:rFonts w:hint="default" w:ascii="Arial" w:hAnsi="Arial" w:eastAsia="Arial" w:cs="Arial"/>
        <w:color w:val="0095A7"/>
        <w:spacing w:val="-12"/>
        <w:w w:val="100"/>
        <w:sz w:val="20"/>
        <w:szCs w:val="20"/>
      </w:rPr>
    </w:lvl>
    <w:lvl w:ilvl="1">
      <w:start w:val="1"/>
      <w:numFmt w:val="bullet"/>
      <w:lvlText w:val="•"/>
      <w:lvlJc w:val="left"/>
      <w:pPr>
        <w:ind w:left="1171" w:hanging="170"/>
      </w:pPr>
      <w:rPr>
        <w:rFonts w:hint="default"/>
      </w:rPr>
    </w:lvl>
    <w:lvl w:ilvl="2">
      <w:start w:val="1"/>
      <w:numFmt w:val="bullet"/>
      <w:lvlText w:val="•"/>
      <w:lvlJc w:val="left"/>
      <w:pPr>
        <w:ind w:left="2002" w:hanging="170"/>
      </w:pPr>
      <w:rPr>
        <w:rFonts w:hint="default"/>
      </w:rPr>
    </w:lvl>
    <w:lvl w:ilvl="3">
      <w:start w:val="1"/>
      <w:numFmt w:val="bullet"/>
      <w:lvlText w:val="•"/>
      <w:lvlJc w:val="left"/>
      <w:pPr>
        <w:ind w:left="2834" w:hanging="170"/>
      </w:pPr>
      <w:rPr>
        <w:rFonts w:hint="default"/>
      </w:rPr>
    </w:lvl>
    <w:lvl w:ilvl="4">
      <w:start w:val="1"/>
      <w:numFmt w:val="bullet"/>
      <w:lvlText w:val="•"/>
      <w:lvlJc w:val="left"/>
      <w:pPr>
        <w:ind w:left="3665" w:hanging="170"/>
      </w:pPr>
      <w:rPr>
        <w:rFonts w:hint="default"/>
      </w:rPr>
    </w:lvl>
    <w:lvl w:ilvl="5">
      <w:start w:val="1"/>
      <w:numFmt w:val="bullet"/>
      <w:lvlText w:val="•"/>
      <w:lvlJc w:val="left"/>
      <w:pPr>
        <w:ind w:left="4497" w:hanging="170"/>
      </w:pPr>
      <w:rPr>
        <w:rFonts w:hint="default"/>
      </w:rPr>
    </w:lvl>
    <w:lvl w:ilvl="6">
      <w:start w:val="1"/>
      <w:numFmt w:val="bullet"/>
      <w:lvlText w:val="•"/>
      <w:lvlJc w:val="left"/>
      <w:pPr>
        <w:ind w:left="532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6991" w:hanging="170"/>
      </w:pPr>
      <w:rPr>
        <w:rFonts w:hint="default"/>
      </w:rPr>
    </w:lvl>
  </w:abstractNum>
  <w:abstractNum w:abstractNumId="67">
    <w:multiLevelType w:val="hybridMultilevel"/>
    <w:lvl w:ilvl="0">
      <w:start w:val="1"/>
      <w:numFmt w:val="bullet"/>
      <w:lvlText w:val="•"/>
      <w:lvlJc w:val="left"/>
      <w:pPr>
        <w:ind w:left="340" w:hanging="170"/>
      </w:pPr>
      <w:rPr>
        <w:rFonts w:hint="default" w:ascii="Arial" w:hAnsi="Arial" w:eastAsia="Arial" w:cs="Arial"/>
        <w:color w:val="0095A7"/>
        <w:spacing w:val="-13"/>
        <w:w w:val="100"/>
        <w:sz w:val="20"/>
        <w:szCs w:val="20"/>
      </w:rPr>
    </w:lvl>
    <w:lvl w:ilvl="1">
      <w:start w:val="1"/>
      <w:numFmt w:val="bullet"/>
      <w:lvlText w:val="•"/>
      <w:lvlJc w:val="left"/>
      <w:pPr>
        <w:ind w:left="1171" w:hanging="170"/>
      </w:pPr>
      <w:rPr>
        <w:rFonts w:hint="default"/>
      </w:rPr>
    </w:lvl>
    <w:lvl w:ilvl="2">
      <w:start w:val="1"/>
      <w:numFmt w:val="bullet"/>
      <w:lvlText w:val="•"/>
      <w:lvlJc w:val="left"/>
      <w:pPr>
        <w:ind w:left="2002" w:hanging="170"/>
      </w:pPr>
      <w:rPr>
        <w:rFonts w:hint="default"/>
      </w:rPr>
    </w:lvl>
    <w:lvl w:ilvl="3">
      <w:start w:val="1"/>
      <w:numFmt w:val="bullet"/>
      <w:lvlText w:val="•"/>
      <w:lvlJc w:val="left"/>
      <w:pPr>
        <w:ind w:left="2834" w:hanging="170"/>
      </w:pPr>
      <w:rPr>
        <w:rFonts w:hint="default"/>
      </w:rPr>
    </w:lvl>
    <w:lvl w:ilvl="4">
      <w:start w:val="1"/>
      <w:numFmt w:val="bullet"/>
      <w:lvlText w:val="•"/>
      <w:lvlJc w:val="left"/>
      <w:pPr>
        <w:ind w:left="3665" w:hanging="170"/>
      </w:pPr>
      <w:rPr>
        <w:rFonts w:hint="default"/>
      </w:rPr>
    </w:lvl>
    <w:lvl w:ilvl="5">
      <w:start w:val="1"/>
      <w:numFmt w:val="bullet"/>
      <w:lvlText w:val="•"/>
      <w:lvlJc w:val="left"/>
      <w:pPr>
        <w:ind w:left="4497" w:hanging="170"/>
      </w:pPr>
      <w:rPr>
        <w:rFonts w:hint="default"/>
      </w:rPr>
    </w:lvl>
    <w:lvl w:ilvl="6">
      <w:start w:val="1"/>
      <w:numFmt w:val="bullet"/>
      <w:lvlText w:val="•"/>
      <w:lvlJc w:val="left"/>
      <w:pPr>
        <w:ind w:left="532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6991" w:hanging="170"/>
      </w:pPr>
      <w:rPr>
        <w:rFonts w:hint="default"/>
      </w:rPr>
    </w:lvl>
  </w:abstractNum>
  <w:abstractNum w:abstractNumId="66">
    <w:multiLevelType w:val="hybridMultilevel"/>
    <w:lvl w:ilvl="0">
      <w:start w:val="3"/>
      <w:numFmt w:val="decimal"/>
      <w:lvlText w:val="%1)"/>
      <w:lvlJc w:val="left"/>
      <w:pPr>
        <w:ind w:left="510" w:hanging="341"/>
        <w:jc w:val="left"/>
      </w:pPr>
      <w:rPr>
        <w:rFonts w:hint="default" w:ascii="Arial" w:hAnsi="Arial" w:eastAsia="Arial" w:cs="Arial"/>
        <w:b/>
        <w:bCs/>
        <w:color w:val="58595B"/>
        <w:spacing w:val="-9"/>
        <w:w w:val="100"/>
        <w:sz w:val="20"/>
        <w:szCs w:val="20"/>
      </w:rPr>
    </w:lvl>
    <w:lvl w:ilvl="1">
      <w:start w:val="1"/>
      <w:numFmt w:val="bullet"/>
      <w:lvlText w:val="•"/>
      <w:lvlJc w:val="left"/>
      <w:pPr>
        <w:ind w:left="1333" w:hanging="341"/>
      </w:pPr>
      <w:rPr>
        <w:rFonts w:hint="default"/>
      </w:rPr>
    </w:lvl>
    <w:lvl w:ilvl="2">
      <w:start w:val="1"/>
      <w:numFmt w:val="bullet"/>
      <w:lvlText w:val="•"/>
      <w:lvlJc w:val="left"/>
      <w:pPr>
        <w:ind w:left="2146" w:hanging="341"/>
      </w:pPr>
      <w:rPr>
        <w:rFonts w:hint="default"/>
      </w:rPr>
    </w:lvl>
    <w:lvl w:ilvl="3">
      <w:start w:val="1"/>
      <w:numFmt w:val="bullet"/>
      <w:lvlText w:val="•"/>
      <w:lvlJc w:val="left"/>
      <w:pPr>
        <w:ind w:left="2960" w:hanging="341"/>
      </w:pPr>
      <w:rPr>
        <w:rFonts w:hint="default"/>
      </w:rPr>
    </w:lvl>
    <w:lvl w:ilvl="4">
      <w:start w:val="1"/>
      <w:numFmt w:val="bullet"/>
      <w:lvlText w:val="•"/>
      <w:lvlJc w:val="left"/>
      <w:pPr>
        <w:ind w:left="3773" w:hanging="341"/>
      </w:pPr>
      <w:rPr>
        <w:rFonts w:hint="default"/>
      </w:rPr>
    </w:lvl>
    <w:lvl w:ilvl="5">
      <w:start w:val="1"/>
      <w:numFmt w:val="bullet"/>
      <w:lvlText w:val="•"/>
      <w:lvlJc w:val="left"/>
      <w:pPr>
        <w:ind w:left="4587" w:hanging="341"/>
      </w:pPr>
      <w:rPr>
        <w:rFonts w:hint="default"/>
      </w:rPr>
    </w:lvl>
    <w:lvl w:ilvl="6">
      <w:start w:val="1"/>
      <w:numFmt w:val="bullet"/>
      <w:lvlText w:val="•"/>
      <w:lvlJc w:val="left"/>
      <w:pPr>
        <w:ind w:left="5400" w:hanging="341"/>
      </w:pPr>
      <w:rPr>
        <w:rFonts w:hint="default"/>
      </w:rPr>
    </w:lvl>
    <w:lvl w:ilvl="7">
      <w:start w:val="1"/>
      <w:numFmt w:val="bullet"/>
      <w:lvlText w:val="•"/>
      <w:lvlJc w:val="left"/>
      <w:pPr>
        <w:ind w:left="6213" w:hanging="341"/>
      </w:pPr>
      <w:rPr>
        <w:rFonts w:hint="default"/>
      </w:rPr>
    </w:lvl>
    <w:lvl w:ilvl="8">
      <w:start w:val="1"/>
      <w:numFmt w:val="bullet"/>
      <w:lvlText w:val="•"/>
      <w:lvlJc w:val="left"/>
      <w:pPr>
        <w:ind w:left="7027" w:hanging="341"/>
      </w:pPr>
      <w:rPr>
        <w:rFonts w:hint="default"/>
      </w:rPr>
    </w:lvl>
  </w:abstractNum>
  <w:abstractNum w:abstractNumId="65">
    <w:multiLevelType w:val="hybridMultilevel"/>
    <w:lvl w:ilvl="0">
      <w:start w:val="1"/>
      <w:numFmt w:val="bullet"/>
      <w:lvlText w:val="•"/>
      <w:lvlJc w:val="left"/>
      <w:pPr>
        <w:ind w:left="340" w:hanging="170"/>
      </w:pPr>
      <w:rPr>
        <w:rFonts w:hint="default" w:ascii="Arial" w:hAnsi="Arial" w:eastAsia="Arial" w:cs="Arial"/>
        <w:color w:val="0095A7"/>
        <w:spacing w:val="-12"/>
        <w:w w:val="100"/>
        <w:sz w:val="20"/>
        <w:szCs w:val="20"/>
      </w:rPr>
    </w:lvl>
    <w:lvl w:ilvl="1">
      <w:start w:val="1"/>
      <w:numFmt w:val="bullet"/>
      <w:lvlText w:val="–"/>
      <w:lvlJc w:val="left"/>
      <w:pPr>
        <w:ind w:left="340" w:hanging="167"/>
      </w:pPr>
      <w:rPr>
        <w:rFonts w:hint="default" w:ascii="Arial" w:hAnsi="Arial" w:eastAsia="Arial" w:cs="Arial"/>
        <w:color w:val="58595B"/>
        <w:spacing w:val="-12"/>
        <w:w w:val="100"/>
        <w:sz w:val="20"/>
        <w:szCs w:val="20"/>
      </w:rPr>
    </w:lvl>
    <w:lvl w:ilvl="2">
      <w:start w:val="1"/>
      <w:numFmt w:val="bullet"/>
      <w:lvlText w:val="•"/>
      <w:lvlJc w:val="left"/>
      <w:pPr>
        <w:ind w:left="2002" w:hanging="167"/>
      </w:pPr>
      <w:rPr>
        <w:rFonts w:hint="default"/>
      </w:rPr>
    </w:lvl>
    <w:lvl w:ilvl="3">
      <w:start w:val="1"/>
      <w:numFmt w:val="bullet"/>
      <w:lvlText w:val="•"/>
      <w:lvlJc w:val="left"/>
      <w:pPr>
        <w:ind w:left="2834" w:hanging="167"/>
      </w:pPr>
      <w:rPr>
        <w:rFonts w:hint="default"/>
      </w:rPr>
    </w:lvl>
    <w:lvl w:ilvl="4">
      <w:start w:val="1"/>
      <w:numFmt w:val="bullet"/>
      <w:lvlText w:val="•"/>
      <w:lvlJc w:val="left"/>
      <w:pPr>
        <w:ind w:left="3665" w:hanging="167"/>
      </w:pPr>
      <w:rPr>
        <w:rFonts w:hint="default"/>
      </w:rPr>
    </w:lvl>
    <w:lvl w:ilvl="5">
      <w:start w:val="1"/>
      <w:numFmt w:val="bullet"/>
      <w:lvlText w:val="•"/>
      <w:lvlJc w:val="left"/>
      <w:pPr>
        <w:ind w:left="4497" w:hanging="167"/>
      </w:pPr>
      <w:rPr>
        <w:rFonts w:hint="default"/>
      </w:rPr>
    </w:lvl>
    <w:lvl w:ilvl="6">
      <w:start w:val="1"/>
      <w:numFmt w:val="bullet"/>
      <w:lvlText w:val="•"/>
      <w:lvlJc w:val="left"/>
      <w:pPr>
        <w:ind w:left="5328" w:hanging="167"/>
      </w:pPr>
      <w:rPr>
        <w:rFonts w:hint="default"/>
      </w:rPr>
    </w:lvl>
    <w:lvl w:ilvl="7">
      <w:start w:val="1"/>
      <w:numFmt w:val="bullet"/>
      <w:lvlText w:val="•"/>
      <w:lvlJc w:val="left"/>
      <w:pPr>
        <w:ind w:left="6159" w:hanging="167"/>
      </w:pPr>
      <w:rPr>
        <w:rFonts w:hint="default"/>
      </w:rPr>
    </w:lvl>
    <w:lvl w:ilvl="8">
      <w:start w:val="1"/>
      <w:numFmt w:val="bullet"/>
      <w:lvlText w:val="•"/>
      <w:lvlJc w:val="left"/>
      <w:pPr>
        <w:ind w:left="6991" w:hanging="167"/>
      </w:pPr>
      <w:rPr>
        <w:rFonts w:hint="default"/>
      </w:rPr>
    </w:lvl>
  </w:abstractNum>
  <w:abstractNum w:abstractNumId="64">
    <w:multiLevelType w:val="hybridMultilevel"/>
    <w:lvl w:ilvl="0">
      <w:start w:val="1"/>
      <w:numFmt w:val="bullet"/>
      <w:lvlText w:val="•"/>
      <w:lvlJc w:val="left"/>
      <w:pPr>
        <w:ind w:left="340" w:hanging="170"/>
      </w:pPr>
      <w:rPr>
        <w:rFonts w:hint="default" w:ascii="Arial" w:hAnsi="Arial" w:eastAsia="Arial" w:cs="Arial"/>
        <w:color w:val="0095A7"/>
        <w:spacing w:val="-12"/>
        <w:w w:val="100"/>
        <w:sz w:val="20"/>
        <w:szCs w:val="20"/>
      </w:rPr>
    </w:lvl>
    <w:lvl w:ilvl="1">
      <w:start w:val="1"/>
      <w:numFmt w:val="bullet"/>
      <w:lvlText w:val="•"/>
      <w:lvlJc w:val="left"/>
      <w:pPr>
        <w:ind w:left="1171" w:hanging="170"/>
      </w:pPr>
      <w:rPr>
        <w:rFonts w:hint="default"/>
      </w:rPr>
    </w:lvl>
    <w:lvl w:ilvl="2">
      <w:start w:val="1"/>
      <w:numFmt w:val="bullet"/>
      <w:lvlText w:val="•"/>
      <w:lvlJc w:val="left"/>
      <w:pPr>
        <w:ind w:left="2002" w:hanging="170"/>
      </w:pPr>
      <w:rPr>
        <w:rFonts w:hint="default"/>
      </w:rPr>
    </w:lvl>
    <w:lvl w:ilvl="3">
      <w:start w:val="1"/>
      <w:numFmt w:val="bullet"/>
      <w:lvlText w:val="•"/>
      <w:lvlJc w:val="left"/>
      <w:pPr>
        <w:ind w:left="2834" w:hanging="170"/>
      </w:pPr>
      <w:rPr>
        <w:rFonts w:hint="default"/>
      </w:rPr>
    </w:lvl>
    <w:lvl w:ilvl="4">
      <w:start w:val="1"/>
      <w:numFmt w:val="bullet"/>
      <w:lvlText w:val="•"/>
      <w:lvlJc w:val="left"/>
      <w:pPr>
        <w:ind w:left="3665" w:hanging="170"/>
      </w:pPr>
      <w:rPr>
        <w:rFonts w:hint="default"/>
      </w:rPr>
    </w:lvl>
    <w:lvl w:ilvl="5">
      <w:start w:val="1"/>
      <w:numFmt w:val="bullet"/>
      <w:lvlText w:val="•"/>
      <w:lvlJc w:val="left"/>
      <w:pPr>
        <w:ind w:left="4497" w:hanging="170"/>
      </w:pPr>
      <w:rPr>
        <w:rFonts w:hint="default"/>
      </w:rPr>
    </w:lvl>
    <w:lvl w:ilvl="6">
      <w:start w:val="1"/>
      <w:numFmt w:val="bullet"/>
      <w:lvlText w:val="•"/>
      <w:lvlJc w:val="left"/>
      <w:pPr>
        <w:ind w:left="532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6991" w:hanging="170"/>
      </w:pPr>
      <w:rPr>
        <w:rFonts w:hint="default"/>
      </w:rPr>
    </w:lvl>
  </w:abstractNum>
  <w:abstractNum w:abstractNumId="63">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993" w:hanging="170"/>
      </w:pPr>
      <w:rPr>
        <w:rFonts w:hint="default"/>
      </w:rPr>
    </w:lvl>
    <w:lvl w:ilvl="2">
      <w:start w:val="1"/>
      <w:numFmt w:val="bullet"/>
      <w:lvlText w:val="•"/>
      <w:lvlJc w:val="left"/>
      <w:pPr>
        <w:ind w:left="1787" w:hanging="170"/>
      </w:pPr>
      <w:rPr>
        <w:rFonts w:hint="default"/>
      </w:rPr>
    </w:lvl>
    <w:lvl w:ilvl="3">
      <w:start w:val="1"/>
      <w:numFmt w:val="bullet"/>
      <w:lvlText w:val="•"/>
      <w:lvlJc w:val="left"/>
      <w:pPr>
        <w:ind w:left="2581" w:hanging="170"/>
      </w:pPr>
      <w:rPr>
        <w:rFonts w:hint="default"/>
      </w:rPr>
    </w:lvl>
    <w:lvl w:ilvl="4">
      <w:start w:val="1"/>
      <w:numFmt w:val="bullet"/>
      <w:lvlText w:val="•"/>
      <w:lvlJc w:val="left"/>
      <w:pPr>
        <w:ind w:left="3375" w:hanging="170"/>
      </w:pPr>
      <w:rPr>
        <w:rFonts w:hint="default"/>
      </w:rPr>
    </w:lvl>
    <w:lvl w:ilvl="5">
      <w:start w:val="1"/>
      <w:numFmt w:val="bullet"/>
      <w:lvlText w:val="•"/>
      <w:lvlJc w:val="left"/>
      <w:pPr>
        <w:ind w:left="4169" w:hanging="170"/>
      </w:pPr>
      <w:rPr>
        <w:rFonts w:hint="default"/>
      </w:rPr>
    </w:lvl>
    <w:lvl w:ilvl="6">
      <w:start w:val="1"/>
      <w:numFmt w:val="bullet"/>
      <w:lvlText w:val="•"/>
      <w:lvlJc w:val="left"/>
      <w:pPr>
        <w:ind w:left="4962" w:hanging="170"/>
      </w:pPr>
      <w:rPr>
        <w:rFonts w:hint="default"/>
      </w:rPr>
    </w:lvl>
    <w:lvl w:ilvl="7">
      <w:start w:val="1"/>
      <w:numFmt w:val="bullet"/>
      <w:lvlText w:val="•"/>
      <w:lvlJc w:val="left"/>
      <w:pPr>
        <w:ind w:left="5756" w:hanging="170"/>
      </w:pPr>
      <w:rPr>
        <w:rFonts w:hint="default"/>
      </w:rPr>
    </w:lvl>
    <w:lvl w:ilvl="8">
      <w:start w:val="1"/>
      <w:numFmt w:val="bullet"/>
      <w:lvlText w:val="•"/>
      <w:lvlJc w:val="left"/>
      <w:pPr>
        <w:ind w:left="6550" w:hanging="170"/>
      </w:pPr>
      <w:rPr>
        <w:rFonts w:hint="default"/>
      </w:rPr>
    </w:lvl>
  </w:abstractNum>
  <w:abstractNum w:abstractNumId="62">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49" w:hanging="170"/>
      </w:pPr>
      <w:rPr>
        <w:rFonts w:hint="default"/>
      </w:rPr>
    </w:lvl>
    <w:lvl w:ilvl="2">
      <w:start w:val="1"/>
      <w:numFmt w:val="bullet"/>
      <w:lvlText w:val="•"/>
      <w:lvlJc w:val="left"/>
      <w:pPr>
        <w:ind w:left="1898" w:hanging="170"/>
      </w:pPr>
      <w:rPr>
        <w:rFonts w:hint="default"/>
      </w:rPr>
    </w:lvl>
    <w:lvl w:ilvl="3">
      <w:start w:val="1"/>
      <w:numFmt w:val="bullet"/>
      <w:lvlText w:val="•"/>
      <w:lvlJc w:val="left"/>
      <w:pPr>
        <w:ind w:left="2747" w:hanging="170"/>
      </w:pPr>
      <w:rPr>
        <w:rFonts w:hint="default"/>
      </w:rPr>
    </w:lvl>
    <w:lvl w:ilvl="4">
      <w:start w:val="1"/>
      <w:numFmt w:val="bullet"/>
      <w:lvlText w:val="•"/>
      <w:lvlJc w:val="left"/>
      <w:pPr>
        <w:ind w:left="3596" w:hanging="170"/>
      </w:pPr>
      <w:rPr>
        <w:rFonts w:hint="default"/>
      </w:rPr>
    </w:lvl>
    <w:lvl w:ilvl="5">
      <w:start w:val="1"/>
      <w:numFmt w:val="bullet"/>
      <w:lvlText w:val="•"/>
      <w:lvlJc w:val="left"/>
      <w:pPr>
        <w:ind w:left="4445" w:hanging="170"/>
      </w:pPr>
      <w:rPr>
        <w:rFonts w:hint="default"/>
      </w:rPr>
    </w:lvl>
    <w:lvl w:ilvl="6">
      <w:start w:val="1"/>
      <w:numFmt w:val="bullet"/>
      <w:lvlText w:val="•"/>
      <w:lvlJc w:val="left"/>
      <w:pPr>
        <w:ind w:left="5294" w:hanging="170"/>
      </w:pPr>
      <w:rPr>
        <w:rFonts w:hint="default"/>
      </w:rPr>
    </w:lvl>
    <w:lvl w:ilvl="7">
      <w:start w:val="1"/>
      <w:numFmt w:val="bullet"/>
      <w:lvlText w:val="•"/>
      <w:lvlJc w:val="left"/>
      <w:pPr>
        <w:ind w:left="6143" w:hanging="170"/>
      </w:pPr>
      <w:rPr>
        <w:rFonts w:hint="default"/>
      </w:rPr>
    </w:lvl>
    <w:lvl w:ilvl="8">
      <w:start w:val="1"/>
      <w:numFmt w:val="bullet"/>
      <w:lvlText w:val="•"/>
      <w:lvlJc w:val="left"/>
      <w:pPr>
        <w:ind w:left="6992" w:hanging="170"/>
      </w:pPr>
      <w:rPr>
        <w:rFonts w:hint="default"/>
      </w:rPr>
    </w:lvl>
  </w:abstractNum>
  <w:abstractNum w:abstractNumId="61">
    <w:multiLevelType w:val="hybridMultilevel"/>
    <w:lvl w:ilvl="0">
      <w:start w:val="1"/>
      <w:numFmt w:val="bullet"/>
      <w:lvlText w:val="•"/>
      <w:lvlJc w:val="left"/>
      <w:pPr>
        <w:ind w:left="340" w:hanging="170"/>
      </w:pPr>
      <w:rPr>
        <w:rFonts w:hint="default" w:ascii="Arial" w:hAnsi="Arial" w:eastAsia="Arial" w:cs="Arial"/>
        <w:color w:val="0095A7"/>
        <w:spacing w:val="-12"/>
        <w:w w:val="100"/>
        <w:sz w:val="20"/>
        <w:szCs w:val="20"/>
      </w:rPr>
    </w:lvl>
    <w:lvl w:ilvl="1">
      <w:start w:val="1"/>
      <w:numFmt w:val="lowerRoman"/>
      <w:lvlText w:val="%2)"/>
      <w:lvlJc w:val="left"/>
      <w:pPr>
        <w:ind w:left="680" w:hanging="341"/>
        <w:jc w:val="left"/>
      </w:pPr>
      <w:rPr>
        <w:rFonts w:hint="default" w:ascii="Arial" w:hAnsi="Arial" w:eastAsia="Arial" w:cs="Arial"/>
        <w:color w:val="58595B"/>
        <w:spacing w:val="-5"/>
        <w:w w:val="100"/>
        <w:sz w:val="20"/>
        <w:szCs w:val="20"/>
      </w:rPr>
    </w:lvl>
    <w:lvl w:ilvl="2">
      <w:start w:val="1"/>
      <w:numFmt w:val="lowerLetter"/>
      <w:lvlText w:val="%3)"/>
      <w:lvlJc w:val="left"/>
      <w:pPr>
        <w:ind w:left="1020" w:hanging="341"/>
        <w:jc w:val="left"/>
      </w:pPr>
      <w:rPr>
        <w:rFonts w:hint="default" w:ascii="Arial" w:hAnsi="Arial" w:eastAsia="Arial" w:cs="Arial"/>
        <w:color w:val="58595B"/>
        <w:spacing w:val="-10"/>
        <w:w w:val="100"/>
        <w:sz w:val="20"/>
        <w:szCs w:val="20"/>
      </w:rPr>
    </w:lvl>
    <w:lvl w:ilvl="3">
      <w:start w:val="1"/>
      <w:numFmt w:val="bullet"/>
      <w:lvlText w:val="•"/>
      <w:lvlJc w:val="left"/>
      <w:pPr>
        <w:ind w:left="1974" w:hanging="341"/>
      </w:pPr>
      <w:rPr>
        <w:rFonts w:hint="default"/>
      </w:rPr>
    </w:lvl>
    <w:lvl w:ilvl="4">
      <w:start w:val="1"/>
      <w:numFmt w:val="bullet"/>
      <w:lvlText w:val="•"/>
      <w:lvlJc w:val="left"/>
      <w:pPr>
        <w:ind w:left="2928" w:hanging="341"/>
      </w:pPr>
      <w:rPr>
        <w:rFonts w:hint="default"/>
      </w:rPr>
    </w:lvl>
    <w:lvl w:ilvl="5">
      <w:start w:val="1"/>
      <w:numFmt w:val="bullet"/>
      <w:lvlText w:val="•"/>
      <w:lvlJc w:val="left"/>
      <w:pPr>
        <w:ind w:left="3882" w:hanging="341"/>
      </w:pPr>
      <w:rPr>
        <w:rFonts w:hint="default"/>
      </w:rPr>
    </w:lvl>
    <w:lvl w:ilvl="6">
      <w:start w:val="1"/>
      <w:numFmt w:val="bullet"/>
      <w:lvlText w:val="•"/>
      <w:lvlJc w:val="left"/>
      <w:pPr>
        <w:ind w:left="4837" w:hanging="341"/>
      </w:pPr>
      <w:rPr>
        <w:rFonts w:hint="default"/>
      </w:rPr>
    </w:lvl>
    <w:lvl w:ilvl="7">
      <w:start w:val="1"/>
      <w:numFmt w:val="bullet"/>
      <w:lvlText w:val="•"/>
      <w:lvlJc w:val="left"/>
      <w:pPr>
        <w:ind w:left="5791" w:hanging="341"/>
      </w:pPr>
      <w:rPr>
        <w:rFonts w:hint="default"/>
      </w:rPr>
    </w:lvl>
    <w:lvl w:ilvl="8">
      <w:start w:val="1"/>
      <w:numFmt w:val="bullet"/>
      <w:lvlText w:val="•"/>
      <w:lvlJc w:val="left"/>
      <w:pPr>
        <w:ind w:left="6745" w:hanging="341"/>
      </w:pPr>
      <w:rPr>
        <w:rFonts w:hint="default"/>
      </w:rPr>
    </w:lvl>
  </w:abstractNum>
  <w:abstractNum w:abstractNumId="60">
    <w:multiLevelType w:val="hybridMultilevel"/>
    <w:lvl w:ilvl="0">
      <w:start w:val="1"/>
      <w:numFmt w:val="lowerRoman"/>
      <w:lvlText w:val="%1)"/>
      <w:lvlJc w:val="left"/>
      <w:pPr>
        <w:ind w:left="510" w:hanging="341"/>
        <w:jc w:val="left"/>
      </w:pPr>
      <w:rPr>
        <w:rFonts w:hint="default" w:ascii="Arial" w:hAnsi="Arial" w:eastAsia="Arial" w:cs="Arial"/>
        <w:color w:val="58595B"/>
        <w:spacing w:val="-4"/>
        <w:w w:val="100"/>
        <w:sz w:val="20"/>
        <w:szCs w:val="20"/>
      </w:rPr>
    </w:lvl>
    <w:lvl w:ilvl="1">
      <w:start w:val="1"/>
      <w:numFmt w:val="lowerLetter"/>
      <w:lvlText w:val="%2."/>
      <w:lvlJc w:val="left"/>
      <w:pPr>
        <w:ind w:left="850" w:hanging="341"/>
        <w:jc w:val="left"/>
      </w:pPr>
      <w:rPr>
        <w:rFonts w:hint="default" w:ascii="Arial" w:hAnsi="Arial" w:eastAsia="Arial" w:cs="Arial"/>
        <w:color w:val="58595B"/>
        <w:spacing w:val="-2"/>
        <w:w w:val="100"/>
        <w:sz w:val="20"/>
        <w:szCs w:val="20"/>
      </w:rPr>
    </w:lvl>
    <w:lvl w:ilvl="2">
      <w:start w:val="1"/>
      <w:numFmt w:val="bullet"/>
      <w:lvlText w:val="•"/>
      <w:lvlJc w:val="left"/>
      <w:pPr>
        <w:ind w:left="1726" w:hanging="341"/>
      </w:pPr>
      <w:rPr>
        <w:rFonts w:hint="default"/>
      </w:rPr>
    </w:lvl>
    <w:lvl w:ilvl="3">
      <w:start w:val="1"/>
      <w:numFmt w:val="bullet"/>
      <w:lvlText w:val="•"/>
      <w:lvlJc w:val="left"/>
      <w:pPr>
        <w:ind w:left="2592" w:hanging="341"/>
      </w:pPr>
      <w:rPr>
        <w:rFonts w:hint="default"/>
      </w:rPr>
    </w:lvl>
    <w:lvl w:ilvl="4">
      <w:start w:val="1"/>
      <w:numFmt w:val="bullet"/>
      <w:lvlText w:val="•"/>
      <w:lvlJc w:val="left"/>
      <w:pPr>
        <w:ind w:left="3458" w:hanging="341"/>
      </w:pPr>
      <w:rPr>
        <w:rFonts w:hint="default"/>
      </w:rPr>
    </w:lvl>
    <w:lvl w:ilvl="5">
      <w:start w:val="1"/>
      <w:numFmt w:val="bullet"/>
      <w:lvlText w:val="•"/>
      <w:lvlJc w:val="left"/>
      <w:pPr>
        <w:ind w:left="4324" w:hanging="341"/>
      </w:pPr>
      <w:rPr>
        <w:rFonts w:hint="default"/>
      </w:rPr>
    </w:lvl>
    <w:lvl w:ilvl="6">
      <w:start w:val="1"/>
      <w:numFmt w:val="bullet"/>
      <w:lvlText w:val="•"/>
      <w:lvlJc w:val="left"/>
      <w:pPr>
        <w:ind w:left="5190" w:hanging="341"/>
      </w:pPr>
      <w:rPr>
        <w:rFonts w:hint="default"/>
      </w:rPr>
    </w:lvl>
    <w:lvl w:ilvl="7">
      <w:start w:val="1"/>
      <w:numFmt w:val="bullet"/>
      <w:lvlText w:val="•"/>
      <w:lvlJc w:val="left"/>
      <w:pPr>
        <w:ind w:left="6056" w:hanging="341"/>
      </w:pPr>
      <w:rPr>
        <w:rFonts w:hint="default"/>
      </w:rPr>
    </w:lvl>
    <w:lvl w:ilvl="8">
      <w:start w:val="1"/>
      <w:numFmt w:val="bullet"/>
      <w:lvlText w:val="•"/>
      <w:lvlJc w:val="left"/>
      <w:pPr>
        <w:ind w:left="6922" w:hanging="341"/>
      </w:pPr>
      <w:rPr>
        <w:rFonts w:hint="default"/>
      </w:rPr>
    </w:lvl>
  </w:abstractNum>
  <w:abstractNum w:abstractNumId="59">
    <w:multiLevelType w:val="hybridMultilevel"/>
    <w:lvl w:ilvl="0">
      <w:start w:val="1"/>
      <w:numFmt w:val="lowerRoman"/>
      <w:lvlText w:val="%1)"/>
      <w:lvlJc w:val="left"/>
      <w:pPr>
        <w:ind w:left="510" w:hanging="341"/>
        <w:jc w:val="left"/>
      </w:pPr>
      <w:rPr>
        <w:rFonts w:hint="default" w:ascii="Arial" w:hAnsi="Arial" w:eastAsia="Arial" w:cs="Arial"/>
        <w:color w:val="58595B"/>
        <w:spacing w:val="-4"/>
        <w:w w:val="100"/>
        <w:sz w:val="20"/>
        <w:szCs w:val="20"/>
      </w:rPr>
    </w:lvl>
    <w:lvl w:ilvl="1">
      <w:start w:val="1"/>
      <w:numFmt w:val="bullet"/>
      <w:lvlText w:val="•"/>
      <w:lvlJc w:val="left"/>
      <w:pPr>
        <w:ind w:left="1333" w:hanging="341"/>
      </w:pPr>
      <w:rPr>
        <w:rFonts w:hint="default"/>
      </w:rPr>
    </w:lvl>
    <w:lvl w:ilvl="2">
      <w:start w:val="1"/>
      <w:numFmt w:val="bullet"/>
      <w:lvlText w:val="•"/>
      <w:lvlJc w:val="left"/>
      <w:pPr>
        <w:ind w:left="2146" w:hanging="341"/>
      </w:pPr>
      <w:rPr>
        <w:rFonts w:hint="default"/>
      </w:rPr>
    </w:lvl>
    <w:lvl w:ilvl="3">
      <w:start w:val="1"/>
      <w:numFmt w:val="bullet"/>
      <w:lvlText w:val="•"/>
      <w:lvlJc w:val="left"/>
      <w:pPr>
        <w:ind w:left="2960" w:hanging="341"/>
      </w:pPr>
      <w:rPr>
        <w:rFonts w:hint="default"/>
      </w:rPr>
    </w:lvl>
    <w:lvl w:ilvl="4">
      <w:start w:val="1"/>
      <w:numFmt w:val="bullet"/>
      <w:lvlText w:val="•"/>
      <w:lvlJc w:val="left"/>
      <w:pPr>
        <w:ind w:left="3773" w:hanging="341"/>
      </w:pPr>
      <w:rPr>
        <w:rFonts w:hint="default"/>
      </w:rPr>
    </w:lvl>
    <w:lvl w:ilvl="5">
      <w:start w:val="1"/>
      <w:numFmt w:val="bullet"/>
      <w:lvlText w:val="•"/>
      <w:lvlJc w:val="left"/>
      <w:pPr>
        <w:ind w:left="4587" w:hanging="341"/>
      </w:pPr>
      <w:rPr>
        <w:rFonts w:hint="default"/>
      </w:rPr>
    </w:lvl>
    <w:lvl w:ilvl="6">
      <w:start w:val="1"/>
      <w:numFmt w:val="bullet"/>
      <w:lvlText w:val="•"/>
      <w:lvlJc w:val="left"/>
      <w:pPr>
        <w:ind w:left="5400" w:hanging="341"/>
      </w:pPr>
      <w:rPr>
        <w:rFonts w:hint="default"/>
      </w:rPr>
    </w:lvl>
    <w:lvl w:ilvl="7">
      <w:start w:val="1"/>
      <w:numFmt w:val="bullet"/>
      <w:lvlText w:val="•"/>
      <w:lvlJc w:val="left"/>
      <w:pPr>
        <w:ind w:left="6213" w:hanging="341"/>
      </w:pPr>
      <w:rPr>
        <w:rFonts w:hint="default"/>
      </w:rPr>
    </w:lvl>
    <w:lvl w:ilvl="8">
      <w:start w:val="1"/>
      <w:numFmt w:val="bullet"/>
      <w:lvlText w:val="•"/>
      <w:lvlJc w:val="left"/>
      <w:pPr>
        <w:ind w:left="7027" w:hanging="341"/>
      </w:pPr>
      <w:rPr>
        <w:rFonts w:hint="default"/>
      </w:rPr>
    </w:lvl>
  </w:abstractNum>
  <w:abstractNum w:abstractNumId="58">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51" w:hanging="170"/>
      </w:pPr>
      <w:rPr>
        <w:rFonts w:hint="default"/>
      </w:rPr>
    </w:lvl>
    <w:lvl w:ilvl="2">
      <w:start w:val="1"/>
      <w:numFmt w:val="bullet"/>
      <w:lvlText w:val="•"/>
      <w:lvlJc w:val="left"/>
      <w:pPr>
        <w:ind w:left="1902" w:hanging="170"/>
      </w:pPr>
      <w:rPr>
        <w:rFonts w:hint="default"/>
      </w:rPr>
    </w:lvl>
    <w:lvl w:ilvl="3">
      <w:start w:val="1"/>
      <w:numFmt w:val="bullet"/>
      <w:lvlText w:val="•"/>
      <w:lvlJc w:val="left"/>
      <w:pPr>
        <w:ind w:left="2753" w:hanging="170"/>
      </w:pPr>
      <w:rPr>
        <w:rFonts w:hint="default"/>
      </w:rPr>
    </w:lvl>
    <w:lvl w:ilvl="4">
      <w:start w:val="1"/>
      <w:numFmt w:val="bullet"/>
      <w:lvlText w:val="•"/>
      <w:lvlJc w:val="left"/>
      <w:pPr>
        <w:ind w:left="3605" w:hanging="170"/>
      </w:pPr>
      <w:rPr>
        <w:rFonts w:hint="default"/>
      </w:rPr>
    </w:lvl>
    <w:lvl w:ilvl="5">
      <w:start w:val="1"/>
      <w:numFmt w:val="bullet"/>
      <w:lvlText w:val="•"/>
      <w:lvlJc w:val="left"/>
      <w:pPr>
        <w:ind w:left="4456" w:hanging="170"/>
      </w:pPr>
      <w:rPr>
        <w:rFonts w:hint="default"/>
      </w:rPr>
    </w:lvl>
    <w:lvl w:ilvl="6">
      <w:start w:val="1"/>
      <w:numFmt w:val="bullet"/>
      <w:lvlText w:val="•"/>
      <w:lvlJc w:val="left"/>
      <w:pPr>
        <w:ind w:left="5307"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7010" w:hanging="170"/>
      </w:pPr>
      <w:rPr>
        <w:rFonts w:hint="default"/>
      </w:rPr>
    </w:lvl>
  </w:abstractNum>
  <w:abstractNum w:abstractNumId="57">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761" w:hanging="170"/>
      </w:pPr>
      <w:rPr>
        <w:rFonts w:hint="default"/>
      </w:rPr>
    </w:lvl>
    <w:lvl w:ilvl="2">
      <w:start w:val="1"/>
      <w:numFmt w:val="bullet"/>
      <w:lvlText w:val="•"/>
      <w:lvlJc w:val="left"/>
      <w:pPr>
        <w:ind w:left="1323" w:hanging="170"/>
      </w:pPr>
      <w:rPr>
        <w:rFonts w:hint="default"/>
      </w:rPr>
    </w:lvl>
    <w:lvl w:ilvl="3">
      <w:start w:val="1"/>
      <w:numFmt w:val="bullet"/>
      <w:lvlText w:val="•"/>
      <w:lvlJc w:val="left"/>
      <w:pPr>
        <w:ind w:left="1885" w:hanging="170"/>
      </w:pPr>
      <w:rPr>
        <w:rFonts w:hint="default"/>
      </w:rPr>
    </w:lvl>
    <w:lvl w:ilvl="4">
      <w:start w:val="1"/>
      <w:numFmt w:val="bullet"/>
      <w:lvlText w:val="•"/>
      <w:lvlJc w:val="left"/>
      <w:pPr>
        <w:ind w:left="2447" w:hanging="170"/>
      </w:pPr>
      <w:rPr>
        <w:rFonts w:hint="default"/>
      </w:rPr>
    </w:lvl>
    <w:lvl w:ilvl="5">
      <w:start w:val="1"/>
      <w:numFmt w:val="bullet"/>
      <w:lvlText w:val="•"/>
      <w:lvlJc w:val="left"/>
      <w:pPr>
        <w:ind w:left="3009" w:hanging="170"/>
      </w:pPr>
      <w:rPr>
        <w:rFonts w:hint="default"/>
      </w:rPr>
    </w:lvl>
    <w:lvl w:ilvl="6">
      <w:start w:val="1"/>
      <w:numFmt w:val="bullet"/>
      <w:lvlText w:val="•"/>
      <w:lvlJc w:val="left"/>
      <w:pPr>
        <w:ind w:left="3571" w:hanging="170"/>
      </w:pPr>
      <w:rPr>
        <w:rFonts w:hint="default"/>
      </w:rPr>
    </w:lvl>
    <w:lvl w:ilvl="7">
      <w:start w:val="1"/>
      <w:numFmt w:val="bullet"/>
      <w:lvlText w:val="•"/>
      <w:lvlJc w:val="left"/>
      <w:pPr>
        <w:ind w:left="4133" w:hanging="170"/>
      </w:pPr>
      <w:rPr>
        <w:rFonts w:hint="default"/>
      </w:rPr>
    </w:lvl>
    <w:lvl w:ilvl="8">
      <w:start w:val="1"/>
      <w:numFmt w:val="bullet"/>
      <w:lvlText w:val="•"/>
      <w:lvlJc w:val="left"/>
      <w:pPr>
        <w:ind w:left="4695" w:hanging="170"/>
      </w:pPr>
      <w:rPr>
        <w:rFonts w:hint="default"/>
      </w:rPr>
    </w:lvl>
  </w:abstractNum>
  <w:abstractNum w:abstractNumId="56">
    <w:multiLevelType w:val="hybridMultilevel"/>
    <w:lvl w:ilvl="0">
      <w:start w:val="1"/>
      <w:numFmt w:val="bullet"/>
      <w:lvlText w:val="•"/>
      <w:lvlJc w:val="left"/>
      <w:pPr>
        <w:ind w:left="190" w:hanging="170"/>
      </w:pPr>
      <w:rPr>
        <w:rFonts w:hint="default" w:ascii="Arial" w:hAnsi="Arial" w:eastAsia="Arial" w:cs="Arial"/>
        <w:color w:val="0095A7"/>
        <w:spacing w:val="-16"/>
        <w:w w:val="100"/>
        <w:sz w:val="20"/>
        <w:szCs w:val="20"/>
      </w:rPr>
    </w:lvl>
    <w:lvl w:ilvl="1">
      <w:start w:val="1"/>
      <w:numFmt w:val="bullet"/>
      <w:lvlText w:val="•"/>
      <w:lvlJc w:val="left"/>
      <w:pPr>
        <w:ind w:left="1002" w:hanging="170"/>
      </w:pPr>
      <w:rPr>
        <w:rFonts w:hint="default"/>
      </w:rPr>
    </w:lvl>
    <w:lvl w:ilvl="2">
      <w:start w:val="1"/>
      <w:numFmt w:val="bullet"/>
      <w:lvlText w:val="•"/>
      <w:lvlJc w:val="left"/>
      <w:pPr>
        <w:ind w:left="1804" w:hanging="170"/>
      </w:pPr>
      <w:rPr>
        <w:rFonts w:hint="default"/>
      </w:rPr>
    </w:lvl>
    <w:lvl w:ilvl="3">
      <w:start w:val="1"/>
      <w:numFmt w:val="bullet"/>
      <w:lvlText w:val="•"/>
      <w:lvlJc w:val="left"/>
      <w:pPr>
        <w:ind w:left="2606" w:hanging="170"/>
      </w:pPr>
      <w:rPr>
        <w:rFonts w:hint="default"/>
      </w:rPr>
    </w:lvl>
    <w:lvl w:ilvl="4">
      <w:start w:val="1"/>
      <w:numFmt w:val="bullet"/>
      <w:lvlText w:val="•"/>
      <w:lvlJc w:val="left"/>
      <w:pPr>
        <w:ind w:left="3408" w:hanging="170"/>
      </w:pPr>
      <w:rPr>
        <w:rFonts w:hint="default"/>
      </w:rPr>
    </w:lvl>
    <w:lvl w:ilvl="5">
      <w:start w:val="1"/>
      <w:numFmt w:val="bullet"/>
      <w:lvlText w:val="•"/>
      <w:lvlJc w:val="left"/>
      <w:pPr>
        <w:ind w:left="4210" w:hanging="170"/>
      </w:pPr>
      <w:rPr>
        <w:rFonts w:hint="default"/>
      </w:rPr>
    </w:lvl>
    <w:lvl w:ilvl="6">
      <w:start w:val="1"/>
      <w:numFmt w:val="bullet"/>
      <w:lvlText w:val="•"/>
      <w:lvlJc w:val="left"/>
      <w:pPr>
        <w:ind w:left="5012" w:hanging="170"/>
      </w:pPr>
      <w:rPr>
        <w:rFonts w:hint="default"/>
      </w:rPr>
    </w:lvl>
    <w:lvl w:ilvl="7">
      <w:start w:val="1"/>
      <w:numFmt w:val="bullet"/>
      <w:lvlText w:val="•"/>
      <w:lvlJc w:val="left"/>
      <w:pPr>
        <w:ind w:left="5814" w:hanging="170"/>
      </w:pPr>
      <w:rPr>
        <w:rFonts w:hint="default"/>
      </w:rPr>
    </w:lvl>
    <w:lvl w:ilvl="8">
      <w:start w:val="1"/>
      <w:numFmt w:val="bullet"/>
      <w:lvlText w:val="•"/>
      <w:lvlJc w:val="left"/>
      <w:pPr>
        <w:ind w:left="6616" w:hanging="170"/>
      </w:pPr>
      <w:rPr>
        <w:rFonts w:hint="default"/>
      </w:rPr>
    </w:lvl>
  </w:abstractNum>
  <w:abstractNum w:abstractNumId="55">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19" w:hanging="170"/>
      </w:pPr>
      <w:rPr>
        <w:rFonts w:hint="default"/>
      </w:rPr>
    </w:lvl>
    <w:lvl w:ilvl="2">
      <w:start w:val="1"/>
      <w:numFmt w:val="bullet"/>
      <w:lvlText w:val="•"/>
      <w:lvlJc w:val="left"/>
      <w:pPr>
        <w:ind w:left="1838" w:hanging="170"/>
      </w:pPr>
      <w:rPr>
        <w:rFonts w:hint="default"/>
      </w:rPr>
    </w:lvl>
    <w:lvl w:ilvl="3">
      <w:start w:val="1"/>
      <w:numFmt w:val="bullet"/>
      <w:lvlText w:val="•"/>
      <w:lvlJc w:val="left"/>
      <w:pPr>
        <w:ind w:left="2657" w:hanging="170"/>
      </w:pPr>
      <w:rPr>
        <w:rFonts w:hint="default"/>
      </w:rPr>
    </w:lvl>
    <w:lvl w:ilvl="4">
      <w:start w:val="1"/>
      <w:numFmt w:val="bullet"/>
      <w:lvlText w:val="•"/>
      <w:lvlJc w:val="left"/>
      <w:pPr>
        <w:ind w:left="3476" w:hanging="170"/>
      </w:pPr>
      <w:rPr>
        <w:rFonts w:hint="default"/>
      </w:rPr>
    </w:lvl>
    <w:lvl w:ilvl="5">
      <w:start w:val="1"/>
      <w:numFmt w:val="bullet"/>
      <w:lvlText w:val="•"/>
      <w:lvlJc w:val="left"/>
      <w:pPr>
        <w:ind w:left="4296" w:hanging="170"/>
      </w:pPr>
      <w:rPr>
        <w:rFonts w:hint="default"/>
      </w:rPr>
    </w:lvl>
    <w:lvl w:ilvl="6">
      <w:start w:val="1"/>
      <w:numFmt w:val="bullet"/>
      <w:lvlText w:val="•"/>
      <w:lvlJc w:val="left"/>
      <w:pPr>
        <w:ind w:left="5115" w:hanging="170"/>
      </w:pPr>
      <w:rPr>
        <w:rFonts w:hint="default"/>
      </w:rPr>
    </w:lvl>
    <w:lvl w:ilvl="7">
      <w:start w:val="1"/>
      <w:numFmt w:val="bullet"/>
      <w:lvlText w:val="•"/>
      <w:lvlJc w:val="left"/>
      <w:pPr>
        <w:ind w:left="5934" w:hanging="170"/>
      </w:pPr>
      <w:rPr>
        <w:rFonts w:hint="default"/>
      </w:rPr>
    </w:lvl>
    <w:lvl w:ilvl="8">
      <w:start w:val="1"/>
      <w:numFmt w:val="bullet"/>
      <w:lvlText w:val="•"/>
      <w:lvlJc w:val="left"/>
      <w:pPr>
        <w:ind w:left="6753" w:hanging="170"/>
      </w:pPr>
      <w:rPr>
        <w:rFonts w:hint="default"/>
      </w:rPr>
    </w:lvl>
  </w:abstractNum>
  <w:abstractNum w:abstractNumId="54">
    <w:multiLevelType w:val="hybridMultilevel"/>
    <w:lvl w:ilvl="0">
      <w:start w:val="1"/>
      <w:numFmt w:val="bullet"/>
      <w:lvlText w:val="•"/>
      <w:lvlJc w:val="left"/>
      <w:pPr>
        <w:ind w:left="340" w:hanging="170"/>
      </w:pPr>
      <w:rPr>
        <w:rFonts w:hint="default" w:ascii="Arial" w:hAnsi="Arial" w:eastAsia="Arial" w:cs="Arial"/>
        <w:color w:val="0095A7"/>
        <w:spacing w:val="-12"/>
        <w:w w:val="100"/>
        <w:sz w:val="20"/>
        <w:szCs w:val="20"/>
      </w:rPr>
    </w:lvl>
    <w:lvl w:ilvl="1">
      <w:start w:val="1"/>
      <w:numFmt w:val="bullet"/>
      <w:lvlText w:val="•"/>
      <w:lvlJc w:val="left"/>
      <w:pPr>
        <w:ind w:left="1171" w:hanging="170"/>
      </w:pPr>
      <w:rPr>
        <w:rFonts w:hint="default"/>
      </w:rPr>
    </w:lvl>
    <w:lvl w:ilvl="2">
      <w:start w:val="1"/>
      <w:numFmt w:val="bullet"/>
      <w:lvlText w:val="•"/>
      <w:lvlJc w:val="left"/>
      <w:pPr>
        <w:ind w:left="2002" w:hanging="170"/>
      </w:pPr>
      <w:rPr>
        <w:rFonts w:hint="default"/>
      </w:rPr>
    </w:lvl>
    <w:lvl w:ilvl="3">
      <w:start w:val="1"/>
      <w:numFmt w:val="bullet"/>
      <w:lvlText w:val="•"/>
      <w:lvlJc w:val="left"/>
      <w:pPr>
        <w:ind w:left="2834" w:hanging="170"/>
      </w:pPr>
      <w:rPr>
        <w:rFonts w:hint="default"/>
      </w:rPr>
    </w:lvl>
    <w:lvl w:ilvl="4">
      <w:start w:val="1"/>
      <w:numFmt w:val="bullet"/>
      <w:lvlText w:val="•"/>
      <w:lvlJc w:val="left"/>
      <w:pPr>
        <w:ind w:left="3665" w:hanging="170"/>
      </w:pPr>
      <w:rPr>
        <w:rFonts w:hint="default"/>
      </w:rPr>
    </w:lvl>
    <w:lvl w:ilvl="5">
      <w:start w:val="1"/>
      <w:numFmt w:val="bullet"/>
      <w:lvlText w:val="•"/>
      <w:lvlJc w:val="left"/>
      <w:pPr>
        <w:ind w:left="4497" w:hanging="170"/>
      </w:pPr>
      <w:rPr>
        <w:rFonts w:hint="default"/>
      </w:rPr>
    </w:lvl>
    <w:lvl w:ilvl="6">
      <w:start w:val="1"/>
      <w:numFmt w:val="bullet"/>
      <w:lvlText w:val="•"/>
      <w:lvlJc w:val="left"/>
      <w:pPr>
        <w:ind w:left="532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6991" w:hanging="170"/>
      </w:pPr>
      <w:rPr>
        <w:rFonts w:hint="default"/>
      </w:rPr>
    </w:lvl>
  </w:abstractNum>
  <w:abstractNum w:abstractNumId="53">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27" w:hanging="170"/>
      </w:pPr>
      <w:rPr>
        <w:rFonts w:hint="default"/>
      </w:rPr>
    </w:lvl>
    <w:lvl w:ilvl="2">
      <w:start w:val="1"/>
      <w:numFmt w:val="bullet"/>
      <w:lvlText w:val="•"/>
      <w:lvlJc w:val="left"/>
      <w:pPr>
        <w:ind w:left="1855" w:hanging="170"/>
      </w:pPr>
      <w:rPr>
        <w:rFonts w:hint="default"/>
      </w:rPr>
    </w:lvl>
    <w:lvl w:ilvl="3">
      <w:start w:val="1"/>
      <w:numFmt w:val="bullet"/>
      <w:lvlText w:val="•"/>
      <w:lvlJc w:val="left"/>
      <w:pPr>
        <w:ind w:left="2683" w:hanging="170"/>
      </w:pPr>
      <w:rPr>
        <w:rFonts w:hint="default"/>
      </w:rPr>
    </w:lvl>
    <w:lvl w:ilvl="4">
      <w:start w:val="1"/>
      <w:numFmt w:val="bullet"/>
      <w:lvlText w:val="•"/>
      <w:lvlJc w:val="left"/>
      <w:pPr>
        <w:ind w:left="3511" w:hanging="170"/>
      </w:pPr>
      <w:rPr>
        <w:rFonts w:hint="default"/>
      </w:rPr>
    </w:lvl>
    <w:lvl w:ilvl="5">
      <w:start w:val="1"/>
      <w:numFmt w:val="bullet"/>
      <w:lvlText w:val="•"/>
      <w:lvlJc w:val="left"/>
      <w:pPr>
        <w:ind w:left="4339" w:hanging="170"/>
      </w:pPr>
      <w:rPr>
        <w:rFonts w:hint="default"/>
      </w:rPr>
    </w:lvl>
    <w:lvl w:ilvl="6">
      <w:start w:val="1"/>
      <w:numFmt w:val="bullet"/>
      <w:lvlText w:val="•"/>
      <w:lvlJc w:val="left"/>
      <w:pPr>
        <w:ind w:left="5167" w:hanging="170"/>
      </w:pPr>
      <w:rPr>
        <w:rFonts w:hint="default"/>
      </w:rPr>
    </w:lvl>
    <w:lvl w:ilvl="7">
      <w:start w:val="1"/>
      <w:numFmt w:val="bullet"/>
      <w:lvlText w:val="•"/>
      <w:lvlJc w:val="left"/>
      <w:pPr>
        <w:ind w:left="5995" w:hanging="170"/>
      </w:pPr>
      <w:rPr>
        <w:rFonts w:hint="default"/>
      </w:rPr>
    </w:lvl>
    <w:lvl w:ilvl="8">
      <w:start w:val="1"/>
      <w:numFmt w:val="bullet"/>
      <w:lvlText w:val="•"/>
      <w:lvlJc w:val="left"/>
      <w:pPr>
        <w:ind w:left="6823" w:hanging="170"/>
      </w:pPr>
      <w:rPr>
        <w:rFonts w:hint="default"/>
      </w:rPr>
    </w:lvl>
  </w:abstractNum>
  <w:abstractNum w:abstractNumId="52">
    <w:multiLevelType w:val="hybridMultilevel"/>
    <w:lvl w:ilvl="0">
      <w:start w:val="1"/>
      <w:numFmt w:val="bullet"/>
      <w:lvlText w:val="•"/>
      <w:lvlJc w:val="left"/>
      <w:pPr>
        <w:ind w:left="340" w:hanging="170"/>
      </w:pPr>
      <w:rPr>
        <w:rFonts w:hint="default" w:ascii="Arial" w:hAnsi="Arial" w:eastAsia="Arial" w:cs="Arial"/>
        <w:color w:val="0095A7"/>
        <w:spacing w:val="-12"/>
        <w:w w:val="100"/>
        <w:sz w:val="20"/>
        <w:szCs w:val="20"/>
      </w:rPr>
    </w:lvl>
    <w:lvl w:ilvl="1">
      <w:start w:val="1"/>
      <w:numFmt w:val="bullet"/>
      <w:lvlText w:val="•"/>
      <w:lvlJc w:val="left"/>
      <w:pPr>
        <w:ind w:left="1171" w:hanging="170"/>
      </w:pPr>
      <w:rPr>
        <w:rFonts w:hint="default"/>
      </w:rPr>
    </w:lvl>
    <w:lvl w:ilvl="2">
      <w:start w:val="1"/>
      <w:numFmt w:val="bullet"/>
      <w:lvlText w:val="•"/>
      <w:lvlJc w:val="left"/>
      <w:pPr>
        <w:ind w:left="2002" w:hanging="170"/>
      </w:pPr>
      <w:rPr>
        <w:rFonts w:hint="default"/>
      </w:rPr>
    </w:lvl>
    <w:lvl w:ilvl="3">
      <w:start w:val="1"/>
      <w:numFmt w:val="bullet"/>
      <w:lvlText w:val="•"/>
      <w:lvlJc w:val="left"/>
      <w:pPr>
        <w:ind w:left="2834" w:hanging="170"/>
      </w:pPr>
      <w:rPr>
        <w:rFonts w:hint="default"/>
      </w:rPr>
    </w:lvl>
    <w:lvl w:ilvl="4">
      <w:start w:val="1"/>
      <w:numFmt w:val="bullet"/>
      <w:lvlText w:val="•"/>
      <w:lvlJc w:val="left"/>
      <w:pPr>
        <w:ind w:left="3665" w:hanging="170"/>
      </w:pPr>
      <w:rPr>
        <w:rFonts w:hint="default"/>
      </w:rPr>
    </w:lvl>
    <w:lvl w:ilvl="5">
      <w:start w:val="1"/>
      <w:numFmt w:val="bullet"/>
      <w:lvlText w:val="•"/>
      <w:lvlJc w:val="left"/>
      <w:pPr>
        <w:ind w:left="4497" w:hanging="170"/>
      </w:pPr>
      <w:rPr>
        <w:rFonts w:hint="default"/>
      </w:rPr>
    </w:lvl>
    <w:lvl w:ilvl="6">
      <w:start w:val="1"/>
      <w:numFmt w:val="bullet"/>
      <w:lvlText w:val="•"/>
      <w:lvlJc w:val="left"/>
      <w:pPr>
        <w:ind w:left="532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6991" w:hanging="170"/>
      </w:pPr>
      <w:rPr>
        <w:rFonts w:hint="default"/>
      </w:rPr>
    </w:lvl>
  </w:abstractNum>
  <w:abstractNum w:abstractNumId="51">
    <w:multiLevelType w:val="hybridMultilevel"/>
    <w:lvl w:ilvl="0">
      <w:start w:val="1"/>
      <w:numFmt w:val="bullet"/>
      <w:lvlText w:val="•"/>
      <w:lvlJc w:val="left"/>
      <w:pPr>
        <w:ind w:left="340" w:hanging="170"/>
      </w:pPr>
      <w:rPr>
        <w:rFonts w:hint="default" w:ascii="Arial" w:hAnsi="Arial" w:eastAsia="Arial" w:cs="Arial"/>
        <w:color w:val="0095A7"/>
        <w:spacing w:val="-12"/>
        <w:w w:val="100"/>
        <w:sz w:val="20"/>
        <w:szCs w:val="20"/>
      </w:rPr>
    </w:lvl>
    <w:lvl w:ilvl="1">
      <w:start w:val="1"/>
      <w:numFmt w:val="bullet"/>
      <w:lvlText w:val="•"/>
      <w:lvlJc w:val="left"/>
      <w:pPr>
        <w:ind w:left="1171" w:hanging="170"/>
      </w:pPr>
      <w:rPr>
        <w:rFonts w:hint="default"/>
      </w:rPr>
    </w:lvl>
    <w:lvl w:ilvl="2">
      <w:start w:val="1"/>
      <w:numFmt w:val="bullet"/>
      <w:lvlText w:val="•"/>
      <w:lvlJc w:val="left"/>
      <w:pPr>
        <w:ind w:left="2002" w:hanging="170"/>
      </w:pPr>
      <w:rPr>
        <w:rFonts w:hint="default"/>
      </w:rPr>
    </w:lvl>
    <w:lvl w:ilvl="3">
      <w:start w:val="1"/>
      <w:numFmt w:val="bullet"/>
      <w:lvlText w:val="•"/>
      <w:lvlJc w:val="left"/>
      <w:pPr>
        <w:ind w:left="2834" w:hanging="170"/>
      </w:pPr>
      <w:rPr>
        <w:rFonts w:hint="default"/>
      </w:rPr>
    </w:lvl>
    <w:lvl w:ilvl="4">
      <w:start w:val="1"/>
      <w:numFmt w:val="bullet"/>
      <w:lvlText w:val="•"/>
      <w:lvlJc w:val="left"/>
      <w:pPr>
        <w:ind w:left="3665" w:hanging="170"/>
      </w:pPr>
      <w:rPr>
        <w:rFonts w:hint="default"/>
      </w:rPr>
    </w:lvl>
    <w:lvl w:ilvl="5">
      <w:start w:val="1"/>
      <w:numFmt w:val="bullet"/>
      <w:lvlText w:val="•"/>
      <w:lvlJc w:val="left"/>
      <w:pPr>
        <w:ind w:left="4497" w:hanging="170"/>
      </w:pPr>
      <w:rPr>
        <w:rFonts w:hint="default"/>
      </w:rPr>
    </w:lvl>
    <w:lvl w:ilvl="6">
      <w:start w:val="1"/>
      <w:numFmt w:val="bullet"/>
      <w:lvlText w:val="•"/>
      <w:lvlJc w:val="left"/>
      <w:pPr>
        <w:ind w:left="532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6991" w:hanging="170"/>
      </w:pPr>
      <w:rPr>
        <w:rFonts w:hint="default"/>
      </w:rPr>
    </w:lvl>
  </w:abstractNum>
  <w:abstractNum w:abstractNumId="50">
    <w:multiLevelType w:val="hybridMultilevel"/>
    <w:lvl w:ilvl="0">
      <w:start w:val="1"/>
      <w:numFmt w:val="bullet"/>
      <w:lvlText w:val="•"/>
      <w:lvlJc w:val="left"/>
      <w:pPr>
        <w:ind w:left="190" w:hanging="170"/>
      </w:pPr>
      <w:rPr>
        <w:rFonts w:hint="default" w:ascii="Arial" w:hAnsi="Arial" w:eastAsia="Arial" w:cs="Arial"/>
        <w:color w:val="0095A7"/>
        <w:spacing w:val="-24"/>
        <w:w w:val="100"/>
        <w:sz w:val="20"/>
        <w:szCs w:val="20"/>
      </w:rPr>
    </w:lvl>
    <w:lvl w:ilvl="1">
      <w:start w:val="1"/>
      <w:numFmt w:val="bullet"/>
      <w:lvlText w:val="•"/>
      <w:lvlJc w:val="left"/>
      <w:pPr>
        <w:ind w:left="1051" w:hanging="170"/>
      </w:pPr>
      <w:rPr>
        <w:rFonts w:hint="default"/>
      </w:rPr>
    </w:lvl>
    <w:lvl w:ilvl="2">
      <w:start w:val="1"/>
      <w:numFmt w:val="bullet"/>
      <w:lvlText w:val="•"/>
      <w:lvlJc w:val="left"/>
      <w:pPr>
        <w:ind w:left="1902" w:hanging="170"/>
      </w:pPr>
      <w:rPr>
        <w:rFonts w:hint="default"/>
      </w:rPr>
    </w:lvl>
    <w:lvl w:ilvl="3">
      <w:start w:val="1"/>
      <w:numFmt w:val="bullet"/>
      <w:lvlText w:val="•"/>
      <w:lvlJc w:val="left"/>
      <w:pPr>
        <w:ind w:left="2754" w:hanging="170"/>
      </w:pPr>
      <w:rPr>
        <w:rFonts w:hint="default"/>
      </w:rPr>
    </w:lvl>
    <w:lvl w:ilvl="4">
      <w:start w:val="1"/>
      <w:numFmt w:val="bullet"/>
      <w:lvlText w:val="•"/>
      <w:lvlJc w:val="left"/>
      <w:pPr>
        <w:ind w:left="3605" w:hanging="170"/>
      </w:pPr>
      <w:rPr>
        <w:rFonts w:hint="default"/>
      </w:rPr>
    </w:lvl>
    <w:lvl w:ilvl="5">
      <w:start w:val="1"/>
      <w:numFmt w:val="bullet"/>
      <w:lvlText w:val="•"/>
      <w:lvlJc w:val="left"/>
      <w:pPr>
        <w:ind w:left="4457" w:hanging="170"/>
      </w:pPr>
      <w:rPr>
        <w:rFonts w:hint="default"/>
      </w:rPr>
    </w:lvl>
    <w:lvl w:ilvl="6">
      <w:start w:val="1"/>
      <w:numFmt w:val="bullet"/>
      <w:lvlText w:val="•"/>
      <w:lvlJc w:val="left"/>
      <w:pPr>
        <w:ind w:left="530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7011" w:hanging="170"/>
      </w:pPr>
      <w:rPr>
        <w:rFonts w:hint="default"/>
      </w:rPr>
    </w:lvl>
  </w:abstractNum>
  <w:abstractNum w:abstractNumId="49">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45" w:hanging="170"/>
      </w:pPr>
      <w:rPr>
        <w:rFonts w:hint="default"/>
      </w:rPr>
    </w:lvl>
    <w:lvl w:ilvl="2">
      <w:start w:val="1"/>
      <w:numFmt w:val="bullet"/>
      <w:lvlText w:val="•"/>
      <w:lvlJc w:val="left"/>
      <w:pPr>
        <w:ind w:left="1890" w:hanging="170"/>
      </w:pPr>
      <w:rPr>
        <w:rFonts w:hint="default"/>
      </w:rPr>
    </w:lvl>
    <w:lvl w:ilvl="3">
      <w:start w:val="1"/>
      <w:numFmt w:val="bullet"/>
      <w:lvlText w:val="•"/>
      <w:lvlJc w:val="left"/>
      <w:pPr>
        <w:ind w:left="2735" w:hanging="170"/>
      </w:pPr>
      <w:rPr>
        <w:rFonts w:hint="default"/>
      </w:rPr>
    </w:lvl>
    <w:lvl w:ilvl="4">
      <w:start w:val="1"/>
      <w:numFmt w:val="bullet"/>
      <w:lvlText w:val="•"/>
      <w:lvlJc w:val="left"/>
      <w:pPr>
        <w:ind w:left="3581" w:hanging="170"/>
      </w:pPr>
      <w:rPr>
        <w:rFonts w:hint="default"/>
      </w:rPr>
    </w:lvl>
    <w:lvl w:ilvl="5">
      <w:start w:val="1"/>
      <w:numFmt w:val="bullet"/>
      <w:lvlText w:val="•"/>
      <w:lvlJc w:val="left"/>
      <w:pPr>
        <w:ind w:left="4426" w:hanging="170"/>
      </w:pPr>
      <w:rPr>
        <w:rFonts w:hint="default"/>
      </w:rPr>
    </w:lvl>
    <w:lvl w:ilvl="6">
      <w:start w:val="1"/>
      <w:numFmt w:val="bullet"/>
      <w:lvlText w:val="•"/>
      <w:lvlJc w:val="left"/>
      <w:pPr>
        <w:ind w:left="5271" w:hanging="170"/>
      </w:pPr>
      <w:rPr>
        <w:rFonts w:hint="default"/>
      </w:rPr>
    </w:lvl>
    <w:lvl w:ilvl="7">
      <w:start w:val="1"/>
      <w:numFmt w:val="bullet"/>
      <w:lvlText w:val="•"/>
      <w:lvlJc w:val="left"/>
      <w:pPr>
        <w:ind w:left="6117" w:hanging="170"/>
      </w:pPr>
      <w:rPr>
        <w:rFonts w:hint="default"/>
      </w:rPr>
    </w:lvl>
    <w:lvl w:ilvl="8">
      <w:start w:val="1"/>
      <w:numFmt w:val="bullet"/>
      <w:lvlText w:val="•"/>
      <w:lvlJc w:val="left"/>
      <w:pPr>
        <w:ind w:left="6962" w:hanging="170"/>
      </w:pPr>
      <w:rPr>
        <w:rFonts w:hint="default"/>
      </w:rPr>
    </w:lvl>
  </w:abstractNum>
  <w:abstractNum w:abstractNumId="48">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29" w:hanging="170"/>
      </w:pPr>
      <w:rPr>
        <w:rFonts w:hint="default"/>
      </w:rPr>
    </w:lvl>
    <w:lvl w:ilvl="2">
      <w:start w:val="1"/>
      <w:numFmt w:val="bullet"/>
      <w:lvlText w:val="•"/>
      <w:lvlJc w:val="left"/>
      <w:pPr>
        <w:ind w:left="1859" w:hanging="170"/>
      </w:pPr>
      <w:rPr>
        <w:rFonts w:hint="default"/>
      </w:rPr>
    </w:lvl>
    <w:lvl w:ilvl="3">
      <w:start w:val="1"/>
      <w:numFmt w:val="bullet"/>
      <w:lvlText w:val="•"/>
      <w:lvlJc w:val="left"/>
      <w:pPr>
        <w:ind w:left="2688" w:hanging="170"/>
      </w:pPr>
      <w:rPr>
        <w:rFonts w:hint="default"/>
      </w:rPr>
    </w:lvl>
    <w:lvl w:ilvl="4">
      <w:start w:val="1"/>
      <w:numFmt w:val="bullet"/>
      <w:lvlText w:val="•"/>
      <w:lvlJc w:val="left"/>
      <w:pPr>
        <w:ind w:left="3518" w:hanging="170"/>
      </w:pPr>
      <w:rPr>
        <w:rFonts w:hint="default"/>
      </w:rPr>
    </w:lvl>
    <w:lvl w:ilvl="5">
      <w:start w:val="1"/>
      <w:numFmt w:val="bullet"/>
      <w:lvlText w:val="•"/>
      <w:lvlJc w:val="left"/>
      <w:pPr>
        <w:ind w:left="4347" w:hanging="170"/>
      </w:pPr>
      <w:rPr>
        <w:rFonts w:hint="default"/>
      </w:rPr>
    </w:lvl>
    <w:lvl w:ilvl="6">
      <w:start w:val="1"/>
      <w:numFmt w:val="bullet"/>
      <w:lvlText w:val="•"/>
      <w:lvlJc w:val="left"/>
      <w:pPr>
        <w:ind w:left="5177" w:hanging="170"/>
      </w:pPr>
      <w:rPr>
        <w:rFonts w:hint="default"/>
      </w:rPr>
    </w:lvl>
    <w:lvl w:ilvl="7">
      <w:start w:val="1"/>
      <w:numFmt w:val="bullet"/>
      <w:lvlText w:val="•"/>
      <w:lvlJc w:val="left"/>
      <w:pPr>
        <w:ind w:left="6006" w:hanging="170"/>
      </w:pPr>
      <w:rPr>
        <w:rFonts w:hint="default"/>
      </w:rPr>
    </w:lvl>
    <w:lvl w:ilvl="8">
      <w:start w:val="1"/>
      <w:numFmt w:val="bullet"/>
      <w:lvlText w:val="•"/>
      <w:lvlJc w:val="left"/>
      <w:pPr>
        <w:ind w:left="6836" w:hanging="170"/>
      </w:pPr>
      <w:rPr>
        <w:rFonts w:hint="default"/>
      </w:rPr>
    </w:lvl>
  </w:abstractNum>
  <w:abstractNum w:abstractNumId="47">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26" w:hanging="170"/>
      </w:pPr>
      <w:rPr>
        <w:rFonts w:hint="default"/>
      </w:rPr>
    </w:lvl>
    <w:lvl w:ilvl="2">
      <w:start w:val="1"/>
      <w:numFmt w:val="bullet"/>
      <w:lvlText w:val="•"/>
      <w:lvlJc w:val="left"/>
      <w:pPr>
        <w:ind w:left="1853" w:hanging="170"/>
      </w:pPr>
      <w:rPr>
        <w:rFonts w:hint="default"/>
      </w:rPr>
    </w:lvl>
    <w:lvl w:ilvl="3">
      <w:start w:val="1"/>
      <w:numFmt w:val="bullet"/>
      <w:lvlText w:val="•"/>
      <w:lvlJc w:val="left"/>
      <w:pPr>
        <w:ind w:left="2680" w:hanging="170"/>
      </w:pPr>
      <w:rPr>
        <w:rFonts w:hint="default"/>
      </w:rPr>
    </w:lvl>
    <w:lvl w:ilvl="4">
      <w:start w:val="1"/>
      <w:numFmt w:val="bullet"/>
      <w:lvlText w:val="•"/>
      <w:lvlJc w:val="left"/>
      <w:pPr>
        <w:ind w:left="3507" w:hanging="170"/>
      </w:pPr>
      <w:rPr>
        <w:rFonts w:hint="default"/>
      </w:rPr>
    </w:lvl>
    <w:lvl w:ilvl="5">
      <w:start w:val="1"/>
      <w:numFmt w:val="bullet"/>
      <w:lvlText w:val="•"/>
      <w:lvlJc w:val="left"/>
      <w:pPr>
        <w:ind w:left="4334" w:hanging="170"/>
      </w:pPr>
      <w:rPr>
        <w:rFonts w:hint="default"/>
      </w:rPr>
    </w:lvl>
    <w:lvl w:ilvl="6">
      <w:start w:val="1"/>
      <w:numFmt w:val="bullet"/>
      <w:lvlText w:val="•"/>
      <w:lvlJc w:val="left"/>
      <w:pPr>
        <w:ind w:left="5160" w:hanging="170"/>
      </w:pPr>
      <w:rPr>
        <w:rFonts w:hint="default"/>
      </w:rPr>
    </w:lvl>
    <w:lvl w:ilvl="7">
      <w:start w:val="1"/>
      <w:numFmt w:val="bullet"/>
      <w:lvlText w:val="•"/>
      <w:lvlJc w:val="left"/>
      <w:pPr>
        <w:ind w:left="5987" w:hanging="170"/>
      </w:pPr>
      <w:rPr>
        <w:rFonts w:hint="default"/>
      </w:rPr>
    </w:lvl>
    <w:lvl w:ilvl="8">
      <w:start w:val="1"/>
      <w:numFmt w:val="bullet"/>
      <w:lvlText w:val="•"/>
      <w:lvlJc w:val="left"/>
      <w:pPr>
        <w:ind w:left="6814" w:hanging="170"/>
      </w:pPr>
      <w:rPr>
        <w:rFonts w:hint="default"/>
      </w:rPr>
    </w:lvl>
  </w:abstractNum>
  <w:abstractNum w:abstractNumId="46">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34" w:hanging="170"/>
      </w:pPr>
      <w:rPr>
        <w:rFonts w:hint="default"/>
      </w:rPr>
    </w:lvl>
    <w:lvl w:ilvl="2">
      <w:start w:val="1"/>
      <w:numFmt w:val="bullet"/>
      <w:lvlText w:val="•"/>
      <w:lvlJc w:val="left"/>
      <w:pPr>
        <w:ind w:left="1869" w:hanging="170"/>
      </w:pPr>
      <w:rPr>
        <w:rFonts w:hint="default"/>
      </w:rPr>
    </w:lvl>
    <w:lvl w:ilvl="3">
      <w:start w:val="1"/>
      <w:numFmt w:val="bullet"/>
      <w:lvlText w:val="•"/>
      <w:lvlJc w:val="left"/>
      <w:pPr>
        <w:ind w:left="2704" w:hanging="170"/>
      </w:pPr>
      <w:rPr>
        <w:rFonts w:hint="default"/>
      </w:rPr>
    </w:lvl>
    <w:lvl w:ilvl="4">
      <w:start w:val="1"/>
      <w:numFmt w:val="bullet"/>
      <w:lvlText w:val="•"/>
      <w:lvlJc w:val="left"/>
      <w:pPr>
        <w:ind w:left="3538" w:hanging="170"/>
      </w:pPr>
      <w:rPr>
        <w:rFonts w:hint="default"/>
      </w:rPr>
    </w:lvl>
    <w:lvl w:ilvl="5">
      <w:start w:val="1"/>
      <w:numFmt w:val="bullet"/>
      <w:lvlText w:val="•"/>
      <w:lvlJc w:val="left"/>
      <w:pPr>
        <w:ind w:left="4373" w:hanging="170"/>
      </w:pPr>
      <w:rPr>
        <w:rFonts w:hint="default"/>
      </w:rPr>
    </w:lvl>
    <w:lvl w:ilvl="6">
      <w:start w:val="1"/>
      <w:numFmt w:val="bullet"/>
      <w:lvlText w:val="•"/>
      <w:lvlJc w:val="left"/>
      <w:pPr>
        <w:ind w:left="5208" w:hanging="170"/>
      </w:pPr>
      <w:rPr>
        <w:rFonts w:hint="default"/>
      </w:rPr>
    </w:lvl>
    <w:lvl w:ilvl="7">
      <w:start w:val="1"/>
      <w:numFmt w:val="bullet"/>
      <w:lvlText w:val="•"/>
      <w:lvlJc w:val="left"/>
      <w:pPr>
        <w:ind w:left="6042" w:hanging="170"/>
      </w:pPr>
      <w:rPr>
        <w:rFonts w:hint="default"/>
      </w:rPr>
    </w:lvl>
    <w:lvl w:ilvl="8">
      <w:start w:val="1"/>
      <w:numFmt w:val="bullet"/>
      <w:lvlText w:val="•"/>
      <w:lvlJc w:val="left"/>
      <w:pPr>
        <w:ind w:left="6877" w:hanging="170"/>
      </w:pPr>
      <w:rPr>
        <w:rFonts w:hint="default"/>
      </w:rPr>
    </w:lvl>
  </w:abstractNum>
  <w:abstractNum w:abstractNumId="45">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17" w:hanging="170"/>
      </w:pPr>
      <w:rPr>
        <w:rFonts w:hint="default"/>
      </w:rPr>
    </w:lvl>
    <w:lvl w:ilvl="2">
      <w:start w:val="1"/>
      <w:numFmt w:val="bullet"/>
      <w:lvlText w:val="•"/>
      <w:lvlJc w:val="left"/>
      <w:pPr>
        <w:ind w:left="1835" w:hanging="170"/>
      </w:pPr>
      <w:rPr>
        <w:rFonts w:hint="default"/>
      </w:rPr>
    </w:lvl>
    <w:lvl w:ilvl="3">
      <w:start w:val="1"/>
      <w:numFmt w:val="bullet"/>
      <w:lvlText w:val="•"/>
      <w:lvlJc w:val="left"/>
      <w:pPr>
        <w:ind w:left="2653" w:hanging="170"/>
      </w:pPr>
      <w:rPr>
        <w:rFonts w:hint="default"/>
      </w:rPr>
    </w:lvl>
    <w:lvl w:ilvl="4">
      <w:start w:val="1"/>
      <w:numFmt w:val="bullet"/>
      <w:lvlText w:val="•"/>
      <w:lvlJc w:val="left"/>
      <w:pPr>
        <w:ind w:left="3471" w:hanging="170"/>
      </w:pPr>
      <w:rPr>
        <w:rFonts w:hint="default"/>
      </w:rPr>
    </w:lvl>
    <w:lvl w:ilvl="5">
      <w:start w:val="1"/>
      <w:numFmt w:val="bullet"/>
      <w:lvlText w:val="•"/>
      <w:lvlJc w:val="left"/>
      <w:pPr>
        <w:ind w:left="4289" w:hanging="170"/>
      </w:pPr>
      <w:rPr>
        <w:rFonts w:hint="default"/>
      </w:rPr>
    </w:lvl>
    <w:lvl w:ilvl="6">
      <w:start w:val="1"/>
      <w:numFmt w:val="bullet"/>
      <w:lvlText w:val="•"/>
      <w:lvlJc w:val="left"/>
      <w:pPr>
        <w:ind w:left="5107" w:hanging="170"/>
      </w:pPr>
      <w:rPr>
        <w:rFonts w:hint="default"/>
      </w:rPr>
    </w:lvl>
    <w:lvl w:ilvl="7">
      <w:start w:val="1"/>
      <w:numFmt w:val="bullet"/>
      <w:lvlText w:val="•"/>
      <w:lvlJc w:val="left"/>
      <w:pPr>
        <w:ind w:left="5925" w:hanging="170"/>
      </w:pPr>
      <w:rPr>
        <w:rFonts w:hint="default"/>
      </w:rPr>
    </w:lvl>
    <w:lvl w:ilvl="8">
      <w:start w:val="1"/>
      <w:numFmt w:val="bullet"/>
      <w:lvlText w:val="•"/>
      <w:lvlJc w:val="left"/>
      <w:pPr>
        <w:ind w:left="6743" w:hanging="170"/>
      </w:pPr>
      <w:rPr>
        <w:rFonts w:hint="default"/>
      </w:rPr>
    </w:lvl>
  </w:abstractNum>
  <w:abstractNum w:abstractNumId="44">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13" w:hanging="170"/>
      </w:pPr>
      <w:rPr>
        <w:rFonts w:hint="default"/>
      </w:rPr>
    </w:lvl>
    <w:lvl w:ilvl="2">
      <w:start w:val="1"/>
      <w:numFmt w:val="bullet"/>
      <w:lvlText w:val="•"/>
      <w:lvlJc w:val="left"/>
      <w:pPr>
        <w:ind w:left="1827" w:hanging="170"/>
      </w:pPr>
      <w:rPr>
        <w:rFonts w:hint="default"/>
      </w:rPr>
    </w:lvl>
    <w:lvl w:ilvl="3">
      <w:start w:val="1"/>
      <w:numFmt w:val="bullet"/>
      <w:lvlText w:val="•"/>
      <w:lvlJc w:val="left"/>
      <w:pPr>
        <w:ind w:left="2641" w:hanging="170"/>
      </w:pPr>
      <w:rPr>
        <w:rFonts w:hint="default"/>
      </w:rPr>
    </w:lvl>
    <w:lvl w:ilvl="4">
      <w:start w:val="1"/>
      <w:numFmt w:val="bullet"/>
      <w:lvlText w:val="•"/>
      <w:lvlJc w:val="left"/>
      <w:pPr>
        <w:ind w:left="3455" w:hanging="170"/>
      </w:pPr>
      <w:rPr>
        <w:rFonts w:hint="default"/>
      </w:rPr>
    </w:lvl>
    <w:lvl w:ilvl="5">
      <w:start w:val="1"/>
      <w:numFmt w:val="bullet"/>
      <w:lvlText w:val="•"/>
      <w:lvlJc w:val="left"/>
      <w:pPr>
        <w:ind w:left="4269" w:hanging="170"/>
      </w:pPr>
      <w:rPr>
        <w:rFonts w:hint="default"/>
      </w:rPr>
    </w:lvl>
    <w:lvl w:ilvl="6">
      <w:start w:val="1"/>
      <w:numFmt w:val="bullet"/>
      <w:lvlText w:val="•"/>
      <w:lvlJc w:val="left"/>
      <w:pPr>
        <w:ind w:left="5083" w:hanging="170"/>
      </w:pPr>
      <w:rPr>
        <w:rFonts w:hint="default"/>
      </w:rPr>
    </w:lvl>
    <w:lvl w:ilvl="7">
      <w:start w:val="1"/>
      <w:numFmt w:val="bullet"/>
      <w:lvlText w:val="•"/>
      <w:lvlJc w:val="left"/>
      <w:pPr>
        <w:ind w:left="5897" w:hanging="170"/>
      </w:pPr>
      <w:rPr>
        <w:rFonts w:hint="default"/>
      </w:rPr>
    </w:lvl>
    <w:lvl w:ilvl="8">
      <w:start w:val="1"/>
      <w:numFmt w:val="bullet"/>
      <w:lvlText w:val="•"/>
      <w:lvlJc w:val="left"/>
      <w:pPr>
        <w:ind w:left="6711" w:hanging="170"/>
      </w:pPr>
      <w:rPr>
        <w:rFonts w:hint="default"/>
      </w:rPr>
    </w:lvl>
  </w:abstractNum>
  <w:abstractNum w:abstractNumId="43">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16" w:hanging="170"/>
      </w:pPr>
      <w:rPr>
        <w:rFonts w:hint="default"/>
      </w:rPr>
    </w:lvl>
    <w:lvl w:ilvl="2">
      <w:start w:val="1"/>
      <w:numFmt w:val="bullet"/>
      <w:lvlText w:val="•"/>
      <w:lvlJc w:val="left"/>
      <w:pPr>
        <w:ind w:left="1832" w:hanging="170"/>
      </w:pPr>
      <w:rPr>
        <w:rFonts w:hint="default"/>
      </w:rPr>
    </w:lvl>
    <w:lvl w:ilvl="3">
      <w:start w:val="1"/>
      <w:numFmt w:val="bullet"/>
      <w:lvlText w:val="•"/>
      <w:lvlJc w:val="left"/>
      <w:pPr>
        <w:ind w:left="2648" w:hanging="170"/>
      </w:pPr>
      <w:rPr>
        <w:rFonts w:hint="default"/>
      </w:rPr>
    </w:lvl>
    <w:lvl w:ilvl="4">
      <w:start w:val="1"/>
      <w:numFmt w:val="bullet"/>
      <w:lvlText w:val="•"/>
      <w:lvlJc w:val="left"/>
      <w:pPr>
        <w:ind w:left="3465" w:hanging="170"/>
      </w:pPr>
      <w:rPr>
        <w:rFonts w:hint="default"/>
      </w:rPr>
    </w:lvl>
    <w:lvl w:ilvl="5">
      <w:start w:val="1"/>
      <w:numFmt w:val="bullet"/>
      <w:lvlText w:val="•"/>
      <w:lvlJc w:val="left"/>
      <w:pPr>
        <w:ind w:left="4281" w:hanging="170"/>
      </w:pPr>
      <w:rPr>
        <w:rFonts w:hint="default"/>
      </w:rPr>
    </w:lvl>
    <w:lvl w:ilvl="6">
      <w:start w:val="1"/>
      <w:numFmt w:val="bullet"/>
      <w:lvlText w:val="•"/>
      <w:lvlJc w:val="left"/>
      <w:pPr>
        <w:ind w:left="5097" w:hanging="170"/>
      </w:pPr>
      <w:rPr>
        <w:rFonts w:hint="default"/>
      </w:rPr>
    </w:lvl>
    <w:lvl w:ilvl="7">
      <w:start w:val="1"/>
      <w:numFmt w:val="bullet"/>
      <w:lvlText w:val="•"/>
      <w:lvlJc w:val="left"/>
      <w:pPr>
        <w:ind w:left="5914" w:hanging="170"/>
      </w:pPr>
      <w:rPr>
        <w:rFonts w:hint="default"/>
      </w:rPr>
    </w:lvl>
    <w:lvl w:ilvl="8">
      <w:start w:val="1"/>
      <w:numFmt w:val="bullet"/>
      <w:lvlText w:val="•"/>
      <w:lvlJc w:val="left"/>
      <w:pPr>
        <w:ind w:left="6730" w:hanging="170"/>
      </w:pPr>
      <w:rPr>
        <w:rFonts w:hint="default"/>
      </w:rPr>
    </w:lvl>
  </w:abstractNum>
  <w:abstractNum w:abstractNumId="42">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962" w:hanging="170"/>
      </w:pPr>
      <w:rPr>
        <w:rFonts w:hint="default"/>
      </w:rPr>
    </w:lvl>
    <w:lvl w:ilvl="2">
      <w:start w:val="1"/>
      <w:numFmt w:val="bullet"/>
      <w:lvlText w:val="•"/>
      <w:lvlJc w:val="left"/>
      <w:pPr>
        <w:ind w:left="1725" w:hanging="170"/>
      </w:pPr>
      <w:rPr>
        <w:rFonts w:hint="default"/>
      </w:rPr>
    </w:lvl>
    <w:lvl w:ilvl="3">
      <w:start w:val="1"/>
      <w:numFmt w:val="bullet"/>
      <w:lvlText w:val="•"/>
      <w:lvlJc w:val="left"/>
      <w:pPr>
        <w:ind w:left="2487" w:hanging="170"/>
      </w:pPr>
      <w:rPr>
        <w:rFonts w:hint="default"/>
      </w:rPr>
    </w:lvl>
    <w:lvl w:ilvl="4">
      <w:start w:val="1"/>
      <w:numFmt w:val="bullet"/>
      <w:lvlText w:val="•"/>
      <w:lvlJc w:val="left"/>
      <w:pPr>
        <w:ind w:left="3250" w:hanging="170"/>
      </w:pPr>
      <w:rPr>
        <w:rFonts w:hint="default"/>
      </w:rPr>
    </w:lvl>
    <w:lvl w:ilvl="5">
      <w:start w:val="1"/>
      <w:numFmt w:val="bullet"/>
      <w:lvlText w:val="•"/>
      <w:lvlJc w:val="left"/>
      <w:pPr>
        <w:ind w:left="4013" w:hanging="170"/>
      </w:pPr>
      <w:rPr>
        <w:rFonts w:hint="default"/>
      </w:rPr>
    </w:lvl>
    <w:lvl w:ilvl="6">
      <w:start w:val="1"/>
      <w:numFmt w:val="bullet"/>
      <w:lvlText w:val="•"/>
      <w:lvlJc w:val="left"/>
      <w:pPr>
        <w:ind w:left="4775" w:hanging="170"/>
      </w:pPr>
      <w:rPr>
        <w:rFonts w:hint="default"/>
      </w:rPr>
    </w:lvl>
    <w:lvl w:ilvl="7">
      <w:start w:val="1"/>
      <w:numFmt w:val="bullet"/>
      <w:lvlText w:val="•"/>
      <w:lvlJc w:val="left"/>
      <w:pPr>
        <w:ind w:left="5538" w:hanging="170"/>
      </w:pPr>
      <w:rPr>
        <w:rFonts w:hint="default"/>
      </w:rPr>
    </w:lvl>
    <w:lvl w:ilvl="8">
      <w:start w:val="1"/>
      <w:numFmt w:val="bullet"/>
      <w:lvlText w:val="•"/>
      <w:lvlJc w:val="left"/>
      <w:pPr>
        <w:ind w:left="6300" w:hanging="170"/>
      </w:pPr>
      <w:rPr>
        <w:rFonts w:hint="default"/>
      </w:rPr>
    </w:lvl>
  </w:abstractNum>
  <w:abstractNum w:abstractNumId="41">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17" w:hanging="170"/>
      </w:pPr>
      <w:rPr>
        <w:rFonts w:hint="default"/>
      </w:rPr>
    </w:lvl>
    <w:lvl w:ilvl="2">
      <w:start w:val="1"/>
      <w:numFmt w:val="bullet"/>
      <w:lvlText w:val="•"/>
      <w:lvlJc w:val="left"/>
      <w:pPr>
        <w:ind w:left="1834" w:hanging="170"/>
      </w:pPr>
      <w:rPr>
        <w:rFonts w:hint="default"/>
      </w:rPr>
    </w:lvl>
    <w:lvl w:ilvl="3">
      <w:start w:val="1"/>
      <w:numFmt w:val="bullet"/>
      <w:lvlText w:val="•"/>
      <w:lvlJc w:val="left"/>
      <w:pPr>
        <w:ind w:left="2651" w:hanging="170"/>
      </w:pPr>
      <w:rPr>
        <w:rFonts w:hint="default"/>
      </w:rPr>
    </w:lvl>
    <w:lvl w:ilvl="4">
      <w:start w:val="1"/>
      <w:numFmt w:val="bullet"/>
      <w:lvlText w:val="•"/>
      <w:lvlJc w:val="left"/>
      <w:pPr>
        <w:ind w:left="3468" w:hanging="170"/>
      </w:pPr>
      <w:rPr>
        <w:rFonts w:hint="default"/>
      </w:rPr>
    </w:lvl>
    <w:lvl w:ilvl="5">
      <w:start w:val="1"/>
      <w:numFmt w:val="bullet"/>
      <w:lvlText w:val="•"/>
      <w:lvlJc w:val="left"/>
      <w:pPr>
        <w:ind w:left="4285" w:hanging="170"/>
      </w:pPr>
      <w:rPr>
        <w:rFonts w:hint="default"/>
      </w:rPr>
    </w:lvl>
    <w:lvl w:ilvl="6">
      <w:start w:val="1"/>
      <w:numFmt w:val="bullet"/>
      <w:lvlText w:val="•"/>
      <w:lvlJc w:val="left"/>
      <w:pPr>
        <w:ind w:left="5102" w:hanging="170"/>
      </w:pPr>
      <w:rPr>
        <w:rFonts w:hint="default"/>
      </w:rPr>
    </w:lvl>
    <w:lvl w:ilvl="7">
      <w:start w:val="1"/>
      <w:numFmt w:val="bullet"/>
      <w:lvlText w:val="•"/>
      <w:lvlJc w:val="left"/>
      <w:pPr>
        <w:ind w:left="5919" w:hanging="170"/>
      </w:pPr>
      <w:rPr>
        <w:rFonts w:hint="default"/>
      </w:rPr>
    </w:lvl>
    <w:lvl w:ilvl="8">
      <w:start w:val="1"/>
      <w:numFmt w:val="bullet"/>
      <w:lvlText w:val="•"/>
      <w:lvlJc w:val="left"/>
      <w:pPr>
        <w:ind w:left="6736" w:hanging="170"/>
      </w:pPr>
      <w:rPr>
        <w:rFonts w:hint="default"/>
      </w:rPr>
    </w:lvl>
  </w:abstractNum>
  <w:abstractNum w:abstractNumId="40">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11" w:hanging="170"/>
      </w:pPr>
      <w:rPr>
        <w:rFonts w:hint="default"/>
      </w:rPr>
    </w:lvl>
    <w:lvl w:ilvl="2">
      <w:start w:val="1"/>
      <w:numFmt w:val="bullet"/>
      <w:lvlText w:val="•"/>
      <w:lvlJc w:val="left"/>
      <w:pPr>
        <w:ind w:left="1823" w:hanging="170"/>
      </w:pPr>
      <w:rPr>
        <w:rFonts w:hint="default"/>
      </w:rPr>
    </w:lvl>
    <w:lvl w:ilvl="3">
      <w:start w:val="1"/>
      <w:numFmt w:val="bullet"/>
      <w:lvlText w:val="•"/>
      <w:lvlJc w:val="left"/>
      <w:pPr>
        <w:ind w:left="2635" w:hanging="170"/>
      </w:pPr>
      <w:rPr>
        <w:rFonts w:hint="default"/>
      </w:rPr>
    </w:lvl>
    <w:lvl w:ilvl="4">
      <w:start w:val="1"/>
      <w:numFmt w:val="bullet"/>
      <w:lvlText w:val="•"/>
      <w:lvlJc w:val="left"/>
      <w:pPr>
        <w:ind w:left="3446" w:hanging="170"/>
      </w:pPr>
      <w:rPr>
        <w:rFonts w:hint="default"/>
      </w:rPr>
    </w:lvl>
    <w:lvl w:ilvl="5">
      <w:start w:val="1"/>
      <w:numFmt w:val="bullet"/>
      <w:lvlText w:val="•"/>
      <w:lvlJc w:val="left"/>
      <w:pPr>
        <w:ind w:left="4258" w:hanging="170"/>
      </w:pPr>
      <w:rPr>
        <w:rFonts w:hint="default"/>
      </w:rPr>
    </w:lvl>
    <w:lvl w:ilvl="6">
      <w:start w:val="1"/>
      <w:numFmt w:val="bullet"/>
      <w:lvlText w:val="•"/>
      <w:lvlJc w:val="left"/>
      <w:pPr>
        <w:ind w:left="5070" w:hanging="170"/>
      </w:pPr>
      <w:rPr>
        <w:rFonts w:hint="default"/>
      </w:rPr>
    </w:lvl>
    <w:lvl w:ilvl="7">
      <w:start w:val="1"/>
      <w:numFmt w:val="bullet"/>
      <w:lvlText w:val="•"/>
      <w:lvlJc w:val="left"/>
      <w:pPr>
        <w:ind w:left="5881" w:hanging="170"/>
      </w:pPr>
      <w:rPr>
        <w:rFonts w:hint="default"/>
      </w:rPr>
    </w:lvl>
    <w:lvl w:ilvl="8">
      <w:start w:val="1"/>
      <w:numFmt w:val="bullet"/>
      <w:lvlText w:val="•"/>
      <w:lvlJc w:val="left"/>
      <w:pPr>
        <w:ind w:left="6693" w:hanging="170"/>
      </w:pPr>
      <w:rPr>
        <w:rFonts w:hint="default"/>
      </w:rPr>
    </w:lvl>
  </w:abstractNum>
  <w:abstractNum w:abstractNumId="39">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35" w:hanging="170"/>
      </w:pPr>
      <w:rPr>
        <w:rFonts w:hint="default"/>
      </w:rPr>
    </w:lvl>
    <w:lvl w:ilvl="2">
      <w:start w:val="1"/>
      <w:numFmt w:val="bullet"/>
      <w:lvlText w:val="•"/>
      <w:lvlJc w:val="left"/>
      <w:pPr>
        <w:ind w:left="1871" w:hanging="170"/>
      </w:pPr>
      <w:rPr>
        <w:rFonts w:hint="default"/>
      </w:rPr>
    </w:lvl>
    <w:lvl w:ilvl="3">
      <w:start w:val="1"/>
      <w:numFmt w:val="bullet"/>
      <w:lvlText w:val="•"/>
      <w:lvlJc w:val="left"/>
      <w:pPr>
        <w:ind w:left="2707" w:hanging="170"/>
      </w:pPr>
      <w:rPr>
        <w:rFonts w:hint="default"/>
      </w:rPr>
    </w:lvl>
    <w:lvl w:ilvl="4">
      <w:start w:val="1"/>
      <w:numFmt w:val="bullet"/>
      <w:lvlText w:val="•"/>
      <w:lvlJc w:val="left"/>
      <w:pPr>
        <w:ind w:left="3542" w:hanging="170"/>
      </w:pPr>
      <w:rPr>
        <w:rFonts w:hint="default"/>
      </w:rPr>
    </w:lvl>
    <w:lvl w:ilvl="5">
      <w:start w:val="1"/>
      <w:numFmt w:val="bullet"/>
      <w:lvlText w:val="•"/>
      <w:lvlJc w:val="left"/>
      <w:pPr>
        <w:ind w:left="4378" w:hanging="170"/>
      </w:pPr>
      <w:rPr>
        <w:rFonts w:hint="default"/>
      </w:rPr>
    </w:lvl>
    <w:lvl w:ilvl="6">
      <w:start w:val="1"/>
      <w:numFmt w:val="bullet"/>
      <w:lvlText w:val="•"/>
      <w:lvlJc w:val="left"/>
      <w:pPr>
        <w:ind w:left="5214" w:hanging="170"/>
      </w:pPr>
      <w:rPr>
        <w:rFonts w:hint="default"/>
      </w:rPr>
    </w:lvl>
    <w:lvl w:ilvl="7">
      <w:start w:val="1"/>
      <w:numFmt w:val="bullet"/>
      <w:lvlText w:val="•"/>
      <w:lvlJc w:val="left"/>
      <w:pPr>
        <w:ind w:left="6049" w:hanging="170"/>
      </w:pPr>
      <w:rPr>
        <w:rFonts w:hint="default"/>
      </w:rPr>
    </w:lvl>
    <w:lvl w:ilvl="8">
      <w:start w:val="1"/>
      <w:numFmt w:val="bullet"/>
      <w:lvlText w:val="•"/>
      <w:lvlJc w:val="left"/>
      <w:pPr>
        <w:ind w:left="6885" w:hanging="170"/>
      </w:pPr>
      <w:rPr>
        <w:rFonts w:hint="default"/>
      </w:rPr>
    </w:lvl>
  </w:abstractNum>
  <w:abstractNum w:abstractNumId="38">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48" w:hanging="170"/>
      </w:pPr>
      <w:rPr>
        <w:rFonts w:hint="default"/>
      </w:rPr>
    </w:lvl>
    <w:lvl w:ilvl="2">
      <w:start w:val="1"/>
      <w:numFmt w:val="bullet"/>
      <w:lvlText w:val="•"/>
      <w:lvlJc w:val="left"/>
      <w:pPr>
        <w:ind w:left="1897" w:hanging="170"/>
      </w:pPr>
      <w:rPr>
        <w:rFonts w:hint="default"/>
      </w:rPr>
    </w:lvl>
    <w:lvl w:ilvl="3">
      <w:start w:val="1"/>
      <w:numFmt w:val="bullet"/>
      <w:lvlText w:val="•"/>
      <w:lvlJc w:val="left"/>
      <w:pPr>
        <w:ind w:left="2745" w:hanging="170"/>
      </w:pPr>
      <w:rPr>
        <w:rFonts w:hint="default"/>
      </w:rPr>
    </w:lvl>
    <w:lvl w:ilvl="4">
      <w:start w:val="1"/>
      <w:numFmt w:val="bullet"/>
      <w:lvlText w:val="•"/>
      <w:lvlJc w:val="left"/>
      <w:pPr>
        <w:ind w:left="3594" w:hanging="170"/>
      </w:pPr>
      <w:rPr>
        <w:rFonts w:hint="default"/>
      </w:rPr>
    </w:lvl>
    <w:lvl w:ilvl="5">
      <w:start w:val="1"/>
      <w:numFmt w:val="bullet"/>
      <w:lvlText w:val="•"/>
      <w:lvlJc w:val="left"/>
      <w:pPr>
        <w:ind w:left="4442" w:hanging="170"/>
      </w:pPr>
      <w:rPr>
        <w:rFonts w:hint="default"/>
      </w:rPr>
    </w:lvl>
    <w:lvl w:ilvl="6">
      <w:start w:val="1"/>
      <w:numFmt w:val="bullet"/>
      <w:lvlText w:val="•"/>
      <w:lvlJc w:val="left"/>
      <w:pPr>
        <w:ind w:left="5291" w:hanging="170"/>
      </w:pPr>
      <w:rPr>
        <w:rFonts w:hint="default"/>
      </w:rPr>
    </w:lvl>
    <w:lvl w:ilvl="7">
      <w:start w:val="1"/>
      <w:numFmt w:val="bullet"/>
      <w:lvlText w:val="•"/>
      <w:lvlJc w:val="left"/>
      <w:pPr>
        <w:ind w:left="6139" w:hanging="170"/>
      </w:pPr>
      <w:rPr>
        <w:rFonts w:hint="default"/>
      </w:rPr>
    </w:lvl>
    <w:lvl w:ilvl="8">
      <w:start w:val="1"/>
      <w:numFmt w:val="bullet"/>
      <w:lvlText w:val="•"/>
      <w:lvlJc w:val="left"/>
      <w:pPr>
        <w:ind w:left="6988" w:hanging="170"/>
      </w:pPr>
      <w:rPr>
        <w:rFonts w:hint="default"/>
      </w:rPr>
    </w:lvl>
  </w:abstractNum>
  <w:abstractNum w:abstractNumId="37">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47" w:hanging="170"/>
      </w:pPr>
      <w:rPr>
        <w:rFonts w:hint="default"/>
      </w:rPr>
    </w:lvl>
    <w:lvl w:ilvl="2">
      <w:start w:val="1"/>
      <w:numFmt w:val="bullet"/>
      <w:lvlText w:val="•"/>
      <w:lvlJc w:val="left"/>
      <w:pPr>
        <w:ind w:left="1894" w:hanging="170"/>
      </w:pPr>
      <w:rPr>
        <w:rFonts w:hint="default"/>
      </w:rPr>
    </w:lvl>
    <w:lvl w:ilvl="3">
      <w:start w:val="1"/>
      <w:numFmt w:val="bullet"/>
      <w:lvlText w:val="•"/>
      <w:lvlJc w:val="left"/>
      <w:pPr>
        <w:ind w:left="2741" w:hanging="170"/>
      </w:pPr>
      <w:rPr>
        <w:rFonts w:hint="default"/>
      </w:rPr>
    </w:lvl>
    <w:lvl w:ilvl="4">
      <w:start w:val="1"/>
      <w:numFmt w:val="bullet"/>
      <w:lvlText w:val="•"/>
      <w:lvlJc w:val="left"/>
      <w:pPr>
        <w:ind w:left="3588" w:hanging="170"/>
      </w:pPr>
      <w:rPr>
        <w:rFonts w:hint="default"/>
      </w:rPr>
    </w:lvl>
    <w:lvl w:ilvl="5">
      <w:start w:val="1"/>
      <w:numFmt w:val="bullet"/>
      <w:lvlText w:val="•"/>
      <w:lvlJc w:val="left"/>
      <w:pPr>
        <w:ind w:left="4436" w:hanging="170"/>
      </w:pPr>
      <w:rPr>
        <w:rFonts w:hint="default"/>
      </w:rPr>
    </w:lvl>
    <w:lvl w:ilvl="6">
      <w:start w:val="1"/>
      <w:numFmt w:val="bullet"/>
      <w:lvlText w:val="•"/>
      <w:lvlJc w:val="left"/>
      <w:pPr>
        <w:ind w:left="5283" w:hanging="170"/>
      </w:pPr>
      <w:rPr>
        <w:rFonts w:hint="default"/>
      </w:rPr>
    </w:lvl>
    <w:lvl w:ilvl="7">
      <w:start w:val="1"/>
      <w:numFmt w:val="bullet"/>
      <w:lvlText w:val="•"/>
      <w:lvlJc w:val="left"/>
      <w:pPr>
        <w:ind w:left="6130" w:hanging="170"/>
      </w:pPr>
      <w:rPr>
        <w:rFonts w:hint="default"/>
      </w:rPr>
    </w:lvl>
    <w:lvl w:ilvl="8">
      <w:start w:val="1"/>
      <w:numFmt w:val="bullet"/>
      <w:lvlText w:val="•"/>
      <w:lvlJc w:val="left"/>
      <w:pPr>
        <w:ind w:left="6977" w:hanging="170"/>
      </w:pPr>
      <w:rPr>
        <w:rFonts w:hint="default"/>
      </w:rPr>
    </w:lvl>
  </w:abstractNum>
  <w:abstractNum w:abstractNumId="36">
    <w:multiLevelType w:val="hybridMultilevel"/>
    <w:lvl w:ilvl="0">
      <w:start w:val="1"/>
      <w:numFmt w:val="lowerRoman"/>
      <w:lvlText w:val="%1)"/>
      <w:lvlJc w:val="left"/>
      <w:pPr>
        <w:ind w:left="510" w:hanging="341"/>
        <w:jc w:val="left"/>
      </w:pPr>
      <w:rPr>
        <w:rFonts w:hint="default" w:ascii="Arial" w:hAnsi="Arial" w:eastAsia="Arial" w:cs="Arial"/>
        <w:color w:val="58595B"/>
        <w:spacing w:val="-4"/>
        <w:w w:val="100"/>
        <w:sz w:val="20"/>
        <w:szCs w:val="20"/>
      </w:rPr>
    </w:lvl>
    <w:lvl w:ilvl="1">
      <w:start w:val="1"/>
      <w:numFmt w:val="bullet"/>
      <w:lvlText w:val="•"/>
      <w:lvlJc w:val="left"/>
      <w:pPr>
        <w:ind w:left="1333" w:hanging="341"/>
      </w:pPr>
      <w:rPr>
        <w:rFonts w:hint="default"/>
      </w:rPr>
    </w:lvl>
    <w:lvl w:ilvl="2">
      <w:start w:val="1"/>
      <w:numFmt w:val="bullet"/>
      <w:lvlText w:val="•"/>
      <w:lvlJc w:val="left"/>
      <w:pPr>
        <w:ind w:left="2146" w:hanging="341"/>
      </w:pPr>
      <w:rPr>
        <w:rFonts w:hint="default"/>
      </w:rPr>
    </w:lvl>
    <w:lvl w:ilvl="3">
      <w:start w:val="1"/>
      <w:numFmt w:val="bullet"/>
      <w:lvlText w:val="•"/>
      <w:lvlJc w:val="left"/>
      <w:pPr>
        <w:ind w:left="2960" w:hanging="341"/>
      </w:pPr>
      <w:rPr>
        <w:rFonts w:hint="default"/>
      </w:rPr>
    </w:lvl>
    <w:lvl w:ilvl="4">
      <w:start w:val="1"/>
      <w:numFmt w:val="bullet"/>
      <w:lvlText w:val="•"/>
      <w:lvlJc w:val="left"/>
      <w:pPr>
        <w:ind w:left="3773" w:hanging="341"/>
      </w:pPr>
      <w:rPr>
        <w:rFonts w:hint="default"/>
      </w:rPr>
    </w:lvl>
    <w:lvl w:ilvl="5">
      <w:start w:val="1"/>
      <w:numFmt w:val="bullet"/>
      <w:lvlText w:val="•"/>
      <w:lvlJc w:val="left"/>
      <w:pPr>
        <w:ind w:left="4587" w:hanging="341"/>
      </w:pPr>
      <w:rPr>
        <w:rFonts w:hint="default"/>
      </w:rPr>
    </w:lvl>
    <w:lvl w:ilvl="6">
      <w:start w:val="1"/>
      <w:numFmt w:val="bullet"/>
      <w:lvlText w:val="•"/>
      <w:lvlJc w:val="left"/>
      <w:pPr>
        <w:ind w:left="5400" w:hanging="341"/>
      </w:pPr>
      <w:rPr>
        <w:rFonts w:hint="default"/>
      </w:rPr>
    </w:lvl>
    <w:lvl w:ilvl="7">
      <w:start w:val="1"/>
      <w:numFmt w:val="bullet"/>
      <w:lvlText w:val="•"/>
      <w:lvlJc w:val="left"/>
      <w:pPr>
        <w:ind w:left="6213" w:hanging="341"/>
      </w:pPr>
      <w:rPr>
        <w:rFonts w:hint="default"/>
      </w:rPr>
    </w:lvl>
    <w:lvl w:ilvl="8">
      <w:start w:val="1"/>
      <w:numFmt w:val="bullet"/>
      <w:lvlText w:val="•"/>
      <w:lvlJc w:val="left"/>
      <w:pPr>
        <w:ind w:left="7027" w:hanging="341"/>
      </w:pPr>
      <w:rPr>
        <w:rFonts w:hint="default"/>
      </w:rPr>
    </w:lvl>
  </w:abstractNum>
  <w:abstractNum w:abstractNumId="35">
    <w:multiLevelType w:val="hybridMultilevel"/>
    <w:lvl w:ilvl="0">
      <w:start w:val="1"/>
      <w:numFmt w:val="lowerRoman"/>
      <w:lvlText w:val="%1)"/>
      <w:lvlJc w:val="left"/>
      <w:pPr>
        <w:ind w:left="510" w:hanging="341"/>
        <w:jc w:val="left"/>
      </w:pPr>
      <w:rPr>
        <w:rFonts w:hint="default" w:ascii="Arial" w:hAnsi="Arial" w:eastAsia="Arial" w:cs="Arial"/>
        <w:color w:val="58595B"/>
        <w:spacing w:val="-10"/>
        <w:w w:val="100"/>
        <w:sz w:val="20"/>
        <w:szCs w:val="20"/>
      </w:rPr>
    </w:lvl>
    <w:lvl w:ilvl="1">
      <w:start w:val="1"/>
      <w:numFmt w:val="bullet"/>
      <w:lvlText w:val="•"/>
      <w:lvlJc w:val="left"/>
      <w:pPr>
        <w:ind w:left="1333" w:hanging="341"/>
      </w:pPr>
      <w:rPr>
        <w:rFonts w:hint="default"/>
      </w:rPr>
    </w:lvl>
    <w:lvl w:ilvl="2">
      <w:start w:val="1"/>
      <w:numFmt w:val="bullet"/>
      <w:lvlText w:val="•"/>
      <w:lvlJc w:val="left"/>
      <w:pPr>
        <w:ind w:left="2146" w:hanging="341"/>
      </w:pPr>
      <w:rPr>
        <w:rFonts w:hint="default"/>
      </w:rPr>
    </w:lvl>
    <w:lvl w:ilvl="3">
      <w:start w:val="1"/>
      <w:numFmt w:val="bullet"/>
      <w:lvlText w:val="•"/>
      <w:lvlJc w:val="left"/>
      <w:pPr>
        <w:ind w:left="2960" w:hanging="341"/>
      </w:pPr>
      <w:rPr>
        <w:rFonts w:hint="default"/>
      </w:rPr>
    </w:lvl>
    <w:lvl w:ilvl="4">
      <w:start w:val="1"/>
      <w:numFmt w:val="bullet"/>
      <w:lvlText w:val="•"/>
      <w:lvlJc w:val="left"/>
      <w:pPr>
        <w:ind w:left="3773" w:hanging="341"/>
      </w:pPr>
      <w:rPr>
        <w:rFonts w:hint="default"/>
      </w:rPr>
    </w:lvl>
    <w:lvl w:ilvl="5">
      <w:start w:val="1"/>
      <w:numFmt w:val="bullet"/>
      <w:lvlText w:val="•"/>
      <w:lvlJc w:val="left"/>
      <w:pPr>
        <w:ind w:left="4587" w:hanging="341"/>
      </w:pPr>
      <w:rPr>
        <w:rFonts w:hint="default"/>
      </w:rPr>
    </w:lvl>
    <w:lvl w:ilvl="6">
      <w:start w:val="1"/>
      <w:numFmt w:val="bullet"/>
      <w:lvlText w:val="•"/>
      <w:lvlJc w:val="left"/>
      <w:pPr>
        <w:ind w:left="5400" w:hanging="341"/>
      </w:pPr>
      <w:rPr>
        <w:rFonts w:hint="default"/>
      </w:rPr>
    </w:lvl>
    <w:lvl w:ilvl="7">
      <w:start w:val="1"/>
      <w:numFmt w:val="bullet"/>
      <w:lvlText w:val="•"/>
      <w:lvlJc w:val="left"/>
      <w:pPr>
        <w:ind w:left="6213" w:hanging="341"/>
      </w:pPr>
      <w:rPr>
        <w:rFonts w:hint="default"/>
      </w:rPr>
    </w:lvl>
    <w:lvl w:ilvl="8">
      <w:start w:val="1"/>
      <w:numFmt w:val="bullet"/>
      <w:lvlText w:val="•"/>
      <w:lvlJc w:val="left"/>
      <w:pPr>
        <w:ind w:left="7027" w:hanging="341"/>
      </w:pPr>
      <w:rPr>
        <w:rFonts w:hint="default"/>
      </w:rPr>
    </w:lvl>
  </w:abstractNum>
  <w:abstractNum w:abstractNumId="34">
    <w:multiLevelType w:val="hybridMultilevel"/>
    <w:lvl w:ilvl="0">
      <w:start w:val="1"/>
      <w:numFmt w:val="lowerRoman"/>
      <w:lvlText w:val="%1)"/>
      <w:lvlJc w:val="left"/>
      <w:pPr>
        <w:ind w:left="510" w:hanging="341"/>
        <w:jc w:val="left"/>
      </w:pPr>
      <w:rPr>
        <w:rFonts w:hint="default" w:ascii="Arial" w:hAnsi="Arial" w:eastAsia="Arial" w:cs="Arial"/>
        <w:color w:val="58595B"/>
        <w:spacing w:val="-4"/>
        <w:w w:val="100"/>
        <w:sz w:val="20"/>
        <w:szCs w:val="20"/>
      </w:rPr>
    </w:lvl>
    <w:lvl w:ilvl="1">
      <w:start w:val="1"/>
      <w:numFmt w:val="bullet"/>
      <w:lvlText w:val="•"/>
      <w:lvlJc w:val="left"/>
      <w:pPr>
        <w:ind w:left="1333" w:hanging="341"/>
      </w:pPr>
      <w:rPr>
        <w:rFonts w:hint="default"/>
      </w:rPr>
    </w:lvl>
    <w:lvl w:ilvl="2">
      <w:start w:val="1"/>
      <w:numFmt w:val="bullet"/>
      <w:lvlText w:val="•"/>
      <w:lvlJc w:val="left"/>
      <w:pPr>
        <w:ind w:left="2146" w:hanging="341"/>
      </w:pPr>
      <w:rPr>
        <w:rFonts w:hint="default"/>
      </w:rPr>
    </w:lvl>
    <w:lvl w:ilvl="3">
      <w:start w:val="1"/>
      <w:numFmt w:val="bullet"/>
      <w:lvlText w:val="•"/>
      <w:lvlJc w:val="left"/>
      <w:pPr>
        <w:ind w:left="2960" w:hanging="341"/>
      </w:pPr>
      <w:rPr>
        <w:rFonts w:hint="default"/>
      </w:rPr>
    </w:lvl>
    <w:lvl w:ilvl="4">
      <w:start w:val="1"/>
      <w:numFmt w:val="bullet"/>
      <w:lvlText w:val="•"/>
      <w:lvlJc w:val="left"/>
      <w:pPr>
        <w:ind w:left="3773" w:hanging="341"/>
      </w:pPr>
      <w:rPr>
        <w:rFonts w:hint="default"/>
      </w:rPr>
    </w:lvl>
    <w:lvl w:ilvl="5">
      <w:start w:val="1"/>
      <w:numFmt w:val="bullet"/>
      <w:lvlText w:val="•"/>
      <w:lvlJc w:val="left"/>
      <w:pPr>
        <w:ind w:left="4587" w:hanging="341"/>
      </w:pPr>
      <w:rPr>
        <w:rFonts w:hint="default"/>
      </w:rPr>
    </w:lvl>
    <w:lvl w:ilvl="6">
      <w:start w:val="1"/>
      <w:numFmt w:val="bullet"/>
      <w:lvlText w:val="•"/>
      <w:lvlJc w:val="left"/>
      <w:pPr>
        <w:ind w:left="5400" w:hanging="341"/>
      </w:pPr>
      <w:rPr>
        <w:rFonts w:hint="default"/>
      </w:rPr>
    </w:lvl>
    <w:lvl w:ilvl="7">
      <w:start w:val="1"/>
      <w:numFmt w:val="bullet"/>
      <w:lvlText w:val="•"/>
      <w:lvlJc w:val="left"/>
      <w:pPr>
        <w:ind w:left="6213" w:hanging="341"/>
      </w:pPr>
      <w:rPr>
        <w:rFonts w:hint="default"/>
      </w:rPr>
    </w:lvl>
    <w:lvl w:ilvl="8">
      <w:start w:val="1"/>
      <w:numFmt w:val="bullet"/>
      <w:lvlText w:val="•"/>
      <w:lvlJc w:val="left"/>
      <w:pPr>
        <w:ind w:left="7027" w:hanging="341"/>
      </w:pPr>
      <w:rPr>
        <w:rFonts w:hint="default"/>
      </w:rPr>
    </w:lvl>
  </w:abstractNum>
  <w:abstractNum w:abstractNumId="33">
    <w:multiLevelType w:val="hybridMultilevel"/>
    <w:lvl w:ilvl="0">
      <w:start w:val="1"/>
      <w:numFmt w:val="bullet"/>
      <w:lvlText w:val="•"/>
      <w:lvlJc w:val="left"/>
      <w:pPr>
        <w:ind w:left="246" w:hanging="227"/>
      </w:pPr>
      <w:rPr>
        <w:rFonts w:hint="default" w:ascii="Arial" w:hAnsi="Arial" w:eastAsia="Arial" w:cs="Arial"/>
        <w:color w:val="58595B"/>
        <w:spacing w:val="-3"/>
        <w:w w:val="100"/>
        <w:sz w:val="18"/>
        <w:szCs w:val="18"/>
      </w:rPr>
    </w:lvl>
    <w:lvl w:ilvl="1">
      <w:start w:val="1"/>
      <w:numFmt w:val="bullet"/>
      <w:lvlText w:val="•"/>
      <w:lvlJc w:val="left"/>
      <w:pPr>
        <w:ind w:left="642" w:hanging="227"/>
      </w:pPr>
      <w:rPr>
        <w:rFonts w:hint="default"/>
      </w:rPr>
    </w:lvl>
    <w:lvl w:ilvl="2">
      <w:start w:val="1"/>
      <w:numFmt w:val="bullet"/>
      <w:lvlText w:val="•"/>
      <w:lvlJc w:val="left"/>
      <w:pPr>
        <w:ind w:left="1044" w:hanging="227"/>
      </w:pPr>
      <w:rPr>
        <w:rFonts w:hint="default"/>
      </w:rPr>
    </w:lvl>
    <w:lvl w:ilvl="3">
      <w:start w:val="1"/>
      <w:numFmt w:val="bullet"/>
      <w:lvlText w:val="•"/>
      <w:lvlJc w:val="left"/>
      <w:pPr>
        <w:ind w:left="1446" w:hanging="227"/>
      </w:pPr>
      <w:rPr>
        <w:rFonts w:hint="default"/>
      </w:rPr>
    </w:lvl>
    <w:lvl w:ilvl="4">
      <w:start w:val="1"/>
      <w:numFmt w:val="bullet"/>
      <w:lvlText w:val="•"/>
      <w:lvlJc w:val="left"/>
      <w:pPr>
        <w:ind w:left="1849" w:hanging="227"/>
      </w:pPr>
      <w:rPr>
        <w:rFonts w:hint="default"/>
      </w:rPr>
    </w:lvl>
    <w:lvl w:ilvl="5">
      <w:start w:val="1"/>
      <w:numFmt w:val="bullet"/>
      <w:lvlText w:val="•"/>
      <w:lvlJc w:val="left"/>
      <w:pPr>
        <w:ind w:left="2251" w:hanging="227"/>
      </w:pPr>
      <w:rPr>
        <w:rFonts w:hint="default"/>
      </w:rPr>
    </w:lvl>
    <w:lvl w:ilvl="6">
      <w:start w:val="1"/>
      <w:numFmt w:val="bullet"/>
      <w:lvlText w:val="•"/>
      <w:lvlJc w:val="left"/>
      <w:pPr>
        <w:ind w:left="2653" w:hanging="227"/>
      </w:pPr>
      <w:rPr>
        <w:rFonts w:hint="default"/>
      </w:rPr>
    </w:lvl>
    <w:lvl w:ilvl="7">
      <w:start w:val="1"/>
      <w:numFmt w:val="bullet"/>
      <w:lvlText w:val="•"/>
      <w:lvlJc w:val="left"/>
      <w:pPr>
        <w:ind w:left="3056" w:hanging="227"/>
      </w:pPr>
      <w:rPr>
        <w:rFonts w:hint="default"/>
      </w:rPr>
    </w:lvl>
    <w:lvl w:ilvl="8">
      <w:start w:val="1"/>
      <w:numFmt w:val="bullet"/>
      <w:lvlText w:val="•"/>
      <w:lvlJc w:val="left"/>
      <w:pPr>
        <w:ind w:left="3458" w:hanging="227"/>
      </w:pPr>
      <w:rPr>
        <w:rFonts w:hint="default"/>
      </w:rPr>
    </w:lvl>
  </w:abstractNum>
  <w:abstractNum w:abstractNumId="32">
    <w:multiLevelType w:val="hybridMultilevel"/>
    <w:lvl w:ilvl="0">
      <w:start w:val="1"/>
      <w:numFmt w:val="bullet"/>
      <w:lvlText w:val="•"/>
      <w:lvlJc w:val="left"/>
      <w:pPr>
        <w:ind w:left="246" w:hanging="227"/>
      </w:pPr>
      <w:rPr>
        <w:rFonts w:hint="default" w:ascii="Arial" w:hAnsi="Arial" w:eastAsia="Arial" w:cs="Arial"/>
        <w:color w:val="58595B"/>
        <w:spacing w:val="-1"/>
        <w:w w:val="100"/>
        <w:sz w:val="18"/>
        <w:szCs w:val="18"/>
      </w:rPr>
    </w:lvl>
    <w:lvl w:ilvl="1">
      <w:start w:val="1"/>
      <w:numFmt w:val="bullet"/>
      <w:lvlText w:val="•"/>
      <w:lvlJc w:val="left"/>
      <w:pPr>
        <w:ind w:left="590" w:hanging="227"/>
      </w:pPr>
      <w:rPr>
        <w:rFonts w:hint="default"/>
      </w:rPr>
    </w:lvl>
    <w:lvl w:ilvl="2">
      <w:start w:val="1"/>
      <w:numFmt w:val="bullet"/>
      <w:lvlText w:val="•"/>
      <w:lvlJc w:val="left"/>
      <w:pPr>
        <w:ind w:left="941" w:hanging="227"/>
      </w:pPr>
      <w:rPr>
        <w:rFonts w:hint="default"/>
      </w:rPr>
    </w:lvl>
    <w:lvl w:ilvl="3">
      <w:start w:val="1"/>
      <w:numFmt w:val="bullet"/>
      <w:lvlText w:val="•"/>
      <w:lvlJc w:val="left"/>
      <w:pPr>
        <w:ind w:left="1292" w:hanging="227"/>
      </w:pPr>
      <w:rPr>
        <w:rFonts w:hint="default"/>
      </w:rPr>
    </w:lvl>
    <w:lvl w:ilvl="4">
      <w:start w:val="1"/>
      <w:numFmt w:val="bullet"/>
      <w:lvlText w:val="•"/>
      <w:lvlJc w:val="left"/>
      <w:pPr>
        <w:ind w:left="1643" w:hanging="227"/>
      </w:pPr>
      <w:rPr>
        <w:rFonts w:hint="default"/>
      </w:rPr>
    </w:lvl>
    <w:lvl w:ilvl="5">
      <w:start w:val="1"/>
      <w:numFmt w:val="bullet"/>
      <w:lvlText w:val="•"/>
      <w:lvlJc w:val="left"/>
      <w:pPr>
        <w:ind w:left="1994" w:hanging="227"/>
      </w:pPr>
      <w:rPr>
        <w:rFonts w:hint="default"/>
      </w:rPr>
    </w:lvl>
    <w:lvl w:ilvl="6">
      <w:start w:val="1"/>
      <w:numFmt w:val="bullet"/>
      <w:lvlText w:val="•"/>
      <w:lvlJc w:val="left"/>
      <w:pPr>
        <w:ind w:left="2345" w:hanging="227"/>
      </w:pPr>
      <w:rPr>
        <w:rFonts w:hint="default"/>
      </w:rPr>
    </w:lvl>
    <w:lvl w:ilvl="7">
      <w:start w:val="1"/>
      <w:numFmt w:val="bullet"/>
      <w:lvlText w:val="•"/>
      <w:lvlJc w:val="left"/>
      <w:pPr>
        <w:ind w:left="2696" w:hanging="227"/>
      </w:pPr>
      <w:rPr>
        <w:rFonts w:hint="default"/>
      </w:rPr>
    </w:lvl>
    <w:lvl w:ilvl="8">
      <w:start w:val="1"/>
      <w:numFmt w:val="bullet"/>
      <w:lvlText w:val="•"/>
      <w:lvlJc w:val="left"/>
      <w:pPr>
        <w:ind w:left="3047" w:hanging="227"/>
      </w:pPr>
      <w:rPr>
        <w:rFonts w:hint="default"/>
      </w:rPr>
    </w:lvl>
  </w:abstractNum>
  <w:abstractNum w:abstractNumId="31">
    <w:multiLevelType w:val="hybridMultilevel"/>
    <w:lvl w:ilvl="0">
      <w:start w:val="1"/>
      <w:numFmt w:val="bullet"/>
      <w:lvlText w:val="•"/>
      <w:lvlJc w:val="left"/>
      <w:pPr>
        <w:ind w:left="246" w:hanging="227"/>
      </w:pPr>
      <w:rPr>
        <w:rFonts w:hint="default" w:ascii="Arial" w:hAnsi="Arial" w:eastAsia="Arial" w:cs="Arial"/>
        <w:color w:val="58595B"/>
        <w:spacing w:val="-2"/>
        <w:w w:val="100"/>
        <w:sz w:val="18"/>
        <w:szCs w:val="18"/>
      </w:rPr>
    </w:lvl>
    <w:lvl w:ilvl="1">
      <w:start w:val="1"/>
      <w:numFmt w:val="bullet"/>
      <w:lvlText w:val="•"/>
      <w:lvlJc w:val="left"/>
      <w:pPr>
        <w:ind w:left="626" w:hanging="227"/>
      </w:pPr>
      <w:rPr>
        <w:rFonts w:hint="default"/>
      </w:rPr>
    </w:lvl>
    <w:lvl w:ilvl="2">
      <w:start w:val="1"/>
      <w:numFmt w:val="bullet"/>
      <w:lvlText w:val="•"/>
      <w:lvlJc w:val="left"/>
      <w:pPr>
        <w:ind w:left="1013" w:hanging="227"/>
      </w:pPr>
      <w:rPr>
        <w:rFonts w:hint="default"/>
      </w:rPr>
    </w:lvl>
    <w:lvl w:ilvl="3">
      <w:start w:val="1"/>
      <w:numFmt w:val="bullet"/>
      <w:lvlText w:val="•"/>
      <w:lvlJc w:val="left"/>
      <w:pPr>
        <w:ind w:left="1400" w:hanging="227"/>
      </w:pPr>
      <w:rPr>
        <w:rFonts w:hint="default"/>
      </w:rPr>
    </w:lvl>
    <w:lvl w:ilvl="4">
      <w:start w:val="1"/>
      <w:numFmt w:val="bullet"/>
      <w:lvlText w:val="•"/>
      <w:lvlJc w:val="left"/>
      <w:pPr>
        <w:ind w:left="1786" w:hanging="227"/>
      </w:pPr>
      <w:rPr>
        <w:rFonts w:hint="default"/>
      </w:rPr>
    </w:lvl>
    <w:lvl w:ilvl="5">
      <w:start w:val="1"/>
      <w:numFmt w:val="bullet"/>
      <w:lvlText w:val="•"/>
      <w:lvlJc w:val="left"/>
      <w:pPr>
        <w:ind w:left="2173" w:hanging="227"/>
      </w:pPr>
      <w:rPr>
        <w:rFonts w:hint="default"/>
      </w:rPr>
    </w:lvl>
    <w:lvl w:ilvl="6">
      <w:start w:val="1"/>
      <w:numFmt w:val="bullet"/>
      <w:lvlText w:val="•"/>
      <w:lvlJc w:val="left"/>
      <w:pPr>
        <w:ind w:left="2560" w:hanging="227"/>
      </w:pPr>
      <w:rPr>
        <w:rFonts w:hint="default"/>
      </w:rPr>
    </w:lvl>
    <w:lvl w:ilvl="7">
      <w:start w:val="1"/>
      <w:numFmt w:val="bullet"/>
      <w:lvlText w:val="•"/>
      <w:lvlJc w:val="left"/>
      <w:pPr>
        <w:ind w:left="2946" w:hanging="227"/>
      </w:pPr>
      <w:rPr>
        <w:rFonts w:hint="default"/>
      </w:rPr>
    </w:lvl>
    <w:lvl w:ilvl="8">
      <w:start w:val="1"/>
      <w:numFmt w:val="bullet"/>
      <w:lvlText w:val="•"/>
      <w:lvlJc w:val="left"/>
      <w:pPr>
        <w:ind w:left="3333" w:hanging="227"/>
      </w:pPr>
      <w:rPr>
        <w:rFonts w:hint="default"/>
      </w:rPr>
    </w:lvl>
  </w:abstractNum>
  <w:abstractNum w:abstractNumId="30">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29" w:hanging="170"/>
      </w:pPr>
      <w:rPr>
        <w:rFonts w:hint="default"/>
      </w:rPr>
    </w:lvl>
    <w:lvl w:ilvl="2">
      <w:start w:val="1"/>
      <w:numFmt w:val="bullet"/>
      <w:lvlText w:val="•"/>
      <w:lvlJc w:val="left"/>
      <w:pPr>
        <w:ind w:left="1858" w:hanging="170"/>
      </w:pPr>
      <w:rPr>
        <w:rFonts w:hint="default"/>
      </w:rPr>
    </w:lvl>
    <w:lvl w:ilvl="3">
      <w:start w:val="1"/>
      <w:numFmt w:val="bullet"/>
      <w:lvlText w:val="•"/>
      <w:lvlJc w:val="left"/>
      <w:pPr>
        <w:ind w:left="2687" w:hanging="170"/>
      </w:pPr>
      <w:rPr>
        <w:rFonts w:hint="default"/>
      </w:rPr>
    </w:lvl>
    <w:lvl w:ilvl="4">
      <w:start w:val="1"/>
      <w:numFmt w:val="bullet"/>
      <w:lvlText w:val="•"/>
      <w:lvlJc w:val="left"/>
      <w:pPr>
        <w:ind w:left="3517" w:hanging="170"/>
      </w:pPr>
      <w:rPr>
        <w:rFonts w:hint="default"/>
      </w:rPr>
    </w:lvl>
    <w:lvl w:ilvl="5">
      <w:start w:val="1"/>
      <w:numFmt w:val="bullet"/>
      <w:lvlText w:val="•"/>
      <w:lvlJc w:val="left"/>
      <w:pPr>
        <w:ind w:left="4346" w:hanging="170"/>
      </w:pPr>
      <w:rPr>
        <w:rFonts w:hint="default"/>
      </w:rPr>
    </w:lvl>
    <w:lvl w:ilvl="6">
      <w:start w:val="1"/>
      <w:numFmt w:val="bullet"/>
      <w:lvlText w:val="•"/>
      <w:lvlJc w:val="left"/>
      <w:pPr>
        <w:ind w:left="5175" w:hanging="170"/>
      </w:pPr>
      <w:rPr>
        <w:rFonts w:hint="default"/>
      </w:rPr>
    </w:lvl>
    <w:lvl w:ilvl="7">
      <w:start w:val="1"/>
      <w:numFmt w:val="bullet"/>
      <w:lvlText w:val="•"/>
      <w:lvlJc w:val="left"/>
      <w:pPr>
        <w:ind w:left="6005" w:hanging="170"/>
      </w:pPr>
      <w:rPr>
        <w:rFonts w:hint="default"/>
      </w:rPr>
    </w:lvl>
    <w:lvl w:ilvl="8">
      <w:start w:val="1"/>
      <w:numFmt w:val="bullet"/>
      <w:lvlText w:val="•"/>
      <w:lvlJc w:val="left"/>
      <w:pPr>
        <w:ind w:left="6834" w:hanging="170"/>
      </w:pPr>
      <w:rPr>
        <w:rFonts w:hint="default"/>
      </w:rPr>
    </w:lvl>
  </w:abstractNum>
  <w:abstractNum w:abstractNumId="29">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38" w:hanging="170"/>
      </w:pPr>
      <w:rPr>
        <w:rFonts w:hint="default"/>
      </w:rPr>
    </w:lvl>
    <w:lvl w:ilvl="2">
      <w:start w:val="1"/>
      <w:numFmt w:val="bullet"/>
      <w:lvlText w:val="•"/>
      <w:lvlJc w:val="left"/>
      <w:pPr>
        <w:ind w:left="1876" w:hanging="170"/>
      </w:pPr>
      <w:rPr>
        <w:rFonts w:hint="default"/>
      </w:rPr>
    </w:lvl>
    <w:lvl w:ilvl="3">
      <w:start w:val="1"/>
      <w:numFmt w:val="bullet"/>
      <w:lvlText w:val="•"/>
      <w:lvlJc w:val="left"/>
      <w:pPr>
        <w:ind w:left="2714" w:hanging="170"/>
      </w:pPr>
      <w:rPr>
        <w:rFonts w:hint="default"/>
      </w:rPr>
    </w:lvl>
    <w:lvl w:ilvl="4">
      <w:start w:val="1"/>
      <w:numFmt w:val="bullet"/>
      <w:lvlText w:val="•"/>
      <w:lvlJc w:val="left"/>
      <w:pPr>
        <w:ind w:left="3552" w:hanging="170"/>
      </w:pPr>
      <w:rPr>
        <w:rFonts w:hint="default"/>
      </w:rPr>
    </w:lvl>
    <w:lvl w:ilvl="5">
      <w:start w:val="1"/>
      <w:numFmt w:val="bullet"/>
      <w:lvlText w:val="•"/>
      <w:lvlJc w:val="left"/>
      <w:pPr>
        <w:ind w:left="4390" w:hanging="170"/>
      </w:pPr>
      <w:rPr>
        <w:rFonts w:hint="default"/>
      </w:rPr>
    </w:lvl>
    <w:lvl w:ilvl="6">
      <w:start w:val="1"/>
      <w:numFmt w:val="bullet"/>
      <w:lvlText w:val="•"/>
      <w:lvlJc w:val="left"/>
      <w:pPr>
        <w:ind w:left="5228" w:hanging="170"/>
      </w:pPr>
      <w:rPr>
        <w:rFonts w:hint="default"/>
      </w:rPr>
    </w:lvl>
    <w:lvl w:ilvl="7">
      <w:start w:val="1"/>
      <w:numFmt w:val="bullet"/>
      <w:lvlText w:val="•"/>
      <w:lvlJc w:val="left"/>
      <w:pPr>
        <w:ind w:left="6066" w:hanging="170"/>
      </w:pPr>
      <w:rPr>
        <w:rFonts w:hint="default"/>
      </w:rPr>
    </w:lvl>
    <w:lvl w:ilvl="8">
      <w:start w:val="1"/>
      <w:numFmt w:val="bullet"/>
      <w:lvlText w:val="•"/>
      <w:lvlJc w:val="left"/>
      <w:pPr>
        <w:ind w:left="6904" w:hanging="170"/>
      </w:pPr>
      <w:rPr>
        <w:rFonts w:hint="default"/>
      </w:rPr>
    </w:lvl>
  </w:abstractNum>
  <w:abstractNum w:abstractNumId="28">
    <w:multiLevelType w:val="hybridMultilevel"/>
    <w:lvl w:ilvl="0">
      <w:start w:val="10"/>
      <w:numFmt w:val="decimal"/>
      <w:lvlText w:val="%1."/>
      <w:lvlJc w:val="left"/>
      <w:pPr>
        <w:ind w:left="360" w:hanging="341"/>
        <w:jc w:val="left"/>
      </w:pPr>
      <w:rPr>
        <w:rFonts w:hint="default" w:ascii="Arial" w:hAnsi="Arial" w:eastAsia="Arial" w:cs="Arial"/>
        <w:b/>
        <w:bCs/>
        <w:color w:val="58595B"/>
        <w:spacing w:val="-6"/>
        <w:w w:val="100"/>
        <w:sz w:val="20"/>
        <w:szCs w:val="20"/>
      </w:rPr>
    </w:lvl>
    <w:lvl w:ilvl="1">
      <w:start w:val="1"/>
      <w:numFmt w:val="bullet"/>
      <w:lvlText w:val="•"/>
      <w:lvlJc w:val="left"/>
      <w:pPr>
        <w:ind w:left="530" w:hanging="170"/>
      </w:pPr>
      <w:rPr>
        <w:rFonts w:hint="default" w:ascii="Arial" w:hAnsi="Arial" w:eastAsia="Arial" w:cs="Arial"/>
        <w:color w:val="0095A7"/>
        <w:spacing w:val="-13"/>
        <w:w w:val="100"/>
        <w:sz w:val="20"/>
        <w:szCs w:val="20"/>
      </w:rPr>
    </w:lvl>
    <w:lvl w:ilvl="2">
      <w:start w:val="1"/>
      <w:numFmt w:val="bullet"/>
      <w:lvlText w:val="•"/>
      <w:lvlJc w:val="left"/>
      <w:pPr>
        <w:ind w:left="1448" w:hanging="170"/>
      </w:pPr>
      <w:rPr>
        <w:rFonts w:hint="default"/>
      </w:rPr>
    </w:lvl>
    <w:lvl w:ilvl="3">
      <w:start w:val="1"/>
      <w:numFmt w:val="bullet"/>
      <w:lvlText w:val="•"/>
      <w:lvlJc w:val="left"/>
      <w:pPr>
        <w:ind w:left="2356" w:hanging="170"/>
      </w:pPr>
      <w:rPr>
        <w:rFonts w:hint="default"/>
      </w:rPr>
    </w:lvl>
    <w:lvl w:ilvl="4">
      <w:start w:val="1"/>
      <w:numFmt w:val="bullet"/>
      <w:lvlText w:val="•"/>
      <w:lvlJc w:val="left"/>
      <w:pPr>
        <w:ind w:left="3264" w:hanging="170"/>
      </w:pPr>
      <w:rPr>
        <w:rFonts w:hint="default"/>
      </w:rPr>
    </w:lvl>
    <w:lvl w:ilvl="5">
      <w:start w:val="1"/>
      <w:numFmt w:val="bullet"/>
      <w:lvlText w:val="•"/>
      <w:lvlJc w:val="left"/>
      <w:pPr>
        <w:ind w:left="4172" w:hanging="170"/>
      </w:pPr>
      <w:rPr>
        <w:rFonts w:hint="default"/>
      </w:rPr>
    </w:lvl>
    <w:lvl w:ilvl="6">
      <w:start w:val="1"/>
      <w:numFmt w:val="bullet"/>
      <w:lvlText w:val="•"/>
      <w:lvlJc w:val="left"/>
      <w:pPr>
        <w:ind w:left="5081" w:hanging="170"/>
      </w:pPr>
      <w:rPr>
        <w:rFonts w:hint="default"/>
      </w:rPr>
    </w:lvl>
    <w:lvl w:ilvl="7">
      <w:start w:val="1"/>
      <w:numFmt w:val="bullet"/>
      <w:lvlText w:val="•"/>
      <w:lvlJc w:val="left"/>
      <w:pPr>
        <w:ind w:left="5989" w:hanging="170"/>
      </w:pPr>
      <w:rPr>
        <w:rFonts w:hint="default"/>
      </w:rPr>
    </w:lvl>
    <w:lvl w:ilvl="8">
      <w:start w:val="1"/>
      <w:numFmt w:val="bullet"/>
      <w:lvlText w:val="•"/>
      <w:lvlJc w:val="left"/>
      <w:pPr>
        <w:ind w:left="6897" w:hanging="170"/>
      </w:pPr>
      <w:rPr>
        <w:rFonts w:hint="default"/>
      </w:rPr>
    </w:lvl>
  </w:abstractNum>
  <w:abstractNum w:abstractNumId="27">
    <w:multiLevelType w:val="hybridMultilevel"/>
    <w:lvl w:ilvl="0">
      <w:start w:val="1"/>
      <w:numFmt w:val="bullet"/>
      <w:lvlText w:val="•"/>
      <w:lvlJc w:val="left"/>
      <w:pPr>
        <w:ind w:left="190" w:hanging="170"/>
      </w:pPr>
      <w:rPr>
        <w:rFonts w:hint="default" w:ascii="Arial" w:hAnsi="Arial" w:eastAsia="Arial" w:cs="Arial"/>
        <w:color w:val="0095A7"/>
        <w:spacing w:val="-17"/>
        <w:w w:val="100"/>
        <w:sz w:val="20"/>
        <w:szCs w:val="20"/>
      </w:rPr>
    </w:lvl>
    <w:lvl w:ilvl="1">
      <w:start w:val="1"/>
      <w:numFmt w:val="bullet"/>
      <w:lvlText w:val="•"/>
      <w:lvlJc w:val="left"/>
      <w:pPr>
        <w:ind w:left="976" w:hanging="170"/>
      </w:pPr>
      <w:rPr>
        <w:rFonts w:hint="default"/>
      </w:rPr>
    </w:lvl>
    <w:lvl w:ilvl="2">
      <w:start w:val="1"/>
      <w:numFmt w:val="bullet"/>
      <w:lvlText w:val="•"/>
      <w:lvlJc w:val="left"/>
      <w:pPr>
        <w:ind w:left="1753" w:hanging="170"/>
      </w:pPr>
      <w:rPr>
        <w:rFonts w:hint="default"/>
      </w:rPr>
    </w:lvl>
    <w:lvl w:ilvl="3">
      <w:start w:val="1"/>
      <w:numFmt w:val="bullet"/>
      <w:lvlText w:val="•"/>
      <w:lvlJc w:val="left"/>
      <w:pPr>
        <w:ind w:left="2530" w:hanging="170"/>
      </w:pPr>
      <w:rPr>
        <w:rFonts w:hint="default"/>
      </w:rPr>
    </w:lvl>
    <w:lvl w:ilvl="4">
      <w:start w:val="1"/>
      <w:numFmt w:val="bullet"/>
      <w:lvlText w:val="•"/>
      <w:lvlJc w:val="left"/>
      <w:pPr>
        <w:ind w:left="3307" w:hanging="170"/>
      </w:pPr>
      <w:rPr>
        <w:rFonts w:hint="default"/>
      </w:rPr>
    </w:lvl>
    <w:lvl w:ilvl="5">
      <w:start w:val="1"/>
      <w:numFmt w:val="bullet"/>
      <w:lvlText w:val="•"/>
      <w:lvlJc w:val="left"/>
      <w:pPr>
        <w:ind w:left="4084" w:hanging="170"/>
      </w:pPr>
      <w:rPr>
        <w:rFonts w:hint="default"/>
      </w:rPr>
    </w:lvl>
    <w:lvl w:ilvl="6">
      <w:start w:val="1"/>
      <w:numFmt w:val="bullet"/>
      <w:lvlText w:val="•"/>
      <w:lvlJc w:val="left"/>
      <w:pPr>
        <w:ind w:left="4861" w:hanging="170"/>
      </w:pPr>
      <w:rPr>
        <w:rFonts w:hint="default"/>
      </w:rPr>
    </w:lvl>
    <w:lvl w:ilvl="7">
      <w:start w:val="1"/>
      <w:numFmt w:val="bullet"/>
      <w:lvlText w:val="•"/>
      <w:lvlJc w:val="left"/>
      <w:pPr>
        <w:ind w:left="5638" w:hanging="170"/>
      </w:pPr>
      <w:rPr>
        <w:rFonts w:hint="default"/>
      </w:rPr>
    </w:lvl>
    <w:lvl w:ilvl="8">
      <w:start w:val="1"/>
      <w:numFmt w:val="bullet"/>
      <w:lvlText w:val="•"/>
      <w:lvlJc w:val="left"/>
      <w:pPr>
        <w:ind w:left="6415" w:hanging="170"/>
      </w:pPr>
      <w:rPr>
        <w:rFonts w:hint="default"/>
      </w:rPr>
    </w:lvl>
  </w:abstractNum>
  <w:abstractNum w:abstractNumId="26">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993" w:hanging="170"/>
      </w:pPr>
      <w:rPr>
        <w:rFonts w:hint="default"/>
      </w:rPr>
    </w:lvl>
    <w:lvl w:ilvl="2">
      <w:start w:val="1"/>
      <w:numFmt w:val="bullet"/>
      <w:lvlText w:val="•"/>
      <w:lvlJc w:val="left"/>
      <w:pPr>
        <w:ind w:left="1786" w:hanging="170"/>
      </w:pPr>
      <w:rPr>
        <w:rFonts w:hint="default"/>
      </w:rPr>
    </w:lvl>
    <w:lvl w:ilvl="3">
      <w:start w:val="1"/>
      <w:numFmt w:val="bullet"/>
      <w:lvlText w:val="•"/>
      <w:lvlJc w:val="left"/>
      <w:pPr>
        <w:ind w:left="2579" w:hanging="170"/>
      </w:pPr>
      <w:rPr>
        <w:rFonts w:hint="default"/>
      </w:rPr>
    </w:lvl>
    <w:lvl w:ilvl="4">
      <w:start w:val="1"/>
      <w:numFmt w:val="bullet"/>
      <w:lvlText w:val="•"/>
      <w:lvlJc w:val="left"/>
      <w:pPr>
        <w:ind w:left="3373" w:hanging="170"/>
      </w:pPr>
      <w:rPr>
        <w:rFonts w:hint="default"/>
      </w:rPr>
    </w:lvl>
    <w:lvl w:ilvl="5">
      <w:start w:val="1"/>
      <w:numFmt w:val="bullet"/>
      <w:lvlText w:val="•"/>
      <w:lvlJc w:val="left"/>
      <w:pPr>
        <w:ind w:left="4166" w:hanging="170"/>
      </w:pPr>
      <w:rPr>
        <w:rFonts w:hint="default"/>
      </w:rPr>
    </w:lvl>
    <w:lvl w:ilvl="6">
      <w:start w:val="1"/>
      <w:numFmt w:val="bullet"/>
      <w:lvlText w:val="•"/>
      <w:lvlJc w:val="left"/>
      <w:pPr>
        <w:ind w:left="4959" w:hanging="170"/>
      </w:pPr>
      <w:rPr>
        <w:rFonts w:hint="default"/>
      </w:rPr>
    </w:lvl>
    <w:lvl w:ilvl="7">
      <w:start w:val="1"/>
      <w:numFmt w:val="bullet"/>
      <w:lvlText w:val="•"/>
      <w:lvlJc w:val="left"/>
      <w:pPr>
        <w:ind w:left="5753" w:hanging="170"/>
      </w:pPr>
      <w:rPr>
        <w:rFonts w:hint="default"/>
      </w:rPr>
    </w:lvl>
    <w:lvl w:ilvl="8">
      <w:start w:val="1"/>
      <w:numFmt w:val="bullet"/>
      <w:lvlText w:val="•"/>
      <w:lvlJc w:val="left"/>
      <w:pPr>
        <w:ind w:left="6546" w:hanging="170"/>
      </w:pPr>
      <w:rPr>
        <w:rFonts w:hint="default"/>
      </w:rPr>
    </w:lvl>
  </w:abstractNum>
  <w:abstractNum w:abstractNumId="25">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730" w:hanging="170"/>
      </w:pPr>
      <w:rPr>
        <w:rFonts w:hint="default"/>
      </w:rPr>
    </w:lvl>
    <w:lvl w:ilvl="2">
      <w:start w:val="1"/>
      <w:numFmt w:val="bullet"/>
      <w:lvlText w:val="•"/>
      <w:lvlJc w:val="left"/>
      <w:pPr>
        <w:ind w:left="1261" w:hanging="170"/>
      </w:pPr>
      <w:rPr>
        <w:rFonts w:hint="default"/>
      </w:rPr>
    </w:lvl>
    <w:lvl w:ilvl="3">
      <w:start w:val="1"/>
      <w:numFmt w:val="bullet"/>
      <w:lvlText w:val="•"/>
      <w:lvlJc w:val="left"/>
      <w:pPr>
        <w:ind w:left="1791" w:hanging="170"/>
      </w:pPr>
      <w:rPr>
        <w:rFonts w:hint="default"/>
      </w:rPr>
    </w:lvl>
    <w:lvl w:ilvl="4">
      <w:start w:val="1"/>
      <w:numFmt w:val="bullet"/>
      <w:lvlText w:val="•"/>
      <w:lvlJc w:val="left"/>
      <w:pPr>
        <w:ind w:left="2322" w:hanging="170"/>
      </w:pPr>
      <w:rPr>
        <w:rFonts w:hint="default"/>
      </w:rPr>
    </w:lvl>
    <w:lvl w:ilvl="5">
      <w:start w:val="1"/>
      <w:numFmt w:val="bullet"/>
      <w:lvlText w:val="•"/>
      <w:lvlJc w:val="left"/>
      <w:pPr>
        <w:ind w:left="2852" w:hanging="170"/>
      </w:pPr>
      <w:rPr>
        <w:rFonts w:hint="default"/>
      </w:rPr>
    </w:lvl>
    <w:lvl w:ilvl="6">
      <w:start w:val="1"/>
      <w:numFmt w:val="bullet"/>
      <w:lvlText w:val="•"/>
      <w:lvlJc w:val="left"/>
      <w:pPr>
        <w:ind w:left="3383" w:hanging="170"/>
      </w:pPr>
      <w:rPr>
        <w:rFonts w:hint="default"/>
      </w:rPr>
    </w:lvl>
    <w:lvl w:ilvl="7">
      <w:start w:val="1"/>
      <w:numFmt w:val="bullet"/>
      <w:lvlText w:val="•"/>
      <w:lvlJc w:val="left"/>
      <w:pPr>
        <w:ind w:left="3913" w:hanging="170"/>
      </w:pPr>
      <w:rPr>
        <w:rFonts w:hint="default"/>
      </w:rPr>
    </w:lvl>
    <w:lvl w:ilvl="8">
      <w:start w:val="1"/>
      <w:numFmt w:val="bullet"/>
      <w:lvlText w:val="•"/>
      <w:lvlJc w:val="left"/>
      <w:pPr>
        <w:ind w:left="4444" w:hanging="170"/>
      </w:pPr>
      <w:rPr>
        <w:rFonts w:hint="default"/>
      </w:rPr>
    </w:lvl>
  </w:abstractNum>
  <w:abstractNum w:abstractNumId="24">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987" w:hanging="170"/>
      </w:pPr>
      <w:rPr>
        <w:rFonts w:hint="default"/>
      </w:rPr>
    </w:lvl>
    <w:lvl w:ilvl="2">
      <w:start w:val="1"/>
      <w:numFmt w:val="bullet"/>
      <w:lvlText w:val="•"/>
      <w:lvlJc w:val="left"/>
      <w:pPr>
        <w:ind w:left="1774" w:hanging="170"/>
      </w:pPr>
      <w:rPr>
        <w:rFonts w:hint="default"/>
      </w:rPr>
    </w:lvl>
    <w:lvl w:ilvl="3">
      <w:start w:val="1"/>
      <w:numFmt w:val="bullet"/>
      <w:lvlText w:val="•"/>
      <w:lvlJc w:val="left"/>
      <w:pPr>
        <w:ind w:left="2561" w:hanging="170"/>
      </w:pPr>
      <w:rPr>
        <w:rFonts w:hint="default"/>
      </w:rPr>
    </w:lvl>
    <w:lvl w:ilvl="4">
      <w:start w:val="1"/>
      <w:numFmt w:val="bullet"/>
      <w:lvlText w:val="•"/>
      <w:lvlJc w:val="left"/>
      <w:pPr>
        <w:ind w:left="3348" w:hanging="170"/>
      </w:pPr>
      <w:rPr>
        <w:rFonts w:hint="default"/>
      </w:rPr>
    </w:lvl>
    <w:lvl w:ilvl="5">
      <w:start w:val="1"/>
      <w:numFmt w:val="bullet"/>
      <w:lvlText w:val="•"/>
      <w:lvlJc w:val="left"/>
      <w:pPr>
        <w:ind w:left="4136" w:hanging="170"/>
      </w:pPr>
      <w:rPr>
        <w:rFonts w:hint="default"/>
      </w:rPr>
    </w:lvl>
    <w:lvl w:ilvl="6">
      <w:start w:val="1"/>
      <w:numFmt w:val="bullet"/>
      <w:lvlText w:val="•"/>
      <w:lvlJc w:val="left"/>
      <w:pPr>
        <w:ind w:left="4923" w:hanging="170"/>
      </w:pPr>
      <w:rPr>
        <w:rFonts w:hint="default"/>
      </w:rPr>
    </w:lvl>
    <w:lvl w:ilvl="7">
      <w:start w:val="1"/>
      <w:numFmt w:val="bullet"/>
      <w:lvlText w:val="•"/>
      <w:lvlJc w:val="left"/>
      <w:pPr>
        <w:ind w:left="5710" w:hanging="170"/>
      </w:pPr>
      <w:rPr>
        <w:rFonts w:hint="default"/>
      </w:rPr>
    </w:lvl>
    <w:lvl w:ilvl="8">
      <w:start w:val="1"/>
      <w:numFmt w:val="bullet"/>
      <w:lvlText w:val="•"/>
      <w:lvlJc w:val="left"/>
      <w:pPr>
        <w:ind w:left="6497" w:hanging="170"/>
      </w:pPr>
      <w:rPr>
        <w:rFonts w:hint="default"/>
      </w:rPr>
    </w:lvl>
  </w:abstractNum>
  <w:abstractNum w:abstractNumId="23">
    <w:multiLevelType w:val="hybridMultilevel"/>
    <w:lvl w:ilvl="0">
      <w:start w:val="7"/>
      <w:numFmt w:val="decimal"/>
      <w:lvlText w:val="%1."/>
      <w:lvlJc w:val="left"/>
      <w:pPr>
        <w:ind w:left="366" w:hanging="181"/>
        <w:jc w:val="left"/>
      </w:pPr>
      <w:rPr>
        <w:rFonts w:hint="default" w:ascii="Arial" w:hAnsi="Arial" w:eastAsia="Arial" w:cs="Arial"/>
        <w:b/>
        <w:bCs/>
        <w:color w:val="31AC6F"/>
        <w:w w:val="100"/>
        <w:sz w:val="16"/>
        <w:szCs w:val="16"/>
      </w:rPr>
    </w:lvl>
    <w:lvl w:ilvl="1">
      <w:start w:val="1"/>
      <w:numFmt w:val="bullet"/>
      <w:lvlText w:val="•"/>
      <w:lvlJc w:val="left"/>
      <w:pPr>
        <w:ind w:left="596" w:hanging="181"/>
      </w:pPr>
      <w:rPr>
        <w:rFonts w:hint="default"/>
      </w:rPr>
    </w:lvl>
    <w:lvl w:ilvl="2">
      <w:start w:val="1"/>
      <w:numFmt w:val="bullet"/>
      <w:lvlText w:val="•"/>
      <w:lvlJc w:val="left"/>
      <w:pPr>
        <w:ind w:left="832" w:hanging="181"/>
      </w:pPr>
      <w:rPr>
        <w:rFonts w:hint="default"/>
      </w:rPr>
    </w:lvl>
    <w:lvl w:ilvl="3">
      <w:start w:val="1"/>
      <w:numFmt w:val="bullet"/>
      <w:lvlText w:val="•"/>
      <w:lvlJc w:val="left"/>
      <w:pPr>
        <w:ind w:left="1068" w:hanging="181"/>
      </w:pPr>
      <w:rPr>
        <w:rFonts w:hint="default"/>
      </w:rPr>
    </w:lvl>
    <w:lvl w:ilvl="4">
      <w:start w:val="1"/>
      <w:numFmt w:val="bullet"/>
      <w:lvlText w:val="•"/>
      <w:lvlJc w:val="left"/>
      <w:pPr>
        <w:ind w:left="1304" w:hanging="181"/>
      </w:pPr>
      <w:rPr>
        <w:rFonts w:hint="default"/>
      </w:rPr>
    </w:lvl>
    <w:lvl w:ilvl="5">
      <w:start w:val="1"/>
      <w:numFmt w:val="bullet"/>
      <w:lvlText w:val="•"/>
      <w:lvlJc w:val="left"/>
      <w:pPr>
        <w:ind w:left="1540" w:hanging="181"/>
      </w:pPr>
      <w:rPr>
        <w:rFonts w:hint="default"/>
      </w:rPr>
    </w:lvl>
    <w:lvl w:ilvl="6">
      <w:start w:val="1"/>
      <w:numFmt w:val="bullet"/>
      <w:lvlText w:val="•"/>
      <w:lvlJc w:val="left"/>
      <w:pPr>
        <w:ind w:left="1776" w:hanging="181"/>
      </w:pPr>
      <w:rPr>
        <w:rFonts w:hint="default"/>
      </w:rPr>
    </w:lvl>
    <w:lvl w:ilvl="7">
      <w:start w:val="1"/>
      <w:numFmt w:val="bullet"/>
      <w:lvlText w:val="•"/>
      <w:lvlJc w:val="left"/>
      <w:pPr>
        <w:ind w:left="2012" w:hanging="181"/>
      </w:pPr>
      <w:rPr>
        <w:rFonts w:hint="default"/>
      </w:rPr>
    </w:lvl>
    <w:lvl w:ilvl="8">
      <w:start w:val="1"/>
      <w:numFmt w:val="bullet"/>
      <w:lvlText w:val="•"/>
      <w:lvlJc w:val="left"/>
      <w:pPr>
        <w:ind w:left="2249" w:hanging="181"/>
      </w:pPr>
      <w:rPr>
        <w:rFonts w:hint="default"/>
      </w:rPr>
    </w:lvl>
  </w:abstractNum>
  <w:abstractNum w:abstractNumId="22">
    <w:multiLevelType w:val="hybridMultilevel"/>
    <w:lvl w:ilvl="0">
      <w:start w:val="2"/>
      <w:numFmt w:val="decimal"/>
      <w:lvlText w:val="%1."/>
      <w:lvlJc w:val="left"/>
      <w:pPr>
        <w:ind w:left="360" w:hanging="341"/>
        <w:jc w:val="left"/>
      </w:pPr>
      <w:rPr>
        <w:rFonts w:hint="default" w:ascii="Arial" w:hAnsi="Arial" w:eastAsia="Arial" w:cs="Arial"/>
        <w:b/>
        <w:bCs/>
        <w:color w:val="58595B"/>
        <w:spacing w:val="-3"/>
        <w:w w:val="100"/>
        <w:sz w:val="20"/>
        <w:szCs w:val="20"/>
      </w:rPr>
    </w:lvl>
    <w:lvl w:ilvl="1">
      <w:start w:val="1"/>
      <w:numFmt w:val="bullet"/>
      <w:lvlText w:val="•"/>
      <w:lvlJc w:val="left"/>
      <w:pPr>
        <w:ind w:left="530" w:hanging="170"/>
      </w:pPr>
      <w:rPr>
        <w:rFonts w:hint="default" w:ascii="Arial" w:hAnsi="Arial" w:eastAsia="Arial" w:cs="Arial"/>
        <w:color w:val="0095A7"/>
        <w:spacing w:val="-12"/>
        <w:w w:val="100"/>
        <w:sz w:val="20"/>
        <w:szCs w:val="20"/>
      </w:rPr>
    </w:lvl>
    <w:lvl w:ilvl="2">
      <w:start w:val="1"/>
      <w:numFmt w:val="bullet"/>
      <w:lvlText w:val="•"/>
      <w:lvlJc w:val="left"/>
      <w:pPr>
        <w:ind w:left="1387" w:hanging="170"/>
      </w:pPr>
      <w:rPr>
        <w:rFonts w:hint="default"/>
      </w:rPr>
    </w:lvl>
    <w:lvl w:ilvl="3">
      <w:start w:val="1"/>
      <w:numFmt w:val="bullet"/>
      <w:lvlText w:val="•"/>
      <w:lvlJc w:val="left"/>
      <w:pPr>
        <w:ind w:left="2234" w:hanging="170"/>
      </w:pPr>
      <w:rPr>
        <w:rFonts w:hint="default"/>
      </w:rPr>
    </w:lvl>
    <w:lvl w:ilvl="4">
      <w:start w:val="1"/>
      <w:numFmt w:val="bullet"/>
      <w:lvlText w:val="•"/>
      <w:lvlJc w:val="left"/>
      <w:pPr>
        <w:ind w:left="3081" w:hanging="170"/>
      </w:pPr>
      <w:rPr>
        <w:rFonts w:hint="default"/>
      </w:rPr>
    </w:lvl>
    <w:lvl w:ilvl="5">
      <w:start w:val="1"/>
      <w:numFmt w:val="bullet"/>
      <w:lvlText w:val="•"/>
      <w:lvlJc w:val="left"/>
      <w:pPr>
        <w:ind w:left="3928" w:hanging="170"/>
      </w:pPr>
      <w:rPr>
        <w:rFonts w:hint="default"/>
      </w:rPr>
    </w:lvl>
    <w:lvl w:ilvl="6">
      <w:start w:val="1"/>
      <w:numFmt w:val="bullet"/>
      <w:lvlText w:val="•"/>
      <w:lvlJc w:val="left"/>
      <w:pPr>
        <w:ind w:left="4775" w:hanging="170"/>
      </w:pPr>
      <w:rPr>
        <w:rFonts w:hint="default"/>
      </w:rPr>
    </w:lvl>
    <w:lvl w:ilvl="7">
      <w:start w:val="1"/>
      <w:numFmt w:val="bullet"/>
      <w:lvlText w:val="•"/>
      <w:lvlJc w:val="left"/>
      <w:pPr>
        <w:ind w:left="5622" w:hanging="170"/>
      </w:pPr>
      <w:rPr>
        <w:rFonts w:hint="default"/>
      </w:rPr>
    </w:lvl>
    <w:lvl w:ilvl="8">
      <w:start w:val="1"/>
      <w:numFmt w:val="bullet"/>
      <w:lvlText w:val="•"/>
      <w:lvlJc w:val="left"/>
      <w:pPr>
        <w:ind w:left="6469" w:hanging="170"/>
      </w:pPr>
      <w:rPr>
        <w:rFonts w:hint="default"/>
      </w:rPr>
    </w:lvl>
  </w:abstractNum>
  <w:abstractNum w:abstractNumId="21">
    <w:multiLevelType w:val="hybridMultilevel"/>
    <w:lvl w:ilvl="0">
      <w:start w:val="1"/>
      <w:numFmt w:val="decimal"/>
      <w:lvlText w:val="%1."/>
      <w:lvlJc w:val="left"/>
      <w:pPr>
        <w:ind w:left="360" w:hanging="341"/>
        <w:jc w:val="left"/>
      </w:pPr>
      <w:rPr>
        <w:rFonts w:hint="default" w:ascii="Arial" w:hAnsi="Arial" w:eastAsia="Arial" w:cs="Arial"/>
        <w:b/>
        <w:bCs/>
        <w:color w:val="58595B"/>
        <w:spacing w:val="-7"/>
        <w:w w:val="100"/>
        <w:sz w:val="20"/>
        <w:szCs w:val="20"/>
      </w:rPr>
    </w:lvl>
    <w:lvl w:ilvl="1">
      <w:start w:val="1"/>
      <w:numFmt w:val="bullet"/>
      <w:lvlText w:val="•"/>
      <w:lvlJc w:val="left"/>
      <w:pPr>
        <w:ind w:left="530" w:hanging="170"/>
      </w:pPr>
      <w:rPr>
        <w:rFonts w:hint="default" w:ascii="Arial" w:hAnsi="Arial" w:eastAsia="Arial" w:cs="Arial"/>
        <w:color w:val="0095A7"/>
        <w:spacing w:val="-12"/>
        <w:w w:val="100"/>
        <w:sz w:val="20"/>
        <w:szCs w:val="20"/>
      </w:rPr>
    </w:lvl>
    <w:lvl w:ilvl="2">
      <w:start w:val="1"/>
      <w:numFmt w:val="bullet"/>
      <w:lvlText w:val="•"/>
      <w:lvlJc w:val="left"/>
      <w:pPr>
        <w:ind w:left="1441" w:hanging="170"/>
      </w:pPr>
      <w:rPr>
        <w:rFonts w:hint="default"/>
      </w:rPr>
    </w:lvl>
    <w:lvl w:ilvl="3">
      <w:start w:val="1"/>
      <w:numFmt w:val="bullet"/>
      <w:lvlText w:val="•"/>
      <w:lvlJc w:val="left"/>
      <w:pPr>
        <w:ind w:left="2343" w:hanging="170"/>
      </w:pPr>
      <w:rPr>
        <w:rFonts w:hint="default"/>
      </w:rPr>
    </w:lvl>
    <w:lvl w:ilvl="4">
      <w:start w:val="1"/>
      <w:numFmt w:val="bullet"/>
      <w:lvlText w:val="•"/>
      <w:lvlJc w:val="left"/>
      <w:pPr>
        <w:ind w:left="3245" w:hanging="170"/>
      </w:pPr>
      <w:rPr>
        <w:rFonts w:hint="default"/>
      </w:rPr>
    </w:lvl>
    <w:lvl w:ilvl="5">
      <w:start w:val="1"/>
      <w:numFmt w:val="bullet"/>
      <w:lvlText w:val="•"/>
      <w:lvlJc w:val="left"/>
      <w:pPr>
        <w:ind w:left="4147" w:hanging="170"/>
      </w:pPr>
      <w:rPr>
        <w:rFonts w:hint="default"/>
      </w:rPr>
    </w:lvl>
    <w:lvl w:ilvl="6">
      <w:start w:val="1"/>
      <w:numFmt w:val="bullet"/>
      <w:lvlText w:val="•"/>
      <w:lvlJc w:val="left"/>
      <w:pPr>
        <w:ind w:left="5049" w:hanging="170"/>
      </w:pPr>
      <w:rPr>
        <w:rFonts w:hint="default"/>
      </w:rPr>
    </w:lvl>
    <w:lvl w:ilvl="7">
      <w:start w:val="1"/>
      <w:numFmt w:val="bullet"/>
      <w:lvlText w:val="•"/>
      <w:lvlJc w:val="left"/>
      <w:pPr>
        <w:ind w:left="5951" w:hanging="170"/>
      </w:pPr>
      <w:rPr>
        <w:rFonts w:hint="default"/>
      </w:rPr>
    </w:lvl>
    <w:lvl w:ilvl="8">
      <w:start w:val="1"/>
      <w:numFmt w:val="bullet"/>
      <w:lvlText w:val="•"/>
      <w:lvlJc w:val="left"/>
      <w:pPr>
        <w:ind w:left="6853" w:hanging="170"/>
      </w:pPr>
      <w:rPr>
        <w:rFonts w:hint="default"/>
      </w:rPr>
    </w:lvl>
  </w:abstractNum>
  <w:abstractNum w:abstractNumId="20">
    <w:multiLevelType w:val="hybridMultilevel"/>
    <w:lvl w:ilvl="0">
      <w:start w:val="1"/>
      <w:numFmt w:val="decimal"/>
      <w:lvlText w:val="%1."/>
      <w:lvlJc w:val="left"/>
      <w:pPr>
        <w:ind w:left="348" w:hanging="181"/>
        <w:jc w:val="left"/>
      </w:pPr>
      <w:rPr>
        <w:rFonts w:hint="default" w:ascii="Arial" w:hAnsi="Arial" w:eastAsia="Arial" w:cs="Arial"/>
        <w:b/>
        <w:bCs/>
        <w:color w:val="40A5B4"/>
        <w:w w:val="100"/>
        <w:sz w:val="16"/>
        <w:szCs w:val="16"/>
      </w:rPr>
    </w:lvl>
    <w:lvl w:ilvl="1">
      <w:start w:val="1"/>
      <w:numFmt w:val="bullet"/>
      <w:lvlText w:val="•"/>
      <w:lvlJc w:val="left"/>
      <w:pPr>
        <w:ind w:left="577" w:hanging="181"/>
      </w:pPr>
      <w:rPr>
        <w:rFonts w:hint="default"/>
      </w:rPr>
    </w:lvl>
    <w:lvl w:ilvl="2">
      <w:start w:val="1"/>
      <w:numFmt w:val="bullet"/>
      <w:lvlText w:val="•"/>
      <w:lvlJc w:val="left"/>
      <w:pPr>
        <w:ind w:left="815" w:hanging="181"/>
      </w:pPr>
      <w:rPr>
        <w:rFonts w:hint="default"/>
      </w:rPr>
    </w:lvl>
    <w:lvl w:ilvl="3">
      <w:start w:val="1"/>
      <w:numFmt w:val="bullet"/>
      <w:lvlText w:val="•"/>
      <w:lvlJc w:val="left"/>
      <w:pPr>
        <w:ind w:left="1052" w:hanging="181"/>
      </w:pPr>
      <w:rPr>
        <w:rFonts w:hint="default"/>
      </w:rPr>
    </w:lvl>
    <w:lvl w:ilvl="4">
      <w:start w:val="1"/>
      <w:numFmt w:val="bullet"/>
      <w:lvlText w:val="•"/>
      <w:lvlJc w:val="left"/>
      <w:pPr>
        <w:ind w:left="1290" w:hanging="181"/>
      </w:pPr>
      <w:rPr>
        <w:rFonts w:hint="default"/>
      </w:rPr>
    </w:lvl>
    <w:lvl w:ilvl="5">
      <w:start w:val="1"/>
      <w:numFmt w:val="bullet"/>
      <w:lvlText w:val="•"/>
      <w:lvlJc w:val="left"/>
      <w:pPr>
        <w:ind w:left="1527" w:hanging="181"/>
      </w:pPr>
      <w:rPr>
        <w:rFonts w:hint="default"/>
      </w:rPr>
    </w:lvl>
    <w:lvl w:ilvl="6">
      <w:start w:val="1"/>
      <w:numFmt w:val="bullet"/>
      <w:lvlText w:val="•"/>
      <w:lvlJc w:val="left"/>
      <w:pPr>
        <w:ind w:left="1765" w:hanging="181"/>
      </w:pPr>
      <w:rPr>
        <w:rFonts w:hint="default"/>
      </w:rPr>
    </w:lvl>
    <w:lvl w:ilvl="7">
      <w:start w:val="1"/>
      <w:numFmt w:val="bullet"/>
      <w:lvlText w:val="•"/>
      <w:lvlJc w:val="left"/>
      <w:pPr>
        <w:ind w:left="2003" w:hanging="181"/>
      </w:pPr>
      <w:rPr>
        <w:rFonts w:hint="default"/>
      </w:rPr>
    </w:lvl>
    <w:lvl w:ilvl="8">
      <w:start w:val="1"/>
      <w:numFmt w:val="bullet"/>
      <w:lvlText w:val="•"/>
      <w:lvlJc w:val="left"/>
      <w:pPr>
        <w:ind w:left="2240" w:hanging="181"/>
      </w:pPr>
      <w:rPr>
        <w:rFonts w:hint="default"/>
      </w:rPr>
    </w:lvl>
  </w:abstractNum>
  <w:abstractNum w:abstractNumId="19">
    <w:multiLevelType w:val="hybridMultilevel"/>
    <w:lvl w:ilvl="0">
      <w:start w:val="3"/>
      <w:numFmt w:val="decimal"/>
      <w:lvlText w:val="%1."/>
      <w:lvlJc w:val="left"/>
      <w:pPr>
        <w:ind w:left="355" w:hanging="181"/>
        <w:jc w:val="left"/>
      </w:pPr>
      <w:rPr>
        <w:rFonts w:hint="default" w:ascii="Arial" w:hAnsi="Arial" w:eastAsia="Arial" w:cs="Arial"/>
        <w:b/>
        <w:bCs/>
        <w:color w:val="40A5B4"/>
        <w:w w:val="100"/>
        <w:sz w:val="16"/>
        <w:szCs w:val="16"/>
      </w:rPr>
    </w:lvl>
    <w:lvl w:ilvl="1">
      <w:start w:val="1"/>
      <w:numFmt w:val="bullet"/>
      <w:lvlText w:val="•"/>
      <w:lvlJc w:val="left"/>
      <w:pPr>
        <w:ind w:left="596" w:hanging="181"/>
      </w:pPr>
      <w:rPr>
        <w:rFonts w:hint="default"/>
      </w:rPr>
    </w:lvl>
    <w:lvl w:ilvl="2">
      <w:start w:val="1"/>
      <w:numFmt w:val="bullet"/>
      <w:lvlText w:val="•"/>
      <w:lvlJc w:val="left"/>
      <w:pPr>
        <w:ind w:left="832" w:hanging="181"/>
      </w:pPr>
      <w:rPr>
        <w:rFonts w:hint="default"/>
      </w:rPr>
    </w:lvl>
    <w:lvl w:ilvl="3">
      <w:start w:val="1"/>
      <w:numFmt w:val="bullet"/>
      <w:lvlText w:val="•"/>
      <w:lvlJc w:val="left"/>
      <w:pPr>
        <w:ind w:left="1068" w:hanging="181"/>
      </w:pPr>
      <w:rPr>
        <w:rFonts w:hint="default"/>
      </w:rPr>
    </w:lvl>
    <w:lvl w:ilvl="4">
      <w:start w:val="1"/>
      <w:numFmt w:val="bullet"/>
      <w:lvlText w:val="•"/>
      <w:lvlJc w:val="left"/>
      <w:pPr>
        <w:ind w:left="1304" w:hanging="181"/>
      </w:pPr>
      <w:rPr>
        <w:rFonts w:hint="default"/>
      </w:rPr>
    </w:lvl>
    <w:lvl w:ilvl="5">
      <w:start w:val="1"/>
      <w:numFmt w:val="bullet"/>
      <w:lvlText w:val="•"/>
      <w:lvlJc w:val="left"/>
      <w:pPr>
        <w:ind w:left="1540" w:hanging="181"/>
      </w:pPr>
      <w:rPr>
        <w:rFonts w:hint="default"/>
      </w:rPr>
    </w:lvl>
    <w:lvl w:ilvl="6">
      <w:start w:val="1"/>
      <w:numFmt w:val="bullet"/>
      <w:lvlText w:val="•"/>
      <w:lvlJc w:val="left"/>
      <w:pPr>
        <w:ind w:left="1776" w:hanging="181"/>
      </w:pPr>
      <w:rPr>
        <w:rFonts w:hint="default"/>
      </w:rPr>
    </w:lvl>
    <w:lvl w:ilvl="7">
      <w:start w:val="1"/>
      <w:numFmt w:val="bullet"/>
      <w:lvlText w:val="•"/>
      <w:lvlJc w:val="left"/>
      <w:pPr>
        <w:ind w:left="2012" w:hanging="181"/>
      </w:pPr>
      <w:rPr>
        <w:rFonts w:hint="default"/>
      </w:rPr>
    </w:lvl>
    <w:lvl w:ilvl="8">
      <w:start w:val="1"/>
      <w:numFmt w:val="bullet"/>
      <w:lvlText w:val="•"/>
      <w:lvlJc w:val="left"/>
      <w:pPr>
        <w:ind w:left="2249" w:hanging="181"/>
      </w:pPr>
      <w:rPr>
        <w:rFonts w:hint="default"/>
      </w:rPr>
    </w:lvl>
  </w:abstractNum>
  <w:abstractNum w:abstractNumId="18">
    <w:multiLevelType w:val="hybridMultilevel"/>
    <w:lvl w:ilvl="0">
      <w:start w:val="5"/>
      <w:numFmt w:val="decimal"/>
      <w:lvlText w:val="%1."/>
      <w:lvlJc w:val="left"/>
      <w:pPr>
        <w:ind w:left="363" w:hanging="181"/>
        <w:jc w:val="left"/>
      </w:pPr>
      <w:rPr>
        <w:rFonts w:hint="default" w:ascii="Arial" w:hAnsi="Arial" w:eastAsia="Arial" w:cs="Arial"/>
        <w:b/>
        <w:bCs/>
        <w:color w:val="40A5B4"/>
        <w:w w:val="100"/>
        <w:sz w:val="16"/>
        <w:szCs w:val="16"/>
      </w:rPr>
    </w:lvl>
    <w:lvl w:ilvl="1">
      <w:start w:val="1"/>
      <w:numFmt w:val="bullet"/>
      <w:lvlText w:val="•"/>
      <w:lvlJc w:val="left"/>
      <w:pPr>
        <w:ind w:left="596" w:hanging="181"/>
      </w:pPr>
      <w:rPr>
        <w:rFonts w:hint="default"/>
      </w:rPr>
    </w:lvl>
    <w:lvl w:ilvl="2">
      <w:start w:val="1"/>
      <w:numFmt w:val="bullet"/>
      <w:lvlText w:val="•"/>
      <w:lvlJc w:val="left"/>
      <w:pPr>
        <w:ind w:left="832" w:hanging="181"/>
      </w:pPr>
      <w:rPr>
        <w:rFonts w:hint="default"/>
      </w:rPr>
    </w:lvl>
    <w:lvl w:ilvl="3">
      <w:start w:val="1"/>
      <w:numFmt w:val="bullet"/>
      <w:lvlText w:val="•"/>
      <w:lvlJc w:val="left"/>
      <w:pPr>
        <w:ind w:left="1068" w:hanging="181"/>
      </w:pPr>
      <w:rPr>
        <w:rFonts w:hint="default"/>
      </w:rPr>
    </w:lvl>
    <w:lvl w:ilvl="4">
      <w:start w:val="1"/>
      <w:numFmt w:val="bullet"/>
      <w:lvlText w:val="•"/>
      <w:lvlJc w:val="left"/>
      <w:pPr>
        <w:ind w:left="1304" w:hanging="181"/>
      </w:pPr>
      <w:rPr>
        <w:rFonts w:hint="default"/>
      </w:rPr>
    </w:lvl>
    <w:lvl w:ilvl="5">
      <w:start w:val="1"/>
      <w:numFmt w:val="bullet"/>
      <w:lvlText w:val="•"/>
      <w:lvlJc w:val="left"/>
      <w:pPr>
        <w:ind w:left="1540" w:hanging="181"/>
      </w:pPr>
      <w:rPr>
        <w:rFonts w:hint="default"/>
      </w:rPr>
    </w:lvl>
    <w:lvl w:ilvl="6">
      <w:start w:val="1"/>
      <w:numFmt w:val="bullet"/>
      <w:lvlText w:val="•"/>
      <w:lvlJc w:val="left"/>
      <w:pPr>
        <w:ind w:left="1776" w:hanging="181"/>
      </w:pPr>
      <w:rPr>
        <w:rFonts w:hint="default"/>
      </w:rPr>
    </w:lvl>
    <w:lvl w:ilvl="7">
      <w:start w:val="1"/>
      <w:numFmt w:val="bullet"/>
      <w:lvlText w:val="•"/>
      <w:lvlJc w:val="left"/>
      <w:pPr>
        <w:ind w:left="2012" w:hanging="181"/>
      </w:pPr>
      <w:rPr>
        <w:rFonts w:hint="default"/>
      </w:rPr>
    </w:lvl>
    <w:lvl w:ilvl="8">
      <w:start w:val="1"/>
      <w:numFmt w:val="bullet"/>
      <w:lvlText w:val="•"/>
      <w:lvlJc w:val="left"/>
      <w:pPr>
        <w:ind w:left="2249" w:hanging="181"/>
      </w:pPr>
      <w:rPr>
        <w:rFonts w:hint="default"/>
      </w:rPr>
    </w:lvl>
  </w:abstractNum>
  <w:abstractNum w:abstractNumId="17">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34" w:hanging="170"/>
      </w:pPr>
      <w:rPr>
        <w:rFonts w:hint="default"/>
      </w:rPr>
    </w:lvl>
    <w:lvl w:ilvl="2">
      <w:start w:val="1"/>
      <w:numFmt w:val="bullet"/>
      <w:lvlText w:val="•"/>
      <w:lvlJc w:val="left"/>
      <w:pPr>
        <w:ind w:left="1868" w:hanging="170"/>
      </w:pPr>
      <w:rPr>
        <w:rFonts w:hint="default"/>
      </w:rPr>
    </w:lvl>
    <w:lvl w:ilvl="3">
      <w:start w:val="1"/>
      <w:numFmt w:val="bullet"/>
      <w:lvlText w:val="•"/>
      <w:lvlJc w:val="left"/>
      <w:pPr>
        <w:ind w:left="2703" w:hanging="170"/>
      </w:pPr>
      <w:rPr>
        <w:rFonts w:hint="default"/>
      </w:rPr>
    </w:lvl>
    <w:lvl w:ilvl="4">
      <w:start w:val="1"/>
      <w:numFmt w:val="bullet"/>
      <w:lvlText w:val="•"/>
      <w:lvlJc w:val="left"/>
      <w:pPr>
        <w:ind w:left="3537" w:hanging="170"/>
      </w:pPr>
      <w:rPr>
        <w:rFonts w:hint="default"/>
      </w:rPr>
    </w:lvl>
    <w:lvl w:ilvl="5">
      <w:start w:val="1"/>
      <w:numFmt w:val="bullet"/>
      <w:lvlText w:val="•"/>
      <w:lvlJc w:val="left"/>
      <w:pPr>
        <w:ind w:left="4372" w:hanging="170"/>
      </w:pPr>
      <w:rPr>
        <w:rFonts w:hint="default"/>
      </w:rPr>
    </w:lvl>
    <w:lvl w:ilvl="6">
      <w:start w:val="1"/>
      <w:numFmt w:val="bullet"/>
      <w:lvlText w:val="•"/>
      <w:lvlJc w:val="left"/>
      <w:pPr>
        <w:ind w:left="5206" w:hanging="170"/>
      </w:pPr>
      <w:rPr>
        <w:rFonts w:hint="default"/>
      </w:rPr>
    </w:lvl>
    <w:lvl w:ilvl="7">
      <w:start w:val="1"/>
      <w:numFmt w:val="bullet"/>
      <w:lvlText w:val="•"/>
      <w:lvlJc w:val="left"/>
      <w:pPr>
        <w:ind w:left="6040" w:hanging="170"/>
      </w:pPr>
      <w:rPr>
        <w:rFonts w:hint="default"/>
      </w:rPr>
    </w:lvl>
    <w:lvl w:ilvl="8">
      <w:start w:val="1"/>
      <w:numFmt w:val="bullet"/>
      <w:lvlText w:val="•"/>
      <w:lvlJc w:val="left"/>
      <w:pPr>
        <w:ind w:left="6875" w:hanging="170"/>
      </w:pPr>
      <w:rPr>
        <w:rFonts w:hint="default"/>
      </w:rPr>
    </w:lvl>
  </w:abstractNum>
  <w:abstractNum w:abstractNumId="16">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51" w:hanging="170"/>
      </w:pPr>
      <w:rPr>
        <w:rFonts w:hint="default"/>
      </w:rPr>
    </w:lvl>
    <w:lvl w:ilvl="2">
      <w:start w:val="1"/>
      <w:numFmt w:val="bullet"/>
      <w:lvlText w:val="•"/>
      <w:lvlJc w:val="left"/>
      <w:pPr>
        <w:ind w:left="1902" w:hanging="170"/>
      </w:pPr>
      <w:rPr>
        <w:rFonts w:hint="default"/>
      </w:rPr>
    </w:lvl>
    <w:lvl w:ilvl="3">
      <w:start w:val="1"/>
      <w:numFmt w:val="bullet"/>
      <w:lvlText w:val="•"/>
      <w:lvlJc w:val="left"/>
      <w:pPr>
        <w:ind w:left="2753" w:hanging="170"/>
      </w:pPr>
      <w:rPr>
        <w:rFonts w:hint="default"/>
      </w:rPr>
    </w:lvl>
    <w:lvl w:ilvl="4">
      <w:start w:val="1"/>
      <w:numFmt w:val="bullet"/>
      <w:lvlText w:val="•"/>
      <w:lvlJc w:val="left"/>
      <w:pPr>
        <w:ind w:left="3605" w:hanging="170"/>
      </w:pPr>
      <w:rPr>
        <w:rFonts w:hint="default"/>
      </w:rPr>
    </w:lvl>
    <w:lvl w:ilvl="5">
      <w:start w:val="1"/>
      <w:numFmt w:val="bullet"/>
      <w:lvlText w:val="•"/>
      <w:lvlJc w:val="left"/>
      <w:pPr>
        <w:ind w:left="4456" w:hanging="170"/>
      </w:pPr>
      <w:rPr>
        <w:rFonts w:hint="default"/>
      </w:rPr>
    </w:lvl>
    <w:lvl w:ilvl="6">
      <w:start w:val="1"/>
      <w:numFmt w:val="bullet"/>
      <w:lvlText w:val="•"/>
      <w:lvlJc w:val="left"/>
      <w:pPr>
        <w:ind w:left="5307"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7010" w:hanging="170"/>
      </w:pPr>
      <w:rPr>
        <w:rFonts w:hint="default"/>
      </w:rPr>
    </w:lvl>
  </w:abstractNum>
  <w:abstractNum w:abstractNumId="15">
    <w:multiLevelType w:val="hybridMultilevel"/>
    <w:lvl w:ilvl="0">
      <w:start w:val="1"/>
      <w:numFmt w:val="lowerLetter"/>
      <w:lvlText w:val="(%1)"/>
      <w:lvlJc w:val="left"/>
      <w:pPr>
        <w:ind w:left="360" w:hanging="341"/>
        <w:jc w:val="left"/>
      </w:pPr>
      <w:rPr>
        <w:rFonts w:hint="default" w:ascii="Arial" w:hAnsi="Arial" w:eastAsia="Arial" w:cs="Arial"/>
        <w:i/>
        <w:color w:val="58595B"/>
        <w:spacing w:val="-7"/>
        <w:w w:val="100"/>
        <w:sz w:val="20"/>
        <w:szCs w:val="20"/>
      </w:rPr>
    </w:lvl>
    <w:lvl w:ilvl="1">
      <w:start w:val="1"/>
      <w:numFmt w:val="bullet"/>
      <w:lvlText w:val="•"/>
      <w:lvlJc w:val="left"/>
      <w:pPr>
        <w:ind w:left="1161" w:hanging="341"/>
      </w:pPr>
      <w:rPr>
        <w:rFonts w:hint="default"/>
      </w:rPr>
    </w:lvl>
    <w:lvl w:ilvl="2">
      <w:start w:val="1"/>
      <w:numFmt w:val="bullet"/>
      <w:lvlText w:val="•"/>
      <w:lvlJc w:val="left"/>
      <w:pPr>
        <w:ind w:left="1962" w:hanging="341"/>
      </w:pPr>
      <w:rPr>
        <w:rFonts w:hint="default"/>
      </w:rPr>
    </w:lvl>
    <w:lvl w:ilvl="3">
      <w:start w:val="1"/>
      <w:numFmt w:val="bullet"/>
      <w:lvlText w:val="•"/>
      <w:lvlJc w:val="left"/>
      <w:pPr>
        <w:ind w:left="2763" w:hanging="341"/>
      </w:pPr>
      <w:rPr>
        <w:rFonts w:hint="default"/>
      </w:rPr>
    </w:lvl>
    <w:lvl w:ilvl="4">
      <w:start w:val="1"/>
      <w:numFmt w:val="bullet"/>
      <w:lvlText w:val="•"/>
      <w:lvlJc w:val="left"/>
      <w:pPr>
        <w:ind w:left="3564" w:hanging="341"/>
      </w:pPr>
      <w:rPr>
        <w:rFonts w:hint="default"/>
      </w:rPr>
    </w:lvl>
    <w:lvl w:ilvl="5">
      <w:start w:val="1"/>
      <w:numFmt w:val="bullet"/>
      <w:lvlText w:val="•"/>
      <w:lvlJc w:val="left"/>
      <w:pPr>
        <w:ind w:left="4365" w:hanging="341"/>
      </w:pPr>
      <w:rPr>
        <w:rFonts w:hint="default"/>
      </w:rPr>
    </w:lvl>
    <w:lvl w:ilvl="6">
      <w:start w:val="1"/>
      <w:numFmt w:val="bullet"/>
      <w:lvlText w:val="•"/>
      <w:lvlJc w:val="left"/>
      <w:pPr>
        <w:ind w:left="5166" w:hanging="341"/>
      </w:pPr>
      <w:rPr>
        <w:rFonts w:hint="default"/>
      </w:rPr>
    </w:lvl>
    <w:lvl w:ilvl="7">
      <w:start w:val="1"/>
      <w:numFmt w:val="bullet"/>
      <w:lvlText w:val="•"/>
      <w:lvlJc w:val="left"/>
      <w:pPr>
        <w:ind w:left="5967" w:hanging="341"/>
      </w:pPr>
      <w:rPr>
        <w:rFonts w:hint="default"/>
      </w:rPr>
    </w:lvl>
    <w:lvl w:ilvl="8">
      <w:start w:val="1"/>
      <w:numFmt w:val="bullet"/>
      <w:lvlText w:val="•"/>
      <w:lvlJc w:val="left"/>
      <w:pPr>
        <w:ind w:left="6768" w:hanging="341"/>
      </w:pPr>
      <w:rPr>
        <w:rFonts w:hint="default"/>
      </w:rPr>
    </w:lvl>
  </w:abstractNum>
  <w:abstractNum w:abstractNumId="14">
    <w:multiLevelType w:val="hybridMultilevel"/>
    <w:lvl w:ilvl="0">
      <w:start w:val="1"/>
      <w:numFmt w:val="lowerRoman"/>
      <w:lvlText w:val="(%1)"/>
      <w:lvlJc w:val="left"/>
      <w:pPr>
        <w:ind w:left="672" w:hanging="341"/>
        <w:jc w:val="left"/>
      </w:pPr>
      <w:rPr>
        <w:rFonts w:hint="default" w:ascii="Arial" w:hAnsi="Arial" w:eastAsia="Arial" w:cs="Arial"/>
        <w:i/>
        <w:color w:val="58595B"/>
        <w:spacing w:val="-11"/>
        <w:w w:val="100"/>
        <w:sz w:val="20"/>
        <w:szCs w:val="20"/>
      </w:rPr>
    </w:lvl>
    <w:lvl w:ilvl="1">
      <w:start w:val="1"/>
      <w:numFmt w:val="bullet"/>
      <w:lvlText w:val="•"/>
      <w:lvlJc w:val="left"/>
      <w:pPr>
        <w:ind w:left="1389" w:hanging="341"/>
      </w:pPr>
      <w:rPr>
        <w:rFonts w:hint="default"/>
      </w:rPr>
    </w:lvl>
    <w:lvl w:ilvl="2">
      <w:start w:val="1"/>
      <w:numFmt w:val="bullet"/>
      <w:lvlText w:val="•"/>
      <w:lvlJc w:val="left"/>
      <w:pPr>
        <w:ind w:left="2099" w:hanging="341"/>
      </w:pPr>
      <w:rPr>
        <w:rFonts w:hint="default"/>
      </w:rPr>
    </w:lvl>
    <w:lvl w:ilvl="3">
      <w:start w:val="1"/>
      <w:numFmt w:val="bullet"/>
      <w:lvlText w:val="•"/>
      <w:lvlJc w:val="left"/>
      <w:pPr>
        <w:ind w:left="2809" w:hanging="341"/>
      </w:pPr>
      <w:rPr>
        <w:rFonts w:hint="default"/>
      </w:rPr>
    </w:lvl>
    <w:lvl w:ilvl="4">
      <w:start w:val="1"/>
      <w:numFmt w:val="bullet"/>
      <w:lvlText w:val="•"/>
      <w:lvlJc w:val="left"/>
      <w:pPr>
        <w:ind w:left="3518" w:hanging="341"/>
      </w:pPr>
      <w:rPr>
        <w:rFonts w:hint="default"/>
      </w:rPr>
    </w:lvl>
    <w:lvl w:ilvl="5">
      <w:start w:val="1"/>
      <w:numFmt w:val="bullet"/>
      <w:lvlText w:val="•"/>
      <w:lvlJc w:val="left"/>
      <w:pPr>
        <w:ind w:left="4228" w:hanging="341"/>
      </w:pPr>
      <w:rPr>
        <w:rFonts w:hint="default"/>
      </w:rPr>
    </w:lvl>
    <w:lvl w:ilvl="6">
      <w:start w:val="1"/>
      <w:numFmt w:val="bullet"/>
      <w:lvlText w:val="•"/>
      <w:lvlJc w:val="left"/>
      <w:pPr>
        <w:ind w:left="4938" w:hanging="341"/>
      </w:pPr>
      <w:rPr>
        <w:rFonts w:hint="default"/>
      </w:rPr>
    </w:lvl>
    <w:lvl w:ilvl="7">
      <w:start w:val="1"/>
      <w:numFmt w:val="bullet"/>
      <w:lvlText w:val="•"/>
      <w:lvlJc w:val="left"/>
      <w:pPr>
        <w:ind w:left="5647" w:hanging="341"/>
      </w:pPr>
      <w:rPr>
        <w:rFonts w:hint="default"/>
      </w:rPr>
    </w:lvl>
    <w:lvl w:ilvl="8">
      <w:start w:val="1"/>
      <w:numFmt w:val="bullet"/>
      <w:lvlText w:val="•"/>
      <w:lvlJc w:val="left"/>
      <w:pPr>
        <w:ind w:left="6357" w:hanging="341"/>
      </w:pPr>
      <w:rPr>
        <w:rFonts w:hint="default"/>
      </w:rPr>
    </w:lvl>
  </w:abstractNum>
  <w:abstractNum w:abstractNumId="13">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05" w:hanging="170"/>
      </w:pPr>
      <w:rPr>
        <w:rFonts w:hint="default"/>
      </w:rPr>
    </w:lvl>
    <w:lvl w:ilvl="2">
      <w:start w:val="1"/>
      <w:numFmt w:val="bullet"/>
      <w:lvlText w:val="•"/>
      <w:lvlJc w:val="left"/>
      <w:pPr>
        <w:ind w:left="1811" w:hanging="170"/>
      </w:pPr>
      <w:rPr>
        <w:rFonts w:hint="default"/>
      </w:rPr>
    </w:lvl>
    <w:lvl w:ilvl="3">
      <w:start w:val="1"/>
      <w:numFmt w:val="bullet"/>
      <w:lvlText w:val="•"/>
      <w:lvlJc w:val="left"/>
      <w:pPr>
        <w:ind w:left="2617" w:hanging="170"/>
      </w:pPr>
      <w:rPr>
        <w:rFonts w:hint="default"/>
      </w:rPr>
    </w:lvl>
    <w:lvl w:ilvl="4">
      <w:start w:val="1"/>
      <w:numFmt w:val="bullet"/>
      <w:lvlText w:val="•"/>
      <w:lvlJc w:val="left"/>
      <w:pPr>
        <w:ind w:left="3423" w:hanging="170"/>
      </w:pPr>
      <w:rPr>
        <w:rFonts w:hint="default"/>
      </w:rPr>
    </w:lvl>
    <w:lvl w:ilvl="5">
      <w:start w:val="1"/>
      <w:numFmt w:val="bullet"/>
      <w:lvlText w:val="•"/>
      <w:lvlJc w:val="left"/>
      <w:pPr>
        <w:ind w:left="4229" w:hanging="170"/>
      </w:pPr>
      <w:rPr>
        <w:rFonts w:hint="default"/>
      </w:rPr>
    </w:lvl>
    <w:lvl w:ilvl="6">
      <w:start w:val="1"/>
      <w:numFmt w:val="bullet"/>
      <w:lvlText w:val="•"/>
      <w:lvlJc w:val="left"/>
      <w:pPr>
        <w:ind w:left="5034" w:hanging="170"/>
      </w:pPr>
      <w:rPr>
        <w:rFonts w:hint="default"/>
      </w:rPr>
    </w:lvl>
    <w:lvl w:ilvl="7">
      <w:start w:val="1"/>
      <w:numFmt w:val="bullet"/>
      <w:lvlText w:val="•"/>
      <w:lvlJc w:val="left"/>
      <w:pPr>
        <w:ind w:left="5840" w:hanging="170"/>
      </w:pPr>
      <w:rPr>
        <w:rFonts w:hint="default"/>
      </w:rPr>
    </w:lvl>
    <w:lvl w:ilvl="8">
      <w:start w:val="1"/>
      <w:numFmt w:val="bullet"/>
      <w:lvlText w:val="•"/>
      <w:lvlJc w:val="left"/>
      <w:pPr>
        <w:ind w:left="6646" w:hanging="170"/>
      </w:pPr>
      <w:rPr>
        <w:rFonts w:hint="default"/>
      </w:rPr>
    </w:lvl>
  </w:abstractNum>
  <w:abstractNum w:abstractNumId="12">
    <w:multiLevelType w:val="hybridMultilevel"/>
    <w:lvl w:ilvl="0">
      <w:start w:val="1"/>
      <w:numFmt w:val="bullet"/>
      <w:lvlText w:val="•"/>
      <w:lvlJc w:val="left"/>
      <w:pPr>
        <w:ind w:left="190" w:hanging="170"/>
      </w:pPr>
      <w:rPr>
        <w:rFonts w:hint="default" w:ascii="Arial" w:hAnsi="Arial" w:eastAsia="Arial" w:cs="Arial"/>
        <w:color w:val="0095A7"/>
        <w:spacing w:val="-17"/>
        <w:w w:val="100"/>
        <w:sz w:val="20"/>
        <w:szCs w:val="20"/>
      </w:rPr>
    </w:lvl>
    <w:lvl w:ilvl="1">
      <w:start w:val="1"/>
      <w:numFmt w:val="bullet"/>
      <w:lvlText w:val="•"/>
      <w:lvlJc w:val="left"/>
      <w:pPr>
        <w:ind w:left="1045" w:hanging="170"/>
      </w:pPr>
      <w:rPr>
        <w:rFonts w:hint="default"/>
      </w:rPr>
    </w:lvl>
    <w:lvl w:ilvl="2">
      <w:start w:val="1"/>
      <w:numFmt w:val="bullet"/>
      <w:lvlText w:val="•"/>
      <w:lvlJc w:val="left"/>
      <w:pPr>
        <w:ind w:left="1890" w:hanging="170"/>
      </w:pPr>
      <w:rPr>
        <w:rFonts w:hint="default"/>
      </w:rPr>
    </w:lvl>
    <w:lvl w:ilvl="3">
      <w:start w:val="1"/>
      <w:numFmt w:val="bullet"/>
      <w:lvlText w:val="•"/>
      <w:lvlJc w:val="left"/>
      <w:pPr>
        <w:ind w:left="2735" w:hanging="170"/>
      </w:pPr>
      <w:rPr>
        <w:rFonts w:hint="default"/>
      </w:rPr>
    </w:lvl>
    <w:lvl w:ilvl="4">
      <w:start w:val="1"/>
      <w:numFmt w:val="bullet"/>
      <w:lvlText w:val="•"/>
      <w:lvlJc w:val="left"/>
      <w:pPr>
        <w:ind w:left="3580" w:hanging="170"/>
      </w:pPr>
      <w:rPr>
        <w:rFonts w:hint="default"/>
      </w:rPr>
    </w:lvl>
    <w:lvl w:ilvl="5">
      <w:start w:val="1"/>
      <w:numFmt w:val="bullet"/>
      <w:lvlText w:val="•"/>
      <w:lvlJc w:val="left"/>
      <w:pPr>
        <w:ind w:left="4426" w:hanging="170"/>
      </w:pPr>
      <w:rPr>
        <w:rFonts w:hint="default"/>
      </w:rPr>
    </w:lvl>
    <w:lvl w:ilvl="6">
      <w:start w:val="1"/>
      <w:numFmt w:val="bullet"/>
      <w:lvlText w:val="•"/>
      <w:lvlJc w:val="left"/>
      <w:pPr>
        <w:ind w:left="5271" w:hanging="170"/>
      </w:pPr>
      <w:rPr>
        <w:rFonts w:hint="default"/>
      </w:rPr>
    </w:lvl>
    <w:lvl w:ilvl="7">
      <w:start w:val="1"/>
      <w:numFmt w:val="bullet"/>
      <w:lvlText w:val="•"/>
      <w:lvlJc w:val="left"/>
      <w:pPr>
        <w:ind w:left="6116" w:hanging="170"/>
      </w:pPr>
      <w:rPr>
        <w:rFonts w:hint="default"/>
      </w:rPr>
    </w:lvl>
    <w:lvl w:ilvl="8">
      <w:start w:val="1"/>
      <w:numFmt w:val="bullet"/>
      <w:lvlText w:val="•"/>
      <w:lvlJc w:val="left"/>
      <w:pPr>
        <w:ind w:left="6961" w:hanging="170"/>
      </w:pPr>
      <w:rPr>
        <w:rFonts w:hint="default"/>
      </w:rPr>
    </w:lvl>
  </w:abstractNum>
  <w:abstractNum w:abstractNumId="11">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02" w:hanging="170"/>
      </w:pPr>
      <w:rPr>
        <w:rFonts w:hint="default"/>
      </w:rPr>
    </w:lvl>
    <w:lvl w:ilvl="2">
      <w:start w:val="1"/>
      <w:numFmt w:val="bullet"/>
      <w:lvlText w:val="•"/>
      <w:lvlJc w:val="left"/>
      <w:pPr>
        <w:ind w:left="1804" w:hanging="170"/>
      </w:pPr>
      <w:rPr>
        <w:rFonts w:hint="default"/>
      </w:rPr>
    </w:lvl>
    <w:lvl w:ilvl="3">
      <w:start w:val="1"/>
      <w:numFmt w:val="bullet"/>
      <w:lvlText w:val="•"/>
      <w:lvlJc w:val="left"/>
      <w:pPr>
        <w:ind w:left="2606" w:hanging="170"/>
      </w:pPr>
      <w:rPr>
        <w:rFonts w:hint="default"/>
      </w:rPr>
    </w:lvl>
    <w:lvl w:ilvl="4">
      <w:start w:val="1"/>
      <w:numFmt w:val="bullet"/>
      <w:lvlText w:val="•"/>
      <w:lvlJc w:val="left"/>
      <w:pPr>
        <w:ind w:left="3409" w:hanging="170"/>
      </w:pPr>
      <w:rPr>
        <w:rFonts w:hint="default"/>
      </w:rPr>
    </w:lvl>
    <w:lvl w:ilvl="5">
      <w:start w:val="1"/>
      <w:numFmt w:val="bullet"/>
      <w:lvlText w:val="•"/>
      <w:lvlJc w:val="left"/>
      <w:pPr>
        <w:ind w:left="4211" w:hanging="170"/>
      </w:pPr>
      <w:rPr>
        <w:rFonts w:hint="default"/>
      </w:rPr>
    </w:lvl>
    <w:lvl w:ilvl="6">
      <w:start w:val="1"/>
      <w:numFmt w:val="bullet"/>
      <w:lvlText w:val="•"/>
      <w:lvlJc w:val="left"/>
      <w:pPr>
        <w:ind w:left="5013" w:hanging="170"/>
      </w:pPr>
      <w:rPr>
        <w:rFonts w:hint="default"/>
      </w:rPr>
    </w:lvl>
    <w:lvl w:ilvl="7">
      <w:start w:val="1"/>
      <w:numFmt w:val="bullet"/>
      <w:lvlText w:val="•"/>
      <w:lvlJc w:val="left"/>
      <w:pPr>
        <w:ind w:left="5816" w:hanging="170"/>
      </w:pPr>
      <w:rPr>
        <w:rFonts w:hint="default"/>
      </w:rPr>
    </w:lvl>
    <w:lvl w:ilvl="8">
      <w:start w:val="1"/>
      <w:numFmt w:val="bullet"/>
      <w:lvlText w:val="•"/>
      <w:lvlJc w:val="left"/>
      <w:pPr>
        <w:ind w:left="6618" w:hanging="170"/>
      </w:pPr>
      <w:rPr>
        <w:rFonts w:hint="default"/>
      </w:rPr>
    </w:lvl>
  </w:abstractNum>
  <w:abstractNum w:abstractNumId="10">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443" w:hanging="170"/>
      </w:pPr>
      <w:rPr>
        <w:rFonts w:hint="default"/>
      </w:rPr>
    </w:lvl>
    <w:lvl w:ilvl="2">
      <w:start w:val="1"/>
      <w:numFmt w:val="bullet"/>
      <w:lvlText w:val="•"/>
      <w:lvlJc w:val="left"/>
      <w:pPr>
        <w:ind w:left="686" w:hanging="170"/>
      </w:pPr>
      <w:rPr>
        <w:rFonts w:hint="default"/>
      </w:rPr>
    </w:lvl>
    <w:lvl w:ilvl="3">
      <w:start w:val="1"/>
      <w:numFmt w:val="bullet"/>
      <w:lvlText w:val="•"/>
      <w:lvlJc w:val="left"/>
      <w:pPr>
        <w:ind w:left="929" w:hanging="170"/>
      </w:pPr>
      <w:rPr>
        <w:rFonts w:hint="default"/>
      </w:rPr>
    </w:lvl>
    <w:lvl w:ilvl="4">
      <w:start w:val="1"/>
      <w:numFmt w:val="bullet"/>
      <w:lvlText w:val="•"/>
      <w:lvlJc w:val="left"/>
      <w:pPr>
        <w:ind w:left="1172" w:hanging="170"/>
      </w:pPr>
      <w:rPr>
        <w:rFonts w:hint="default"/>
      </w:rPr>
    </w:lvl>
    <w:lvl w:ilvl="5">
      <w:start w:val="1"/>
      <w:numFmt w:val="bullet"/>
      <w:lvlText w:val="•"/>
      <w:lvlJc w:val="left"/>
      <w:pPr>
        <w:ind w:left="1415" w:hanging="170"/>
      </w:pPr>
      <w:rPr>
        <w:rFonts w:hint="default"/>
      </w:rPr>
    </w:lvl>
    <w:lvl w:ilvl="6">
      <w:start w:val="1"/>
      <w:numFmt w:val="bullet"/>
      <w:lvlText w:val="•"/>
      <w:lvlJc w:val="left"/>
      <w:pPr>
        <w:ind w:left="1658" w:hanging="170"/>
      </w:pPr>
      <w:rPr>
        <w:rFonts w:hint="default"/>
      </w:rPr>
    </w:lvl>
    <w:lvl w:ilvl="7">
      <w:start w:val="1"/>
      <w:numFmt w:val="bullet"/>
      <w:lvlText w:val="•"/>
      <w:lvlJc w:val="left"/>
      <w:pPr>
        <w:ind w:left="1901" w:hanging="170"/>
      </w:pPr>
      <w:rPr>
        <w:rFonts w:hint="default"/>
      </w:rPr>
    </w:lvl>
    <w:lvl w:ilvl="8">
      <w:start w:val="1"/>
      <w:numFmt w:val="bullet"/>
      <w:lvlText w:val="•"/>
      <w:lvlJc w:val="left"/>
      <w:pPr>
        <w:ind w:left="2144" w:hanging="170"/>
      </w:pPr>
      <w:rPr>
        <w:rFonts w:hint="default"/>
      </w:rPr>
    </w:lvl>
  </w:abstractNum>
  <w:abstractNum w:abstractNumId="9">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599" w:hanging="170"/>
      </w:pPr>
      <w:rPr>
        <w:rFonts w:hint="default"/>
      </w:rPr>
    </w:lvl>
    <w:lvl w:ilvl="2">
      <w:start w:val="1"/>
      <w:numFmt w:val="bullet"/>
      <w:lvlText w:val="•"/>
      <w:lvlJc w:val="left"/>
      <w:pPr>
        <w:ind w:left="998" w:hanging="170"/>
      </w:pPr>
      <w:rPr>
        <w:rFonts w:hint="default"/>
      </w:rPr>
    </w:lvl>
    <w:lvl w:ilvl="3">
      <w:start w:val="1"/>
      <w:numFmt w:val="bullet"/>
      <w:lvlText w:val="•"/>
      <w:lvlJc w:val="left"/>
      <w:pPr>
        <w:ind w:left="1398" w:hanging="170"/>
      </w:pPr>
      <w:rPr>
        <w:rFonts w:hint="default"/>
      </w:rPr>
    </w:lvl>
    <w:lvl w:ilvl="4">
      <w:start w:val="1"/>
      <w:numFmt w:val="bullet"/>
      <w:lvlText w:val="•"/>
      <w:lvlJc w:val="left"/>
      <w:pPr>
        <w:ind w:left="1797" w:hanging="170"/>
      </w:pPr>
      <w:rPr>
        <w:rFonts w:hint="default"/>
      </w:rPr>
    </w:lvl>
    <w:lvl w:ilvl="5">
      <w:start w:val="1"/>
      <w:numFmt w:val="bullet"/>
      <w:lvlText w:val="•"/>
      <w:lvlJc w:val="left"/>
      <w:pPr>
        <w:ind w:left="2197" w:hanging="170"/>
      </w:pPr>
      <w:rPr>
        <w:rFonts w:hint="default"/>
      </w:rPr>
    </w:lvl>
    <w:lvl w:ilvl="6">
      <w:start w:val="1"/>
      <w:numFmt w:val="bullet"/>
      <w:lvlText w:val="•"/>
      <w:lvlJc w:val="left"/>
      <w:pPr>
        <w:ind w:left="2596" w:hanging="170"/>
      </w:pPr>
      <w:rPr>
        <w:rFonts w:hint="default"/>
      </w:rPr>
    </w:lvl>
    <w:lvl w:ilvl="7">
      <w:start w:val="1"/>
      <w:numFmt w:val="bullet"/>
      <w:lvlText w:val="•"/>
      <w:lvlJc w:val="left"/>
      <w:pPr>
        <w:ind w:left="2995" w:hanging="170"/>
      </w:pPr>
      <w:rPr>
        <w:rFonts w:hint="default"/>
      </w:rPr>
    </w:lvl>
    <w:lvl w:ilvl="8">
      <w:start w:val="1"/>
      <w:numFmt w:val="bullet"/>
      <w:lvlText w:val="•"/>
      <w:lvlJc w:val="left"/>
      <w:pPr>
        <w:ind w:left="3395" w:hanging="170"/>
      </w:pPr>
      <w:rPr>
        <w:rFonts w:hint="default"/>
      </w:rPr>
    </w:lvl>
  </w:abstractNum>
  <w:abstractNum w:abstractNumId="8">
    <w:multiLevelType w:val="hybridMultilevel"/>
    <w:lvl w:ilvl="0">
      <w:start w:val="1"/>
      <w:numFmt w:val="bullet"/>
      <w:lvlText w:val="•"/>
      <w:lvlJc w:val="left"/>
      <w:pPr>
        <w:ind w:left="340" w:hanging="170"/>
      </w:pPr>
      <w:rPr>
        <w:rFonts w:hint="default" w:ascii="Arial" w:hAnsi="Arial" w:eastAsia="Arial" w:cs="Arial"/>
        <w:color w:val="0095A7"/>
        <w:spacing w:val="-24"/>
        <w:w w:val="100"/>
        <w:sz w:val="20"/>
        <w:szCs w:val="20"/>
      </w:rPr>
    </w:lvl>
    <w:lvl w:ilvl="1">
      <w:start w:val="1"/>
      <w:numFmt w:val="bullet"/>
      <w:lvlText w:val="•"/>
      <w:lvlJc w:val="left"/>
      <w:pPr>
        <w:ind w:left="1171" w:hanging="170"/>
      </w:pPr>
      <w:rPr>
        <w:rFonts w:hint="default"/>
      </w:rPr>
    </w:lvl>
    <w:lvl w:ilvl="2">
      <w:start w:val="1"/>
      <w:numFmt w:val="bullet"/>
      <w:lvlText w:val="•"/>
      <w:lvlJc w:val="left"/>
      <w:pPr>
        <w:ind w:left="2002" w:hanging="170"/>
      </w:pPr>
      <w:rPr>
        <w:rFonts w:hint="default"/>
      </w:rPr>
    </w:lvl>
    <w:lvl w:ilvl="3">
      <w:start w:val="1"/>
      <w:numFmt w:val="bullet"/>
      <w:lvlText w:val="•"/>
      <w:lvlJc w:val="left"/>
      <w:pPr>
        <w:ind w:left="2834" w:hanging="170"/>
      </w:pPr>
      <w:rPr>
        <w:rFonts w:hint="default"/>
      </w:rPr>
    </w:lvl>
    <w:lvl w:ilvl="4">
      <w:start w:val="1"/>
      <w:numFmt w:val="bullet"/>
      <w:lvlText w:val="•"/>
      <w:lvlJc w:val="left"/>
      <w:pPr>
        <w:ind w:left="3665" w:hanging="170"/>
      </w:pPr>
      <w:rPr>
        <w:rFonts w:hint="default"/>
      </w:rPr>
    </w:lvl>
    <w:lvl w:ilvl="5">
      <w:start w:val="1"/>
      <w:numFmt w:val="bullet"/>
      <w:lvlText w:val="•"/>
      <w:lvlJc w:val="left"/>
      <w:pPr>
        <w:ind w:left="4497" w:hanging="170"/>
      </w:pPr>
      <w:rPr>
        <w:rFonts w:hint="default"/>
      </w:rPr>
    </w:lvl>
    <w:lvl w:ilvl="6">
      <w:start w:val="1"/>
      <w:numFmt w:val="bullet"/>
      <w:lvlText w:val="•"/>
      <w:lvlJc w:val="left"/>
      <w:pPr>
        <w:ind w:left="532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6991" w:hanging="170"/>
      </w:pPr>
      <w:rPr>
        <w:rFonts w:hint="default"/>
      </w:rPr>
    </w:lvl>
  </w:abstractNum>
  <w:abstractNum w:abstractNumId="7">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37" w:hanging="170"/>
      </w:pPr>
      <w:rPr>
        <w:rFonts w:hint="default"/>
      </w:rPr>
    </w:lvl>
    <w:lvl w:ilvl="2">
      <w:start w:val="1"/>
      <w:numFmt w:val="bullet"/>
      <w:lvlText w:val="•"/>
      <w:lvlJc w:val="left"/>
      <w:pPr>
        <w:ind w:left="1874" w:hanging="170"/>
      </w:pPr>
      <w:rPr>
        <w:rFonts w:hint="default"/>
      </w:rPr>
    </w:lvl>
    <w:lvl w:ilvl="3">
      <w:start w:val="1"/>
      <w:numFmt w:val="bullet"/>
      <w:lvlText w:val="•"/>
      <w:lvlJc w:val="left"/>
      <w:pPr>
        <w:ind w:left="2712" w:hanging="170"/>
      </w:pPr>
      <w:rPr>
        <w:rFonts w:hint="default"/>
      </w:rPr>
    </w:lvl>
    <w:lvl w:ilvl="4">
      <w:start w:val="1"/>
      <w:numFmt w:val="bullet"/>
      <w:lvlText w:val="•"/>
      <w:lvlJc w:val="left"/>
      <w:pPr>
        <w:ind w:left="3549" w:hanging="170"/>
      </w:pPr>
      <w:rPr>
        <w:rFonts w:hint="default"/>
      </w:rPr>
    </w:lvl>
    <w:lvl w:ilvl="5">
      <w:start w:val="1"/>
      <w:numFmt w:val="bullet"/>
      <w:lvlText w:val="•"/>
      <w:lvlJc w:val="left"/>
      <w:pPr>
        <w:ind w:left="4387" w:hanging="170"/>
      </w:pPr>
      <w:rPr>
        <w:rFonts w:hint="default"/>
      </w:rPr>
    </w:lvl>
    <w:lvl w:ilvl="6">
      <w:start w:val="1"/>
      <w:numFmt w:val="bullet"/>
      <w:lvlText w:val="•"/>
      <w:lvlJc w:val="left"/>
      <w:pPr>
        <w:ind w:left="5224" w:hanging="170"/>
      </w:pPr>
      <w:rPr>
        <w:rFonts w:hint="default"/>
      </w:rPr>
    </w:lvl>
    <w:lvl w:ilvl="7">
      <w:start w:val="1"/>
      <w:numFmt w:val="bullet"/>
      <w:lvlText w:val="•"/>
      <w:lvlJc w:val="left"/>
      <w:pPr>
        <w:ind w:left="6061" w:hanging="170"/>
      </w:pPr>
      <w:rPr>
        <w:rFonts w:hint="default"/>
      </w:rPr>
    </w:lvl>
    <w:lvl w:ilvl="8">
      <w:start w:val="1"/>
      <w:numFmt w:val="bullet"/>
      <w:lvlText w:val="•"/>
      <w:lvlJc w:val="left"/>
      <w:pPr>
        <w:ind w:left="6899" w:hanging="170"/>
      </w:pPr>
      <w:rPr>
        <w:rFonts w:hint="default"/>
      </w:rPr>
    </w:lvl>
  </w:abstractNum>
  <w:abstractNum w:abstractNumId="6">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51" w:hanging="170"/>
      </w:pPr>
      <w:rPr>
        <w:rFonts w:hint="default"/>
      </w:rPr>
    </w:lvl>
    <w:lvl w:ilvl="2">
      <w:start w:val="1"/>
      <w:numFmt w:val="bullet"/>
      <w:lvlText w:val="•"/>
      <w:lvlJc w:val="left"/>
      <w:pPr>
        <w:ind w:left="1902" w:hanging="170"/>
      </w:pPr>
      <w:rPr>
        <w:rFonts w:hint="default"/>
      </w:rPr>
    </w:lvl>
    <w:lvl w:ilvl="3">
      <w:start w:val="1"/>
      <w:numFmt w:val="bullet"/>
      <w:lvlText w:val="•"/>
      <w:lvlJc w:val="left"/>
      <w:pPr>
        <w:ind w:left="2753" w:hanging="170"/>
      </w:pPr>
      <w:rPr>
        <w:rFonts w:hint="default"/>
      </w:rPr>
    </w:lvl>
    <w:lvl w:ilvl="4">
      <w:start w:val="1"/>
      <w:numFmt w:val="bullet"/>
      <w:lvlText w:val="•"/>
      <w:lvlJc w:val="left"/>
      <w:pPr>
        <w:ind w:left="3605" w:hanging="170"/>
      </w:pPr>
      <w:rPr>
        <w:rFonts w:hint="default"/>
      </w:rPr>
    </w:lvl>
    <w:lvl w:ilvl="5">
      <w:start w:val="1"/>
      <w:numFmt w:val="bullet"/>
      <w:lvlText w:val="•"/>
      <w:lvlJc w:val="left"/>
      <w:pPr>
        <w:ind w:left="4456" w:hanging="170"/>
      </w:pPr>
      <w:rPr>
        <w:rFonts w:hint="default"/>
      </w:rPr>
    </w:lvl>
    <w:lvl w:ilvl="6">
      <w:start w:val="1"/>
      <w:numFmt w:val="bullet"/>
      <w:lvlText w:val="•"/>
      <w:lvlJc w:val="left"/>
      <w:pPr>
        <w:ind w:left="5307"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7010" w:hanging="170"/>
      </w:pPr>
      <w:rPr>
        <w:rFonts w:hint="default"/>
      </w:rPr>
    </w:lvl>
  </w:abstractNum>
  <w:abstractNum w:abstractNumId="5">
    <w:multiLevelType w:val="hybridMultilevel"/>
    <w:lvl w:ilvl="0">
      <w:start w:val="1"/>
      <w:numFmt w:val="bullet"/>
      <w:lvlText w:val="•"/>
      <w:lvlJc w:val="left"/>
      <w:pPr>
        <w:ind w:left="190" w:hanging="170"/>
      </w:pPr>
      <w:rPr>
        <w:rFonts w:hint="default" w:ascii="Arial" w:hAnsi="Arial" w:eastAsia="Arial" w:cs="Arial"/>
        <w:i/>
        <w:color w:val="231F20"/>
        <w:spacing w:val="-12"/>
        <w:w w:val="100"/>
        <w:sz w:val="20"/>
        <w:szCs w:val="20"/>
      </w:rPr>
    </w:lvl>
    <w:lvl w:ilvl="1">
      <w:start w:val="1"/>
      <w:numFmt w:val="bullet"/>
      <w:lvlText w:val="•"/>
      <w:lvlJc w:val="left"/>
      <w:pPr>
        <w:ind w:left="933" w:hanging="170"/>
      </w:pPr>
      <w:rPr>
        <w:rFonts w:hint="default"/>
      </w:rPr>
    </w:lvl>
    <w:lvl w:ilvl="2">
      <w:start w:val="1"/>
      <w:numFmt w:val="bullet"/>
      <w:lvlText w:val="•"/>
      <w:lvlJc w:val="left"/>
      <w:pPr>
        <w:ind w:left="1667" w:hanging="170"/>
      </w:pPr>
      <w:rPr>
        <w:rFonts w:hint="default"/>
      </w:rPr>
    </w:lvl>
    <w:lvl w:ilvl="3">
      <w:start w:val="1"/>
      <w:numFmt w:val="bullet"/>
      <w:lvlText w:val="•"/>
      <w:lvlJc w:val="left"/>
      <w:pPr>
        <w:ind w:left="2401" w:hanging="170"/>
      </w:pPr>
      <w:rPr>
        <w:rFonts w:hint="default"/>
      </w:rPr>
    </w:lvl>
    <w:lvl w:ilvl="4">
      <w:start w:val="1"/>
      <w:numFmt w:val="bullet"/>
      <w:lvlText w:val="•"/>
      <w:lvlJc w:val="left"/>
      <w:pPr>
        <w:ind w:left="3135" w:hanging="170"/>
      </w:pPr>
      <w:rPr>
        <w:rFonts w:hint="default"/>
      </w:rPr>
    </w:lvl>
    <w:lvl w:ilvl="5">
      <w:start w:val="1"/>
      <w:numFmt w:val="bullet"/>
      <w:lvlText w:val="•"/>
      <w:lvlJc w:val="left"/>
      <w:pPr>
        <w:ind w:left="3869" w:hanging="170"/>
      </w:pPr>
      <w:rPr>
        <w:rFonts w:hint="default"/>
      </w:rPr>
    </w:lvl>
    <w:lvl w:ilvl="6">
      <w:start w:val="1"/>
      <w:numFmt w:val="bullet"/>
      <w:lvlText w:val="•"/>
      <w:lvlJc w:val="left"/>
      <w:pPr>
        <w:ind w:left="4602" w:hanging="170"/>
      </w:pPr>
      <w:rPr>
        <w:rFonts w:hint="default"/>
      </w:rPr>
    </w:lvl>
    <w:lvl w:ilvl="7">
      <w:start w:val="1"/>
      <w:numFmt w:val="bullet"/>
      <w:lvlText w:val="•"/>
      <w:lvlJc w:val="left"/>
      <w:pPr>
        <w:ind w:left="5336" w:hanging="170"/>
      </w:pPr>
      <w:rPr>
        <w:rFonts w:hint="default"/>
      </w:rPr>
    </w:lvl>
    <w:lvl w:ilvl="8">
      <w:start w:val="1"/>
      <w:numFmt w:val="bullet"/>
      <w:lvlText w:val="•"/>
      <w:lvlJc w:val="left"/>
      <w:pPr>
        <w:ind w:left="6070" w:hanging="170"/>
      </w:pPr>
      <w:rPr>
        <w:rFonts w:hint="default"/>
      </w:rPr>
    </w:lvl>
  </w:abstractNum>
  <w:abstractNum w:abstractNumId="4">
    <w:multiLevelType w:val="hybridMultilevel"/>
    <w:lvl w:ilvl="0">
      <w:start w:val="1"/>
      <w:numFmt w:val="bullet"/>
      <w:lvlText w:val="•"/>
      <w:lvlJc w:val="left"/>
      <w:pPr>
        <w:ind w:left="190" w:hanging="170"/>
      </w:pPr>
      <w:rPr>
        <w:rFonts w:hint="default" w:ascii="Arial" w:hAnsi="Arial" w:eastAsia="Arial" w:cs="Arial"/>
        <w:color w:val="0095A7"/>
        <w:spacing w:val="-13"/>
        <w:w w:val="100"/>
        <w:sz w:val="20"/>
        <w:szCs w:val="20"/>
      </w:rPr>
    </w:lvl>
    <w:lvl w:ilvl="1">
      <w:start w:val="1"/>
      <w:numFmt w:val="bullet"/>
      <w:lvlText w:val="•"/>
      <w:lvlJc w:val="left"/>
      <w:pPr>
        <w:ind w:left="1050" w:hanging="170"/>
      </w:pPr>
      <w:rPr>
        <w:rFonts w:hint="default"/>
      </w:rPr>
    </w:lvl>
    <w:lvl w:ilvl="2">
      <w:start w:val="1"/>
      <w:numFmt w:val="bullet"/>
      <w:lvlText w:val="•"/>
      <w:lvlJc w:val="left"/>
      <w:pPr>
        <w:ind w:left="1901" w:hanging="170"/>
      </w:pPr>
      <w:rPr>
        <w:rFonts w:hint="default"/>
      </w:rPr>
    </w:lvl>
    <w:lvl w:ilvl="3">
      <w:start w:val="1"/>
      <w:numFmt w:val="bullet"/>
      <w:lvlText w:val="•"/>
      <w:lvlJc w:val="left"/>
      <w:pPr>
        <w:ind w:left="2752" w:hanging="170"/>
      </w:pPr>
      <w:rPr>
        <w:rFonts w:hint="default"/>
      </w:rPr>
    </w:lvl>
    <w:lvl w:ilvl="4">
      <w:start w:val="1"/>
      <w:numFmt w:val="bullet"/>
      <w:lvlText w:val="•"/>
      <w:lvlJc w:val="left"/>
      <w:pPr>
        <w:ind w:left="3602" w:hanging="170"/>
      </w:pPr>
      <w:rPr>
        <w:rFonts w:hint="default"/>
      </w:rPr>
    </w:lvl>
    <w:lvl w:ilvl="5">
      <w:start w:val="1"/>
      <w:numFmt w:val="bullet"/>
      <w:lvlText w:val="•"/>
      <w:lvlJc w:val="left"/>
      <w:pPr>
        <w:ind w:left="4453" w:hanging="170"/>
      </w:pPr>
      <w:rPr>
        <w:rFonts w:hint="default"/>
      </w:rPr>
    </w:lvl>
    <w:lvl w:ilvl="6">
      <w:start w:val="1"/>
      <w:numFmt w:val="bullet"/>
      <w:lvlText w:val="•"/>
      <w:lvlJc w:val="left"/>
      <w:pPr>
        <w:ind w:left="5304" w:hanging="170"/>
      </w:pPr>
      <w:rPr>
        <w:rFonts w:hint="default"/>
      </w:rPr>
    </w:lvl>
    <w:lvl w:ilvl="7">
      <w:start w:val="1"/>
      <w:numFmt w:val="bullet"/>
      <w:lvlText w:val="•"/>
      <w:lvlJc w:val="left"/>
      <w:pPr>
        <w:ind w:left="6154" w:hanging="170"/>
      </w:pPr>
      <w:rPr>
        <w:rFonts w:hint="default"/>
      </w:rPr>
    </w:lvl>
    <w:lvl w:ilvl="8">
      <w:start w:val="1"/>
      <w:numFmt w:val="bullet"/>
      <w:lvlText w:val="•"/>
      <w:lvlJc w:val="left"/>
      <w:pPr>
        <w:ind w:left="7005" w:hanging="170"/>
      </w:pPr>
      <w:rPr>
        <w:rFonts w:hint="default"/>
      </w:rPr>
    </w:lvl>
  </w:abstractNum>
  <w:abstractNum w:abstractNumId="3">
    <w:multiLevelType w:val="hybridMultilevel"/>
    <w:lvl w:ilvl="0">
      <w:start w:val="1"/>
      <w:numFmt w:val="bullet"/>
      <w:lvlText w:val="•"/>
      <w:lvlJc w:val="left"/>
      <w:pPr>
        <w:ind w:left="340" w:hanging="170"/>
      </w:pPr>
      <w:rPr>
        <w:rFonts w:hint="default" w:ascii="Arial" w:hAnsi="Arial" w:eastAsia="Arial" w:cs="Arial"/>
        <w:color w:val="0095A7"/>
        <w:spacing w:val="-12"/>
        <w:w w:val="100"/>
        <w:sz w:val="20"/>
        <w:szCs w:val="20"/>
      </w:rPr>
    </w:lvl>
    <w:lvl w:ilvl="1">
      <w:start w:val="1"/>
      <w:numFmt w:val="bullet"/>
      <w:lvlText w:val="•"/>
      <w:lvlJc w:val="left"/>
      <w:pPr>
        <w:ind w:left="1171" w:hanging="170"/>
      </w:pPr>
      <w:rPr>
        <w:rFonts w:hint="default"/>
      </w:rPr>
    </w:lvl>
    <w:lvl w:ilvl="2">
      <w:start w:val="1"/>
      <w:numFmt w:val="bullet"/>
      <w:lvlText w:val="•"/>
      <w:lvlJc w:val="left"/>
      <w:pPr>
        <w:ind w:left="2002" w:hanging="170"/>
      </w:pPr>
      <w:rPr>
        <w:rFonts w:hint="default"/>
      </w:rPr>
    </w:lvl>
    <w:lvl w:ilvl="3">
      <w:start w:val="1"/>
      <w:numFmt w:val="bullet"/>
      <w:lvlText w:val="•"/>
      <w:lvlJc w:val="left"/>
      <w:pPr>
        <w:ind w:left="2834" w:hanging="170"/>
      </w:pPr>
      <w:rPr>
        <w:rFonts w:hint="default"/>
      </w:rPr>
    </w:lvl>
    <w:lvl w:ilvl="4">
      <w:start w:val="1"/>
      <w:numFmt w:val="bullet"/>
      <w:lvlText w:val="•"/>
      <w:lvlJc w:val="left"/>
      <w:pPr>
        <w:ind w:left="3665" w:hanging="170"/>
      </w:pPr>
      <w:rPr>
        <w:rFonts w:hint="default"/>
      </w:rPr>
    </w:lvl>
    <w:lvl w:ilvl="5">
      <w:start w:val="1"/>
      <w:numFmt w:val="bullet"/>
      <w:lvlText w:val="•"/>
      <w:lvlJc w:val="left"/>
      <w:pPr>
        <w:ind w:left="4497" w:hanging="170"/>
      </w:pPr>
      <w:rPr>
        <w:rFonts w:hint="default"/>
      </w:rPr>
    </w:lvl>
    <w:lvl w:ilvl="6">
      <w:start w:val="1"/>
      <w:numFmt w:val="bullet"/>
      <w:lvlText w:val="•"/>
      <w:lvlJc w:val="left"/>
      <w:pPr>
        <w:ind w:left="532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6991" w:hanging="170"/>
      </w:pPr>
      <w:rPr>
        <w:rFonts w:hint="default"/>
      </w:rPr>
    </w:lvl>
  </w:abstractNum>
  <w:abstractNum w:abstractNumId="2">
    <w:multiLevelType w:val="hybridMultilevel"/>
    <w:lvl w:ilvl="0">
      <w:start w:val="1"/>
      <w:numFmt w:val="bullet"/>
      <w:lvlText w:val="•"/>
      <w:lvlJc w:val="left"/>
      <w:pPr>
        <w:ind w:left="190" w:hanging="170"/>
      </w:pPr>
      <w:rPr>
        <w:rFonts w:hint="default" w:ascii="Arial" w:hAnsi="Arial" w:eastAsia="Arial" w:cs="Arial"/>
        <w:color w:val="0095A7"/>
        <w:spacing w:val="-12"/>
        <w:w w:val="100"/>
        <w:sz w:val="20"/>
        <w:szCs w:val="20"/>
      </w:rPr>
    </w:lvl>
    <w:lvl w:ilvl="1">
      <w:start w:val="1"/>
      <w:numFmt w:val="bullet"/>
      <w:lvlText w:val="•"/>
      <w:lvlJc w:val="left"/>
      <w:pPr>
        <w:ind w:left="1029" w:hanging="170"/>
      </w:pPr>
      <w:rPr>
        <w:rFonts w:hint="default"/>
      </w:rPr>
    </w:lvl>
    <w:lvl w:ilvl="2">
      <w:start w:val="1"/>
      <w:numFmt w:val="bullet"/>
      <w:lvlText w:val="•"/>
      <w:lvlJc w:val="left"/>
      <w:pPr>
        <w:ind w:left="1859" w:hanging="170"/>
      </w:pPr>
      <w:rPr>
        <w:rFonts w:hint="default"/>
      </w:rPr>
    </w:lvl>
    <w:lvl w:ilvl="3">
      <w:start w:val="1"/>
      <w:numFmt w:val="bullet"/>
      <w:lvlText w:val="•"/>
      <w:lvlJc w:val="left"/>
      <w:pPr>
        <w:ind w:left="2689" w:hanging="170"/>
      </w:pPr>
      <w:rPr>
        <w:rFonts w:hint="default"/>
      </w:rPr>
    </w:lvl>
    <w:lvl w:ilvl="4">
      <w:start w:val="1"/>
      <w:numFmt w:val="bullet"/>
      <w:lvlText w:val="•"/>
      <w:lvlJc w:val="left"/>
      <w:pPr>
        <w:ind w:left="3519" w:hanging="170"/>
      </w:pPr>
      <w:rPr>
        <w:rFonts w:hint="default"/>
      </w:rPr>
    </w:lvl>
    <w:lvl w:ilvl="5">
      <w:start w:val="1"/>
      <w:numFmt w:val="bullet"/>
      <w:lvlText w:val="•"/>
      <w:lvlJc w:val="left"/>
      <w:pPr>
        <w:ind w:left="4349" w:hanging="170"/>
      </w:pPr>
      <w:rPr>
        <w:rFonts w:hint="default"/>
      </w:rPr>
    </w:lvl>
    <w:lvl w:ilvl="6">
      <w:start w:val="1"/>
      <w:numFmt w:val="bullet"/>
      <w:lvlText w:val="•"/>
      <w:lvlJc w:val="left"/>
      <w:pPr>
        <w:ind w:left="5179" w:hanging="170"/>
      </w:pPr>
      <w:rPr>
        <w:rFonts w:hint="default"/>
      </w:rPr>
    </w:lvl>
    <w:lvl w:ilvl="7">
      <w:start w:val="1"/>
      <w:numFmt w:val="bullet"/>
      <w:lvlText w:val="•"/>
      <w:lvlJc w:val="left"/>
      <w:pPr>
        <w:ind w:left="6009" w:hanging="170"/>
      </w:pPr>
      <w:rPr>
        <w:rFonts w:hint="default"/>
      </w:rPr>
    </w:lvl>
    <w:lvl w:ilvl="8">
      <w:start w:val="1"/>
      <w:numFmt w:val="bullet"/>
      <w:lvlText w:val="•"/>
      <w:lvlJc w:val="left"/>
      <w:pPr>
        <w:ind w:left="6839" w:hanging="170"/>
      </w:pPr>
      <w:rPr>
        <w:rFonts w:hint="default"/>
      </w:rPr>
    </w:lvl>
  </w:abstractNum>
  <w:abstractNum w:abstractNumId="1">
    <w:multiLevelType w:val="hybridMultilevel"/>
    <w:lvl w:ilvl="0">
      <w:start w:val="1"/>
      <w:numFmt w:val="bullet"/>
      <w:lvlText w:val="•"/>
      <w:lvlJc w:val="left"/>
      <w:pPr>
        <w:ind w:left="190" w:hanging="170"/>
      </w:pPr>
      <w:rPr>
        <w:rFonts w:hint="default" w:ascii="Arial" w:hAnsi="Arial" w:eastAsia="Arial" w:cs="Arial"/>
        <w:color w:val="0095A7"/>
        <w:spacing w:val="-13"/>
        <w:w w:val="100"/>
        <w:sz w:val="20"/>
        <w:szCs w:val="20"/>
      </w:rPr>
    </w:lvl>
    <w:lvl w:ilvl="1">
      <w:start w:val="1"/>
      <w:numFmt w:val="bullet"/>
      <w:lvlText w:val="•"/>
      <w:lvlJc w:val="left"/>
      <w:pPr>
        <w:ind w:left="1047" w:hanging="170"/>
      </w:pPr>
      <w:rPr>
        <w:rFonts w:hint="default"/>
      </w:rPr>
    </w:lvl>
    <w:lvl w:ilvl="2">
      <w:start w:val="1"/>
      <w:numFmt w:val="bullet"/>
      <w:lvlText w:val="•"/>
      <w:lvlJc w:val="left"/>
      <w:pPr>
        <w:ind w:left="1894" w:hanging="170"/>
      </w:pPr>
      <w:rPr>
        <w:rFonts w:hint="default"/>
      </w:rPr>
    </w:lvl>
    <w:lvl w:ilvl="3">
      <w:start w:val="1"/>
      <w:numFmt w:val="bullet"/>
      <w:lvlText w:val="•"/>
      <w:lvlJc w:val="left"/>
      <w:pPr>
        <w:ind w:left="2741" w:hanging="170"/>
      </w:pPr>
      <w:rPr>
        <w:rFonts w:hint="default"/>
      </w:rPr>
    </w:lvl>
    <w:lvl w:ilvl="4">
      <w:start w:val="1"/>
      <w:numFmt w:val="bullet"/>
      <w:lvlText w:val="•"/>
      <w:lvlJc w:val="left"/>
      <w:pPr>
        <w:ind w:left="3588" w:hanging="170"/>
      </w:pPr>
      <w:rPr>
        <w:rFonts w:hint="default"/>
      </w:rPr>
    </w:lvl>
    <w:lvl w:ilvl="5">
      <w:start w:val="1"/>
      <w:numFmt w:val="bullet"/>
      <w:lvlText w:val="•"/>
      <w:lvlJc w:val="left"/>
      <w:pPr>
        <w:ind w:left="4436" w:hanging="170"/>
      </w:pPr>
      <w:rPr>
        <w:rFonts w:hint="default"/>
      </w:rPr>
    </w:lvl>
    <w:lvl w:ilvl="6">
      <w:start w:val="1"/>
      <w:numFmt w:val="bullet"/>
      <w:lvlText w:val="•"/>
      <w:lvlJc w:val="left"/>
      <w:pPr>
        <w:ind w:left="5283" w:hanging="170"/>
      </w:pPr>
      <w:rPr>
        <w:rFonts w:hint="default"/>
      </w:rPr>
    </w:lvl>
    <w:lvl w:ilvl="7">
      <w:start w:val="1"/>
      <w:numFmt w:val="bullet"/>
      <w:lvlText w:val="•"/>
      <w:lvlJc w:val="left"/>
      <w:pPr>
        <w:ind w:left="6130" w:hanging="170"/>
      </w:pPr>
      <w:rPr>
        <w:rFonts w:hint="default"/>
      </w:rPr>
    </w:lvl>
    <w:lvl w:ilvl="8">
      <w:start w:val="1"/>
      <w:numFmt w:val="bullet"/>
      <w:lvlText w:val="•"/>
      <w:lvlJc w:val="left"/>
      <w:pPr>
        <w:ind w:left="6977" w:hanging="170"/>
      </w:pPr>
      <w:rPr>
        <w:rFonts w:hint="default"/>
      </w:rPr>
    </w:lvl>
  </w:abstractNum>
  <w:abstractNum w:abstractNumId="0">
    <w:multiLevelType w:val="hybridMultilevel"/>
    <w:lvl w:ilvl="0">
      <w:start w:val="1"/>
      <w:numFmt w:val="bullet"/>
      <w:lvlText w:val="•"/>
      <w:lvlJc w:val="left"/>
      <w:pPr>
        <w:ind w:left="340" w:hanging="170"/>
      </w:pPr>
      <w:rPr>
        <w:rFonts w:hint="default" w:ascii="Arial" w:hAnsi="Arial" w:eastAsia="Arial" w:cs="Arial"/>
        <w:color w:val="0095A7"/>
        <w:spacing w:val="-12"/>
        <w:w w:val="100"/>
        <w:sz w:val="20"/>
        <w:szCs w:val="20"/>
      </w:rPr>
    </w:lvl>
    <w:lvl w:ilvl="1">
      <w:start w:val="1"/>
      <w:numFmt w:val="bullet"/>
      <w:lvlText w:val="•"/>
      <w:lvlJc w:val="left"/>
      <w:pPr>
        <w:ind w:left="1171" w:hanging="170"/>
      </w:pPr>
      <w:rPr>
        <w:rFonts w:hint="default"/>
      </w:rPr>
    </w:lvl>
    <w:lvl w:ilvl="2">
      <w:start w:val="1"/>
      <w:numFmt w:val="bullet"/>
      <w:lvlText w:val="•"/>
      <w:lvlJc w:val="left"/>
      <w:pPr>
        <w:ind w:left="2002" w:hanging="170"/>
      </w:pPr>
      <w:rPr>
        <w:rFonts w:hint="default"/>
      </w:rPr>
    </w:lvl>
    <w:lvl w:ilvl="3">
      <w:start w:val="1"/>
      <w:numFmt w:val="bullet"/>
      <w:lvlText w:val="•"/>
      <w:lvlJc w:val="left"/>
      <w:pPr>
        <w:ind w:left="2834" w:hanging="170"/>
      </w:pPr>
      <w:rPr>
        <w:rFonts w:hint="default"/>
      </w:rPr>
    </w:lvl>
    <w:lvl w:ilvl="4">
      <w:start w:val="1"/>
      <w:numFmt w:val="bullet"/>
      <w:lvlText w:val="•"/>
      <w:lvlJc w:val="left"/>
      <w:pPr>
        <w:ind w:left="3665" w:hanging="170"/>
      </w:pPr>
      <w:rPr>
        <w:rFonts w:hint="default"/>
      </w:rPr>
    </w:lvl>
    <w:lvl w:ilvl="5">
      <w:start w:val="1"/>
      <w:numFmt w:val="bullet"/>
      <w:lvlText w:val="•"/>
      <w:lvlJc w:val="left"/>
      <w:pPr>
        <w:ind w:left="4497" w:hanging="170"/>
      </w:pPr>
      <w:rPr>
        <w:rFonts w:hint="default"/>
      </w:rPr>
    </w:lvl>
    <w:lvl w:ilvl="6">
      <w:start w:val="1"/>
      <w:numFmt w:val="bullet"/>
      <w:lvlText w:val="•"/>
      <w:lvlJc w:val="left"/>
      <w:pPr>
        <w:ind w:left="5328" w:hanging="170"/>
      </w:pPr>
      <w:rPr>
        <w:rFonts w:hint="default"/>
      </w:rPr>
    </w:lvl>
    <w:lvl w:ilvl="7">
      <w:start w:val="1"/>
      <w:numFmt w:val="bullet"/>
      <w:lvlText w:val="•"/>
      <w:lvlJc w:val="left"/>
      <w:pPr>
        <w:ind w:left="6159" w:hanging="170"/>
      </w:pPr>
      <w:rPr>
        <w:rFonts w:hint="default"/>
      </w:rPr>
    </w:lvl>
    <w:lvl w:ilvl="8">
      <w:start w:val="1"/>
      <w:numFmt w:val="bullet"/>
      <w:lvlText w:val="•"/>
      <w:lvlJc w:val="left"/>
      <w:pPr>
        <w:ind w:left="6991" w:hanging="170"/>
      </w:pPr>
      <w:rPr>
        <w:rFonts w:hint="default"/>
      </w:rPr>
    </w:lvl>
  </w:abstractNum>
  <w:num w:numId="77">
    <w:abstractNumId w:val="76"/>
  </w:num>
  <w:num w:numId="76">
    <w:abstractNumId w:val="75"/>
  </w:num>
  <w:num w:numId="75">
    <w:abstractNumId w:val="74"/>
  </w:num>
  <w:num w:numId="74">
    <w:abstractNumId w:val="73"/>
  </w:num>
  <w:num w:numId="73">
    <w:abstractNumId w:val="72"/>
  </w:num>
  <w:num w:numId="72">
    <w:abstractNumId w:val="71"/>
  </w:num>
  <w:num w:numId="71">
    <w:abstractNumId w:val="70"/>
  </w:num>
  <w:num w:numId="70">
    <w:abstractNumId w:val="69"/>
  </w:num>
  <w:num w:numId="69">
    <w:abstractNumId w:val="68"/>
  </w:num>
  <w:num w:numId="68">
    <w:abstractNumId w:val="67"/>
  </w:num>
  <w:num w:numId="67">
    <w:abstractNumId w:val="66"/>
  </w:num>
  <w:num w:numId="66">
    <w:abstractNumId w:val="65"/>
  </w:num>
  <w:num w:numId="65">
    <w:abstractNumId w:val="64"/>
  </w:num>
  <w:num w:numId="64">
    <w:abstractNumId w:val="63"/>
  </w:num>
  <w:num w:numId="63">
    <w:abstractNumId w:val="62"/>
  </w:num>
  <w:num w:numId="62">
    <w:abstractNumId w:val="61"/>
  </w:num>
  <w:num w:numId="61">
    <w:abstractNumId w:val="60"/>
  </w:num>
  <w:num w:numId="60">
    <w:abstractNumId w:val="59"/>
  </w:num>
  <w:num w:numId="59">
    <w:abstractNumId w:val="58"/>
  </w:num>
  <w:num w:numId="58">
    <w:abstractNumId w:val="57"/>
  </w:num>
  <w:num w:numId="57">
    <w:abstractNumId w:val="56"/>
  </w:num>
  <w:num w:numId="56">
    <w:abstractNumId w:val="55"/>
  </w:num>
  <w:num w:numId="55">
    <w:abstractNumId w:val="54"/>
  </w:num>
  <w:num w:numId="54">
    <w:abstractNumId w:val="53"/>
  </w:num>
  <w:num w:numId="53">
    <w:abstractNumId w:val="52"/>
  </w:num>
  <w:num w:numId="52">
    <w:abstractNumId w:val="51"/>
  </w:num>
  <w:num w:numId="51">
    <w:abstractNumId w:val="50"/>
  </w:num>
  <w:num w:numId="50">
    <w:abstractNumId w:val="49"/>
  </w:num>
  <w:num w:numId="49">
    <w:abstractNumId w:val="48"/>
  </w:num>
  <w:num w:numId="48">
    <w:abstractNumId w:val="47"/>
  </w:num>
  <w:num w:numId="47">
    <w:abstractNumId w:val="46"/>
  </w:num>
  <w:num w:numId="46">
    <w:abstractNumId w:val="45"/>
  </w: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rPr>
  </w:style>
  <w:style w:styleId="BodyText" w:type="paragraph">
    <w:name w:val="Body Text"/>
    <w:basedOn w:val="Normal"/>
    <w:uiPriority w:val="1"/>
    <w:qFormat/>
    <w:pPr>
      <w:ind w:left="20"/>
    </w:pPr>
    <w:rPr>
      <w:rFonts w:ascii="Arial" w:hAnsi="Arial" w:eastAsia="Arial" w:cs="Arial"/>
      <w:sz w:val="20"/>
      <w:szCs w:val="20"/>
    </w:rPr>
  </w:style>
  <w:style w:styleId="Heading1" w:type="paragraph">
    <w:name w:val="Heading 1"/>
    <w:basedOn w:val="Normal"/>
    <w:uiPriority w:val="1"/>
    <w:qFormat/>
    <w:pPr>
      <w:spacing w:before="128"/>
      <w:ind w:left="170"/>
      <w:outlineLvl w:val="1"/>
    </w:pPr>
    <w:rPr>
      <w:rFonts w:ascii="Arial" w:hAnsi="Arial" w:eastAsia="Arial" w:cs="Arial"/>
      <w:b/>
      <w:bCs/>
      <w:sz w:val="20"/>
      <w:szCs w:val="20"/>
    </w:rPr>
  </w:style>
  <w:style w:styleId="ListParagraph" w:type="paragraph">
    <w:name w:val="List Paragraph"/>
    <w:basedOn w:val="Normal"/>
    <w:uiPriority w:val="1"/>
    <w:qFormat/>
    <w:pPr>
      <w:spacing w:before="115"/>
      <w:ind w:left="190" w:hanging="170"/>
    </w:pPr>
    <w:rPr>
      <w:rFonts w:ascii="Arial" w:hAnsi="Arial" w:eastAsia="Arial" w:cs="Arial"/>
    </w:rPr>
  </w:style>
  <w:style w:styleId="TableParagraph" w:type="paragraph">
    <w:name w:val="Table Paragraph"/>
    <w:basedOn w:val="Normal"/>
    <w:uiPriority w:val="1"/>
    <w:qFormat/>
    <w:pPr/>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hyperlink" Target="http://www.phaa.net.au/documents/" TargetMode="External"/><Relationship Id="rId11" Type="http://schemas.openxmlformats.org/officeDocument/2006/relationships/hyperlink" Target="http://refresh.planmelbourne.vic.gov.au/plan-" TargetMode="External"/><Relationship Id="rId12" Type="http://schemas.openxmlformats.org/officeDocument/2006/relationships/hyperlink" Target="http://www.bulletpoint.com.au/" TargetMode="External"/><Relationship Id="rId13" Type="http://schemas.openxmlformats.org/officeDocument/2006/relationships/hyperlink" Target="http://pbadupws.nrc/" TargetMode="External"/><Relationship Id="rId14" Type="http://schemas.openxmlformats.org/officeDocument/2006/relationships/image" Target="media/image6.jpe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hyperlink" Target="http://www.publications.parliament/" TargetMode="External"/><Relationship Id="rId18" Type="http://schemas.openxmlformats.org/officeDocument/2006/relationships/hyperlink" Target="http://unstats.un.org/unsd/envaccounting/seea.asp" TargetMode="External"/><Relationship Id="rId19" Type="http://schemas.openxmlformats.org/officeDocument/2006/relationships/hyperlink" Target="http://www.vic.gov.au/PublicSectorInnovation/our-approach" TargetMode="External"/><Relationship Id="rId20" Type="http://schemas.openxmlformats.org/officeDocument/2006/relationships/hyperlink" Target="http://www.epa.vic.gov.au/%7E/media/" TargetMode="External"/><Relationship Id="rId21" Type="http://schemas.openxmlformats.org/officeDocument/2006/relationships/hyperlink" Target="http://www.environment.gov.au/about-" TargetMode="External"/><Relationship Id="rId22" Type="http://schemas.openxmlformats.org/officeDocument/2006/relationships/hyperlink" Target="http://www.epa.vic.gov.au/our-" TargetMode="External"/><Relationship Id="rId23" Type="http://schemas.openxmlformats.org/officeDocument/2006/relationships/image" Target="media/image9.jpeg"/><Relationship Id="rId24" Type="http://schemas.openxmlformats.org/officeDocument/2006/relationships/image" Target="media/image10.jpeg"/><Relationship Id="rId25" Type="http://schemas.openxmlformats.org/officeDocument/2006/relationships/hyperlink" Target="http://apvma/" TargetMode="External"/><Relationship Id="rId26" Type="http://schemas.openxmlformats.org/officeDocument/2006/relationships/hyperlink" Target="http://www.epa.vic.gov.au/our-work/monitoring-the-environment/air-" TargetMode="External"/><Relationship Id="rId27" Type="http://schemas.openxmlformats.org/officeDocument/2006/relationships/hyperlink" Target="http://www.epa.vic.gov.au/our-work/monitoring-the-environment/" TargetMode="External"/><Relationship Id="rId28" Type="http://schemas.openxmlformats.org/officeDocument/2006/relationships/hyperlink" Target="http://yarraandbay.vic.gov.au/beach-report" TargetMode="External"/><Relationship Id="rId29" Type="http://schemas.openxmlformats.org/officeDocument/2006/relationships/hyperlink" Target="http://www.environment.gov.au/system/files/pages/4f59b654-" TargetMode="External"/><Relationship Id="rId30" Type="http://schemas.openxmlformats.org/officeDocument/2006/relationships/hyperlink" Target="http://www.scew.gov.au/coag-strategic-priorities/" TargetMode="External"/><Relationship Id="rId31" Type="http://schemas.openxmlformats.org/officeDocument/2006/relationships/hyperlink" Target="http://www.coronerscourt.vic.gov.au/home/" TargetMode="External"/><Relationship Id="rId32" Type="http://schemas.openxmlformats.org/officeDocument/2006/relationships/image" Target="media/image11.jpeg"/><Relationship Id="rId33" Type="http://schemas.openxmlformats.org/officeDocument/2006/relationships/hyperlink" Target="http://www.climatechange.vic.gov.au/action/leadership-and-" TargetMode="External"/><Relationship Id="rId34" Type="http://schemas.openxmlformats.org/officeDocument/2006/relationships/hyperlink" Target="http://www.gov.scot/Topics/Government/public-bodies/" TargetMode="External"/><Relationship Id="rId35" Type="http://schemas.openxmlformats.org/officeDocument/2006/relationships/hyperlink" Target="http://www.treasury.govt.nz/publications/" TargetMode="External"/><Relationship Id="rId36" Type="http://schemas.openxmlformats.org/officeDocument/2006/relationships/hyperlink" Target="http://environmentvictoria.org.au/media/state-environment-report-paints-" TargetMode="External"/><Relationship Id="rId37" Type="http://schemas.openxmlformats.org/officeDocument/2006/relationships/hyperlink" Target="http://www.justice.vic.gov.au/home/" TargetMode="External"/><Relationship Id="rId38" Type="http://schemas.openxmlformats.org/officeDocument/2006/relationships/hyperlink" Target="http://www.ces.vic.gov.au/articles/framework-2018-state-environment-" TargetMode="External"/><Relationship Id="rId39" Type="http://schemas.openxmlformats.org/officeDocument/2006/relationships/hyperlink" Target="http://www.archives.gov/federal-register/executive-orders/" TargetMode="External"/><Relationship Id="rId40" Type="http://schemas.openxmlformats.org/officeDocument/2006/relationships/hyperlink" Target="http://www.foei.org/wp-content/uploads/2014/01/environmental_" TargetMode="External"/><Relationship Id="rId41" Type="http://schemas.openxmlformats.org/officeDocument/2006/relationships/hyperlink" Target="http://www.restorativejustice.org/(accessed" TargetMode="External"/><Relationship Id="rId42" Type="http://schemas.openxmlformats.org/officeDocument/2006/relationships/hyperlink" Target="http://uscode/" TargetMode="External"/><Relationship Id="rId43" Type="http://schemas.openxmlformats.org/officeDocument/2006/relationships/hyperlink" Target="http://uscode.house/" TargetMode="External"/><Relationship Id="rId44" Type="http://schemas.openxmlformats.org/officeDocument/2006/relationships/image" Target="media/image12.png"/><Relationship Id="rId45" Type="http://schemas.openxmlformats.org/officeDocument/2006/relationships/image" Target="media/image13.png"/><Relationship Id="rId46" Type="http://schemas.openxmlformats.org/officeDocument/2006/relationships/hyperlink" Target="http://www.epa.vic.gov.au/" TargetMode="External"/><Relationship Id="rId47" Type="http://schemas.openxmlformats.org/officeDocument/2006/relationships/hyperlink" Target="http://www.energyandresources.vic.gov.au/" TargetMode="External"/><Relationship Id="rId48" Type="http://schemas.openxmlformats.org/officeDocument/2006/relationships/hyperlink" Target="http://www.epa.gov/cleanpowerplan" TargetMode="External"/><Relationship Id="rId49" Type="http://schemas.openxmlformats.org/officeDocument/2006/relationships/hyperlink" Target="http://www.ec.gc.ca/lcpe-cepa/eng/regulations/detailReg" TargetMode="External"/><Relationship Id="rId50" Type="http://schemas.openxmlformats.org/officeDocument/2006/relationships/hyperlink" Target="http://www.premier.vic.gov.au/climate-change-act-review-" TargetMode="External"/><Relationship Id="rId51" Type="http://schemas.openxmlformats.org/officeDocument/2006/relationships/image" Target="media/image14.jpeg"/><Relationship Id="rId52" Type="http://schemas.openxmlformats.org/officeDocument/2006/relationships/image" Target="media/image15.jpeg"/><Relationship Id="rId53" Type="http://schemas.openxmlformats.org/officeDocument/2006/relationships/hyperlink" Target="http://www.emv.vic.gov.au/" TargetMode="External"/><Relationship Id="rId54" Type="http://schemas.openxmlformats.org/officeDocument/2006/relationships/hyperlink" Target="http://www.emv.vic.gov.au/latest-news/anniversary-of-black-saturday/" TargetMode="External"/><Relationship Id="rId55" Type="http://schemas.openxmlformats.org/officeDocument/2006/relationships/hyperlink" Target="http://www.dpc.vic.gov.au/images/images/" TargetMode="External"/><Relationship Id="rId56" Type="http://schemas.openxmlformats.org/officeDocument/2006/relationships/hyperlink" Target="http://www.dtpli.vic.gov.au/planning/panels-and-" TargetMode="External"/><Relationship Id="rId57" Type="http://schemas.openxmlformats.org/officeDocument/2006/relationships/hyperlink" Target="http://www.emv.vic.gov/" TargetMode="External"/><Relationship Id="rId58" Type="http://schemas.openxmlformats.org/officeDocument/2006/relationships/image" Target="media/image16.jpeg"/><Relationship Id="rId59" Type="http://schemas.openxmlformats.org/officeDocument/2006/relationships/image" Target="media/image17.jpeg"/><Relationship Id="rId60" Type="http://schemas.openxmlformats.org/officeDocument/2006/relationships/image" Target="media/image18.jpeg"/><Relationship Id="rId61" Type="http://schemas.openxmlformats.org/officeDocument/2006/relationships/hyperlink" Target="http://refresh.planmelbourne.vic.gov.au/%3B" TargetMode="External"/><Relationship Id="rId62" Type="http://schemas.openxmlformats.org/officeDocument/2006/relationships/hyperlink" Target="http://www.planmelbourne.vic/" TargetMode="External"/><Relationship Id="rId63" Type="http://schemas.openxmlformats.org/officeDocument/2006/relationships/hyperlink" Target="http://www.epa.vic.gov.au/%7E/media/Publications/1566.pdf" TargetMode="External"/><Relationship Id="rId64" Type="http://schemas.openxmlformats.org/officeDocument/2006/relationships/hyperlink" Target="http://www.dtpli.vic.gov.au/__data/assets/pdf_" TargetMode="External"/><Relationship Id="rId65" Type="http://schemas.openxmlformats.org/officeDocument/2006/relationships/hyperlink" Target="http://theconversation.com/" TargetMode="External"/><Relationship Id="rId66" Type="http://schemas.openxmlformats.org/officeDocument/2006/relationships/image" Target="media/image19.jpeg"/><Relationship Id="rId67"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2016-06-09T09:37:07Z</dcterms:created>
  <dcterms:modified xsi:type="dcterms:W3CDTF">2016-06-09T09:37:07Z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2016-06-09T00:00:00Z</vt:filetime>
  </property>
  <property fmtid="{D5CDD505-2E9C-101B-9397-08002B2CF9AE}" pid="3" name="Creator">
    <vt:lpwstr>Adobe InDesign CC 2015 (Macintosh)</vt:lpwstr>
  </property>
  <property fmtid="{D5CDD505-2E9C-101B-9397-08002B2CF9AE}" pid="4" name="LastSaved">
    <vt:filetime>2016-06-08T00:00:00Z</vt:filetime>
  </property>
</Properties>
</file>